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shd w:val="clear" w:color="auto" w:fill="800000"/>
        <w:tblCellMar>
          <w:left w:w="70" w:type="dxa"/>
          <w:right w:w="70" w:type="dxa"/>
        </w:tblCellMar>
        <w:tblLook w:val="0000" w:firstRow="0" w:lastRow="0" w:firstColumn="0" w:lastColumn="0" w:noHBand="0" w:noVBand="0"/>
      </w:tblPr>
      <w:tblGrid>
        <w:gridCol w:w="1583"/>
        <w:gridCol w:w="7061"/>
      </w:tblGrid>
      <w:tr w:rsidR="002B55F1" w:rsidRPr="00176A58" w14:paraId="79E02EBB" w14:textId="77777777">
        <w:trPr>
          <w:trHeight w:val="889"/>
        </w:trPr>
        <w:tc>
          <w:tcPr>
            <w:tcW w:w="1583" w:type="dxa"/>
            <w:shd w:val="clear" w:color="auto" w:fill="000000"/>
            <w:vAlign w:val="center"/>
          </w:tcPr>
          <w:p w14:paraId="1FCB55E1" w14:textId="77777777" w:rsidR="002B55F1" w:rsidRPr="008A56BA" w:rsidRDefault="002B55F1" w:rsidP="00F1107D">
            <w:pPr>
              <w:rPr>
                <w:rFonts w:ascii="Verdana" w:hAnsi="Verdana"/>
                <w:b/>
                <w:bCs/>
              </w:rPr>
            </w:pPr>
            <w:r w:rsidRPr="008A56BA">
              <w:rPr>
                <w:rFonts w:ascii="Verdana" w:hAnsi="Verdana"/>
                <w:b/>
                <w:bCs/>
              </w:rPr>
              <w:t>SEPTIEMBRE</w:t>
            </w:r>
          </w:p>
          <w:p w14:paraId="56AA5607" w14:textId="351076C7" w:rsidR="002B55F1" w:rsidRPr="00176A58" w:rsidRDefault="00DF1F7F" w:rsidP="003F6E49">
            <w:pPr>
              <w:jc w:val="center"/>
              <w:rPr>
                <w:rFonts w:ascii="Verdana" w:hAnsi="Verdana"/>
                <w:b/>
                <w:bCs/>
                <w:sz w:val="22"/>
                <w:szCs w:val="22"/>
              </w:rPr>
            </w:pPr>
            <w:r>
              <w:rPr>
                <w:rFonts w:ascii="Verdana" w:hAnsi="Verdana"/>
                <w:b/>
                <w:bCs/>
              </w:rPr>
              <w:t>20</w:t>
            </w:r>
            <w:r w:rsidR="00504680">
              <w:rPr>
                <w:rFonts w:ascii="Verdana" w:hAnsi="Verdana"/>
                <w:b/>
                <w:bCs/>
              </w:rPr>
              <w:t>2</w:t>
            </w:r>
            <w:r w:rsidR="007C1CEF">
              <w:rPr>
                <w:rFonts w:ascii="Verdana" w:hAnsi="Verdana"/>
                <w:b/>
                <w:bCs/>
              </w:rPr>
              <w:t>6</w:t>
            </w:r>
          </w:p>
        </w:tc>
        <w:tc>
          <w:tcPr>
            <w:tcW w:w="7061" w:type="dxa"/>
            <w:shd w:val="clear" w:color="auto" w:fill="993300"/>
            <w:vAlign w:val="center"/>
          </w:tcPr>
          <w:p w14:paraId="5FB33AB6" w14:textId="77777777" w:rsidR="002B55F1" w:rsidRPr="00C25AE6" w:rsidRDefault="002B55F1">
            <w:pPr>
              <w:jc w:val="center"/>
              <w:rPr>
                <w:rFonts w:ascii="Verdana" w:hAnsi="Verdana"/>
                <w:b/>
                <w:bCs/>
                <w:color w:val="FFFFFF"/>
                <w:sz w:val="24"/>
                <w:szCs w:val="24"/>
              </w:rPr>
            </w:pPr>
            <w:r w:rsidRPr="00C25AE6">
              <w:rPr>
                <w:rFonts w:ascii="Verdana" w:hAnsi="Verdana"/>
                <w:b/>
                <w:bCs/>
                <w:color w:val="FFFFFF"/>
                <w:sz w:val="24"/>
                <w:szCs w:val="24"/>
              </w:rPr>
              <w:t>APUNTES SOBRE LA ACTUALIDAD FISCAL</w:t>
            </w:r>
          </w:p>
        </w:tc>
      </w:tr>
    </w:tbl>
    <w:p w14:paraId="286DBB3D" w14:textId="77777777" w:rsidR="002B55F1" w:rsidRPr="00823B20" w:rsidRDefault="002B55F1">
      <w:pPr>
        <w:jc w:val="both"/>
        <w:rPr>
          <w:rFonts w:ascii="Verdana" w:hAnsi="Verdana"/>
          <w:b/>
        </w:rPr>
      </w:pPr>
    </w:p>
    <w:p w14:paraId="14B4DE04" w14:textId="77777777" w:rsidR="002B55F1" w:rsidRPr="00823B20" w:rsidRDefault="002B55F1">
      <w:pPr>
        <w:jc w:val="both"/>
        <w:rPr>
          <w:rFonts w:ascii="Verdana" w:hAnsi="Verdana"/>
          <w:b/>
          <w:lang w:val="es-ES_tradnl"/>
        </w:rPr>
      </w:pPr>
      <w:r w:rsidRPr="00823B20">
        <w:rPr>
          <w:rFonts w:ascii="Verdana" w:hAnsi="Verdana"/>
          <w:b/>
          <w:lang w:val="es-ES_tradnl"/>
        </w:rPr>
        <w:t xml:space="preserve">        </w:t>
      </w:r>
    </w:p>
    <w:p w14:paraId="79B60489" w14:textId="77777777" w:rsidR="002B55F1" w:rsidRPr="00C37D1D" w:rsidRDefault="002B55F1">
      <w:pPr>
        <w:pStyle w:val="Ttulo9"/>
        <w:rPr>
          <w:rFonts w:ascii="Verdana" w:hAnsi="Verdana"/>
          <w:sz w:val="20"/>
          <w:szCs w:val="20"/>
        </w:rPr>
      </w:pPr>
      <w:r w:rsidRPr="00C37D1D">
        <w:rPr>
          <w:rFonts w:ascii="Verdana" w:hAnsi="Verdana"/>
          <w:sz w:val="20"/>
          <w:szCs w:val="20"/>
        </w:rPr>
        <w:t>SUMARIO</w:t>
      </w:r>
    </w:p>
    <w:p w14:paraId="56D8E7BD" w14:textId="77777777" w:rsidR="002B55F1" w:rsidRDefault="002B55F1">
      <w:pPr>
        <w:jc w:val="center"/>
        <w:rPr>
          <w:rFonts w:ascii="Verdana" w:hAnsi="Verdana"/>
          <w:b/>
          <w:bCs/>
          <w:i/>
          <w:iCs/>
          <w:color w:val="800000"/>
          <w:sz w:val="18"/>
          <w:szCs w:val="18"/>
          <w:u w:val="single"/>
        </w:rPr>
      </w:pPr>
    </w:p>
    <w:p w14:paraId="0735C5F1" w14:textId="785F6E95" w:rsidR="00CD6C5C" w:rsidRPr="00CD6C5C" w:rsidRDefault="00D81F92">
      <w:pPr>
        <w:pStyle w:val="Prrafodelista"/>
        <w:numPr>
          <w:ilvl w:val="0"/>
          <w:numId w:val="2"/>
        </w:numPr>
        <w:ind w:left="284" w:hanging="284"/>
        <w:jc w:val="both"/>
        <w:rPr>
          <w:rFonts w:ascii="Verdana" w:hAnsi="Verdana"/>
          <w:b/>
          <w:bCs/>
          <w:i/>
          <w:color w:val="800000"/>
          <w:sz w:val="18"/>
          <w:szCs w:val="18"/>
        </w:rPr>
      </w:pPr>
      <w:r w:rsidRPr="00D81F92">
        <w:rPr>
          <w:rFonts w:ascii="Verdana" w:hAnsi="Verdana"/>
          <w:b/>
          <w:bCs/>
          <w:i/>
          <w:color w:val="800000"/>
          <w:sz w:val="18"/>
          <w:szCs w:val="18"/>
        </w:rPr>
        <w:t>CAMBIOS EN LA ORGANIZACIÓN Y COMPETENCIAS DE LA INSPECCIÓN TRIBUTARIA Y DEL ÁREA DE ADUANAS E IMPUESTOS ESPECIALES DE LA AEAT</w:t>
      </w:r>
    </w:p>
    <w:p w14:paraId="6F339234" w14:textId="1113D76B" w:rsidR="00CD6C5C" w:rsidRDefault="0016441E" w:rsidP="00CD6C5C">
      <w:pPr>
        <w:ind w:left="284"/>
        <w:jc w:val="both"/>
        <w:rPr>
          <w:rFonts w:ascii="Verdana" w:hAnsi="Verdana"/>
          <w:b/>
          <w:bCs/>
          <w:i/>
          <w:iCs/>
          <w:color w:val="800000"/>
          <w:sz w:val="18"/>
          <w:szCs w:val="18"/>
        </w:rPr>
      </w:pPr>
      <w:r w:rsidRPr="0016441E">
        <w:rPr>
          <w:rFonts w:ascii="Verdana" w:hAnsi="Verdana"/>
          <w:b/>
          <w:bCs/>
          <w:i/>
          <w:iCs/>
          <w:color w:val="800000"/>
          <w:sz w:val="18"/>
          <w:szCs w:val="18"/>
        </w:rPr>
        <w:t>La AEAT amplía las posibilidades de colaboración interna en las actuaciones inspectoras</w:t>
      </w:r>
      <w:r w:rsidR="001270CF">
        <w:rPr>
          <w:rFonts w:ascii="Verdana" w:hAnsi="Verdana"/>
          <w:b/>
          <w:bCs/>
          <w:i/>
          <w:iCs/>
          <w:color w:val="800000"/>
          <w:sz w:val="18"/>
          <w:szCs w:val="18"/>
        </w:rPr>
        <w:t>.</w:t>
      </w:r>
    </w:p>
    <w:p w14:paraId="31C6ABBA" w14:textId="77777777" w:rsidR="001270CF" w:rsidRDefault="001270CF" w:rsidP="00CD6C5C">
      <w:pPr>
        <w:ind w:left="284"/>
        <w:jc w:val="both"/>
        <w:rPr>
          <w:rFonts w:ascii="Verdana" w:hAnsi="Verdana"/>
          <w:b/>
          <w:bCs/>
          <w:i/>
          <w:iCs/>
          <w:color w:val="800000"/>
          <w:sz w:val="18"/>
          <w:szCs w:val="18"/>
        </w:rPr>
      </w:pPr>
    </w:p>
    <w:p w14:paraId="58995CD6" w14:textId="68D8CA99" w:rsidR="001270CF" w:rsidRPr="001270CF" w:rsidRDefault="001270CF" w:rsidP="001270CF">
      <w:pPr>
        <w:pStyle w:val="Prrafodelista"/>
        <w:numPr>
          <w:ilvl w:val="0"/>
          <w:numId w:val="2"/>
        </w:numPr>
        <w:ind w:left="284" w:hanging="284"/>
        <w:jc w:val="both"/>
        <w:rPr>
          <w:rFonts w:ascii="Verdana" w:hAnsi="Verdana"/>
          <w:b/>
          <w:bCs/>
          <w:i/>
          <w:iCs/>
          <w:color w:val="800000"/>
          <w:sz w:val="18"/>
          <w:szCs w:val="18"/>
        </w:rPr>
      </w:pPr>
      <w:bookmarkStart w:id="0" w:name="_Hlk236396574"/>
      <w:r w:rsidRPr="001270CF">
        <w:rPr>
          <w:rFonts w:ascii="Verdana" w:hAnsi="Verdana"/>
          <w:b/>
          <w:bCs/>
          <w:i/>
          <w:iCs/>
          <w:color w:val="800000"/>
          <w:sz w:val="18"/>
          <w:szCs w:val="18"/>
        </w:rPr>
        <w:t>LAS DEUDAS POR RETENCIONES NO PRACTICADAS O PRACTICADAS, PERO NO INGRESADAS, NO SON SUSCEPTIBLES DE APLAZAMIENTO O FRACCIONAMIENTO</w:t>
      </w:r>
    </w:p>
    <w:p w14:paraId="3B372C4E" w14:textId="7536FEF9" w:rsidR="00CD6C5C" w:rsidRDefault="001270CF" w:rsidP="001270CF">
      <w:pPr>
        <w:ind w:left="284"/>
        <w:jc w:val="both"/>
        <w:rPr>
          <w:rFonts w:ascii="Verdana" w:hAnsi="Verdana"/>
          <w:b/>
          <w:bCs/>
          <w:i/>
          <w:iCs/>
          <w:color w:val="800000"/>
          <w:sz w:val="18"/>
          <w:szCs w:val="18"/>
        </w:rPr>
      </w:pPr>
      <w:r>
        <w:rPr>
          <w:rFonts w:ascii="Verdana" w:hAnsi="Verdana"/>
          <w:b/>
          <w:bCs/>
          <w:i/>
          <w:iCs/>
          <w:color w:val="800000"/>
          <w:sz w:val="18"/>
          <w:szCs w:val="18"/>
        </w:rPr>
        <w:t xml:space="preserve">El </w:t>
      </w:r>
      <w:r w:rsidRPr="001270CF">
        <w:rPr>
          <w:rFonts w:ascii="Verdana" w:hAnsi="Verdana"/>
          <w:b/>
          <w:bCs/>
          <w:i/>
          <w:iCs/>
          <w:color w:val="800000"/>
          <w:sz w:val="18"/>
          <w:szCs w:val="18"/>
        </w:rPr>
        <w:t>TEAC unifica criterio: las deudas por retenciones liquidadas por la Administración no pueden aplazarse ni fraccionarse</w:t>
      </w:r>
      <w:r>
        <w:rPr>
          <w:rFonts w:ascii="Verdana" w:hAnsi="Verdana"/>
          <w:b/>
          <w:bCs/>
          <w:i/>
          <w:iCs/>
          <w:color w:val="800000"/>
          <w:sz w:val="18"/>
          <w:szCs w:val="18"/>
        </w:rPr>
        <w:t>.</w:t>
      </w:r>
    </w:p>
    <w:bookmarkEnd w:id="0"/>
    <w:p w14:paraId="194AE1C2" w14:textId="77777777" w:rsidR="00AC2CBE" w:rsidRPr="009F79CE" w:rsidRDefault="00AC2CBE" w:rsidP="001270CF">
      <w:pPr>
        <w:ind w:left="284"/>
        <w:jc w:val="both"/>
        <w:rPr>
          <w:rFonts w:ascii="Verdana" w:hAnsi="Verdana"/>
          <w:b/>
          <w:bCs/>
          <w:i/>
          <w:iCs/>
          <w:color w:val="800000"/>
          <w:sz w:val="18"/>
          <w:szCs w:val="18"/>
        </w:rPr>
      </w:pPr>
    </w:p>
    <w:p w14:paraId="44839291" w14:textId="0A8542E8" w:rsidR="002A4D7C" w:rsidRPr="009F79CE" w:rsidRDefault="009F79CE" w:rsidP="002A4D7C">
      <w:pPr>
        <w:pStyle w:val="Prrafodelista"/>
        <w:numPr>
          <w:ilvl w:val="0"/>
          <w:numId w:val="2"/>
        </w:numPr>
        <w:ind w:left="284" w:hanging="284"/>
        <w:jc w:val="both"/>
        <w:rPr>
          <w:rFonts w:ascii="Verdana" w:hAnsi="Verdana"/>
          <w:b/>
          <w:bCs/>
          <w:i/>
          <w:iCs/>
          <w:color w:val="800000"/>
          <w:sz w:val="18"/>
          <w:szCs w:val="18"/>
        </w:rPr>
      </w:pPr>
      <w:r w:rsidRPr="009F79CE">
        <w:rPr>
          <w:rFonts w:ascii="Verdana" w:hAnsi="Verdana"/>
          <w:b/>
          <w:bCs/>
          <w:i/>
          <w:iCs/>
          <w:color w:val="800000"/>
          <w:sz w:val="18"/>
          <w:szCs w:val="18"/>
        </w:rPr>
        <w:t>PROPUESTA DE REFORMA PARA FACILITAR LA LIQUIDACIÓN DE SOCIEDADES CON EL NIF REVOCADO</w:t>
      </w:r>
    </w:p>
    <w:p w14:paraId="069A9959" w14:textId="2152D65E" w:rsidR="002A4D7C" w:rsidRDefault="00107D25" w:rsidP="00107D25">
      <w:pPr>
        <w:ind w:left="284"/>
        <w:jc w:val="both"/>
        <w:rPr>
          <w:rFonts w:ascii="Verdana" w:hAnsi="Verdana"/>
          <w:b/>
          <w:bCs/>
          <w:i/>
          <w:iCs/>
          <w:color w:val="800000"/>
          <w:sz w:val="18"/>
          <w:szCs w:val="18"/>
        </w:rPr>
      </w:pPr>
      <w:r w:rsidRPr="00107D25">
        <w:rPr>
          <w:rFonts w:ascii="Verdana" w:hAnsi="Verdana"/>
          <w:b/>
          <w:bCs/>
          <w:i/>
          <w:iCs/>
          <w:color w:val="800000"/>
          <w:sz w:val="18"/>
          <w:szCs w:val="18"/>
        </w:rPr>
        <w:t>El Consejo para la Defensa del Contribuyente ha publicado la Propuesta 1/2026, en la que plantea una modificación normativa para resolver los problemas que afrontan las sociedades con el NIF revocado cuando necesitan liquidarse y extinguirse definitivamente.</w:t>
      </w:r>
    </w:p>
    <w:p w14:paraId="7320F31E" w14:textId="77777777" w:rsidR="009F79CE" w:rsidRDefault="009F79CE" w:rsidP="00107D25">
      <w:pPr>
        <w:ind w:left="284"/>
        <w:jc w:val="both"/>
        <w:rPr>
          <w:rFonts w:ascii="Verdana" w:hAnsi="Verdana"/>
          <w:b/>
          <w:bCs/>
          <w:i/>
          <w:iCs/>
          <w:color w:val="800000"/>
          <w:sz w:val="18"/>
          <w:szCs w:val="18"/>
        </w:rPr>
      </w:pPr>
    </w:p>
    <w:p w14:paraId="0A36171E" w14:textId="2A6A4010" w:rsidR="009F79CE" w:rsidRDefault="00A9685E" w:rsidP="009F79CE">
      <w:pPr>
        <w:pStyle w:val="Prrafodelista"/>
        <w:numPr>
          <w:ilvl w:val="0"/>
          <w:numId w:val="2"/>
        </w:numPr>
        <w:ind w:left="284" w:hanging="284"/>
        <w:jc w:val="both"/>
        <w:rPr>
          <w:rFonts w:ascii="Verdana" w:hAnsi="Verdana"/>
          <w:b/>
          <w:bCs/>
          <w:i/>
          <w:iCs/>
          <w:color w:val="800000"/>
          <w:sz w:val="18"/>
          <w:szCs w:val="18"/>
        </w:rPr>
      </w:pPr>
      <w:r>
        <w:rPr>
          <w:rFonts w:ascii="Verdana" w:hAnsi="Verdana"/>
          <w:b/>
          <w:bCs/>
          <w:i/>
          <w:iCs/>
          <w:color w:val="800000"/>
          <w:sz w:val="18"/>
          <w:szCs w:val="18"/>
        </w:rPr>
        <w:t xml:space="preserve">IVA. - </w:t>
      </w:r>
      <w:r w:rsidR="00453092" w:rsidRPr="00453092">
        <w:rPr>
          <w:rFonts w:ascii="Verdana" w:hAnsi="Verdana"/>
          <w:b/>
          <w:bCs/>
          <w:i/>
          <w:iCs/>
          <w:color w:val="800000"/>
          <w:sz w:val="18"/>
          <w:szCs w:val="18"/>
        </w:rPr>
        <w:t>EL TEAC REITERA SU DOCTRINA SOBRE LA EXCEPCIÓN A LA EXENCIÓN EN EL IVA DE LAS SEGUNDAS O ULTERIORES ENTREGAS DE EDIFICACIONES PARA SU REHABILITACIÓN POR EL ADQUIRENTE</w:t>
      </w:r>
    </w:p>
    <w:p w14:paraId="09F15749" w14:textId="16ABC80E" w:rsidR="00D462F9" w:rsidRDefault="00785067" w:rsidP="00785067">
      <w:pPr>
        <w:ind w:left="284"/>
        <w:jc w:val="both"/>
        <w:rPr>
          <w:rFonts w:ascii="Verdana" w:hAnsi="Verdana"/>
          <w:b/>
          <w:bCs/>
          <w:i/>
          <w:iCs/>
          <w:color w:val="800000"/>
          <w:sz w:val="18"/>
          <w:szCs w:val="18"/>
        </w:rPr>
      </w:pPr>
      <w:r w:rsidRPr="00785067">
        <w:rPr>
          <w:rFonts w:ascii="Verdana" w:hAnsi="Verdana"/>
          <w:b/>
          <w:bCs/>
          <w:i/>
          <w:iCs/>
          <w:color w:val="800000"/>
          <w:sz w:val="18"/>
          <w:szCs w:val="18"/>
        </w:rPr>
        <w:t>El TEAC insiste en que, para que la segunda o ulterior entrega de una edificación para su rehabilitación por el adquirente esté sujeta y no exenta del IVA, es preciso que, en el momento de la entrega, el adquirente tenga la intención de rehabilitarla y que dicha intención quede acreditada mediante elementos objetivos</w:t>
      </w:r>
      <w:r w:rsidR="00A041D7">
        <w:rPr>
          <w:rFonts w:ascii="Verdana" w:hAnsi="Verdana"/>
          <w:b/>
          <w:bCs/>
          <w:i/>
          <w:iCs/>
          <w:color w:val="800000"/>
          <w:sz w:val="18"/>
          <w:szCs w:val="18"/>
        </w:rPr>
        <w:t>.</w:t>
      </w:r>
    </w:p>
    <w:p w14:paraId="57ED62BE" w14:textId="77777777" w:rsidR="00D462F9" w:rsidRDefault="00D462F9" w:rsidP="00785067">
      <w:pPr>
        <w:ind w:left="284"/>
        <w:jc w:val="both"/>
        <w:rPr>
          <w:rFonts w:ascii="Verdana" w:hAnsi="Verdana"/>
          <w:b/>
          <w:bCs/>
          <w:i/>
          <w:iCs/>
          <w:color w:val="800000"/>
          <w:sz w:val="18"/>
          <w:szCs w:val="18"/>
        </w:rPr>
      </w:pPr>
    </w:p>
    <w:p w14:paraId="4E2D2088" w14:textId="1362BD57" w:rsidR="00785067" w:rsidRPr="00D462F9" w:rsidRDefault="00D462F9" w:rsidP="00D462F9">
      <w:pPr>
        <w:pStyle w:val="Prrafodelista"/>
        <w:numPr>
          <w:ilvl w:val="0"/>
          <w:numId w:val="2"/>
        </w:numPr>
        <w:ind w:left="284" w:hanging="284"/>
        <w:jc w:val="both"/>
        <w:rPr>
          <w:rFonts w:ascii="Verdana" w:hAnsi="Verdana"/>
          <w:b/>
          <w:bCs/>
          <w:i/>
          <w:iCs/>
          <w:color w:val="800000"/>
          <w:sz w:val="18"/>
          <w:szCs w:val="18"/>
        </w:rPr>
      </w:pPr>
      <w:r>
        <w:rPr>
          <w:rFonts w:ascii="Verdana" w:hAnsi="Verdana"/>
          <w:b/>
          <w:bCs/>
          <w:i/>
          <w:iCs/>
          <w:color w:val="800000"/>
          <w:sz w:val="18"/>
          <w:szCs w:val="18"/>
        </w:rPr>
        <w:t xml:space="preserve">IVA.- </w:t>
      </w:r>
      <w:r w:rsidRPr="00D462F9">
        <w:rPr>
          <w:rFonts w:ascii="Verdana" w:hAnsi="Verdana"/>
          <w:b/>
          <w:bCs/>
          <w:i/>
          <w:iCs/>
          <w:color w:val="800000"/>
          <w:sz w:val="18"/>
          <w:szCs w:val="18"/>
        </w:rPr>
        <w:t>NO DEDUCIBILIDAD DEL IVA SOPORTADO EN MATERIAL PROMOCIONAL ENTREGADO GRATUITAMENTE A CLIENTES</w:t>
      </w:r>
    </w:p>
    <w:p w14:paraId="2F041E49" w14:textId="0A7640C2" w:rsidR="00785067" w:rsidRDefault="00D462F9" w:rsidP="00785067">
      <w:pPr>
        <w:pStyle w:val="Prrafodelista"/>
        <w:ind w:left="284"/>
        <w:jc w:val="both"/>
        <w:rPr>
          <w:rFonts w:ascii="Verdana" w:hAnsi="Verdana"/>
          <w:b/>
          <w:bCs/>
          <w:i/>
          <w:iCs/>
          <w:color w:val="800000"/>
          <w:sz w:val="18"/>
          <w:szCs w:val="18"/>
        </w:rPr>
      </w:pPr>
      <w:r w:rsidRPr="00D462F9">
        <w:rPr>
          <w:rFonts w:ascii="Verdana" w:hAnsi="Verdana"/>
          <w:b/>
          <w:bCs/>
          <w:i/>
          <w:iCs/>
          <w:color w:val="800000"/>
          <w:sz w:val="18"/>
          <w:szCs w:val="18"/>
        </w:rPr>
        <w:t>El Tribunal Supremo reitera su doctrina sobre la limitación del derecho a la deducción del IVA en relación con el mobiliario de terraza y el material promocional entregados gratuitamente a establecimientos de hostelería</w:t>
      </w:r>
      <w:r>
        <w:rPr>
          <w:rFonts w:ascii="Verdana" w:hAnsi="Verdana"/>
          <w:b/>
          <w:bCs/>
          <w:i/>
          <w:iCs/>
          <w:color w:val="800000"/>
          <w:sz w:val="18"/>
          <w:szCs w:val="18"/>
        </w:rPr>
        <w:t>.</w:t>
      </w:r>
    </w:p>
    <w:p w14:paraId="670E1F38" w14:textId="77777777" w:rsidR="00D462F9" w:rsidRDefault="00D462F9" w:rsidP="00785067">
      <w:pPr>
        <w:pStyle w:val="Prrafodelista"/>
        <w:ind w:left="284"/>
        <w:jc w:val="both"/>
        <w:rPr>
          <w:rFonts w:ascii="Verdana" w:hAnsi="Verdana"/>
          <w:b/>
          <w:bCs/>
          <w:i/>
          <w:iCs/>
          <w:color w:val="800000"/>
          <w:sz w:val="18"/>
          <w:szCs w:val="18"/>
        </w:rPr>
      </w:pPr>
    </w:p>
    <w:p w14:paraId="49A55F91" w14:textId="69AB0247" w:rsidR="00785067" w:rsidRPr="009F79CE" w:rsidRDefault="00785067" w:rsidP="009F79CE">
      <w:pPr>
        <w:pStyle w:val="Prrafodelista"/>
        <w:numPr>
          <w:ilvl w:val="0"/>
          <w:numId w:val="2"/>
        </w:numPr>
        <w:ind w:left="284" w:hanging="284"/>
        <w:jc w:val="both"/>
        <w:rPr>
          <w:rFonts w:ascii="Verdana" w:hAnsi="Verdana"/>
          <w:b/>
          <w:bCs/>
          <w:i/>
          <w:iCs/>
          <w:color w:val="800000"/>
          <w:sz w:val="18"/>
          <w:szCs w:val="18"/>
        </w:rPr>
      </w:pPr>
      <w:r>
        <w:rPr>
          <w:rFonts w:ascii="Verdana" w:hAnsi="Verdana"/>
          <w:b/>
          <w:bCs/>
          <w:i/>
          <w:iCs/>
          <w:color w:val="800000"/>
          <w:sz w:val="18"/>
          <w:szCs w:val="18"/>
        </w:rPr>
        <w:t xml:space="preserve">IIVTNU.- </w:t>
      </w:r>
      <w:r w:rsidRPr="00785067">
        <w:rPr>
          <w:rFonts w:ascii="Verdana" w:hAnsi="Verdana"/>
          <w:b/>
          <w:bCs/>
          <w:i/>
          <w:iCs/>
          <w:color w:val="800000"/>
          <w:sz w:val="18"/>
          <w:szCs w:val="18"/>
        </w:rPr>
        <w:t>EL VALOR DE REFERENCIA NO PUEDE UTILIZARSE COMO VALOR DE TRANSMISIÓN A EFECTOS DE LA PLUSVALÍA MUNICIPAL (IIVTNU) SIN TRAMITAR ANTES UN PROCEDIMIENTO DE COMPROBACIÓN DE VALORES</w:t>
      </w:r>
    </w:p>
    <w:p w14:paraId="66173B8F" w14:textId="03110B09" w:rsidR="002A4D7C" w:rsidRDefault="00416C93" w:rsidP="00416C93">
      <w:pPr>
        <w:ind w:left="284"/>
        <w:jc w:val="both"/>
        <w:rPr>
          <w:rFonts w:ascii="Verdana" w:hAnsi="Verdana"/>
          <w:b/>
          <w:bCs/>
          <w:i/>
          <w:iCs/>
          <w:color w:val="800000"/>
          <w:sz w:val="18"/>
          <w:szCs w:val="18"/>
        </w:rPr>
      </w:pPr>
      <w:r w:rsidRPr="00416C93">
        <w:rPr>
          <w:rFonts w:ascii="Verdana" w:hAnsi="Verdana"/>
          <w:b/>
          <w:bCs/>
          <w:i/>
          <w:iCs/>
          <w:color w:val="800000"/>
          <w:sz w:val="18"/>
          <w:szCs w:val="18"/>
        </w:rPr>
        <w:t>La DGT niega que el valor de referencia del Catastro sustituya automáticamente al precio de venta en la plusvalía municipal (IIVTNU)</w:t>
      </w:r>
      <w:r w:rsidR="00D72D56">
        <w:rPr>
          <w:rFonts w:ascii="Verdana" w:hAnsi="Verdana"/>
          <w:b/>
          <w:bCs/>
          <w:i/>
          <w:iCs/>
          <w:color w:val="800000"/>
          <w:sz w:val="18"/>
          <w:szCs w:val="18"/>
        </w:rPr>
        <w:t>.</w:t>
      </w:r>
    </w:p>
    <w:p w14:paraId="372214D9" w14:textId="77777777" w:rsidR="00D72D56" w:rsidRDefault="00D72D56" w:rsidP="00416C93">
      <w:pPr>
        <w:ind w:left="284"/>
        <w:jc w:val="both"/>
        <w:rPr>
          <w:rFonts w:ascii="Verdana" w:hAnsi="Verdana"/>
          <w:b/>
          <w:bCs/>
          <w:i/>
          <w:iCs/>
          <w:color w:val="800000"/>
          <w:sz w:val="18"/>
          <w:szCs w:val="18"/>
        </w:rPr>
      </w:pPr>
    </w:p>
    <w:p w14:paraId="12978F21" w14:textId="05CEB798" w:rsidR="00D72D56" w:rsidRPr="00D72D56" w:rsidRDefault="00C9075B" w:rsidP="00D72D56">
      <w:pPr>
        <w:pStyle w:val="Prrafodelista"/>
        <w:numPr>
          <w:ilvl w:val="0"/>
          <w:numId w:val="2"/>
        </w:numPr>
        <w:ind w:left="284" w:hanging="284"/>
        <w:jc w:val="both"/>
        <w:rPr>
          <w:rFonts w:ascii="Verdana" w:hAnsi="Verdana"/>
          <w:b/>
          <w:bCs/>
          <w:i/>
          <w:iCs/>
          <w:color w:val="800000"/>
          <w:sz w:val="18"/>
          <w:szCs w:val="18"/>
        </w:rPr>
      </w:pPr>
      <w:r w:rsidRPr="00C9075B">
        <w:rPr>
          <w:rFonts w:ascii="Verdana" w:hAnsi="Verdana"/>
          <w:b/>
          <w:bCs/>
          <w:i/>
          <w:iCs/>
          <w:color w:val="800000"/>
          <w:sz w:val="18"/>
          <w:szCs w:val="18"/>
        </w:rPr>
        <w:t>RESPONSABILIDAD SUBSIDIARIA: OBLIGACIÓN DE DECLARAR PREVIAMENTE FALLIDOS A LOS SOCIOS DE UNA SOCIEDAD DISUELTA Y LIQUIDADA</w:t>
      </w:r>
    </w:p>
    <w:p w14:paraId="7BC92091" w14:textId="41FE5456" w:rsidR="0003466A" w:rsidRDefault="00AE2170" w:rsidP="0003466A">
      <w:pPr>
        <w:pStyle w:val="Prrafodelista"/>
        <w:ind w:left="284"/>
        <w:jc w:val="both"/>
        <w:rPr>
          <w:rFonts w:ascii="Verdana" w:hAnsi="Verdana"/>
          <w:b/>
          <w:bCs/>
          <w:i/>
          <w:iCs/>
          <w:color w:val="800000"/>
          <w:sz w:val="18"/>
          <w:szCs w:val="18"/>
        </w:rPr>
      </w:pPr>
      <w:r>
        <w:rPr>
          <w:rFonts w:ascii="Verdana" w:hAnsi="Verdana"/>
          <w:b/>
          <w:bCs/>
          <w:i/>
          <w:iCs/>
          <w:color w:val="800000"/>
          <w:sz w:val="18"/>
          <w:szCs w:val="18"/>
        </w:rPr>
        <w:t>L</w:t>
      </w:r>
      <w:r w:rsidR="00C9075B" w:rsidRPr="00C9075B">
        <w:rPr>
          <w:rFonts w:ascii="Verdana" w:hAnsi="Verdana"/>
          <w:b/>
          <w:bCs/>
          <w:i/>
          <w:iCs/>
          <w:color w:val="800000"/>
          <w:sz w:val="18"/>
          <w:szCs w:val="18"/>
        </w:rPr>
        <w:t>as deudas tributarias de una sociedad disuelta y liquidada han de exigirse a los socios sucesores y, solo si estos resultan fallidos, se puede derivar la responsabilidad al administrador como responsable subsidiario.</w:t>
      </w:r>
    </w:p>
    <w:p w14:paraId="31CEBF65" w14:textId="77777777" w:rsidR="00D82871" w:rsidRDefault="00D82871" w:rsidP="0003466A">
      <w:pPr>
        <w:pStyle w:val="Prrafodelista"/>
        <w:ind w:left="284"/>
        <w:jc w:val="both"/>
        <w:rPr>
          <w:rFonts w:ascii="Verdana" w:hAnsi="Verdana"/>
          <w:b/>
          <w:bCs/>
          <w:i/>
          <w:iCs/>
          <w:color w:val="800000"/>
          <w:sz w:val="18"/>
          <w:szCs w:val="18"/>
        </w:rPr>
      </w:pPr>
    </w:p>
    <w:p w14:paraId="58953266" w14:textId="0CBAC0E6" w:rsidR="00D82871" w:rsidRDefault="00D82871" w:rsidP="00D82871">
      <w:pPr>
        <w:pStyle w:val="Prrafodelista"/>
        <w:numPr>
          <w:ilvl w:val="0"/>
          <w:numId w:val="2"/>
        </w:numPr>
        <w:ind w:left="284" w:hanging="284"/>
        <w:jc w:val="both"/>
        <w:rPr>
          <w:rFonts w:ascii="Verdana" w:hAnsi="Verdana"/>
          <w:b/>
          <w:bCs/>
          <w:i/>
          <w:iCs/>
          <w:color w:val="800000"/>
          <w:sz w:val="18"/>
          <w:szCs w:val="18"/>
        </w:rPr>
      </w:pPr>
      <w:r>
        <w:rPr>
          <w:rFonts w:ascii="Verdana" w:hAnsi="Verdana"/>
          <w:b/>
          <w:bCs/>
          <w:i/>
          <w:iCs/>
          <w:color w:val="800000"/>
          <w:sz w:val="18"/>
          <w:szCs w:val="18"/>
        </w:rPr>
        <w:t xml:space="preserve">IS.- </w:t>
      </w:r>
      <w:r w:rsidRPr="00D82871">
        <w:rPr>
          <w:rFonts w:ascii="Verdana" w:hAnsi="Verdana"/>
          <w:b/>
          <w:bCs/>
          <w:i/>
          <w:iCs/>
          <w:color w:val="800000"/>
          <w:sz w:val="18"/>
          <w:szCs w:val="18"/>
        </w:rPr>
        <w:t>DEDUCIBILIDAD DE LOS GASTOS FINANCIEROS EN EL IS Y LÍMITES A LA RECALIFICACIÓN DE LOS PRÉSTAMOS PARTICIPATIVOS</w:t>
      </w:r>
    </w:p>
    <w:p w14:paraId="4E40A2CB" w14:textId="0AB0E91D" w:rsidR="002F3B73" w:rsidRDefault="002F3B73" w:rsidP="002F3B73">
      <w:pPr>
        <w:pStyle w:val="Prrafodelista"/>
        <w:ind w:left="284"/>
        <w:jc w:val="both"/>
        <w:rPr>
          <w:rFonts w:ascii="Verdana" w:hAnsi="Verdana"/>
          <w:b/>
          <w:bCs/>
          <w:i/>
          <w:iCs/>
          <w:color w:val="800000"/>
          <w:sz w:val="18"/>
          <w:szCs w:val="18"/>
        </w:rPr>
      </w:pPr>
      <w:r w:rsidRPr="00D82871">
        <w:rPr>
          <w:rFonts w:ascii="Verdana" w:hAnsi="Verdana"/>
          <w:b/>
          <w:bCs/>
          <w:i/>
          <w:iCs/>
          <w:color w:val="800000"/>
          <w:sz w:val="18"/>
          <w:szCs w:val="18"/>
        </w:rPr>
        <w:t>La Audiencia Nacional</w:t>
      </w:r>
      <w:r w:rsidRPr="002F3B73">
        <w:rPr>
          <w:rFonts w:ascii="Verdana" w:hAnsi="Verdana"/>
          <w:b/>
          <w:bCs/>
          <w:i/>
          <w:iCs/>
          <w:color w:val="800000"/>
          <w:sz w:val="18"/>
          <w:szCs w:val="18"/>
        </w:rPr>
        <w:t xml:space="preserve"> </w:t>
      </w:r>
      <w:r w:rsidRPr="00D82871">
        <w:rPr>
          <w:rFonts w:ascii="Verdana" w:hAnsi="Verdana"/>
          <w:b/>
          <w:bCs/>
          <w:i/>
          <w:iCs/>
          <w:color w:val="800000"/>
          <w:sz w:val="18"/>
          <w:szCs w:val="18"/>
        </w:rPr>
        <w:t>refuerza la delimitación entre la potestad de calificación del artículo 13 LGT y las figuras de simulación y conflicto en la aplicación de la norma tributaria</w:t>
      </w:r>
      <w:r>
        <w:rPr>
          <w:rFonts w:ascii="Verdana" w:hAnsi="Verdana"/>
          <w:b/>
          <w:bCs/>
          <w:i/>
          <w:iCs/>
          <w:color w:val="800000"/>
          <w:sz w:val="18"/>
          <w:szCs w:val="18"/>
        </w:rPr>
        <w:t>.</w:t>
      </w:r>
    </w:p>
    <w:p w14:paraId="45638A68" w14:textId="77777777" w:rsidR="00F367AB" w:rsidRDefault="00F367AB" w:rsidP="002F3B73">
      <w:pPr>
        <w:pStyle w:val="Prrafodelista"/>
        <w:ind w:left="284"/>
        <w:jc w:val="both"/>
        <w:rPr>
          <w:rFonts w:ascii="Verdana" w:hAnsi="Verdana"/>
          <w:b/>
          <w:bCs/>
          <w:i/>
          <w:iCs/>
          <w:color w:val="800000"/>
          <w:sz w:val="18"/>
          <w:szCs w:val="18"/>
        </w:rPr>
      </w:pPr>
    </w:p>
    <w:p w14:paraId="1C1EA560" w14:textId="224207DF" w:rsidR="00F367AB" w:rsidRDefault="00F367AB" w:rsidP="00F367AB">
      <w:pPr>
        <w:pStyle w:val="Prrafodelista"/>
        <w:numPr>
          <w:ilvl w:val="0"/>
          <w:numId w:val="2"/>
        </w:numPr>
        <w:ind w:left="284" w:hanging="284"/>
        <w:jc w:val="both"/>
        <w:rPr>
          <w:rFonts w:ascii="Verdana" w:hAnsi="Verdana"/>
          <w:b/>
          <w:bCs/>
          <w:i/>
          <w:iCs/>
          <w:color w:val="800000"/>
          <w:sz w:val="18"/>
          <w:szCs w:val="18"/>
        </w:rPr>
      </w:pPr>
      <w:r>
        <w:rPr>
          <w:rFonts w:ascii="Verdana" w:hAnsi="Verdana"/>
          <w:b/>
          <w:bCs/>
          <w:i/>
          <w:iCs/>
          <w:color w:val="800000"/>
          <w:sz w:val="18"/>
          <w:szCs w:val="18"/>
        </w:rPr>
        <w:t>IS.- EL TRIBUNAL</w:t>
      </w:r>
      <w:r w:rsidRPr="00F367AB">
        <w:rPr>
          <w:rFonts w:ascii="Verdana" w:hAnsi="Verdana"/>
          <w:b/>
          <w:bCs/>
          <w:i/>
          <w:iCs/>
          <w:color w:val="800000"/>
          <w:sz w:val="18"/>
          <w:szCs w:val="18"/>
        </w:rPr>
        <w:t xml:space="preserve"> SUPREMO PROHÍBE EL ‘PLAN B’ EN INSPECCIONES: NO SE PUEDE CAMBIAR DE MÉTODO SI FALLA EL ELEGIDO</w:t>
      </w:r>
    </w:p>
    <w:p w14:paraId="3D559D20" w14:textId="4D84DD01" w:rsidR="002F3B73" w:rsidRDefault="00F367AB" w:rsidP="002F3B73">
      <w:pPr>
        <w:pStyle w:val="Prrafodelista"/>
        <w:ind w:left="284"/>
        <w:jc w:val="both"/>
        <w:rPr>
          <w:rFonts w:ascii="Verdana" w:hAnsi="Verdana"/>
          <w:b/>
          <w:bCs/>
          <w:i/>
          <w:iCs/>
          <w:color w:val="800000"/>
          <w:sz w:val="18"/>
          <w:szCs w:val="18"/>
        </w:rPr>
      </w:pPr>
      <w:r>
        <w:rPr>
          <w:rFonts w:ascii="Verdana" w:hAnsi="Verdana"/>
          <w:b/>
          <w:bCs/>
          <w:i/>
          <w:iCs/>
          <w:color w:val="800000"/>
          <w:sz w:val="18"/>
          <w:szCs w:val="18"/>
        </w:rPr>
        <w:t>E</w:t>
      </w:r>
      <w:r w:rsidRPr="00F367AB">
        <w:rPr>
          <w:rFonts w:ascii="Verdana" w:hAnsi="Verdana"/>
          <w:b/>
          <w:bCs/>
          <w:i/>
          <w:iCs/>
          <w:color w:val="800000"/>
          <w:sz w:val="18"/>
          <w:szCs w:val="18"/>
        </w:rPr>
        <w:t xml:space="preserve">l fallo impide que la Agencia Tributaria blinde sus actas con un argumento de repuesto si el principal es anulado judicialmente. A partir de ahora, la Inspección </w:t>
      </w:r>
      <w:r w:rsidRPr="00F367AB">
        <w:rPr>
          <w:rFonts w:ascii="Verdana" w:hAnsi="Verdana"/>
          <w:b/>
          <w:bCs/>
          <w:i/>
          <w:iCs/>
          <w:color w:val="800000"/>
          <w:sz w:val="18"/>
          <w:szCs w:val="18"/>
        </w:rPr>
        <w:lastRenderedPageBreak/>
        <w:t>debe fundamentar cada regularización en un único criterio, lo que refuerza las garantías del contribuyente.</w:t>
      </w:r>
    </w:p>
    <w:p w14:paraId="32A18336" w14:textId="77777777" w:rsidR="00F367AB" w:rsidRDefault="00F367AB" w:rsidP="002F3B73">
      <w:pPr>
        <w:pStyle w:val="Prrafodelista"/>
        <w:ind w:left="284"/>
        <w:jc w:val="both"/>
        <w:rPr>
          <w:rFonts w:ascii="Verdana" w:hAnsi="Verdana"/>
          <w:b/>
          <w:bCs/>
          <w:i/>
          <w:iCs/>
          <w:color w:val="800000"/>
          <w:sz w:val="18"/>
          <w:szCs w:val="18"/>
        </w:rPr>
      </w:pPr>
    </w:p>
    <w:p w14:paraId="46ED3A5C" w14:textId="77777777" w:rsidR="00F367AB" w:rsidRDefault="00F367AB" w:rsidP="002F3B73">
      <w:pPr>
        <w:pStyle w:val="Prrafodelista"/>
        <w:ind w:left="284"/>
        <w:jc w:val="both"/>
        <w:rPr>
          <w:rFonts w:ascii="Verdana" w:hAnsi="Verdana"/>
          <w:b/>
          <w:bCs/>
          <w:i/>
          <w:iCs/>
          <w:color w:val="800000"/>
          <w:sz w:val="18"/>
          <w:szCs w:val="18"/>
        </w:rPr>
      </w:pPr>
    </w:p>
    <w:p w14:paraId="056EF4BE" w14:textId="56D43784" w:rsidR="002F3B73" w:rsidRPr="00C9075B" w:rsidRDefault="002F3B73" w:rsidP="00F367AB">
      <w:pPr>
        <w:pStyle w:val="Prrafodelista"/>
        <w:numPr>
          <w:ilvl w:val="0"/>
          <w:numId w:val="2"/>
        </w:numPr>
        <w:ind w:left="426" w:hanging="426"/>
        <w:jc w:val="both"/>
        <w:rPr>
          <w:rFonts w:ascii="Verdana" w:hAnsi="Verdana"/>
          <w:b/>
          <w:bCs/>
          <w:i/>
          <w:iCs/>
          <w:color w:val="800000"/>
          <w:sz w:val="18"/>
          <w:szCs w:val="18"/>
        </w:rPr>
      </w:pPr>
      <w:r>
        <w:rPr>
          <w:rFonts w:ascii="Verdana" w:hAnsi="Verdana"/>
          <w:b/>
          <w:bCs/>
          <w:i/>
          <w:iCs/>
          <w:color w:val="800000"/>
          <w:sz w:val="18"/>
          <w:szCs w:val="18"/>
        </w:rPr>
        <w:t xml:space="preserve">IRPF. -  </w:t>
      </w:r>
      <w:r w:rsidRPr="002F3B73">
        <w:rPr>
          <w:rFonts w:ascii="Verdana" w:hAnsi="Verdana"/>
          <w:b/>
          <w:bCs/>
          <w:i/>
          <w:iCs/>
          <w:color w:val="800000"/>
          <w:sz w:val="18"/>
          <w:szCs w:val="18"/>
        </w:rPr>
        <w:t>GANANCIA PATRIMONIAL DE ACCIONES UTILIZANDO EL VALOR NOMINAL TRAS UN CONTRA-SPLIT</w:t>
      </w:r>
    </w:p>
    <w:p w14:paraId="2684A9B6" w14:textId="4B6C2126" w:rsidR="00D72D56" w:rsidRDefault="002F3B73" w:rsidP="00F367AB">
      <w:pPr>
        <w:pStyle w:val="Prrafodelista"/>
        <w:ind w:left="426"/>
        <w:jc w:val="both"/>
        <w:rPr>
          <w:rFonts w:ascii="Verdana" w:hAnsi="Verdana"/>
          <w:b/>
          <w:bCs/>
          <w:i/>
          <w:color w:val="800000"/>
          <w:sz w:val="18"/>
          <w:szCs w:val="18"/>
        </w:rPr>
      </w:pPr>
      <w:r w:rsidRPr="002F3B73">
        <w:rPr>
          <w:rFonts w:ascii="Verdana" w:hAnsi="Verdana"/>
          <w:b/>
          <w:bCs/>
          <w:i/>
          <w:color w:val="800000"/>
          <w:sz w:val="18"/>
          <w:szCs w:val="18"/>
        </w:rPr>
        <w:t>La Administración no puede calcular la ganancia patrimonial de acciones utilizando el valor nominal tras un contra-split</w:t>
      </w:r>
      <w:r>
        <w:rPr>
          <w:rFonts w:ascii="Verdana" w:hAnsi="Verdana"/>
          <w:b/>
          <w:bCs/>
          <w:i/>
          <w:color w:val="800000"/>
          <w:sz w:val="18"/>
          <w:szCs w:val="18"/>
        </w:rPr>
        <w:t>.</w:t>
      </w:r>
    </w:p>
    <w:p w14:paraId="53B8AFE0" w14:textId="77777777" w:rsidR="00525894" w:rsidRDefault="00525894" w:rsidP="0003466A">
      <w:pPr>
        <w:pStyle w:val="Prrafodelista"/>
        <w:ind w:left="284"/>
        <w:jc w:val="both"/>
        <w:rPr>
          <w:rFonts w:ascii="Verdana" w:hAnsi="Verdana"/>
          <w:b/>
          <w:bCs/>
          <w:i/>
          <w:color w:val="800000"/>
          <w:sz w:val="18"/>
          <w:szCs w:val="18"/>
        </w:rPr>
      </w:pPr>
    </w:p>
    <w:p w14:paraId="06B4A263" w14:textId="1611CECA" w:rsidR="00525894" w:rsidRDefault="00525894" w:rsidP="00393FBF">
      <w:pPr>
        <w:pStyle w:val="Prrafodelista"/>
        <w:numPr>
          <w:ilvl w:val="0"/>
          <w:numId w:val="2"/>
        </w:numPr>
        <w:ind w:left="426" w:hanging="426"/>
        <w:jc w:val="both"/>
        <w:rPr>
          <w:rFonts w:ascii="Verdana" w:hAnsi="Verdana"/>
          <w:b/>
          <w:bCs/>
          <w:i/>
          <w:color w:val="800000"/>
          <w:sz w:val="18"/>
          <w:szCs w:val="18"/>
        </w:rPr>
      </w:pPr>
      <w:r>
        <w:rPr>
          <w:rFonts w:ascii="Verdana" w:hAnsi="Verdana"/>
          <w:b/>
          <w:bCs/>
          <w:i/>
          <w:color w:val="800000"/>
          <w:sz w:val="18"/>
          <w:szCs w:val="18"/>
        </w:rPr>
        <w:t>I</w:t>
      </w:r>
      <w:r w:rsidRPr="00525894">
        <w:rPr>
          <w:rFonts w:ascii="Verdana" w:hAnsi="Verdana"/>
          <w:b/>
          <w:bCs/>
          <w:i/>
          <w:color w:val="800000"/>
          <w:sz w:val="18"/>
          <w:szCs w:val="18"/>
        </w:rPr>
        <w:t>RPF</w:t>
      </w:r>
      <w:r w:rsidR="00A57182">
        <w:rPr>
          <w:rFonts w:ascii="Verdana" w:hAnsi="Verdana"/>
          <w:b/>
          <w:bCs/>
          <w:i/>
          <w:color w:val="800000"/>
          <w:sz w:val="18"/>
          <w:szCs w:val="18"/>
        </w:rPr>
        <w:t>.</w:t>
      </w:r>
      <w:r w:rsidRPr="00525894">
        <w:rPr>
          <w:rFonts w:ascii="Verdana" w:hAnsi="Verdana"/>
          <w:b/>
          <w:bCs/>
          <w:i/>
          <w:color w:val="800000"/>
          <w:sz w:val="18"/>
          <w:szCs w:val="18"/>
        </w:rPr>
        <w:t>– EXENCIÓN POR REINVERSIÓN EN VIVIENDA HABITUAL: LÍMITE CUANDO LA NUEVA VIVIENDA SE ADQUIERE CON CARÁCTER GANANCIAL</w:t>
      </w:r>
    </w:p>
    <w:p w14:paraId="31415437" w14:textId="4752C710" w:rsidR="00D72D56" w:rsidRDefault="00B13D1E" w:rsidP="00393FBF">
      <w:pPr>
        <w:pStyle w:val="Prrafodelista"/>
        <w:ind w:left="426"/>
        <w:jc w:val="both"/>
        <w:rPr>
          <w:rFonts w:ascii="Verdana" w:hAnsi="Verdana"/>
          <w:b/>
          <w:bCs/>
          <w:i/>
          <w:color w:val="800000"/>
          <w:sz w:val="18"/>
          <w:szCs w:val="18"/>
        </w:rPr>
      </w:pPr>
      <w:r w:rsidRPr="00B13D1E">
        <w:rPr>
          <w:rFonts w:ascii="Verdana" w:hAnsi="Verdana"/>
          <w:b/>
          <w:bCs/>
          <w:i/>
          <w:color w:val="800000"/>
          <w:sz w:val="18"/>
          <w:szCs w:val="18"/>
        </w:rPr>
        <w:t>El TEAC analiza si un contribuyente que transmite una vivienda habitual de carácter privativo puede aplicar la exención por reinversión sobre la totalidad de la ganancia cuando destina el importe obtenido a la adquisición de una nueva vivienda habitual que adquiere con carácter ganancial junto con su cónyuge.</w:t>
      </w:r>
    </w:p>
    <w:p w14:paraId="5C9BEE18" w14:textId="77777777" w:rsidR="008D4AEF" w:rsidRDefault="008D4AEF" w:rsidP="00393FBF">
      <w:pPr>
        <w:pStyle w:val="Prrafodelista"/>
        <w:ind w:left="426"/>
        <w:jc w:val="both"/>
        <w:rPr>
          <w:rFonts w:ascii="Verdana" w:hAnsi="Verdana"/>
          <w:b/>
          <w:bCs/>
          <w:i/>
          <w:color w:val="800000"/>
          <w:sz w:val="18"/>
          <w:szCs w:val="18"/>
        </w:rPr>
      </w:pPr>
    </w:p>
    <w:p w14:paraId="4CE8910C" w14:textId="094DF5B2" w:rsidR="008D4AEF" w:rsidRPr="008D4AEF" w:rsidRDefault="008D4AEF" w:rsidP="008D4AEF">
      <w:pPr>
        <w:pStyle w:val="Prrafodelista"/>
        <w:numPr>
          <w:ilvl w:val="0"/>
          <w:numId w:val="2"/>
        </w:numPr>
        <w:ind w:left="426" w:hanging="426"/>
        <w:jc w:val="both"/>
        <w:rPr>
          <w:rFonts w:ascii="Verdana" w:hAnsi="Verdana"/>
          <w:b/>
          <w:bCs/>
          <w:i/>
          <w:color w:val="800000"/>
          <w:sz w:val="18"/>
          <w:szCs w:val="18"/>
        </w:rPr>
      </w:pPr>
      <w:r w:rsidRPr="008D4AEF">
        <w:rPr>
          <w:rFonts w:ascii="Verdana" w:hAnsi="Verdana"/>
          <w:b/>
          <w:bCs/>
          <w:i/>
          <w:color w:val="800000"/>
          <w:sz w:val="18"/>
          <w:szCs w:val="18"/>
        </w:rPr>
        <w:t>IRPF</w:t>
      </w:r>
      <w:r w:rsidR="00A57182">
        <w:rPr>
          <w:rFonts w:ascii="Verdana" w:hAnsi="Verdana"/>
          <w:b/>
          <w:bCs/>
          <w:i/>
          <w:color w:val="800000"/>
          <w:sz w:val="18"/>
          <w:szCs w:val="18"/>
        </w:rPr>
        <w:t>.</w:t>
      </w:r>
      <w:r w:rsidRPr="008D4AEF">
        <w:rPr>
          <w:rFonts w:ascii="Verdana" w:hAnsi="Verdana"/>
          <w:b/>
          <w:bCs/>
          <w:i/>
          <w:color w:val="800000"/>
          <w:sz w:val="18"/>
          <w:szCs w:val="18"/>
        </w:rPr>
        <w:t>– RENDIMIENTOS DEL CAPITAL INMOBILIARIO: DEDUCIBILIDAD DE LAS PRIMAS DE SEGURO DE VIDA VINCULADAS A PRÉSTAMOS HIPOTECARIOS</w:t>
      </w:r>
    </w:p>
    <w:p w14:paraId="6FF295A6" w14:textId="23214866" w:rsidR="00B13D1E" w:rsidRDefault="008D4AEF" w:rsidP="008D4AEF">
      <w:pPr>
        <w:pStyle w:val="Prrafodelista"/>
        <w:tabs>
          <w:tab w:val="left" w:pos="567"/>
        </w:tabs>
        <w:ind w:left="426"/>
        <w:jc w:val="both"/>
        <w:rPr>
          <w:rFonts w:ascii="Verdana" w:hAnsi="Verdana"/>
          <w:b/>
          <w:bCs/>
          <w:i/>
          <w:color w:val="800000"/>
          <w:sz w:val="18"/>
          <w:szCs w:val="18"/>
        </w:rPr>
      </w:pPr>
      <w:r w:rsidRPr="008D4AEF">
        <w:rPr>
          <w:rFonts w:ascii="Verdana" w:hAnsi="Verdana"/>
          <w:b/>
          <w:bCs/>
          <w:i/>
          <w:iCs/>
          <w:color w:val="800000"/>
          <w:sz w:val="18"/>
          <w:szCs w:val="18"/>
        </w:rPr>
        <w:t>El TEAC considera que las primas del seguro de vida asociado al préstamo hipotecario constituyen un gasto de financiación deducible cuando existe una relación directa con la obtención de los rendimientos del alquiler.</w:t>
      </w:r>
    </w:p>
    <w:p w14:paraId="40752025" w14:textId="77777777" w:rsidR="00B13D1E" w:rsidRDefault="00B13D1E" w:rsidP="0003466A">
      <w:pPr>
        <w:pStyle w:val="Prrafodelista"/>
        <w:ind w:left="284"/>
        <w:jc w:val="both"/>
        <w:rPr>
          <w:rFonts w:ascii="Verdana" w:hAnsi="Verdana"/>
          <w:b/>
          <w:bCs/>
          <w:i/>
          <w:color w:val="800000"/>
          <w:sz w:val="18"/>
          <w:szCs w:val="18"/>
        </w:rPr>
      </w:pPr>
    </w:p>
    <w:p w14:paraId="735DB9C6" w14:textId="77777777" w:rsidR="001A6B56" w:rsidRDefault="001A6B56" w:rsidP="0003466A">
      <w:pPr>
        <w:pStyle w:val="Prrafodelista"/>
        <w:ind w:left="284"/>
        <w:jc w:val="both"/>
        <w:rPr>
          <w:rFonts w:ascii="Verdana" w:hAnsi="Verdana"/>
          <w:b/>
          <w:bCs/>
          <w:i/>
          <w:color w:val="800000"/>
          <w:sz w:val="18"/>
          <w:szCs w:val="18"/>
        </w:rPr>
      </w:pPr>
    </w:p>
    <w:p w14:paraId="19EA0242" w14:textId="77777777" w:rsidR="001A6B56" w:rsidRPr="0003466A" w:rsidRDefault="001A6B56" w:rsidP="0003466A">
      <w:pPr>
        <w:pStyle w:val="Prrafodelista"/>
        <w:ind w:left="284"/>
        <w:jc w:val="both"/>
        <w:rPr>
          <w:rFonts w:ascii="Verdana" w:hAnsi="Verdana"/>
          <w:b/>
          <w:bCs/>
          <w:i/>
          <w:color w:val="800000"/>
          <w:sz w:val="18"/>
          <w:szCs w:val="18"/>
        </w:rPr>
      </w:pPr>
    </w:p>
    <w:p w14:paraId="49E83C72" w14:textId="77777777" w:rsidR="001F6DAC" w:rsidRDefault="001F6DAC" w:rsidP="003A65F1">
      <w:pPr>
        <w:ind w:left="284"/>
        <w:jc w:val="both"/>
        <w:rPr>
          <w:rFonts w:ascii="Verdana" w:hAnsi="Verdana"/>
          <w:b/>
          <w:bCs/>
          <w:i/>
          <w:color w:val="800000"/>
          <w:sz w:val="18"/>
          <w:szCs w:val="18"/>
        </w:rPr>
      </w:pPr>
    </w:p>
    <w:tbl>
      <w:tblPr>
        <w:tblW w:w="8640" w:type="dxa"/>
        <w:tblInd w:w="70" w:type="dxa"/>
        <w:tblCellMar>
          <w:left w:w="70" w:type="dxa"/>
          <w:right w:w="70" w:type="dxa"/>
        </w:tblCellMar>
        <w:tblLook w:val="0000" w:firstRow="0" w:lastRow="0" w:firstColumn="0" w:lastColumn="0" w:noHBand="0" w:noVBand="0"/>
      </w:tblPr>
      <w:tblGrid>
        <w:gridCol w:w="180"/>
        <w:gridCol w:w="8460"/>
      </w:tblGrid>
      <w:tr w:rsidR="00CD6C5C" w:rsidRPr="0016441E" w14:paraId="7E275A05" w14:textId="77777777" w:rsidTr="00434129">
        <w:tc>
          <w:tcPr>
            <w:tcW w:w="180" w:type="dxa"/>
            <w:shd w:val="clear" w:color="auto" w:fill="FF6600"/>
          </w:tcPr>
          <w:p w14:paraId="4647DA0C" w14:textId="77777777" w:rsidR="00CD6C5C" w:rsidRPr="0016441E" w:rsidRDefault="00CD6C5C" w:rsidP="00434129">
            <w:pPr>
              <w:rPr>
                <w:rFonts w:ascii="Verdana" w:hAnsi="Verdana"/>
                <w:b/>
                <w:bCs/>
                <w:iCs/>
                <w:color w:val="800000"/>
                <w:sz w:val="18"/>
                <w:szCs w:val="18"/>
              </w:rPr>
            </w:pPr>
            <w:bookmarkStart w:id="1" w:name="_Hlk236393011"/>
          </w:p>
        </w:tc>
        <w:tc>
          <w:tcPr>
            <w:tcW w:w="8460" w:type="dxa"/>
          </w:tcPr>
          <w:p w14:paraId="4D84E3E3" w14:textId="275FD4FC" w:rsidR="00CD6C5C" w:rsidRPr="0016441E" w:rsidRDefault="0016441E">
            <w:pPr>
              <w:numPr>
                <w:ilvl w:val="0"/>
                <w:numId w:val="1"/>
              </w:numPr>
              <w:tabs>
                <w:tab w:val="clear" w:pos="720"/>
                <w:tab w:val="num" w:pos="317"/>
              </w:tabs>
              <w:ind w:left="317" w:hanging="283"/>
              <w:jc w:val="both"/>
              <w:rPr>
                <w:rFonts w:ascii="Verdana" w:hAnsi="Verdana"/>
                <w:b/>
                <w:bCs/>
                <w:iCs/>
                <w:color w:val="800000"/>
                <w:spacing w:val="-8"/>
                <w:sz w:val="18"/>
                <w:szCs w:val="18"/>
              </w:rPr>
            </w:pPr>
            <w:r w:rsidRPr="0016441E">
              <w:rPr>
                <w:rFonts w:ascii="Verdana" w:hAnsi="Verdana"/>
                <w:b/>
                <w:bCs/>
                <w:iCs/>
                <w:color w:val="800000"/>
                <w:sz w:val="18"/>
                <w:szCs w:val="18"/>
              </w:rPr>
              <w:t>CAMBIOS EN LA ORGANIZACIÓN Y COMPETENCIAS DE LA INSPECCIÓN TRIBUTARIA Y DEL ÁREA DE ADUANAS E IMPUESTOS ESPECIALES DE LA AEAT</w:t>
            </w:r>
          </w:p>
        </w:tc>
      </w:tr>
    </w:tbl>
    <w:bookmarkEnd w:id="1"/>
    <w:p w14:paraId="16CC5454" w14:textId="51F7920B" w:rsidR="0016441E" w:rsidRPr="0016441E" w:rsidRDefault="0016441E" w:rsidP="0016441E">
      <w:pPr>
        <w:spacing w:before="100" w:beforeAutospacing="1" w:after="100" w:afterAutospacing="1"/>
        <w:ind w:left="284"/>
        <w:jc w:val="both"/>
        <w:rPr>
          <w:rFonts w:ascii="Verdana" w:hAnsi="Verdana"/>
          <w:sz w:val="18"/>
          <w:szCs w:val="18"/>
        </w:rPr>
      </w:pPr>
      <w:r w:rsidRPr="00393FBF">
        <w:rPr>
          <w:rFonts w:ascii="Verdana" w:hAnsi="Verdana"/>
          <w:b/>
          <w:bCs/>
          <w:sz w:val="18"/>
          <w:szCs w:val="18"/>
        </w:rPr>
        <w:t>La</w:t>
      </w:r>
      <w:r w:rsidRPr="0016441E">
        <w:rPr>
          <w:rFonts w:ascii="Verdana" w:hAnsi="Verdana"/>
          <w:sz w:val="18"/>
          <w:szCs w:val="18"/>
        </w:rPr>
        <w:t xml:space="preserve"> </w:t>
      </w:r>
      <w:r w:rsidRPr="0016441E">
        <w:rPr>
          <w:rFonts w:ascii="Verdana" w:hAnsi="Verdana"/>
          <w:b/>
          <w:bCs/>
          <w:sz w:val="18"/>
          <w:szCs w:val="18"/>
        </w:rPr>
        <w:t>Resolución de 23 de junio de 2026</w:t>
      </w:r>
      <w:r w:rsidRPr="0016441E">
        <w:rPr>
          <w:rFonts w:ascii="Verdana" w:hAnsi="Verdana"/>
          <w:sz w:val="18"/>
          <w:szCs w:val="18"/>
        </w:rPr>
        <w:t>, publicada en el BOE el 3 de julio de 2026</w:t>
      </w:r>
      <w:r>
        <w:rPr>
          <w:rFonts w:ascii="Verdana" w:hAnsi="Verdana"/>
          <w:sz w:val="18"/>
          <w:szCs w:val="18"/>
        </w:rPr>
        <w:t xml:space="preserve"> y entrada en vigor el día 4 de julio</w:t>
      </w:r>
      <w:r w:rsidRPr="0016441E">
        <w:rPr>
          <w:rFonts w:ascii="Verdana" w:hAnsi="Verdana"/>
          <w:sz w:val="18"/>
          <w:szCs w:val="18"/>
        </w:rPr>
        <w:t xml:space="preserve">, modifica la Resolución de 24 de marzo de 1992 sobre organización y atribución de funciones de la Inspección de los Tributos. Su objetivo es optimizar la utilización de los recursos humanos de la Agencia Tributaria y reforzar la eficacia de las actuaciones inspectoras, especialmente en aquellas Delegaciones donde no exista o esté vacante un puesto con la consideración de </w:t>
      </w:r>
      <w:r w:rsidRPr="0016441E">
        <w:rPr>
          <w:rFonts w:ascii="Verdana" w:hAnsi="Verdana"/>
          <w:b/>
          <w:bCs/>
          <w:sz w:val="18"/>
          <w:szCs w:val="18"/>
        </w:rPr>
        <w:t>Inspector Jefe</w:t>
      </w:r>
      <w:r w:rsidRPr="0016441E">
        <w:rPr>
          <w:rFonts w:ascii="Verdana" w:hAnsi="Verdana"/>
          <w:sz w:val="18"/>
          <w:szCs w:val="18"/>
        </w:rPr>
        <w:t xml:space="preserve">. </w:t>
      </w:r>
    </w:p>
    <w:p w14:paraId="37CBD21D" w14:textId="77777777" w:rsidR="0016441E" w:rsidRPr="0016441E" w:rsidRDefault="0016441E" w:rsidP="0016441E">
      <w:pPr>
        <w:spacing w:before="100" w:beforeAutospacing="1" w:after="100" w:afterAutospacing="1"/>
        <w:ind w:left="284"/>
        <w:jc w:val="both"/>
        <w:outlineLvl w:val="3"/>
        <w:rPr>
          <w:rFonts w:ascii="Verdana" w:hAnsi="Verdana"/>
          <w:b/>
          <w:bCs/>
          <w:sz w:val="18"/>
          <w:szCs w:val="18"/>
        </w:rPr>
      </w:pPr>
      <w:r w:rsidRPr="0016441E">
        <w:rPr>
          <w:rFonts w:ascii="Verdana" w:hAnsi="Verdana"/>
          <w:b/>
          <w:bCs/>
          <w:sz w:val="18"/>
          <w:szCs w:val="18"/>
        </w:rPr>
        <w:t>Principales novedades</w:t>
      </w:r>
    </w:p>
    <w:p w14:paraId="214873D6" w14:textId="77777777" w:rsidR="0016441E" w:rsidRPr="0016441E" w:rsidRDefault="0016441E" w:rsidP="001A6B56">
      <w:pPr>
        <w:numPr>
          <w:ilvl w:val="0"/>
          <w:numId w:val="24"/>
        </w:numPr>
        <w:spacing w:before="100" w:beforeAutospacing="1" w:after="100" w:afterAutospacing="1"/>
        <w:ind w:left="567" w:hanging="283"/>
        <w:jc w:val="both"/>
        <w:rPr>
          <w:rFonts w:ascii="Verdana" w:hAnsi="Verdana"/>
          <w:sz w:val="18"/>
          <w:szCs w:val="18"/>
        </w:rPr>
      </w:pPr>
      <w:r w:rsidRPr="0016441E">
        <w:rPr>
          <w:rFonts w:ascii="Verdana" w:hAnsi="Verdana"/>
          <w:b/>
          <w:bCs/>
          <w:sz w:val="18"/>
          <w:szCs w:val="18"/>
        </w:rPr>
        <w:t>Ampliación de las autorizaciones de colaboración.</w:t>
      </w:r>
      <w:r w:rsidRPr="0016441E">
        <w:rPr>
          <w:rFonts w:ascii="Verdana" w:hAnsi="Verdana"/>
          <w:sz w:val="18"/>
          <w:szCs w:val="18"/>
        </w:rPr>
        <w:t xml:space="preserve"> Se amplían los supuestos en los que distintos órganos y funcionarios de la AEAT pueden colaborar en actuaciones inspectoras, siempre mediante la correspondiente autorización y con constancia documental en el expediente. </w:t>
      </w:r>
    </w:p>
    <w:p w14:paraId="73908F4A" w14:textId="77777777" w:rsidR="0016441E" w:rsidRPr="0016441E" w:rsidRDefault="0016441E" w:rsidP="001A6B56">
      <w:pPr>
        <w:numPr>
          <w:ilvl w:val="0"/>
          <w:numId w:val="24"/>
        </w:numPr>
        <w:tabs>
          <w:tab w:val="clear" w:pos="720"/>
          <w:tab w:val="num" w:pos="567"/>
        </w:tabs>
        <w:spacing w:before="100" w:beforeAutospacing="1" w:after="100" w:afterAutospacing="1"/>
        <w:ind w:left="567" w:hanging="283"/>
        <w:jc w:val="both"/>
        <w:rPr>
          <w:rFonts w:ascii="Verdana" w:hAnsi="Verdana"/>
          <w:sz w:val="18"/>
          <w:szCs w:val="18"/>
        </w:rPr>
      </w:pPr>
      <w:r w:rsidRPr="0016441E">
        <w:rPr>
          <w:rFonts w:ascii="Verdana" w:hAnsi="Verdana"/>
          <w:b/>
          <w:bCs/>
          <w:sz w:val="18"/>
          <w:szCs w:val="18"/>
        </w:rPr>
        <w:t>Nuevas competencias de los Delegados Especiales.</w:t>
      </w:r>
      <w:r w:rsidRPr="0016441E">
        <w:rPr>
          <w:rFonts w:ascii="Verdana" w:hAnsi="Verdana"/>
          <w:sz w:val="18"/>
          <w:szCs w:val="18"/>
        </w:rPr>
        <w:t xml:space="preserve"> Se atribuye a los Delegados Especiales la facultad de autorizar la colaboración: </w:t>
      </w:r>
    </w:p>
    <w:p w14:paraId="0BD5ECB7" w14:textId="0B2C4CAA" w:rsidR="0016441E" w:rsidRPr="0016441E" w:rsidRDefault="001A6B56" w:rsidP="0016441E">
      <w:pPr>
        <w:numPr>
          <w:ilvl w:val="1"/>
          <w:numId w:val="24"/>
        </w:numPr>
        <w:spacing w:before="100" w:beforeAutospacing="1" w:after="100" w:afterAutospacing="1"/>
        <w:ind w:left="851" w:hanging="284"/>
        <w:jc w:val="both"/>
        <w:rPr>
          <w:rFonts w:ascii="Verdana" w:hAnsi="Verdana"/>
          <w:sz w:val="18"/>
          <w:szCs w:val="18"/>
        </w:rPr>
      </w:pPr>
      <w:r>
        <w:rPr>
          <w:rFonts w:ascii="Verdana" w:hAnsi="Verdana"/>
          <w:sz w:val="18"/>
          <w:szCs w:val="18"/>
        </w:rPr>
        <w:t>E</w:t>
      </w:r>
      <w:r w:rsidR="0016441E" w:rsidRPr="0016441E">
        <w:rPr>
          <w:rFonts w:ascii="Verdana" w:hAnsi="Verdana"/>
          <w:sz w:val="18"/>
          <w:szCs w:val="18"/>
        </w:rPr>
        <w:t>ntre distintas Dependencias Regionales y otras unidades de la AEAT</w:t>
      </w:r>
      <w:r>
        <w:rPr>
          <w:rFonts w:ascii="Verdana" w:hAnsi="Verdana"/>
          <w:sz w:val="18"/>
          <w:szCs w:val="18"/>
        </w:rPr>
        <w:t>.</w:t>
      </w:r>
      <w:r w:rsidR="0016441E" w:rsidRPr="0016441E">
        <w:rPr>
          <w:rFonts w:ascii="Verdana" w:hAnsi="Verdana"/>
          <w:sz w:val="18"/>
          <w:szCs w:val="18"/>
        </w:rPr>
        <w:t xml:space="preserve"> </w:t>
      </w:r>
    </w:p>
    <w:p w14:paraId="28E6F270" w14:textId="108A9FE3" w:rsidR="0016441E" w:rsidRPr="0016441E" w:rsidRDefault="001A6B56" w:rsidP="0016441E">
      <w:pPr>
        <w:numPr>
          <w:ilvl w:val="1"/>
          <w:numId w:val="24"/>
        </w:numPr>
        <w:spacing w:before="100" w:beforeAutospacing="1" w:after="100" w:afterAutospacing="1"/>
        <w:ind w:left="851" w:hanging="284"/>
        <w:jc w:val="both"/>
        <w:rPr>
          <w:rFonts w:ascii="Verdana" w:hAnsi="Verdana"/>
          <w:sz w:val="18"/>
          <w:szCs w:val="18"/>
        </w:rPr>
      </w:pPr>
      <w:r>
        <w:rPr>
          <w:rFonts w:ascii="Verdana" w:hAnsi="Verdana"/>
          <w:sz w:val="18"/>
          <w:szCs w:val="18"/>
        </w:rPr>
        <w:t>D</w:t>
      </w:r>
      <w:r w:rsidR="0016441E" w:rsidRPr="0016441E">
        <w:rPr>
          <w:rFonts w:ascii="Verdana" w:hAnsi="Verdana"/>
          <w:sz w:val="18"/>
          <w:szCs w:val="18"/>
        </w:rPr>
        <w:t>e funcionarios de otras Dependencias en actuaciones de la Dependencia Regional de Inspección</w:t>
      </w:r>
      <w:r>
        <w:rPr>
          <w:rFonts w:ascii="Verdana" w:hAnsi="Verdana"/>
          <w:sz w:val="18"/>
          <w:szCs w:val="18"/>
        </w:rPr>
        <w:t>.</w:t>
      </w:r>
    </w:p>
    <w:p w14:paraId="3EEF70E1" w14:textId="63462659" w:rsidR="0016441E" w:rsidRPr="0016441E" w:rsidRDefault="0016441E" w:rsidP="0016441E">
      <w:pPr>
        <w:numPr>
          <w:ilvl w:val="1"/>
          <w:numId w:val="24"/>
        </w:numPr>
        <w:tabs>
          <w:tab w:val="clear" w:pos="1440"/>
        </w:tabs>
        <w:spacing w:before="100" w:beforeAutospacing="1" w:after="100" w:afterAutospacing="1"/>
        <w:ind w:left="709" w:hanging="142"/>
        <w:jc w:val="both"/>
        <w:rPr>
          <w:rFonts w:ascii="Verdana" w:hAnsi="Verdana"/>
          <w:sz w:val="18"/>
          <w:szCs w:val="18"/>
        </w:rPr>
      </w:pPr>
      <w:r>
        <w:rPr>
          <w:rFonts w:ascii="Verdana" w:hAnsi="Verdana"/>
          <w:sz w:val="18"/>
          <w:szCs w:val="18"/>
        </w:rPr>
        <w:t xml:space="preserve">  </w:t>
      </w:r>
      <w:r w:rsidR="001A6B56">
        <w:rPr>
          <w:rFonts w:ascii="Verdana" w:hAnsi="Verdana"/>
          <w:sz w:val="18"/>
          <w:szCs w:val="18"/>
        </w:rPr>
        <w:t>Y</w:t>
      </w:r>
      <w:r w:rsidRPr="0016441E">
        <w:rPr>
          <w:rFonts w:ascii="Verdana" w:hAnsi="Verdana"/>
          <w:sz w:val="18"/>
          <w:szCs w:val="18"/>
        </w:rPr>
        <w:t xml:space="preserve">, como principal novedad, de los </w:t>
      </w:r>
      <w:r w:rsidRPr="0016441E">
        <w:rPr>
          <w:rFonts w:ascii="Verdana" w:hAnsi="Verdana"/>
          <w:b/>
          <w:bCs/>
          <w:sz w:val="18"/>
          <w:szCs w:val="18"/>
        </w:rPr>
        <w:t>Delegados de la Agencia Tributaria</w:t>
      </w:r>
      <w:r w:rsidRPr="0016441E">
        <w:rPr>
          <w:rFonts w:ascii="Verdana" w:hAnsi="Verdana"/>
          <w:sz w:val="18"/>
          <w:szCs w:val="18"/>
        </w:rPr>
        <w:t xml:space="preserve"> en actuaciones de la Dependencia Regional de Inspección cuando en su sede no exista o esté vacante un puesto de Inspector Jefe, previa propuesta del Inspector Regional e informe favorable del Director del Departamento de Inspección Financiera y Tributaria. </w:t>
      </w:r>
    </w:p>
    <w:p w14:paraId="534CB2CB" w14:textId="77777777" w:rsidR="001270CF" w:rsidRDefault="0016441E" w:rsidP="001A6B56">
      <w:pPr>
        <w:numPr>
          <w:ilvl w:val="0"/>
          <w:numId w:val="24"/>
        </w:numPr>
        <w:tabs>
          <w:tab w:val="clear" w:pos="720"/>
        </w:tabs>
        <w:spacing w:before="100" w:beforeAutospacing="1" w:after="100" w:afterAutospacing="1"/>
        <w:ind w:left="567" w:hanging="283"/>
        <w:jc w:val="both"/>
        <w:rPr>
          <w:rFonts w:ascii="Verdana" w:hAnsi="Verdana"/>
          <w:sz w:val="18"/>
          <w:szCs w:val="18"/>
        </w:rPr>
      </w:pPr>
      <w:r w:rsidRPr="0016441E">
        <w:rPr>
          <w:rFonts w:ascii="Verdana" w:hAnsi="Verdana"/>
          <w:b/>
          <w:bCs/>
          <w:sz w:val="18"/>
          <w:szCs w:val="18"/>
        </w:rPr>
        <w:t>Consideración de Inspector Jefe.</w:t>
      </w:r>
      <w:r w:rsidRPr="0016441E">
        <w:rPr>
          <w:rFonts w:ascii="Verdana" w:hAnsi="Verdana"/>
          <w:sz w:val="18"/>
          <w:szCs w:val="18"/>
        </w:rPr>
        <w:t xml:space="preserve"> Se incorpora una nueva disposición adicional quinta que establece que, en los supuestos anteriores, los Delegados de la Agencia Tributaria tendrán la consideración de </w:t>
      </w:r>
      <w:r w:rsidRPr="0016441E">
        <w:rPr>
          <w:rFonts w:ascii="Verdana" w:hAnsi="Verdana"/>
          <w:b/>
          <w:bCs/>
          <w:sz w:val="18"/>
          <w:szCs w:val="18"/>
        </w:rPr>
        <w:t>Inspector Jefe</w:t>
      </w:r>
      <w:r w:rsidRPr="0016441E">
        <w:rPr>
          <w:rFonts w:ascii="Verdana" w:hAnsi="Verdana"/>
          <w:sz w:val="18"/>
          <w:szCs w:val="18"/>
        </w:rPr>
        <w:t xml:space="preserve"> a efectos del ejercicio de las funciones autorizadas.</w:t>
      </w:r>
    </w:p>
    <w:p w14:paraId="02CA3871" w14:textId="29DE616F" w:rsidR="0016441E" w:rsidRDefault="0016441E" w:rsidP="001270CF">
      <w:pPr>
        <w:spacing w:before="100" w:beforeAutospacing="1" w:after="100" w:afterAutospacing="1"/>
        <w:ind w:left="284"/>
        <w:jc w:val="both"/>
        <w:rPr>
          <w:rFonts w:ascii="Verdana" w:hAnsi="Verdana"/>
          <w:sz w:val="18"/>
          <w:szCs w:val="18"/>
        </w:rPr>
      </w:pPr>
      <w:r w:rsidRPr="0016441E">
        <w:rPr>
          <w:rFonts w:ascii="Verdana" w:hAnsi="Verdana"/>
          <w:sz w:val="18"/>
          <w:szCs w:val="18"/>
        </w:rPr>
        <w:t xml:space="preserve"> </w:t>
      </w:r>
    </w:p>
    <w:tbl>
      <w:tblPr>
        <w:tblW w:w="8640" w:type="dxa"/>
        <w:tblInd w:w="70" w:type="dxa"/>
        <w:tblCellMar>
          <w:left w:w="70" w:type="dxa"/>
          <w:right w:w="70" w:type="dxa"/>
        </w:tblCellMar>
        <w:tblLook w:val="0000" w:firstRow="0" w:lastRow="0" w:firstColumn="0" w:lastColumn="0" w:noHBand="0" w:noVBand="0"/>
      </w:tblPr>
      <w:tblGrid>
        <w:gridCol w:w="180"/>
        <w:gridCol w:w="8460"/>
      </w:tblGrid>
      <w:tr w:rsidR="001270CF" w:rsidRPr="001270CF" w14:paraId="39AD4C83" w14:textId="77777777" w:rsidTr="00BA4420">
        <w:tc>
          <w:tcPr>
            <w:tcW w:w="180" w:type="dxa"/>
            <w:shd w:val="clear" w:color="auto" w:fill="FF6600"/>
          </w:tcPr>
          <w:p w14:paraId="5F9C2DDC" w14:textId="77777777" w:rsidR="001270CF" w:rsidRPr="001270CF" w:rsidRDefault="001270CF" w:rsidP="00BA4420">
            <w:pPr>
              <w:rPr>
                <w:rFonts w:ascii="Verdana" w:hAnsi="Verdana"/>
                <w:b/>
                <w:bCs/>
                <w:color w:val="800000"/>
                <w:sz w:val="18"/>
                <w:szCs w:val="18"/>
              </w:rPr>
            </w:pPr>
            <w:bookmarkStart w:id="2" w:name="_Hlk236398436"/>
          </w:p>
        </w:tc>
        <w:tc>
          <w:tcPr>
            <w:tcW w:w="8460" w:type="dxa"/>
          </w:tcPr>
          <w:p w14:paraId="05982AC4" w14:textId="1C5E295E" w:rsidR="001A6B56" w:rsidRPr="001A6B56" w:rsidRDefault="001270CF" w:rsidP="001A6B56">
            <w:pPr>
              <w:numPr>
                <w:ilvl w:val="0"/>
                <w:numId w:val="1"/>
              </w:numPr>
              <w:tabs>
                <w:tab w:val="clear" w:pos="720"/>
                <w:tab w:val="num" w:pos="317"/>
              </w:tabs>
              <w:ind w:left="317" w:hanging="283"/>
              <w:jc w:val="both"/>
              <w:rPr>
                <w:rFonts w:ascii="Verdana" w:hAnsi="Verdana"/>
                <w:b/>
                <w:bCs/>
                <w:color w:val="800000"/>
                <w:spacing w:val="-8"/>
                <w:sz w:val="18"/>
                <w:szCs w:val="18"/>
              </w:rPr>
            </w:pPr>
            <w:r w:rsidRPr="001270CF">
              <w:rPr>
                <w:rFonts w:ascii="Verdana" w:hAnsi="Verdana"/>
                <w:b/>
                <w:bCs/>
                <w:color w:val="800000"/>
                <w:sz w:val="18"/>
                <w:szCs w:val="18"/>
              </w:rPr>
              <w:t>LAS DEUDAS POR RETENCIONES NO PRACTICADAS O PRACTICADAS, PERO NO INGRESADAS, NO SON SUSCEPTIBLES DE APLAZAMIENTO O FRACCIONAMIENTO</w:t>
            </w:r>
          </w:p>
        </w:tc>
      </w:tr>
      <w:bookmarkEnd w:id="2"/>
    </w:tbl>
    <w:p w14:paraId="4E4DC8C8" w14:textId="77777777" w:rsidR="001A6B56" w:rsidRDefault="001A6B56" w:rsidP="001A6B56">
      <w:pPr>
        <w:ind w:left="284"/>
        <w:jc w:val="both"/>
        <w:rPr>
          <w:rFonts w:ascii="Verdana" w:hAnsi="Verdana"/>
          <w:sz w:val="18"/>
          <w:szCs w:val="18"/>
        </w:rPr>
      </w:pPr>
    </w:p>
    <w:p w14:paraId="7835F6C9" w14:textId="747A3686" w:rsidR="00A041D7" w:rsidRDefault="001270CF" w:rsidP="001270CF">
      <w:pPr>
        <w:spacing w:before="100" w:beforeAutospacing="1" w:after="100" w:afterAutospacing="1"/>
        <w:ind w:left="284"/>
        <w:jc w:val="both"/>
        <w:rPr>
          <w:rFonts w:ascii="Verdana" w:hAnsi="Verdana"/>
          <w:sz w:val="18"/>
          <w:szCs w:val="18"/>
        </w:rPr>
      </w:pPr>
      <w:r w:rsidRPr="001270CF">
        <w:rPr>
          <w:rFonts w:ascii="Verdana" w:hAnsi="Verdana"/>
          <w:sz w:val="18"/>
          <w:szCs w:val="18"/>
        </w:rPr>
        <w:t>El TEAC</w:t>
      </w:r>
      <w:r w:rsidR="00C36B5A">
        <w:rPr>
          <w:rFonts w:ascii="Verdana" w:hAnsi="Verdana"/>
          <w:sz w:val="18"/>
          <w:szCs w:val="18"/>
        </w:rPr>
        <w:t>,</w:t>
      </w:r>
      <w:r w:rsidRPr="001270CF">
        <w:rPr>
          <w:rFonts w:ascii="Verdana" w:hAnsi="Verdana"/>
          <w:sz w:val="18"/>
          <w:szCs w:val="18"/>
        </w:rPr>
        <w:t xml:space="preserve"> en su </w:t>
      </w:r>
      <w:r w:rsidR="009510D4">
        <w:rPr>
          <w:rFonts w:ascii="Verdana" w:hAnsi="Verdana"/>
          <w:sz w:val="18"/>
          <w:szCs w:val="18"/>
        </w:rPr>
        <w:t>r</w:t>
      </w:r>
      <w:r w:rsidRPr="001270CF">
        <w:rPr>
          <w:rFonts w:ascii="Verdana" w:hAnsi="Verdana"/>
          <w:sz w:val="18"/>
          <w:szCs w:val="18"/>
        </w:rPr>
        <w:t>esolución de 16 de junio de 2026 (RG 7731/2023)</w:t>
      </w:r>
      <w:r w:rsidR="00C2415A">
        <w:rPr>
          <w:rFonts w:ascii="Verdana" w:hAnsi="Verdana"/>
          <w:sz w:val="18"/>
          <w:szCs w:val="18"/>
        </w:rPr>
        <w:t>,</w:t>
      </w:r>
      <w:r w:rsidR="009510D4">
        <w:rPr>
          <w:rFonts w:ascii="Verdana" w:hAnsi="Verdana"/>
          <w:sz w:val="18"/>
          <w:szCs w:val="18"/>
        </w:rPr>
        <w:t xml:space="preserve"> </w:t>
      </w:r>
      <w:r w:rsidRPr="001270CF">
        <w:rPr>
          <w:rFonts w:ascii="Verdana" w:hAnsi="Verdana"/>
          <w:sz w:val="18"/>
          <w:szCs w:val="18"/>
        </w:rPr>
        <w:t xml:space="preserve">unifica criterio: </w:t>
      </w:r>
    </w:p>
    <w:p w14:paraId="43F8DAF5" w14:textId="3C41FC92" w:rsidR="001270CF" w:rsidRPr="001270CF" w:rsidRDefault="00A041D7" w:rsidP="001270CF">
      <w:pPr>
        <w:spacing w:before="100" w:beforeAutospacing="1" w:after="100" w:afterAutospacing="1"/>
        <w:ind w:left="284"/>
        <w:jc w:val="both"/>
        <w:rPr>
          <w:rFonts w:ascii="Verdana" w:hAnsi="Verdana"/>
          <w:sz w:val="18"/>
          <w:szCs w:val="18"/>
        </w:rPr>
      </w:pPr>
      <w:r>
        <w:rPr>
          <w:rFonts w:ascii="Verdana" w:hAnsi="Verdana"/>
          <w:sz w:val="18"/>
          <w:szCs w:val="18"/>
        </w:rPr>
        <w:t>La</w:t>
      </w:r>
      <w:r w:rsidR="001270CF" w:rsidRPr="001270CF">
        <w:rPr>
          <w:rFonts w:ascii="Verdana" w:hAnsi="Verdana"/>
          <w:sz w:val="18"/>
          <w:szCs w:val="18"/>
        </w:rPr>
        <w:t>s deudas por retenciones liquidadas por la Administración no pueden aplazarse ni fraccionarse</w:t>
      </w:r>
    </w:p>
    <w:p w14:paraId="13AD381C" w14:textId="6D62548A" w:rsidR="001270CF" w:rsidRPr="001270CF" w:rsidRDefault="001270CF" w:rsidP="001270CF">
      <w:pPr>
        <w:spacing w:before="100" w:beforeAutospacing="1" w:after="100" w:afterAutospacing="1"/>
        <w:ind w:left="284"/>
        <w:jc w:val="both"/>
        <w:rPr>
          <w:rFonts w:ascii="Verdana" w:hAnsi="Verdana"/>
          <w:sz w:val="18"/>
          <w:szCs w:val="18"/>
        </w:rPr>
      </w:pPr>
      <w:r w:rsidRPr="001270CF">
        <w:rPr>
          <w:rFonts w:ascii="Verdana" w:hAnsi="Verdana"/>
          <w:sz w:val="18"/>
          <w:szCs w:val="18"/>
        </w:rPr>
        <w:t xml:space="preserve">El Tribunal Económico-Administrativo Central ha fijado un importante criterio interpretativo sobre el alcance del artículo 65.2.b) de la Ley General Tributaria, concluyendo que </w:t>
      </w:r>
      <w:r w:rsidRPr="001270CF">
        <w:rPr>
          <w:rFonts w:ascii="Verdana" w:hAnsi="Verdana"/>
          <w:b/>
          <w:bCs/>
          <w:sz w:val="18"/>
          <w:szCs w:val="18"/>
        </w:rPr>
        <w:t>las deudas por retenciones, tanto las correspondientes a retenciones practicadas y no ingresadas como las derivadas de retenciones que debieron practicarse y fueron posteriormente liquidadas por la Administración, no pueden ser objeto de aplazamiento o fraccionamiento</w:t>
      </w:r>
      <w:r w:rsidRPr="001270CF">
        <w:rPr>
          <w:rFonts w:ascii="Verdana" w:hAnsi="Verdana"/>
          <w:sz w:val="18"/>
          <w:szCs w:val="18"/>
        </w:rPr>
        <w:t xml:space="preserve">. </w:t>
      </w:r>
    </w:p>
    <w:p w14:paraId="774E5446" w14:textId="77777777" w:rsidR="001270CF" w:rsidRPr="001270CF" w:rsidRDefault="001270CF" w:rsidP="001270CF">
      <w:pPr>
        <w:spacing w:before="100" w:beforeAutospacing="1" w:after="100" w:afterAutospacing="1"/>
        <w:ind w:left="284"/>
        <w:jc w:val="both"/>
        <w:outlineLvl w:val="2"/>
        <w:rPr>
          <w:rFonts w:ascii="Verdana" w:hAnsi="Verdana"/>
          <w:b/>
          <w:bCs/>
          <w:sz w:val="18"/>
          <w:szCs w:val="18"/>
        </w:rPr>
      </w:pPr>
      <w:r w:rsidRPr="001270CF">
        <w:rPr>
          <w:rFonts w:ascii="Verdana" w:hAnsi="Verdana"/>
          <w:b/>
          <w:bCs/>
          <w:sz w:val="18"/>
          <w:szCs w:val="18"/>
        </w:rPr>
        <w:t>Antecedentes</w:t>
      </w:r>
    </w:p>
    <w:p w14:paraId="1303F3EC" w14:textId="77777777" w:rsidR="001270CF" w:rsidRPr="001270CF" w:rsidRDefault="001270CF" w:rsidP="001270CF">
      <w:pPr>
        <w:spacing w:before="100" w:beforeAutospacing="1" w:after="100" w:afterAutospacing="1"/>
        <w:ind w:left="284"/>
        <w:jc w:val="both"/>
        <w:rPr>
          <w:rFonts w:ascii="Verdana" w:hAnsi="Verdana"/>
          <w:sz w:val="18"/>
          <w:szCs w:val="18"/>
        </w:rPr>
      </w:pPr>
      <w:r w:rsidRPr="001270CF">
        <w:rPr>
          <w:rFonts w:ascii="Verdana" w:hAnsi="Verdana"/>
          <w:sz w:val="18"/>
          <w:szCs w:val="18"/>
        </w:rPr>
        <w:t xml:space="preserve">El caso tiene su origen en una liquidación practicada por la AEAT respecto de retenciones sobre arrendamientos urbanos. Tras dictarse la correspondiente providencia de apremio, la obligada tributaria solicitó el aplazamiento de la deuda, solicitud que fue inadmitida por tratarse de una deuda derivada de retenciones. </w:t>
      </w:r>
    </w:p>
    <w:p w14:paraId="19B16D31" w14:textId="77777777" w:rsidR="001270CF" w:rsidRPr="001270CF" w:rsidRDefault="001270CF" w:rsidP="001270CF">
      <w:pPr>
        <w:spacing w:before="100" w:beforeAutospacing="1" w:after="100" w:afterAutospacing="1"/>
        <w:ind w:left="284"/>
        <w:jc w:val="both"/>
        <w:rPr>
          <w:rFonts w:ascii="Verdana" w:hAnsi="Verdana"/>
          <w:sz w:val="18"/>
          <w:szCs w:val="18"/>
        </w:rPr>
      </w:pPr>
      <w:r w:rsidRPr="001270CF">
        <w:rPr>
          <w:rFonts w:ascii="Verdana" w:hAnsi="Verdana"/>
          <w:sz w:val="18"/>
          <w:szCs w:val="18"/>
        </w:rPr>
        <w:t xml:space="preserve">El TEAR de Canarias estimó parcialmente la reclamación al considerar que, al tratarse de una deuda nacida de una liquidación administrativa y no de una autoliquidación de retenciones ingresadas fuera de plazo, la prohibición del artículo 65.2.b) LGT no resultaba aplicable automáticamente, ordenando retrotraer las actuaciones para que la Administración resolviera sobre el fondo de la solicitud de aplazamiento. </w:t>
      </w:r>
    </w:p>
    <w:p w14:paraId="46B6BD14" w14:textId="77777777" w:rsidR="001270CF" w:rsidRPr="001270CF" w:rsidRDefault="001270CF" w:rsidP="001270CF">
      <w:pPr>
        <w:spacing w:before="100" w:beforeAutospacing="1" w:after="100" w:afterAutospacing="1"/>
        <w:ind w:left="284"/>
        <w:jc w:val="both"/>
        <w:rPr>
          <w:rFonts w:ascii="Verdana" w:hAnsi="Verdana"/>
          <w:sz w:val="18"/>
          <w:szCs w:val="18"/>
        </w:rPr>
      </w:pPr>
      <w:r w:rsidRPr="001270CF">
        <w:rPr>
          <w:rFonts w:ascii="Verdana" w:hAnsi="Verdana"/>
          <w:sz w:val="18"/>
          <w:szCs w:val="18"/>
        </w:rPr>
        <w:t xml:space="preserve">Frente a esta resolución, la Directora del Departamento de Recaudación de la AEAT interpuso recurso extraordinario de alzada para la unificación de criterio, defendiendo que </w:t>
      </w:r>
      <w:r w:rsidRPr="001270CF">
        <w:rPr>
          <w:rFonts w:ascii="Verdana" w:hAnsi="Verdana"/>
          <w:b/>
          <w:bCs/>
          <w:sz w:val="18"/>
          <w:szCs w:val="18"/>
        </w:rPr>
        <w:t>la prohibición legal debe aplicarse con independencia de que la deuda derive de una autoliquidación o de una liquidación administrativa</w:t>
      </w:r>
      <w:r w:rsidRPr="001270CF">
        <w:rPr>
          <w:rFonts w:ascii="Verdana" w:hAnsi="Verdana"/>
          <w:sz w:val="18"/>
          <w:szCs w:val="18"/>
        </w:rPr>
        <w:t xml:space="preserve">, pues en ambos casos se trata de obligaciones tributarias propias del retenedor. </w:t>
      </w:r>
    </w:p>
    <w:p w14:paraId="6B807EA8" w14:textId="77777777" w:rsidR="001270CF" w:rsidRPr="001270CF" w:rsidRDefault="001270CF" w:rsidP="001270CF">
      <w:pPr>
        <w:spacing w:before="100" w:beforeAutospacing="1" w:after="100" w:afterAutospacing="1"/>
        <w:ind w:left="284"/>
        <w:jc w:val="both"/>
        <w:outlineLvl w:val="2"/>
        <w:rPr>
          <w:rFonts w:ascii="Verdana" w:hAnsi="Verdana"/>
          <w:b/>
          <w:bCs/>
          <w:sz w:val="18"/>
          <w:szCs w:val="18"/>
        </w:rPr>
      </w:pPr>
      <w:r w:rsidRPr="001270CF">
        <w:rPr>
          <w:rFonts w:ascii="Verdana" w:hAnsi="Verdana"/>
          <w:b/>
          <w:bCs/>
          <w:sz w:val="18"/>
          <w:szCs w:val="18"/>
        </w:rPr>
        <w:t>Fundamentación del TEAC</w:t>
      </w:r>
    </w:p>
    <w:p w14:paraId="3B87DD6E" w14:textId="77777777" w:rsidR="001270CF" w:rsidRPr="001270CF" w:rsidRDefault="001270CF" w:rsidP="001270CF">
      <w:pPr>
        <w:spacing w:before="100" w:beforeAutospacing="1" w:after="100" w:afterAutospacing="1"/>
        <w:ind w:left="284"/>
        <w:jc w:val="both"/>
        <w:rPr>
          <w:rFonts w:ascii="Verdana" w:hAnsi="Verdana"/>
          <w:sz w:val="18"/>
          <w:szCs w:val="18"/>
        </w:rPr>
      </w:pPr>
      <w:r w:rsidRPr="001270CF">
        <w:rPr>
          <w:rFonts w:ascii="Verdana" w:hAnsi="Verdana"/>
          <w:sz w:val="18"/>
          <w:szCs w:val="18"/>
        </w:rPr>
        <w:t xml:space="preserve">El Tribunal recuerda que el artículo 65.2.b) LGT excluye expresamente del aplazamiento y fraccionamiento las obligaciones tributarias que debe cumplir el retenedor. Esta limitación responde a la naturaleza de las retenciones, ya que las cantidades retenidas </w:t>
      </w:r>
      <w:r w:rsidRPr="001270CF">
        <w:rPr>
          <w:rFonts w:ascii="Verdana" w:hAnsi="Verdana"/>
          <w:b/>
          <w:bCs/>
          <w:sz w:val="18"/>
          <w:szCs w:val="18"/>
        </w:rPr>
        <w:t>no constituyen recursos propios del retenedor</w:t>
      </w:r>
      <w:r w:rsidRPr="001270CF">
        <w:rPr>
          <w:rFonts w:ascii="Verdana" w:hAnsi="Verdana"/>
          <w:sz w:val="18"/>
          <w:szCs w:val="18"/>
        </w:rPr>
        <w:t xml:space="preserve">, sino importes pertenecientes al contribuyente retenido que deben ser ingresados en la Hacienda Pública. Por ello, la falta de liquidez no puede justificar el aplazamiento de estas deudas. </w:t>
      </w:r>
    </w:p>
    <w:p w14:paraId="66469C1A" w14:textId="77777777" w:rsidR="001270CF" w:rsidRPr="001270CF" w:rsidRDefault="001270CF" w:rsidP="001270CF">
      <w:pPr>
        <w:spacing w:before="100" w:beforeAutospacing="1" w:after="100" w:afterAutospacing="1"/>
        <w:ind w:left="284"/>
        <w:jc w:val="both"/>
        <w:rPr>
          <w:rFonts w:ascii="Verdana" w:hAnsi="Verdana"/>
          <w:sz w:val="18"/>
          <w:szCs w:val="18"/>
        </w:rPr>
      </w:pPr>
      <w:r w:rsidRPr="001270CF">
        <w:rPr>
          <w:rFonts w:ascii="Verdana" w:hAnsi="Verdana"/>
          <w:sz w:val="18"/>
          <w:szCs w:val="18"/>
        </w:rPr>
        <w:t xml:space="preserve">Asimismo, el TEAC analiza la evolución normativa y destaca que el legislador ha venido restringiendo históricamente el aplazamiento de las deudas por retenciones, reforzando dicha limitación tras la reforma introducida por el Real Decreto-ley 3/2016, que eliminó las excepciones existentes. </w:t>
      </w:r>
    </w:p>
    <w:p w14:paraId="3DDF74CD" w14:textId="77777777" w:rsidR="001270CF" w:rsidRPr="001270CF" w:rsidRDefault="001270CF" w:rsidP="001270CF">
      <w:pPr>
        <w:spacing w:before="100" w:beforeAutospacing="1" w:after="100" w:afterAutospacing="1"/>
        <w:ind w:left="284"/>
        <w:jc w:val="both"/>
        <w:rPr>
          <w:rFonts w:ascii="Verdana" w:hAnsi="Verdana"/>
          <w:sz w:val="18"/>
          <w:szCs w:val="18"/>
        </w:rPr>
      </w:pPr>
      <w:r w:rsidRPr="001270CF">
        <w:rPr>
          <w:rFonts w:ascii="Verdana" w:hAnsi="Verdana"/>
          <w:sz w:val="18"/>
          <w:szCs w:val="18"/>
        </w:rPr>
        <w:t xml:space="preserve">Respecto de las retenciones que no llegaron a practicarse, el Tribunal admite que, desde un punto de vista económico, el retenedor podría afrontar el pago con fondos propios. Sin embargo, considera que una interpretación literal, sistemática e histórica del artículo 65.2.b) LGT conduce igualmente a su exclusión del régimen de aplazamientos, ya que la expresión </w:t>
      </w:r>
      <w:r w:rsidRPr="001270CF">
        <w:rPr>
          <w:rFonts w:ascii="Verdana" w:hAnsi="Verdana"/>
          <w:b/>
          <w:bCs/>
          <w:sz w:val="18"/>
          <w:szCs w:val="18"/>
        </w:rPr>
        <w:t>«obligaciones tributarias que deba cumplir el retenedor»</w:t>
      </w:r>
      <w:r w:rsidRPr="001270CF">
        <w:rPr>
          <w:rFonts w:ascii="Verdana" w:hAnsi="Verdana"/>
          <w:sz w:val="18"/>
          <w:szCs w:val="18"/>
        </w:rPr>
        <w:t xml:space="preserve"> comprende tanto las retenciones efectivamente practicadas como aquellas que debieron practicarse. </w:t>
      </w:r>
    </w:p>
    <w:p w14:paraId="4090B0C4" w14:textId="77777777" w:rsidR="001270CF" w:rsidRPr="001270CF" w:rsidRDefault="001270CF" w:rsidP="001270CF">
      <w:pPr>
        <w:spacing w:before="100" w:beforeAutospacing="1" w:after="100" w:afterAutospacing="1"/>
        <w:ind w:left="284"/>
        <w:jc w:val="both"/>
        <w:outlineLvl w:val="2"/>
        <w:rPr>
          <w:rFonts w:ascii="Verdana" w:hAnsi="Verdana"/>
          <w:b/>
          <w:bCs/>
          <w:sz w:val="18"/>
          <w:szCs w:val="18"/>
        </w:rPr>
      </w:pPr>
      <w:r w:rsidRPr="001270CF">
        <w:rPr>
          <w:rFonts w:ascii="Verdana" w:hAnsi="Verdana"/>
          <w:b/>
          <w:bCs/>
          <w:sz w:val="18"/>
          <w:szCs w:val="18"/>
        </w:rPr>
        <w:t>Criterio unificado</w:t>
      </w:r>
    </w:p>
    <w:p w14:paraId="09DA364F" w14:textId="77777777" w:rsidR="001270CF" w:rsidRPr="001270CF" w:rsidRDefault="001270CF" w:rsidP="001270CF">
      <w:pPr>
        <w:spacing w:before="100" w:beforeAutospacing="1" w:after="100" w:afterAutospacing="1"/>
        <w:ind w:left="284"/>
        <w:jc w:val="both"/>
        <w:rPr>
          <w:rFonts w:ascii="Verdana" w:hAnsi="Verdana"/>
          <w:sz w:val="18"/>
          <w:szCs w:val="18"/>
        </w:rPr>
      </w:pPr>
      <w:r w:rsidRPr="001270CF">
        <w:rPr>
          <w:rFonts w:ascii="Verdana" w:hAnsi="Verdana"/>
          <w:sz w:val="18"/>
          <w:szCs w:val="18"/>
        </w:rPr>
        <w:t>El TEAC fija como criterio vinculante que:</w:t>
      </w:r>
    </w:p>
    <w:p w14:paraId="136225C8" w14:textId="77777777" w:rsidR="001270CF" w:rsidRDefault="001270CF" w:rsidP="001270CF">
      <w:pPr>
        <w:spacing w:before="100" w:beforeAutospacing="1" w:after="100" w:afterAutospacing="1"/>
        <w:ind w:left="284"/>
        <w:jc w:val="both"/>
        <w:rPr>
          <w:rFonts w:ascii="Verdana" w:hAnsi="Verdana"/>
          <w:sz w:val="18"/>
          <w:szCs w:val="18"/>
        </w:rPr>
      </w:pPr>
      <w:r w:rsidRPr="001270CF">
        <w:rPr>
          <w:rFonts w:ascii="Verdana" w:hAnsi="Verdana"/>
          <w:b/>
          <w:bCs/>
          <w:sz w:val="18"/>
          <w:szCs w:val="18"/>
        </w:rPr>
        <w:t>Las deudas por retenciones liquidadas por la Administración Tributaria, ya correspondan a retenciones practicadas y no ingresadas o a retenciones que debieron practicarse y no se practicaron, no son susceptibles de aplazamiento o fraccionamiento conforme al artículo 65.2.b) de la Ley General Tributaria.</w:t>
      </w:r>
      <w:r w:rsidRPr="001270CF">
        <w:rPr>
          <w:rFonts w:ascii="Verdana" w:hAnsi="Verdana"/>
          <w:sz w:val="18"/>
          <w:szCs w:val="18"/>
        </w:rPr>
        <w:t xml:space="preserve"> </w:t>
      </w:r>
    </w:p>
    <w:p w14:paraId="33228F3B" w14:textId="77777777" w:rsidR="00453092" w:rsidRDefault="00453092" w:rsidP="001270CF">
      <w:pPr>
        <w:spacing w:before="100" w:beforeAutospacing="1" w:after="100" w:afterAutospacing="1"/>
        <w:ind w:left="284"/>
        <w:jc w:val="both"/>
        <w:rPr>
          <w:rFonts w:ascii="Verdana" w:hAnsi="Verdana"/>
          <w:sz w:val="18"/>
          <w:szCs w:val="18"/>
        </w:rPr>
      </w:pPr>
    </w:p>
    <w:tbl>
      <w:tblPr>
        <w:tblW w:w="8640" w:type="dxa"/>
        <w:tblInd w:w="70" w:type="dxa"/>
        <w:tblCellMar>
          <w:left w:w="70" w:type="dxa"/>
          <w:right w:w="70" w:type="dxa"/>
        </w:tblCellMar>
        <w:tblLook w:val="0000" w:firstRow="0" w:lastRow="0" w:firstColumn="0" w:lastColumn="0" w:noHBand="0" w:noVBand="0"/>
      </w:tblPr>
      <w:tblGrid>
        <w:gridCol w:w="180"/>
        <w:gridCol w:w="8460"/>
      </w:tblGrid>
      <w:tr w:rsidR="00107D25" w:rsidRPr="00107D25" w14:paraId="63E7AD76" w14:textId="77777777" w:rsidTr="00BA4420">
        <w:tc>
          <w:tcPr>
            <w:tcW w:w="180" w:type="dxa"/>
            <w:shd w:val="clear" w:color="auto" w:fill="FF6600"/>
          </w:tcPr>
          <w:p w14:paraId="6A7ADC1A" w14:textId="77777777" w:rsidR="00107D25" w:rsidRPr="00107D25" w:rsidRDefault="00107D25" w:rsidP="00BA4420">
            <w:pPr>
              <w:rPr>
                <w:rFonts w:ascii="Verdana" w:hAnsi="Verdana"/>
                <w:b/>
                <w:bCs/>
                <w:color w:val="800000"/>
                <w:sz w:val="18"/>
                <w:szCs w:val="18"/>
              </w:rPr>
            </w:pPr>
          </w:p>
        </w:tc>
        <w:tc>
          <w:tcPr>
            <w:tcW w:w="8460" w:type="dxa"/>
          </w:tcPr>
          <w:p w14:paraId="065AC942" w14:textId="6E17799F" w:rsidR="00107D25" w:rsidRPr="00107D25" w:rsidRDefault="00107D25" w:rsidP="00BA4420">
            <w:pPr>
              <w:numPr>
                <w:ilvl w:val="0"/>
                <w:numId w:val="1"/>
              </w:numPr>
              <w:tabs>
                <w:tab w:val="clear" w:pos="720"/>
                <w:tab w:val="num" w:pos="317"/>
              </w:tabs>
              <w:ind w:left="317" w:hanging="283"/>
              <w:jc w:val="both"/>
              <w:rPr>
                <w:rFonts w:ascii="Verdana" w:hAnsi="Verdana"/>
                <w:b/>
                <w:bCs/>
                <w:color w:val="800000"/>
                <w:spacing w:val="-8"/>
                <w:sz w:val="18"/>
                <w:szCs w:val="18"/>
              </w:rPr>
            </w:pPr>
            <w:r w:rsidRPr="00107D25">
              <w:rPr>
                <w:rFonts w:ascii="Verdana" w:hAnsi="Verdana"/>
                <w:b/>
                <w:bCs/>
                <w:color w:val="800000"/>
                <w:sz w:val="18"/>
                <w:szCs w:val="18"/>
              </w:rPr>
              <w:t>PROPUESTA DE REFORMA PARA FACILITAR LA LIQUIDACIÓN DE SOCIEDADES CON EL NIF REVOCADO</w:t>
            </w:r>
          </w:p>
        </w:tc>
      </w:tr>
    </w:tbl>
    <w:p w14:paraId="6B25B071" w14:textId="77777777" w:rsidR="001A6B56" w:rsidRDefault="001A6B56" w:rsidP="001A6B56">
      <w:pPr>
        <w:ind w:left="284"/>
        <w:jc w:val="both"/>
        <w:rPr>
          <w:rFonts w:ascii="Verdana" w:hAnsi="Verdana"/>
          <w:sz w:val="18"/>
          <w:szCs w:val="18"/>
        </w:rPr>
      </w:pPr>
    </w:p>
    <w:p w14:paraId="21AC2B91" w14:textId="41656D7A" w:rsidR="00107D25" w:rsidRPr="00107D25" w:rsidRDefault="00107D25" w:rsidP="00107D25">
      <w:pPr>
        <w:spacing w:before="100" w:beforeAutospacing="1" w:after="100" w:afterAutospacing="1"/>
        <w:ind w:left="284"/>
        <w:jc w:val="both"/>
        <w:rPr>
          <w:rFonts w:ascii="Verdana" w:hAnsi="Verdana"/>
          <w:sz w:val="18"/>
          <w:szCs w:val="18"/>
        </w:rPr>
      </w:pPr>
      <w:r w:rsidRPr="00107D25">
        <w:rPr>
          <w:rFonts w:ascii="Verdana" w:hAnsi="Verdana"/>
          <w:sz w:val="18"/>
          <w:szCs w:val="18"/>
        </w:rPr>
        <w:t xml:space="preserve">El </w:t>
      </w:r>
      <w:r w:rsidRPr="00107D25">
        <w:rPr>
          <w:rFonts w:ascii="Verdana" w:hAnsi="Verdana"/>
          <w:b/>
          <w:bCs/>
          <w:sz w:val="18"/>
          <w:szCs w:val="18"/>
        </w:rPr>
        <w:t>Consejo para la Defensa del Contribuyente</w:t>
      </w:r>
      <w:r w:rsidRPr="00107D25">
        <w:rPr>
          <w:rFonts w:ascii="Verdana" w:hAnsi="Verdana"/>
          <w:sz w:val="18"/>
          <w:szCs w:val="18"/>
        </w:rPr>
        <w:t xml:space="preserve"> ha publicado la </w:t>
      </w:r>
      <w:r w:rsidRPr="00107D25">
        <w:rPr>
          <w:rFonts w:ascii="Verdana" w:hAnsi="Verdana"/>
          <w:b/>
          <w:bCs/>
          <w:sz w:val="18"/>
          <w:szCs w:val="18"/>
        </w:rPr>
        <w:t>Propuesta 1/2026</w:t>
      </w:r>
      <w:r w:rsidRPr="00107D25">
        <w:rPr>
          <w:rFonts w:ascii="Verdana" w:hAnsi="Verdana"/>
          <w:sz w:val="18"/>
          <w:szCs w:val="18"/>
        </w:rPr>
        <w:t xml:space="preserve">, en la que plantea una modificación normativa para resolver los problemas que afrontan las sociedades con el </w:t>
      </w:r>
      <w:r w:rsidRPr="00107D25">
        <w:rPr>
          <w:rFonts w:ascii="Verdana" w:hAnsi="Verdana"/>
          <w:b/>
          <w:bCs/>
          <w:sz w:val="18"/>
          <w:szCs w:val="18"/>
        </w:rPr>
        <w:t>NIF revocado</w:t>
      </w:r>
      <w:r w:rsidRPr="00107D25">
        <w:rPr>
          <w:rFonts w:ascii="Verdana" w:hAnsi="Verdana"/>
          <w:sz w:val="18"/>
          <w:szCs w:val="18"/>
        </w:rPr>
        <w:t xml:space="preserve"> cuando necesitan liquidarse y extinguirse definitivamente. </w:t>
      </w:r>
    </w:p>
    <w:p w14:paraId="651020B5" w14:textId="77777777" w:rsidR="00107D25" w:rsidRPr="00107D25" w:rsidRDefault="00107D25" w:rsidP="00107D25">
      <w:pPr>
        <w:spacing w:before="100" w:beforeAutospacing="1" w:after="100" w:afterAutospacing="1"/>
        <w:ind w:left="284"/>
        <w:jc w:val="both"/>
        <w:rPr>
          <w:rFonts w:ascii="Verdana" w:hAnsi="Verdana"/>
          <w:sz w:val="18"/>
          <w:szCs w:val="18"/>
        </w:rPr>
      </w:pPr>
      <w:r w:rsidRPr="00107D25">
        <w:rPr>
          <w:rFonts w:ascii="Verdana" w:hAnsi="Verdana"/>
          <w:sz w:val="18"/>
          <w:szCs w:val="18"/>
        </w:rPr>
        <w:t xml:space="preserve">Actualmente, la revocación del NIF impide a estas entidades realizar actuaciones esenciales para culminar su proceso de liquidación, ya que bloquea, entre otros efectos, la realización de operaciones bancarias, el otorgamiento de escrituras públicas, la inscripción registral y la obtención de certificados tributarios. Aunque la normativa prevé la rehabilitación del NIF, no contempla expresamente los supuestos en los que esta se solicita únicamente para liquidar y extinguir la sociedad. </w:t>
      </w:r>
    </w:p>
    <w:p w14:paraId="36C3AC97" w14:textId="77777777" w:rsidR="00107D25" w:rsidRPr="00107D25" w:rsidRDefault="00107D25" w:rsidP="00107D25">
      <w:pPr>
        <w:spacing w:before="100" w:beforeAutospacing="1" w:after="100" w:afterAutospacing="1"/>
        <w:ind w:left="284"/>
        <w:jc w:val="both"/>
        <w:rPr>
          <w:rFonts w:ascii="Verdana" w:hAnsi="Verdana"/>
          <w:sz w:val="18"/>
          <w:szCs w:val="18"/>
        </w:rPr>
      </w:pPr>
      <w:r w:rsidRPr="00107D25">
        <w:rPr>
          <w:rFonts w:ascii="Verdana" w:hAnsi="Verdana"/>
          <w:sz w:val="18"/>
          <w:szCs w:val="18"/>
        </w:rPr>
        <w:t xml:space="preserve">La Agencia Tributaria admite la rehabilitación del NIF para estos casos y el modelo 036 ya incorpora casillas específicas para solicitarla. Sin embargo, exige aportar la escritura de disolución y liquidación o de extinción, así como la acreditación de que su inscripción ha sido denegada por el Registro. Esta exigencia genera un </w:t>
      </w:r>
      <w:r w:rsidRPr="00107D25">
        <w:rPr>
          <w:rFonts w:ascii="Verdana" w:hAnsi="Verdana"/>
          <w:b/>
          <w:bCs/>
          <w:sz w:val="18"/>
          <w:szCs w:val="18"/>
        </w:rPr>
        <w:t>círculo vicioso</w:t>
      </w:r>
      <w:r w:rsidRPr="00107D25">
        <w:rPr>
          <w:rFonts w:ascii="Verdana" w:hAnsi="Verdana"/>
          <w:sz w:val="18"/>
          <w:szCs w:val="18"/>
        </w:rPr>
        <w:t xml:space="preserve">, ya que la sociedad necesita vender activos para pagar sus deudas, pero no puede formalizar las escrituras necesarias debido a la revocación del NIF, mientras que la rehabilitación no se concede sin dichas escrituras. </w:t>
      </w:r>
    </w:p>
    <w:p w14:paraId="0BC0DD26" w14:textId="77777777" w:rsidR="00107D25" w:rsidRPr="00107D25" w:rsidRDefault="00107D25" w:rsidP="00107D25">
      <w:pPr>
        <w:spacing w:before="100" w:beforeAutospacing="1" w:after="100" w:afterAutospacing="1"/>
        <w:ind w:left="284"/>
        <w:jc w:val="both"/>
        <w:rPr>
          <w:rFonts w:ascii="Verdana" w:hAnsi="Verdana"/>
          <w:sz w:val="18"/>
          <w:szCs w:val="18"/>
        </w:rPr>
      </w:pPr>
      <w:r w:rsidRPr="00107D25">
        <w:rPr>
          <w:rFonts w:ascii="Verdana" w:hAnsi="Verdana"/>
          <w:sz w:val="18"/>
          <w:szCs w:val="18"/>
        </w:rPr>
        <w:t xml:space="preserve">Para solucionar esta situación, el Consejo propone crear una </w:t>
      </w:r>
      <w:r w:rsidRPr="00107D25">
        <w:rPr>
          <w:rFonts w:ascii="Verdana" w:hAnsi="Verdana"/>
          <w:b/>
          <w:bCs/>
          <w:sz w:val="18"/>
          <w:szCs w:val="18"/>
        </w:rPr>
        <w:t>rehabilitación excepcional y temporal del NIF</w:t>
      </w:r>
      <w:r w:rsidRPr="00107D25">
        <w:rPr>
          <w:rFonts w:ascii="Verdana" w:hAnsi="Verdana"/>
          <w:sz w:val="18"/>
          <w:szCs w:val="18"/>
        </w:rPr>
        <w:t xml:space="preserve">, con una duración máxima de </w:t>
      </w:r>
      <w:r w:rsidRPr="00107D25">
        <w:rPr>
          <w:rFonts w:ascii="Verdana" w:hAnsi="Verdana"/>
          <w:b/>
          <w:bCs/>
          <w:sz w:val="18"/>
          <w:szCs w:val="18"/>
        </w:rPr>
        <w:t>seis meses</w:t>
      </w:r>
      <w:r w:rsidRPr="00107D25">
        <w:rPr>
          <w:rFonts w:ascii="Verdana" w:hAnsi="Verdana"/>
          <w:sz w:val="18"/>
          <w:szCs w:val="18"/>
        </w:rPr>
        <w:t xml:space="preserve">, limitada exclusivamente a las operaciones necesarias para la liquidación de la sociedad. La solicitud debería acompañarse de la escritura de disolución, la acreditación del inicio de la fase de liquidación, la descripción de las operaciones pendientes y la identificación de las personas intervinientes. Esta medida permitiría vender activos, cancelar deudas y culminar la extinción de la entidad. </w:t>
      </w:r>
    </w:p>
    <w:p w14:paraId="00F0A871" w14:textId="57BDC4BB" w:rsidR="00107D25" w:rsidRDefault="00107D25" w:rsidP="00107D25">
      <w:pPr>
        <w:spacing w:before="100" w:beforeAutospacing="1" w:after="100" w:afterAutospacing="1"/>
        <w:ind w:left="284"/>
        <w:jc w:val="both"/>
        <w:rPr>
          <w:rFonts w:ascii="Verdana" w:hAnsi="Verdana"/>
          <w:sz w:val="18"/>
          <w:szCs w:val="18"/>
        </w:rPr>
      </w:pPr>
      <w:r w:rsidRPr="00107D25">
        <w:rPr>
          <w:rFonts w:ascii="Verdana" w:hAnsi="Verdana"/>
          <w:b/>
          <w:bCs/>
          <w:sz w:val="18"/>
          <w:szCs w:val="18"/>
        </w:rPr>
        <w:t>Comentario:</w:t>
      </w:r>
      <w:r w:rsidRPr="00107D25">
        <w:rPr>
          <w:rFonts w:ascii="Verdana" w:hAnsi="Verdana"/>
          <w:sz w:val="18"/>
          <w:szCs w:val="18"/>
        </w:rPr>
        <w:t xml:space="preserve"> La propuesta pretende eliminar un importante obstáculo práctico en los procesos de liquidación de sociedades inactivas, dotando de seguridad jurídica a un procedimiento que actualmente puede quedar bloqueado por la propia revocación del NIF</w:t>
      </w:r>
      <w:r w:rsidR="00453092">
        <w:rPr>
          <w:rFonts w:ascii="Verdana" w:hAnsi="Verdana"/>
          <w:sz w:val="18"/>
          <w:szCs w:val="18"/>
        </w:rPr>
        <w:t>.</w:t>
      </w:r>
    </w:p>
    <w:p w14:paraId="445D3E44" w14:textId="77777777" w:rsidR="00453092" w:rsidRPr="00107D25" w:rsidRDefault="00453092" w:rsidP="00107D25">
      <w:pPr>
        <w:spacing w:before="100" w:beforeAutospacing="1" w:after="100" w:afterAutospacing="1"/>
        <w:ind w:left="284"/>
        <w:jc w:val="both"/>
        <w:rPr>
          <w:rFonts w:ascii="Verdana" w:hAnsi="Verdana"/>
          <w:sz w:val="18"/>
          <w:szCs w:val="18"/>
        </w:rPr>
      </w:pPr>
    </w:p>
    <w:tbl>
      <w:tblPr>
        <w:tblW w:w="8640" w:type="dxa"/>
        <w:tblInd w:w="70" w:type="dxa"/>
        <w:tblCellMar>
          <w:left w:w="70" w:type="dxa"/>
          <w:right w:w="70" w:type="dxa"/>
        </w:tblCellMar>
        <w:tblLook w:val="0000" w:firstRow="0" w:lastRow="0" w:firstColumn="0" w:lastColumn="0" w:noHBand="0" w:noVBand="0"/>
      </w:tblPr>
      <w:tblGrid>
        <w:gridCol w:w="180"/>
        <w:gridCol w:w="8460"/>
      </w:tblGrid>
      <w:tr w:rsidR="00453092" w:rsidRPr="00453092" w14:paraId="625E53B2" w14:textId="77777777" w:rsidTr="00F06E1E">
        <w:tc>
          <w:tcPr>
            <w:tcW w:w="180" w:type="dxa"/>
            <w:shd w:val="clear" w:color="auto" w:fill="FF6600"/>
          </w:tcPr>
          <w:p w14:paraId="2C908506" w14:textId="77777777" w:rsidR="00453092" w:rsidRPr="00453092" w:rsidRDefault="00453092" w:rsidP="00F06E1E">
            <w:pPr>
              <w:rPr>
                <w:rFonts w:ascii="Verdana" w:hAnsi="Verdana"/>
                <w:b/>
                <w:bCs/>
                <w:color w:val="800000"/>
                <w:sz w:val="18"/>
                <w:szCs w:val="18"/>
              </w:rPr>
            </w:pPr>
            <w:bookmarkStart w:id="3" w:name="_Hlk236934526"/>
          </w:p>
        </w:tc>
        <w:tc>
          <w:tcPr>
            <w:tcW w:w="8460" w:type="dxa"/>
          </w:tcPr>
          <w:p w14:paraId="3F4C04BB" w14:textId="0F410511" w:rsidR="00453092" w:rsidRPr="00453092" w:rsidRDefault="00A9685E" w:rsidP="00F06E1E">
            <w:pPr>
              <w:numPr>
                <w:ilvl w:val="0"/>
                <w:numId w:val="1"/>
              </w:numPr>
              <w:tabs>
                <w:tab w:val="clear" w:pos="720"/>
                <w:tab w:val="num" w:pos="317"/>
              </w:tabs>
              <w:ind w:left="317" w:hanging="283"/>
              <w:jc w:val="both"/>
              <w:rPr>
                <w:rFonts w:ascii="Verdana" w:hAnsi="Verdana"/>
                <w:b/>
                <w:bCs/>
                <w:color w:val="800000"/>
                <w:spacing w:val="-8"/>
                <w:sz w:val="18"/>
                <w:szCs w:val="18"/>
              </w:rPr>
            </w:pPr>
            <w:r>
              <w:rPr>
                <w:rFonts w:ascii="Verdana" w:hAnsi="Verdana"/>
                <w:b/>
                <w:bCs/>
                <w:color w:val="800000"/>
                <w:sz w:val="18"/>
                <w:szCs w:val="18"/>
              </w:rPr>
              <w:t xml:space="preserve">IVA.- </w:t>
            </w:r>
            <w:r w:rsidR="00453092" w:rsidRPr="00453092">
              <w:rPr>
                <w:rFonts w:ascii="Verdana" w:hAnsi="Verdana"/>
                <w:b/>
                <w:bCs/>
                <w:color w:val="800000"/>
                <w:sz w:val="18"/>
                <w:szCs w:val="18"/>
              </w:rPr>
              <w:t>EL TEAC REITERA SU DOCTRINA SOBRE LA EXCEPCIÓN A LA EXENCIÓN EN EL IVA DE LAS SEGUNDAS O ULTERIORES ENTREGAS DE EDIFICACIONES PARA SU REHABILITACIÓN POR EL ADQUIRENTE</w:t>
            </w:r>
          </w:p>
        </w:tc>
      </w:tr>
      <w:bookmarkEnd w:id="3"/>
    </w:tbl>
    <w:p w14:paraId="5DB11DC6" w14:textId="77777777" w:rsidR="001A6B56" w:rsidRDefault="001A6B56" w:rsidP="001A6B56">
      <w:pPr>
        <w:ind w:left="284"/>
        <w:jc w:val="both"/>
        <w:rPr>
          <w:rFonts w:ascii="Verdana" w:hAnsi="Verdana"/>
          <w:sz w:val="18"/>
          <w:szCs w:val="18"/>
        </w:rPr>
      </w:pPr>
    </w:p>
    <w:p w14:paraId="1BB2A8A2" w14:textId="3464A884" w:rsidR="00A9685E" w:rsidRPr="00A9685E" w:rsidRDefault="00A9685E" w:rsidP="00A9685E">
      <w:pPr>
        <w:spacing w:before="100" w:beforeAutospacing="1" w:after="100" w:afterAutospacing="1"/>
        <w:ind w:left="284"/>
        <w:jc w:val="both"/>
        <w:rPr>
          <w:rFonts w:ascii="Verdana" w:hAnsi="Verdana"/>
          <w:sz w:val="18"/>
          <w:szCs w:val="18"/>
        </w:rPr>
      </w:pPr>
      <w:r w:rsidRPr="00A9685E">
        <w:rPr>
          <w:rFonts w:ascii="Verdana" w:hAnsi="Verdana"/>
          <w:sz w:val="18"/>
          <w:szCs w:val="18"/>
        </w:rPr>
        <w:t>El TEAC</w:t>
      </w:r>
      <w:r w:rsidR="00C36B5A">
        <w:rPr>
          <w:rFonts w:ascii="Verdana" w:hAnsi="Verdana"/>
          <w:sz w:val="18"/>
          <w:szCs w:val="18"/>
        </w:rPr>
        <w:t>,</w:t>
      </w:r>
      <w:r w:rsidRPr="00A9685E">
        <w:rPr>
          <w:rFonts w:ascii="Verdana" w:hAnsi="Verdana"/>
          <w:sz w:val="18"/>
          <w:szCs w:val="18"/>
        </w:rPr>
        <w:t xml:space="preserve"> </w:t>
      </w:r>
      <w:r w:rsidR="00785067">
        <w:rPr>
          <w:rFonts w:ascii="Verdana" w:hAnsi="Verdana"/>
          <w:sz w:val="18"/>
          <w:szCs w:val="18"/>
        </w:rPr>
        <w:t xml:space="preserve">en su </w:t>
      </w:r>
      <w:hyperlink r:id="rId8" w:history="1">
        <w:r w:rsidR="00785067" w:rsidRPr="00785067">
          <w:rPr>
            <w:rFonts w:ascii="Verdana" w:hAnsi="Verdana"/>
            <w:sz w:val="18"/>
            <w:szCs w:val="18"/>
          </w:rPr>
          <w:t>Resolución</w:t>
        </w:r>
        <w:r w:rsidR="00785067">
          <w:rPr>
            <w:rFonts w:ascii="Verdana" w:hAnsi="Verdana"/>
            <w:sz w:val="18"/>
            <w:szCs w:val="18"/>
          </w:rPr>
          <w:t xml:space="preserve"> </w:t>
        </w:r>
        <w:r w:rsidR="00785067" w:rsidRPr="00785067">
          <w:rPr>
            <w:rFonts w:ascii="Verdana" w:hAnsi="Verdana"/>
            <w:sz w:val="18"/>
            <w:szCs w:val="18"/>
          </w:rPr>
          <w:t>de 18 de junio de 2026 (RG 50042/2025)</w:t>
        </w:r>
      </w:hyperlink>
      <w:r w:rsidR="00C36B5A">
        <w:t>,</w:t>
      </w:r>
      <w:r w:rsidR="00785067" w:rsidRPr="00A9685E">
        <w:rPr>
          <w:rFonts w:ascii="Verdana" w:hAnsi="Verdana"/>
          <w:sz w:val="18"/>
          <w:szCs w:val="18"/>
        </w:rPr>
        <w:t xml:space="preserve"> </w:t>
      </w:r>
      <w:r w:rsidRPr="00A9685E">
        <w:rPr>
          <w:rFonts w:ascii="Verdana" w:hAnsi="Verdana"/>
          <w:sz w:val="18"/>
          <w:szCs w:val="18"/>
        </w:rPr>
        <w:t>analiza la aplicación de la excepción a la exención del IVA prevista para las segundas y ulteriores entregas de edificaciones cuando el inmueble se adquiere para su rehabilitación.</w:t>
      </w:r>
    </w:p>
    <w:p w14:paraId="2FFC18BB" w14:textId="77777777" w:rsidR="00A9685E" w:rsidRPr="00A9685E" w:rsidRDefault="00A9685E" w:rsidP="00A9685E">
      <w:pPr>
        <w:spacing w:before="100" w:beforeAutospacing="1" w:after="100" w:afterAutospacing="1"/>
        <w:ind w:left="284"/>
        <w:jc w:val="both"/>
        <w:outlineLvl w:val="3"/>
        <w:rPr>
          <w:rFonts w:ascii="Verdana" w:hAnsi="Verdana"/>
          <w:b/>
          <w:bCs/>
          <w:sz w:val="18"/>
          <w:szCs w:val="18"/>
        </w:rPr>
      </w:pPr>
      <w:r w:rsidRPr="00A9685E">
        <w:rPr>
          <w:rFonts w:ascii="Verdana" w:hAnsi="Verdana"/>
          <w:b/>
          <w:bCs/>
          <w:sz w:val="18"/>
          <w:szCs w:val="18"/>
        </w:rPr>
        <w:t>Criterio del TEAC</w:t>
      </w:r>
    </w:p>
    <w:p w14:paraId="754D9B84" w14:textId="77777777" w:rsidR="00A9685E" w:rsidRPr="00A9685E" w:rsidRDefault="00A9685E" w:rsidP="00A9685E">
      <w:pPr>
        <w:spacing w:before="100" w:beforeAutospacing="1" w:after="100" w:afterAutospacing="1"/>
        <w:ind w:left="284"/>
        <w:jc w:val="both"/>
        <w:rPr>
          <w:rFonts w:ascii="Verdana" w:hAnsi="Verdana"/>
          <w:sz w:val="18"/>
          <w:szCs w:val="18"/>
        </w:rPr>
      </w:pPr>
      <w:r w:rsidRPr="00A9685E">
        <w:rPr>
          <w:rFonts w:ascii="Verdana" w:hAnsi="Verdana"/>
          <w:sz w:val="18"/>
          <w:szCs w:val="18"/>
        </w:rPr>
        <w:t xml:space="preserve">El Tribunal reitera su doctrina de 22 de mayo de 2019 y establece que, para excluir la exención del artículo 20.Uno.22º.A).b) de la Ley del IVA, </w:t>
      </w:r>
      <w:r w:rsidRPr="00A9685E">
        <w:rPr>
          <w:rFonts w:ascii="Verdana" w:hAnsi="Verdana"/>
          <w:b/>
          <w:bCs/>
          <w:sz w:val="18"/>
          <w:szCs w:val="18"/>
        </w:rPr>
        <w:t>es imprescindible acreditar, mediante elementos objetivos existentes en el momento de la transmisión, la intención del adquirente de destinar el inmueble a su rehabilitación</w:t>
      </w:r>
      <w:r w:rsidRPr="00A9685E">
        <w:rPr>
          <w:rFonts w:ascii="Verdana" w:hAnsi="Verdana"/>
          <w:sz w:val="18"/>
          <w:szCs w:val="18"/>
        </w:rPr>
        <w:t xml:space="preserve">. </w:t>
      </w:r>
    </w:p>
    <w:p w14:paraId="3D541223" w14:textId="77777777" w:rsidR="00A9685E" w:rsidRPr="00A9685E" w:rsidRDefault="00A9685E" w:rsidP="00A9685E">
      <w:pPr>
        <w:spacing w:before="100" w:beforeAutospacing="1" w:after="100" w:afterAutospacing="1"/>
        <w:ind w:left="284"/>
        <w:jc w:val="both"/>
        <w:rPr>
          <w:rFonts w:ascii="Verdana" w:hAnsi="Verdana"/>
          <w:sz w:val="18"/>
          <w:szCs w:val="18"/>
        </w:rPr>
      </w:pPr>
      <w:r w:rsidRPr="00A9685E">
        <w:rPr>
          <w:rFonts w:ascii="Verdana" w:hAnsi="Verdana"/>
          <w:sz w:val="18"/>
          <w:szCs w:val="18"/>
        </w:rPr>
        <w:t xml:space="preserve">No obstante, el TEAC aclara que </w:t>
      </w:r>
      <w:r w:rsidRPr="00A9685E">
        <w:rPr>
          <w:rFonts w:ascii="Verdana" w:hAnsi="Verdana"/>
          <w:b/>
          <w:bCs/>
          <w:sz w:val="18"/>
          <w:szCs w:val="18"/>
        </w:rPr>
        <w:t>no constituye un requisito indispensable que las obras de rehabilitación lleguen a iniciarse o finalizarse</w:t>
      </w:r>
      <w:r w:rsidRPr="00A9685E">
        <w:rPr>
          <w:rFonts w:ascii="Verdana" w:hAnsi="Verdana"/>
          <w:sz w:val="18"/>
          <w:szCs w:val="18"/>
        </w:rPr>
        <w:t xml:space="preserve">, siempre que dicha intención quede debidamente acreditada con pruebas objetivas. </w:t>
      </w:r>
    </w:p>
    <w:p w14:paraId="5D4893DE" w14:textId="77777777" w:rsidR="00A9685E" w:rsidRPr="00A9685E" w:rsidRDefault="00A9685E" w:rsidP="00A9685E">
      <w:pPr>
        <w:spacing w:before="100" w:beforeAutospacing="1" w:after="100" w:afterAutospacing="1"/>
        <w:ind w:left="284"/>
        <w:jc w:val="both"/>
        <w:outlineLvl w:val="3"/>
        <w:rPr>
          <w:rFonts w:ascii="Verdana" w:hAnsi="Verdana"/>
          <w:b/>
          <w:bCs/>
          <w:sz w:val="18"/>
          <w:szCs w:val="18"/>
        </w:rPr>
      </w:pPr>
      <w:r w:rsidRPr="00A9685E">
        <w:rPr>
          <w:rFonts w:ascii="Verdana" w:hAnsi="Verdana"/>
          <w:b/>
          <w:bCs/>
          <w:sz w:val="18"/>
          <w:szCs w:val="18"/>
        </w:rPr>
        <w:t>Supuesto analizado</w:t>
      </w:r>
    </w:p>
    <w:p w14:paraId="445D8C9B" w14:textId="77777777" w:rsidR="00A9685E" w:rsidRPr="00A9685E" w:rsidRDefault="00A9685E" w:rsidP="00A9685E">
      <w:pPr>
        <w:spacing w:before="100" w:beforeAutospacing="1" w:after="100" w:afterAutospacing="1"/>
        <w:ind w:left="284"/>
        <w:jc w:val="both"/>
        <w:rPr>
          <w:rFonts w:ascii="Verdana" w:hAnsi="Verdana"/>
          <w:sz w:val="18"/>
          <w:szCs w:val="18"/>
        </w:rPr>
      </w:pPr>
      <w:r w:rsidRPr="00A9685E">
        <w:rPr>
          <w:rFonts w:ascii="Verdana" w:hAnsi="Verdana"/>
          <w:sz w:val="18"/>
          <w:szCs w:val="18"/>
        </w:rPr>
        <w:t xml:space="preserve">La Administración había considerado que la operación estaba sujeta y no exenta de IVA por tratarse de un inmueble prácticamente ruinoso y por haberse manifestado en la escritura la intención de rehabilitarlo. Sin embargo, el adquirente solicitó la devolución del IVA al entender que no concurrían los requisitos para excluir la exención y que la transmisión debía tributar por TPO. </w:t>
      </w:r>
    </w:p>
    <w:p w14:paraId="53E7F1CC" w14:textId="77777777" w:rsidR="00A9685E" w:rsidRPr="00A9685E" w:rsidRDefault="00A9685E" w:rsidP="00A9685E">
      <w:pPr>
        <w:spacing w:before="100" w:beforeAutospacing="1" w:after="100" w:afterAutospacing="1"/>
        <w:ind w:left="284"/>
        <w:jc w:val="both"/>
        <w:outlineLvl w:val="3"/>
        <w:rPr>
          <w:rFonts w:ascii="Verdana" w:hAnsi="Verdana"/>
          <w:b/>
          <w:bCs/>
          <w:sz w:val="18"/>
          <w:szCs w:val="18"/>
        </w:rPr>
      </w:pPr>
      <w:r w:rsidRPr="00A9685E">
        <w:rPr>
          <w:rFonts w:ascii="Verdana" w:hAnsi="Verdana"/>
          <w:b/>
          <w:bCs/>
          <w:sz w:val="18"/>
          <w:szCs w:val="18"/>
        </w:rPr>
        <w:lastRenderedPageBreak/>
        <w:t>Fundamentos de la resolución</w:t>
      </w:r>
    </w:p>
    <w:p w14:paraId="0433F0A3" w14:textId="77777777" w:rsidR="00A9685E" w:rsidRPr="00A9685E" w:rsidRDefault="00A9685E" w:rsidP="00A9685E">
      <w:pPr>
        <w:spacing w:before="100" w:beforeAutospacing="1" w:after="100" w:afterAutospacing="1"/>
        <w:ind w:left="284"/>
        <w:jc w:val="both"/>
        <w:rPr>
          <w:rFonts w:ascii="Verdana" w:hAnsi="Verdana"/>
          <w:sz w:val="18"/>
          <w:szCs w:val="18"/>
        </w:rPr>
      </w:pPr>
      <w:r w:rsidRPr="00A9685E">
        <w:rPr>
          <w:rFonts w:ascii="Verdana" w:hAnsi="Verdana"/>
          <w:sz w:val="18"/>
          <w:szCs w:val="18"/>
        </w:rPr>
        <w:t xml:space="preserve">El TEAC concluye que </w:t>
      </w:r>
      <w:r w:rsidRPr="00A9685E">
        <w:rPr>
          <w:rFonts w:ascii="Verdana" w:hAnsi="Verdana"/>
          <w:b/>
          <w:bCs/>
          <w:sz w:val="18"/>
          <w:szCs w:val="18"/>
        </w:rPr>
        <w:t>la mera manifestación recogida en la escritura pública no basta para acreditar la intención de rehabilitar el inmueble</w:t>
      </w:r>
      <w:r w:rsidRPr="00A9685E">
        <w:rPr>
          <w:rFonts w:ascii="Verdana" w:hAnsi="Verdana"/>
          <w:sz w:val="18"/>
          <w:szCs w:val="18"/>
        </w:rPr>
        <w:t xml:space="preserve">. La exclusión de la exención exige la existencia de </w:t>
      </w:r>
      <w:r w:rsidRPr="00A9685E">
        <w:rPr>
          <w:rFonts w:ascii="Verdana" w:hAnsi="Verdana"/>
          <w:b/>
          <w:bCs/>
          <w:sz w:val="18"/>
          <w:szCs w:val="18"/>
        </w:rPr>
        <w:t>elementos objetivos</w:t>
      </w:r>
      <w:r w:rsidRPr="00A9685E">
        <w:rPr>
          <w:rFonts w:ascii="Verdana" w:hAnsi="Verdana"/>
          <w:sz w:val="18"/>
          <w:szCs w:val="18"/>
        </w:rPr>
        <w:t xml:space="preserve"> que demuestren esa finalidad en el momento del devengo, tales como actuaciones materiales, administrativas o documentales encaminadas a la rehabilitación. </w:t>
      </w:r>
    </w:p>
    <w:p w14:paraId="57A3424E" w14:textId="77777777" w:rsidR="00A9685E" w:rsidRPr="00A9685E" w:rsidRDefault="00A9685E" w:rsidP="00A9685E">
      <w:pPr>
        <w:spacing w:before="100" w:beforeAutospacing="1" w:after="100" w:afterAutospacing="1"/>
        <w:ind w:left="284"/>
        <w:jc w:val="both"/>
        <w:rPr>
          <w:rFonts w:ascii="Verdana" w:hAnsi="Verdana"/>
          <w:sz w:val="18"/>
          <w:szCs w:val="18"/>
        </w:rPr>
      </w:pPr>
      <w:r w:rsidRPr="00A9685E">
        <w:rPr>
          <w:rFonts w:ascii="Verdana" w:hAnsi="Verdana"/>
          <w:sz w:val="18"/>
          <w:szCs w:val="18"/>
        </w:rPr>
        <w:t xml:space="preserve">Asimismo, precisa que </w:t>
      </w:r>
      <w:r w:rsidRPr="00A9685E">
        <w:rPr>
          <w:rFonts w:ascii="Verdana" w:hAnsi="Verdana"/>
          <w:b/>
          <w:bCs/>
          <w:sz w:val="18"/>
          <w:szCs w:val="18"/>
        </w:rPr>
        <w:t>el estado ruinoso del edificio tampoco permite presumir, por sí solo, la intención de rehabilitarlo o demolerlo</w:t>
      </w:r>
      <w:r w:rsidRPr="00A9685E">
        <w:rPr>
          <w:rFonts w:ascii="Verdana" w:hAnsi="Verdana"/>
          <w:sz w:val="18"/>
          <w:szCs w:val="18"/>
        </w:rPr>
        <w:t xml:space="preserve">, por lo que dicha circunstancia resulta insuficiente para justificar la tributación por IVA. </w:t>
      </w:r>
    </w:p>
    <w:p w14:paraId="2D3380CE" w14:textId="77777777" w:rsidR="00A9685E" w:rsidRPr="00A9685E" w:rsidRDefault="00A9685E" w:rsidP="00A9685E">
      <w:pPr>
        <w:spacing w:before="100" w:beforeAutospacing="1" w:after="100" w:afterAutospacing="1"/>
        <w:ind w:left="284"/>
        <w:jc w:val="both"/>
        <w:outlineLvl w:val="3"/>
        <w:rPr>
          <w:rFonts w:ascii="Verdana" w:hAnsi="Verdana"/>
          <w:b/>
          <w:bCs/>
          <w:sz w:val="18"/>
          <w:szCs w:val="18"/>
        </w:rPr>
      </w:pPr>
      <w:r w:rsidRPr="00A9685E">
        <w:rPr>
          <w:rFonts w:ascii="Verdana" w:hAnsi="Verdana"/>
          <w:b/>
          <w:bCs/>
          <w:sz w:val="18"/>
          <w:szCs w:val="18"/>
        </w:rPr>
        <w:t>Fallo</w:t>
      </w:r>
    </w:p>
    <w:p w14:paraId="2BE129D7" w14:textId="77777777" w:rsidR="00A9685E" w:rsidRPr="00A9685E" w:rsidRDefault="00A9685E" w:rsidP="00A9685E">
      <w:pPr>
        <w:spacing w:before="100" w:beforeAutospacing="1" w:after="100" w:afterAutospacing="1"/>
        <w:ind w:left="284"/>
        <w:jc w:val="both"/>
        <w:rPr>
          <w:rFonts w:ascii="Verdana" w:hAnsi="Verdana"/>
          <w:sz w:val="18"/>
          <w:szCs w:val="18"/>
        </w:rPr>
      </w:pPr>
      <w:r w:rsidRPr="00A9685E">
        <w:rPr>
          <w:rFonts w:ascii="Verdana" w:hAnsi="Verdana"/>
          <w:sz w:val="18"/>
          <w:szCs w:val="18"/>
        </w:rPr>
        <w:t xml:space="preserve">El Tribunal estima parcialmente la reclamación y declara que la Administración no acreditó la existencia de elementos objetivos que justificaran la aplicación de la excepción a la exención. En consecuencia, ordena comprobar si concurren los requisitos necesarios para reconocer la devolución de ingresos indebidos. </w:t>
      </w:r>
    </w:p>
    <w:p w14:paraId="780EF01F" w14:textId="77777777" w:rsidR="00A9685E" w:rsidRPr="00A9685E" w:rsidRDefault="00A9685E" w:rsidP="00A9685E">
      <w:pPr>
        <w:spacing w:before="100" w:beforeAutospacing="1" w:after="100" w:afterAutospacing="1"/>
        <w:ind w:left="284"/>
        <w:jc w:val="both"/>
        <w:outlineLvl w:val="2"/>
        <w:rPr>
          <w:rFonts w:ascii="Verdana" w:hAnsi="Verdana"/>
          <w:b/>
          <w:bCs/>
          <w:sz w:val="18"/>
          <w:szCs w:val="18"/>
        </w:rPr>
      </w:pPr>
      <w:r w:rsidRPr="00A9685E">
        <w:rPr>
          <w:rFonts w:ascii="Verdana" w:hAnsi="Verdana"/>
          <w:b/>
          <w:bCs/>
          <w:sz w:val="18"/>
          <w:szCs w:val="18"/>
        </w:rPr>
        <w:t>Comentario</w:t>
      </w:r>
    </w:p>
    <w:p w14:paraId="701EDF5A" w14:textId="77777777" w:rsidR="00A9685E" w:rsidRDefault="00A9685E" w:rsidP="00A9685E">
      <w:pPr>
        <w:spacing w:before="100" w:beforeAutospacing="1" w:after="100" w:afterAutospacing="1"/>
        <w:ind w:left="284"/>
        <w:jc w:val="both"/>
        <w:rPr>
          <w:rFonts w:ascii="Verdana" w:hAnsi="Verdana"/>
          <w:sz w:val="18"/>
          <w:szCs w:val="18"/>
        </w:rPr>
      </w:pPr>
      <w:r w:rsidRPr="00A9685E">
        <w:rPr>
          <w:rFonts w:ascii="Verdana" w:hAnsi="Verdana"/>
          <w:sz w:val="18"/>
          <w:szCs w:val="18"/>
        </w:rPr>
        <w:t xml:space="preserve">Esta resolución refuerza un criterio de gran relevancia práctica en las operaciones inmobiliarias: </w:t>
      </w:r>
      <w:r w:rsidRPr="00A9685E">
        <w:rPr>
          <w:rFonts w:ascii="Verdana" w:hAnsi="Verdana"/>
          <w:b/>
          <w:bCs/>
          <w:sz w:val="18"/>
          <w:szCs w:val="18"/>
        </w:rPr>
        <w:t>la tributación por IVA de las segundas entregas de edificaciones destinadas a rehabilitación depende de la prueba objetiva de la intención existente en el momento de la transmisión</w:t>
      </w:r>
      <w:r w:rsidRPr="00A9685E">
        <w:rPr>
          <w:rFonts w:ascii="Verdana" w:hAnsi="Verdana"/>
          <w:sz w:val="18"/>
          <w:szCs w:val="18"/>
        </w:rPr>
        <w:t>, sin que sean suficientes declaraciones de voluntad o el deterioro del inmueble. La doctrina aporta mayor seguridad jurídica al exigir que la Administración fundamente con pruebas objetivas la aplicación de la excepción a la exención prevista en la Ley del IVA.</w:t>
      </w:r>
    </w:p>
    <w:p w14:paraId="0051F5DA" w14:textId="77777777" w:rsidR="00525894" w:rsidRDefault="00525894" w:rsidP="00A9685E">
      <w:pPr>
        <w:spacing w:before="100" w:beforeAutospacing="1" w:after="100" w:afterAutospacing="1"/>
        <w:ind w:left="284"/>
        <w:jc w:val="both"/>
        <w:rPr>
          <w:rFonts w:ascii="Verdana" w:hAnsi="Verdana"/>
          <w:sz w:val="18"/>
          <w:szCs w:val="18"/>
        </w:rPr>
      </w:pPr>
    </w:p>
    <w:tbl>
      <w:tblPr>
        <w:tblW w:w="8640" w:type="dxa"/>
        <w:tblInd w:w="70" w:type="dxa"/>
        <w:tblCellMar>
          <w:left w:w="70" w:type="dxa"/>
          <w:right w:w="70" w:type="dxa"/>
        </w:tblCellMar>
        <w:tblLook w:val="0000" w:firstRow="0" w:lastRow="0" w:firstColumn="0" w:lastColumn="0" w:noHBand="0" w:noVBand="0"/>
      </w:tblPr>
      <w:tblGrid>
        <w:gridCol w:w="180"/>
        <w:gridCol w:w="8460"/>
      </w:tblGrid>
      <w:tr w:rsidR="00F979C7" w:rsidRPr="00F979C7" w14:paraId="11DEF746" w14:textId="77777777" w:rsidTr="002E6707">
        <w:tc>
          <w:tcPr>
            <w:tcW w:w="180" w:type="dxa"/>
            <w:shd w:val="clear" w:color="auto" w:fill="FF6600"/>
          </w:tcPr>
          <w:p w14:paraId="29ED39FC" w14:textId="77777777" w:rsidR="00F979C7" w:rsidRPr="00F979C7" w:rsidRDefault="00F979C7" w:rsidP="002E6707">
            <w:pPr>
              <w:rPr>
                <w:rFonts w:ascii="Verdana" w:hAnsi="Verdana"/>
                <w:b/>
                <w:bCs/>
                <w:color w:val="800000"/>
                <w:sz w:val="18"/>
                <w:szCs w:val="18"/>
              </w:rPr>
            </w:pPr>
          </w:p>
        </w:tc>
        <w:tc>
          <w:tcPr>
            <w:tcW w:w="8460" w:type="dxa"/>
          </w:tcPr>
          <w:p w14:paraId="0CD63C96" w14:textId="194C0F9B" w:rsidR="00F979C7" w:rsidRPr="00F979C7" w:rsidRDefault="00F979C7" w:rsidP="002E6707">
            <w:pPr>
              <w:numPr>
                <w:ilvl w:val="0"/>
                <w:numId w:val="1"/>
              </w:numPr>
              <w:tabs>
                <w:tab w:val="clear" w:pos="720"/>
                <w:tab w:val="num" w:pos="317"/>
              </w:tabs>
              <w:ind w:left="317" w:hanging="283"/>
              <w:jc w:val="both"/>
              <w:rPr>
                <w:rFonts w:ascii="Verdana" w:hAnsi="Verdana"/>
                <w:b/>
                <w:bCs/>
                <w:color w:val="800000"/>
                <w:spacing w:val="-8"/>
                <w:sz w:val="18"/>
                <w:szCs w:val="18"/>
              </w:rPr>
            </w:pPr>
            <w:r w:rsidRPr="00F979C7">
              <w:rPr>
                <w:rFonts w:ascii="Verdana" w:hAnsi="Verdana"/>
                <w:b/>
                <w:bCs/>
                <w:color w:val="800000"/>
                <w:sz w:val="18"/>
                <w:szCs w:val="18"/>
              </w:rPr>
              <w:t>IVA.- NO DEDUCIBILIDAD DEL IVA SOPORTADO EN MATERIAL PROMOCIONAL ENTREGADO GRATUITAMENTE A CLIENTES</w:t>
            </w:r>
          </w:p>
        </w:tc>
      </w:tr>
    </w:tbl>
    <w:p w14:paraId="5115FFA4" w14:textId="77777777" w:rsidR="001A6B56" w:rsidRDefault="001A6B56" w:rsidP="001A6B56">
      <w:pPr>
        <w:ind w:left="284"/>
        <w:jc w:val="both"/>
        <w:rPr>
          <w:rFonts w:ascii="Verdana" w:hAnsi="Verdana"/>
          <w:sz w:val="18"/>
          <w:szCs w:val="18"/>
        </w:rPr>
      </w:pPr>
    </w:p>
    <w:p w14:paraId="45BA9396" w14:textId="14A18E72" w:rsidR="00F979C7" w:rsidRPr="00F979C7" w:rsidRDefault="00F979C7" w:rsidP="00F979C7">
      <w:pPr>
        <w:spacing w:before="100" w:beforeAutospacing="1" w:after="100" w:afterAutospacing="1"/>
        <w:ind w:left="284"/>
        <w:jc w:val="both"/>
        <w:rPr>
          <w:rFonts w:ascii="Verdana" w:hAnsi="Verdana"/>
          <w:sz w:val="18"/>
          <w:szCs w:val="18"/>
        </w:rPr>
      </w:pPr>
      <w:r w:rsidRPr="00F979C7">
        <w:rPr>
          <w:rFonts w:ascii="Verdana" w:hAnsi="Verdana"/>
          <w:sz w:val="18"/>
          <w:szCs w:val="18"/>
        </w:rPr>
        <w:t>El Tribunal Supremo</w:t>
      </w:r>
      <w:r w:rsidR="00C36B5A">
        <w:rPr>
          <w:rFonts w:ascii="Verdana" w:hAnsi="Verdana"/>
          <w:sz w:val="18"/>
          <w:szCs w:val="18"/>
        </w:rPr>
        <w:t>,</w:t>
      </w:r>
      <w:r w:rsidRPr="00F979C7">
        <w:rPr>
          <w:rFonts w:ascii="Verdana" w:hAnsi="Verdana"/>
          <w:sz w:val="18"/>
          <w:szCs w:val="18"/>
        </w:rPr>
        <w:t xml:space="preserve"> </w:t>
      </w:r>
      <w:r>
        <w:rPr>
          <w:rFonts w:ascii="Verdana" w:hAnsi="Verdana"/>
          <w:sz w:val="18"/>
          <w:szCs w:val="18"/>
        </w:rPr>
        <w:t>en su sentencia</w:t>
      </w:r>
      <w:r w:rsidRPr="00F979C7">
        <w:rPr>
          <w:rFonts w:ascii="Verdana" w:hAnsi="Verdana"/>
          <w:b/>
          <w:bCs/>
          <w:sz w:val="18"/>
          <w:szCs w:val="18"/>
        </w:rPr>
        <w:t xml:space="preserve"> </w:t>
      </w:r>
      <w:r w:rsidRPr="001A6B56">
        <w:rPr>
          <w:rFonts w:ascii="Verdana" w:hAnsi="Verdana"/>
          <w:sz w:val="18"/>
          <w:szCs w:val="18"/>
        </w:rPr>
        <w:t>797/2026, de 26 de junio de 2026 (Rec. 5101/2023),</w:t>
      </w:r>
      <w:r>
        <w:rPr>
          <w:rFonts w:ascii="Verdana" w:hAnsi="Verdana"/>
          <w:sz w:val="18"/>
          <w:szCs w:val="18"/>
        </w:rPr>
        <w:t xml:space="preserve"> </w:t>
      </w:r>
      <w:r w:rsidRPr="00F979C7">
        <w:rPr>
          <w:rFonts w:ascii="Verdana" w:hAnsi="Verdana"/>
          <w:sz w:val="18"/>
          <w:szCs w:val="18"/>
        </w:rPr>
        <w:t xml:space="preserve">reitera su doctrina sobre la limitación del derecho a la deducción del IVA en relación con el mobiliario de terraza y el material promocional entregados gratuitamente a establecimientos de hostelería, concluyendo que tales bienes constituyen </w:t>
      </w:r>
      <w:r w:rsidRPr="001A6B56">
        <w:rPr>
          <w:rFonts w:ascii="Verdana" w:hAnsi="Verdana"/>
          <w:sz w:val="18"/>
          <w:szCs w:val="18"/>
        </w:rPr>
        <w:t xml:space="preserve">atenciones a clientes </w:t>
      </w:r>
      <w:r w:rsidRPr="00F979C7">
        <w:rPr>
          <w:rFonts w:ascii="Verdana" w:hAnsi="Verdana"/>
          <w:sz w:val="18"/>
          <w:szCs w:val="18"/>
        </w:rPr>
        <w:t xml:space="preserve">y no auténticos objetos publicitarios a efectos de la Ley del IVA. </w:t>
      </w:r>
    </w:p>
    <w:p w14:paraId="21BCCC1E" w14:textId="77777777" w:rsidR="00F979C7" w:rsidRPr="00F979C7" w:rsidRDefault="00F979C7" w:rsidP="00F979C7">
      <w:pPr>
        <w:spacing w:before="100" w:beforeAutospacing="1" w:after="100" w:afterAutospacing="1"/>
        <w:ind w:left="284"/>
        <w:jc w:val="both"/>
        <w:rPr>
          <w:rFonts w:ascii="Verdana" w:hAnsi="Verdana"/>
          <w:b/>
          <w:bCs/>
          <w:sz w:val="18"/>
          <w:szCs w:val="18"/>
        </w:rPr>
      </w:pPr>
      <w:r w:rsidRPr="00F979C7">
        <w:rPr>
          <w:rFonts w:ascii="Verdana" w:hAnsi="Verdana"/>
          <w:b/>
          <w:bCs/>
          <w:sz w:val="18"/>
          <w:szCs w:val="18"/>
        </w:rPr>
        <w:t>Antecedentes</w:t>
      </w:r>
    </w:p>
    <w:p w14:paraId="62EF6094" w14:textId="77777777" w:rsidR="00F979C7" w:rsidRPr="00F979C7" w:rsidRDefault="00F979C7" w:rsidP="00F979C7">
      <w:pPr>
        <w:spacing w:before="100" w:beforeAutospacing="1" w:after="100" w:afterAutospacing="1"/>
        <w:ind w:left="284"/>
        <w:jc w:val="both"/>
        <w:rPr>
          <w:rFonts w:ascii="Verdana" w:hAnsi="Verdana"/>
          <w:sz w:val="18"/>
          <w:szCs w:val="18"/>
        </w:rPr>
      </w:pPr>
      <w:r w:rsidRPr="00F979C7">
        <w:rPr>
          <w:rFonts w:ascii="Verdana" w:hAnsi="Verdana"/>
          <w:sz w:val="18"/>
          <w:szCs w:val="18"/>
        </w:rPr>
        <w:t xml:space="preserve">El litigio tiene su origen en una regularización practicada a Heineken España por los ejercicios 2013 a 2016. La Inspección negó la deducción del IVA soportado por la adquisición de mesas, sillas, sombrillas, vasos, jarras, copas y otros elementos entregados gratuitamente a clientes de hostelería, al considerar que se trataba de bienes destinados a atenciones a clientes conforme al artículo 96.Uno.5º de la Ley del IVA. </w:t>
      </w:r>
    </w:p>
    <w:p w14:paraId="14590B20" w14:textId="77777777" w:rsidR="00F979C7" w:rsidRDefault="00F979C7" w:rsidP="00F979C7">
      <w:pPr>
        <w:spacing w:before="100" w:beforeAutospacing="1" w:after="100" w:afterAutospacing="1"/>
        <w:ind w:left="284"/>
        <w:jc w:val="both"/>
        <w:rPr>
          <w:rFonts w:ascii="Verdana" w:hAnsi="Verdana"/>
          <w:sz w:val="18"/>
          <w:szCs w:val="18"/>
        </w:rPr>
      </w:pPr>
      <w:r w:rsidRPr="00F979C7">
        <w:rPr>
          <w:rFonts w:ascii="Verdana" w:hAnsi="Verdana"/>
          <w:sz w:val="18"/>
          <w:szCs w:val="18"/>
        </w:rPr>
        <w:t xml:space="preserve">La sociedad defendía que dichos bienes constituían material publicitario o descuentos en especie vinculados al volumen de compras y que, además, la limitación del derecho a deducir vulneraba el Derecho de la Unión Europea. </w:t>
      </w:r>
    </w:p>
    <w:p w14:paraId="1849E1C4" w14:textId="77777777" w:rsidR="001A6B56" w:rsidRPr="00F979C7" w:rsidRDefault="001A6B56" w:rsidP="001A6B56">
      <w:pPr>
        <w:ind w:left="284"/>
        <w:jc w:val="both"/>
        <w:rPr>
          <w:rFonts w:ascii="Verdana" w:hAnsi="Verdana"/>
          <w:sz w:val="18"/>
          <w:szCs w:val="18"/>
        </w:rPr>
      </w:pPr>
    </w:p>
    <w:p w14:paraId="370C79AE" w14:textId="77777777" w:rsidR="00F979C7" w:rsidRPr="00F979C7" w:rsidRDefault="00F979C7" w:rsidP="00F979C7">
      <w:pPr>
        <w:spacing w:before="100" w:beforeAutospacing="1" w:after="100" w:afterAutospacing="1"/>
        <w:ind w:left="284"/>
        <w:jc w:val="both"/>
        <w:rPr>
          <w:rFonts w:ascii="Verdana" w:hAnsi="Verdana"/>
          <w:b/>
          <w:bCs/>
          <w:sz w:val="18"/>
          <w:szCs w:val="18"/>
        </w:rPr>
      </w:pPr>
      <w:r w:rsidRPr="00F979C7">
        <w:rPr>
          <w:rFonts w:ascii="Verdana" w:hAnsi="Verdana"/>
          <w:b/>
          <w:bCs/>
          <w:sz w:val="18"/>
          <w:szCs w:val="18"/>
        </w:rPr>
        <w:t>Criterio del Tribunal Supremo</w:t>
      </w:r>
    </w:p>
    <w:p w14:paraId="74A4E4BF" w14:textId="77777777" w:rsidR="00F979C7" w:rsidRPr="00F979C7" w:rsidRDefault="00F979C7" w:rsidP="00F979C7">
      <w:pPr>
        <w:spacing w:before="100" w:beforeAutospacing="1" w:after="100" w:afterAutospacing="1"/>
        <w:ind w:left="284"/>
        <w:jc w:val="both"/>
        <w:rPr>
          <w:rFonts w:ascii="Verdana" w:hAnsi="Verdana"/>
          <w:sz w:val="18"/>
          <w:szCs w:val="18"/>
        </w:rPr>
      </w:pPr>
      <w:r w:rsidRPr="00F979C7">
        <w:rPr>
          <w:rFonts w:ascii="Verdana" w:hAnsi="Verdana"/>
          <w:sz w:val="18"/>
          <w:szCs w:val="18"/>
        </w:rPr>
        <w:t>El Alto Tribunal desestima el recurso y confirma íntegramente la regularización practicada por la Administración.</w:t>
      </w:r>
    </w:p>
    <w:p w14:paraId="74E859BC" w14:textId="77777777" w:rsidR="00F979C7" w:rsidRPr="00F979C7" w:rsidRDefault="00F979C7" w:rsidP="00F979C7">
      <w:pPr>
        <w:spacing w:before="100" w:beforeAutospacing="1" w:after="100" w:afterAutospacing="1"/>
        <w:ind w:left="284"/>
        <w:jc w:val="both"/>
        <w:rPr>
          <w:rFonts w:ascii="Verdana" w:hAnsi="Verdana"/>
          <w:sz w:val="18"/>
          <w:szCs w:val="18"/>
        </w:rPr>
      </w:pPr>
      <w:r w:rsidRPr="00F979C7">
        <w:rPr>
          <w:rFonts w:ascii="Verdana" w:hAnsi="Verdana"/>
          <w:sz w:val="18"/>
          <w:szCs w:val="18"/>
        </w:rPr>
        <w:t>La sentencia destaca que:</w:t>
      </w:r>
    </w:p>
    <w:p w14:paraId="10C7864C" w14:textId="77777777" w:rsidR="00F979C7" w:rsidRPr="00F979C7" w:rsidRDefault="00F979C7" w:rsidP="00F979C7">
      <w:pPr>
        <w:numPr>
          <w:ilvl w:val="0"/>
          <w:numId w:val="27"/>
        </w:numPr>
        <w:spacing w:before="100" w:beforeAutospacing="1" w:after="100" w:afterAutospacing="1"/>
        <w:jc w:val="both"/>
        <w:rPr>
          <w:rFonts w:ascii="Verdana" w:hAnsi="Verdana"/>
          <w:sz w:val="18"/>
          <w:szCs w:val="18"/>
        </w:rPr>
      </w:pPr>
      <w:r w:rsidRPr="00F979C7">
        <w:rPr>
          <w:rFonts w:ascii="Verdana" w:hAnsi="Verdana"/>
          <w:sz w:val="18"/>
          <w:szCs w:val="18"/>
        </w:rPr>
        <w:t xml:space="preserve">El hecho de que el mobiliario incorpore de forma permanente la marca del fabricante </w:t>
      </w:r>
      <w:r w:rsidRPr="00F979C7">
        <w:rPr>
          <w:rFonts w:ascii="Verdana" w:hAnsi="Verdana"/>
          <w:b/>
          <w:bCs/>
          <w:sz w:val="18"/>
          <w:szCs w:val="18"/>
        </w:rPr>
        <w:t>no basta para considerarlo objeto publicitario</w:t>
      </w:r>
      <w:r w:rsidRPr="00F979C7">
        <w:rPr>
          <w:rFonts w:ascii="Verdana" w:hAnsi="Verdana"/>
          <w:sz w:val="18"/>
          <w:szCs w:val="18"/>
        </w:rPr>
        <w:t xml:space="preserve">, ya que posee un valor económico propio y satisface necesidades reales del establecimiento hostelero. </w:t>
      </w:r>
    </w:p>
    <w:p w14:paraId="5177D4F8" w14:textId="77777777" w:rsidR="00F979C7" w:rsidRPr="00F979C7" w:rsidRDefault="00F979C7" w:rsidP="00F979C7">
      <w:pPr>
        <w:numPr>
          <w:ilvl w:val="0"/>
          <w:numId w:val="27"/>
        </w:numPr>
        <w:spacing w:before="100" w:beforeAutospacing="1" w:after="100" w:afterAutospacing="1"/>
        <w:jc w:val="both"/>
        <w:rPr>
          <w:rFonts w:ascii="Verdana" w:hAnsi="Verdana"/>
          <w:sz w:val="18"/>
          <w:szCs w:val="18"/>
        </w:rPr>
      </w:pPr>
      <w:r w:rsidRPr="00F979C7">
        <w:rPr>
          <w:rFonts w:ascii="Verdana" w:hAnsi="Verdana"/>
          <w:sz w:val="18"/>
          <w:szCs w:val="18"/>
        </w:rPr>
        <w:lastRenderedPageBreak/>
        <w:t xml:space="preserve">No quedó acreditado que existiera una auténtica cesión de uso ni que las entregas constituyeran descuentos en especie vinculados a un determinado volumen de compras. </w:t>
      </w:r>
    </w:p>
    <w:p w14:paraId="7D32133E" w14:textId="77777777" w:rsidR="00F979C7" w:rsidRDefault="00F979C7" w:rsidP="00F979C7">
      <w:pPr>
        <w:numPr>
          <w:ilvl w:val="0"/>
          <w:numId w:val="27"/>
        </w:numPr>
        <w:spacing w:before="100" w:beforeAutospacing="1" w:after="100" w:afterAutospacing="1"/>
        <w:jc w:val="both"/>
        <w:rPr>
          <w:rFonts w:ascii="Verdana" w:hAnsi="Verdana"/>
          <w:sz w:val="18"/>
          <w:szCs w:val="18"/>
        </w:rPr>
      </w:pPr>
      <w:r w:rsidRPr="00F979C7">
        <w:rPr>
          <w:rFonts w:ascii="Verdana" w:hAnsi="Verdana"/>
          <w:sz w:val="18"/>
          <w:szCs w:val="18"/>
        </w:rPr>
        <w:t xml:space="preserve">En consecuencia, las entregas tienen carácter gratuito y constituyen </w:t>
      </w:r>
      <w:r w:rsidRPr="00F979C7">
        <w:rPr>
          <w:rFonts w:ascii="Verdana" w:hAnsi="Verdana"/>
          <w:b/>
          <w:bCs/>
          <w:sz w:val="18"/>
          <w:szCs w:val="18"/>
        </w:rPr>
        <w:t>supuestos de autoconsumo externo de bienes</w:t>
      </w:r>
      <w:r w:rsidRPr="00F979C7">
        <w:rPr>
          <w:rFonts w:ascii="Verdana" w:hAnsi="Verdana"/>
          <w:sz w:val="18"/>
          <w:szCs w:val="18"/>
        </w:rPr>
        <w:t xml:space="preserve">, sin derecho a la deducción del IVA soportado en su adquisición. </w:t>
      </w:r>
    </w:p>
    <w:p w14:paraId="3E5CB74D" w14:textId="77777777" w:rsidR="001A6B56" w:rsidRPr="00F979C7" w:rsidRDefault="001A6B56" w:rsidP="001A6B56">
      <w:pPr>
        <w:ind w:left="720"/>
        <w:jc w:val="both"/>
        <w:rPr>
          <w:rFonts w:ascii="Verdana" w:hAnsi="Verdana"/>
          <w:sz w:val="18"/>
          <w:szCs w:val="18"/>
        </w:rPr>
      </w:pPr>
    </w:p>
    <w:p w14:paraId="051939F9" w14:textId="77777777" w:rsidR="00F979C7" w:rsidRPr="001A6B56" w:rsidRDefault="00F979C7" w:rsidP="001A6B56">
      <w:pPr>
        <w:ind w:left="284"/>
        <w:jc w:val="both"/>
        <w:rPr>
          <w:rFonts w:ascii="Verdana" w:hAnsi="Verdana"/>
          <w:b/>
          <w:bCs/>
          <w:sz w:val="18"/>
          <w:szCs w:val="18"/>
        </w:rPr>
      </w:pPr>
      <w:r w:rsidRPr="001A6B56">
        <w:rPr>
          <w:rFonts w:ascii="Verdana" w:hAnsi="Verdana"/>
          <w:b/>
          <w:bCs/>
          <w:sz w:val="18"/>
          <w:szCs w:val="18"/>
        </w:rPr>
        <w:t>Compatibilidad con el Derecho de la Unión Europea</w:t>
      </w:r>
    </w:p>
    <w:p w14:paraId="33D1B018" w14:textId="77777777" w:rsidR="00F979C7" w:rsidRPr="00F979C7" w:rsidRDefault="00F979C7" w:rsidP="00F979C7">
      <w:pPr>
        <w:spacing w:before="100" w:beforeAutospacing="1" w:after="100" w:afterAutospacing="1"/>
        <w:ind w:left="284"/>
        <w:jc w:val="both"/>
        <w:rPr>
          <w:rFonts w:ascii="Verdana" w:hAnsi="Verdana"/>
          <w:sz w:val="18"/>
          <w:szCs w:val="18"/>
        </w:rPr>
      </w:pPr>
      <w:r w:rsidRPr="00F979C7">
        <w:rPr>
          <w:rFonts w:ascii="Verdana" w:hAnsi="Verdana"/>
          <w:sz w:val="18"/>
          <w:szCs w:val="18"/>
        </w:rPr>
        <w:t>El Tribunal también resuelve la cuestión de interés casacional relativa a la compatibilidad del artículo 96 de la Ley del IVA con la Directiva IVA.</w:t>
      </w:r>
    </w:p>
    <w:p w14:paraId="0E5D49C3" w14:textId="77777777" w:rsidR="00F979C7" w:rsidRDefault="00F979C7" w:rsidP="00F979C7">
      <w:pPr>
        <w:spacing w:before="100" w:beforeAutospacing="1" w:after="100" w:afterAutospacing="1"/>
        <w:ind w:left="284"/>
        <w:jc w:val="both"/>
        <w:rPr>
          <w:rFonts w:ascii="Verdana" w:hAnsi="Verdana"/>
          <w:sz w:val="18"/>
          <w:szCs w:val="18"/>
        </w:rPr>
      </w:pPr>
      <w:r w:rsidRPr="00F979C7">
        <w:rPr>
          <w:rFonts w:ascii="Verdana" w:hAnsi="Verdana"/>
          <w:sz w:val="18"/>
          <w:szCs w:val="18"/>
        </w:rPr>
        <w:t xml:space="preserve">Para ello se apoya en la reciente sentencia del Tribunal de Justicia de la Unión Europea de 12 de marzo de 2026 (asunto C-515/24), que declara que la denominada </w:t>
      </w:r>
      <w:r w:rsidRPr="00F979C7">
        <w:rPr>
          <w:rFonts w:ascii="Verdana" w:hAnsi="Verdana"/>
          <w:b/>
          <w:bCs/>
          <w:sz w:val="18"/>
          <w:szCs w:val="18"/>
        </w:rPr>
        <w:t>cláusula "standstill"</w:t>
      </w:r>
      <w:r w:rsidRPr="00F979C7">
        <w:rPr>
          <w:rFonts w:ascii="Verdana" w:hAnsi="Verdana"/>
          <w:sz w:val="18"/>
          <w:szCs w:val="18"/>
        </w:rPr>
        <w:t xml:space="preserve"> permite mantener esta exclusión del derecho a deducir, al tratarse de una limitación existente desde la implantación del IVA en España y compatible con el sistema armonizado europeo. </w:t>
      </w:r>
    </w:p>
    <w:p w14:paraId="46809C9D" w14:textId="77777777" w:rsidR="001A6B56" w:rsidRPr="00F979C7" w:rsidRDefault="001A6B56" w:rsidP="001A6B56">
      <w:pPr>
        <w:ind w:left="284"/>
        <w:jc w:val="both"/>
        <w:rPr>
          <w:rFonts w:ascii="Verdana" w:hAnsi="Verdana"/>
          <w:sz w:val="18"/>
          <w:szCs w:val="18"/>
        </w:rPr>
      </w:pPr>
    </w:p>
    <w:p w14:paraId="2BE3646E" w14:textId="77777777" w:rsidR="00F979C7" w:rsidRPr="00F979C7" w:rsidRDefault="00F979C7" w:rsidP="00F979C7">
      <w:pPr>
        <w:spacing w:before="100" w:beforeAutospacing="1" w:after="100" w:afterAutospacing="1"/>
        <w:ind w:left="284"/>
        <w:jc w:val="both"/>
        <w:rPr>
          <w:rFonts w:ascii="Verdana" w:hAnsi="Verdana"/>
          <w:b/>
          <w:bCs/>
          <w:sz w:val="18"/>
          <w:szCs w:val="18"/>
        </w:rPr>
      </w:pPr>
      <w:r w:rsidRPr="00F979C7">
        <w:rPr>
          <w:rFonts w:ascii="Verdana" w:hAnsi="Verdana"/>
          <w:b/>
          <w:bCs/>
          <w:sz w:val="18"/>
          <w:szCs w:val="18"/>
        </w:rPr>
        <w:t>Doctrina que consolida</w:t>
      </w:r>
    </w:p>
    <w:p w14:paraId="4D909857" w14:textId="77777777" w:rsidR="00F979C7" w:rsidRPr="00F979C7" w:rsidRDefault="00F979C7" w:rsidP="00F979C7">
      <w:pPr>
        <w:spacing w:before="100" w:beforeAutospacing="1" w:after="100" w:afterAutospacing="1"/>
        <w:ind w:left="284"/>
        <w:jc w:val="both"/>
        <w:rPr>
          <w:rFonts w:ascii="Verdana" w:hAnsi="Verdana"/>
          <w:sz w:val="18"/>
          <w:szCs w:val="18"/>
        </w:rPr>
      </w:pPr>
      <w:r w:rsidRPr="00F979C7">
        <w:rPr>
          <w:rFonts w:ascii="Verdana" w:hAnsi="Verdana"/>
          <w:sz w:val="18"/>
          <w:szCs w:val="18"/>
        </w:rPr>
        <w:t>El Tribunal Supremo reafirma que:</w:t>
      </w:r>
    </w:p>
    <w:p w14:paraId="3F312D47" w14:textId="77777777" w:rsidR="00F979C7" w:rsidRPr="00F979C7" w:rsidRDefault="00F979C7" w:rsidP="00F979C7">
      <w:pPr>
        <w:numPr>
          <w:ilvl w:val="0"/>
          <w:numId w:val="28"/>
        </w:numPr>
        <w:spacing w:before="100" w:beforeAutospacing="1" w:after="100" w:afterAutospacing="1"/>
        <w:jc w:val="both"/>
        <w:rPr>
          <w:rFonts w:ascii="Verdana" w:hAnsi="Verdana"/>
          <w:sz w:val="18"/>
          <w:szCs w:val="18"/>
        </w:rPr>
      </w:pPr>
      <w:r w:rsidRPr="00F979C7">
        <w:rPr>
          <w:rFonts w:ascii="Verdana" w:hAnsi="Verdana"/>
          <w:sz w:val="18"/>
          <w:szCs w:val="18"/>
        </w:rPr>
        <w:t xml:space="preserve">El IVA soportado por bienes entregados gratuitamente como atenciones a clientes </w:t>
      </w:r>
      <w:r w:rsidRPr="00F979C7">
        <w:rPr>
          <w:rFonts w:ascii="Verdana" w:hAnsi="Verdana"/>
          <w:b/>
          <w:bCs/>
          <w:sz w:val="18"/>
          <w:szCs w:val="18"/>
        </w:rPr>
        <w:t>no es deducible</w:t>
      </w:r>
      <w:r w:rsidRPr="00F979C7">
        <w:rPr>
          <w:rFonts w:ascii="Verdana" w:hAnsi="Verdana"/>
          <w:sz w:val="18"/>
          <w:szCs w:val="18"/>
        </w:rPr>
        <w:t xml:space="preserve">. </w:t>
      </w:r>
    </w:p>
    <w:p w14:paraId="5CA2D74E" w14:textId="77777777" w:rsidR="00F979C7" w:rsidRPr="00F979C7" w:rsidRDefault="00F979C7" w:rsidP="00F979C7">
      <w:pPr>
        <w:numPr>
          <w:ilvl w:val="0"/>
          <w:numId w:val="28"/>
        </w:numPr>
        <w:spacing w:before="100" w:beforeAutospacing="1" w:after="100" w:afterAutospacing="1"/>
        <w:jc w:val="both"/>
        <w:rPr>
          <w:rFonts w:ascii="Verdana" w:hAnsi="Verdana"/>
          <w:sz w:val="18"/>
          <w:szCs w:val="18"/>
        </w:rPr>
      </w:pPr>
      <w:r w:rsidRPr="00F979C7">
        <w:rPr>
          <w:rFonts w:ascii="Verdana" w:hAnsi="Verdana"/>
          <w:sz w:val="18"/>
          <w:szCs w:val="18"/>
        </w:rPr>
        <w:t xml:space="preserve">La mera incorporación de la marca comercial no convierte dichos bienes en objetos publicitarios cuando conservan un valor comercial propio. </w:t>
      </w:r>
    </w:p>
    <w:p w14:paraId="6E2AB55B" w14:textId="77777777" w:rsidR="00F979C7" w:rsidRPr="00F979C7" w:rsidRDefault="00F979C7" w:rsidP="00F979C7">
      <w:pPr>
        <w:numPr>
          <w:ilvl w:val="0"/>
          <w:numId w:val="28"/>
        </w:numPr>
        <w:spacing w:before="100" w:beforeAutospacing="1" w:after="100" w:afterAutospacing="1"/>
        <w:jc w:val="both"/>
        <w:rPr>
          <w:rFonts w:ascii="Verdana" w:hAnsi="Verdana"/>
          <w:sz w:val="18"/>
          <w:szCs w:val="18"/>
        </w:rPr>
      </w:pPr>
      <w:r w:rsidRPr="00F979C7">
        <w:rPr>
          <w:rFonts w:ascii="Verdana" w:hAnsi="Verdana"/>
          <w:sz w:val="18"/>
          <w:szCs w:val="18"/>
        </w:rPr>
        <w:t xml:space="preserve">Solo quedarían fuera de esta limitación las </w:t>
      </w:r>
      <w:r w:rsidRPr="00F979C7">
        <w:rPr>
          <w:rFonts w:ascii="Verdana" w:hAnsi="Verdana"/>
          <w:b/>
          <w:bCs/>
          <w:sz w:val="18"/>
          <w:szCs w:val="18"/>
        </w:rPr>
        <w:t>muestras comerciales</w:t>
      </w:r>
      <w:r w:rsidRPr="00F979C7">
        <w:rPr>
          <w:rFonts w:ascii="Verdana" w:hAnsi="Verdana"/>
          <w:sz w:val="18"/>
          <w:szCs w:val="18"/>
        </w:rPr>
        <w:t xml:space="preserve"> o los </w:t>
      </w:r>
      <w:r w:rsidRPr="00F979C7">
        <w:rPr>
          <w:rFonts w:ascii="Verdana" w:hAnsi="Verdana"/>
          <w:b/>
          <w:bCs/>
          <w:sz w:val="18"/>
          <w:szCs w:val="18"/>
        </w:rPr>
        <w:t>obsequios de escaso valor</w:t>
      </w:r>
      <w:r w:rsidRPr="00F979C7">
        <w:rPr>
          <w:rFonts w:ascii="Verdana" w:hAnsi="Verdana"/>
          <w:sz w:val="18"/>
          <w:szCs w:val="18"/>
        </w:rPr>
        <w:t xml:space="preserve"> previstos en la Ley del IVA. </w:t>
      </w:r>
    </w:p>
    <w:p w14:paraId="777C6515" w14:textId="77777777" w:rsidR="00F979C7" w:rsidRDefault="00F979C7" w:rsidP="00F979C7">
      <w:pPr>
        <w:numPr>
          <w:ilvl w:val="0"/>
          <w:numId w:val="28"/>
        </w:numPr>
        <w:spacing w:before="100" w:beforeAutospacing="1" w:after="100" w:afterAutospacing="1"/>
        <w:jc w:val="both"/>
        <w:rPr>
          <w:rFonts w:ascii="Verdana" w:hAnsi="Verdana"/>
          <w:sz w:val="18"/>
          <w:szCs w:val="18"/>
        </w:rPr>
      </w:pPr>
      <w:r w:rsidRPr="00F979C7">
        <w:rPr>
          <w:rFonts w:ascii="Verdana" w:hAnsi="Verdana"/>
          <w:sz w:val="18"/>
          <w:szCs w:val="18"/>
        </w:rPr>
        <w:t xml:space="preserve">La limitación establecida en el artículo 96 LIVA resulta plenamente compatible con el Derecho de la Unión Europea. </w:t>
      </w:r>
    </w:p>
    <w:p w14:paraId="350BD35F" w14:textId="77777777" w:rsidR="001A6B56" w:rsidRPr="00F979C7" w:rsidRDefault="001A6B56" w:rsidP="001A6B56">
      <w:pPr>
        <w:ind w:left="357"/>
        <w:jc w:val="both"/>
        <w:rPr>
          <w:rFonts w:ascii="Verdana" w:hAnsi="Verdana"/>
          <w:sz w:val="18"/>
          <w:szCs w:val="18"/>
        </w:rPr>
      </w:pPr>
    </w:p>
    <w:p w14:paraId="7A3ECEBC" w14:textId="77777777" w:rsidR="00F979C7" w:rsidRPr="00F979C7" w:rsidRDefault="00F979C7" w:rsidP="00F979C7">
      <w:pPr>
        <w:spacing w:before="100" w:beforeAutospacing="1" w:after="100" w:afterAutospacing="1"/>
        <w:ind w:left="284"/>
        <w:jc w:val="both"/>
        <w:rPr>
          <w:rFonts w:ascii="Verdana" w:hAnsi="Verdana"/>
          <w:b/>
          <w:bCs/>
          <w:sz w:val="18"/>
          <w:szCs w:val="18"/>
        </w:rPr>
      </w:pPr>
      <w:r w:rsidRPr="00F979C7">
        <w:rPr>
          <w:rFonts w:ascii="Verdana" w:hAnsi="Verdana"/>
          <w:b/>
          <w:bCs/>
          <w:sz w:val="18"/>
          <w:szCs w:val="18"/>
        </w:rPr>
        <w:t>Conclusión</w:t>
      </w:r>
    </w:p>
    <w:p w14:paraId="568E0918" w14:textId="77777777" w:rsidR="00F979C7" w:rsidRDefault="00F979C7" w:rsidP="00F979C7">
      <w:pPr>
        <w:spacing w:before="100" w:beforeAutospacing="1" w:after="100" w:afterAutospacing="1"/>
        <w:ind w:left="284"/>
        <w:jc w:val="both"/>
        <w:rPr>
          <w:rFonts w:ascii="Verdana" w:hAnsi="Verdana"/>
          <w:sz w:val="18"/>
          <w:szCs w:val="18"/>
        </w:rPr>
      </w:pPr>
      <w:r w:rsidRPr="00F979C7">
        <w:rPr>
          <w:rFonts w:ascii="Verdana" w:hAnsi="Verdana"/>
          <w:sz w:val="18"/>
          <w:szCs w:val="18"/>
        </w:rPr>
        <w:t xml:space="preserve">Esta sentencia consolida definitivamente la jurisprudencia del Tribunal Supremo sobre el tratamiento del material promocional entregado gratuitamente a clientes, reforzando el criterio administrativo de que estos bienes constituyen </w:t>
      </w:r>
      <w:r w:rsidRPr="00F979C7">
        <w:rPr>
          <w:rFonts w:ascii="Verdana" w:hAnsi="Verdana"/>
          <w:b/>
          <w:bCs/>
          <w:sz w:val="18"/>
          <w:szCs w:val="18"/>
        </w:rPr>
        <w:t>atenciones a clientes</w:t>
      </w:r>
      <w:r w:rsidRPr="00F979C7">
        <w:rPr>
          <w:rFonts w:ascii="Verdana" w:hAnsi="Verdana"/>
          <w:sz w:val="18"/>
          <w:szCs w:val="18"/>
        </w:rPr>
        <w:t xml:space="preserve"> y, por tanto, </w:t>
      </w:r>
      <w:r w:rsidRPr="00F979C7">
        <w:rPr>
          <w:rFonts w:ascii="Verdana" w:hAnsi="Verdana"/>
          <w:b/>
          <w:bCs/>
          <w:sz w:val="18"/>
          <w:szCs w:val="18"/>
        </w:rPr>
        <w:t>el IVA soportado en su adquisición no puede deducirse</w:t>
      </w:r>
      <w:r w:rsidRPr="00F979C7">
        <w:rPr>
          <w:rFonts w:ascii="Verdana" w:hAnsi="Verdana"/>
          <w:sz w:val="18"/>
          <w:szCs w:val="18"/>
        </w:rPr>
        <w:t xml:space="preserve">, salvo que se trate de muestras comerciales o de obsequios de escaso valor expresamente previstos en la normativa. Además, confirma la plena adecuación de esta limitación al Derecho de la Unión Europea. </w:t>
      </w:r>
    </w:p>
    <w:p w14:paraId="15451D97" w14:textId="77777777" w:rsidR="00F979C7" w:rsidRPr="00F979C7" w:rsidRDefault="00F979C7" w:rsidP="00F979C7">
      <w:pPr>
        <w:spacing w:before="100" w:beforeAutospacing="1" w:after="100" w:afterAutospacing="1"/>
        <w:ind w:left="284"/>
        <w:jc w:val="both"/>
        <w:rPr>
          <w:rFonts w:ascii="Verdana" w:hAnsi="Verdana"/>
          <w:sz w:val="18"/>
          <w:szCs w:val="18"/>
        </w:rPr>
      </w:pPr>
    </w:p>
    <w:tbl>
      <w:tblPr>
        <w:tblW w:w="8640" w:type="dxa"/>
        <w:tblInd w:w="70" w:type="dxa"/>
        <w:tblCellMar>
          <w:left w:w="70" w:type="dxa"/>
          <w:right w:w="70" w:type="dxa"/>
        </w:tblCellMar>
        <w:tblLook w:val="0000" w:firstRow="0" w:lastRow="0" w:firstColumn="0" w:lastColumn="0" w:noHBand="0" w:noVBand="0"/>
      </w:tblPr>
      <w:tblGrid>
        <w:gridCol w:w="180"/>
        <w:gridCol w:w="8460"/>
      </w:tblGrid>
      <w:tr w:rsidR="00416C93" w:rsidRPr="00073735" w14:paraId="5A61812E" w14:textId="77777777" w:rsidTr="00F06E1E">
        <w:tc>
          <w:tcPr>
            <w:tcW w:w="180" w:type="dxa"/>
            <w:shd w:val="clear" w:color="auto" w:fill="FF6600"/>
          </w:tcPr>
          <w:p w14:paraId="3CEB043F" w14:textId="77777777" w:rsidR="00416C93" w:rsidRDefault="00416C93" w:rsidP="00F06E1E">
            <w:pPr>
              <w:rPr>
                <w:rFonts w:ascii="Verdana" w:hAnsi="Verdana"/>
                <w:b/>
                <w:bCs/>
                <w:color w:val="800000"/>
                <w:sz w:val="18"/>
                <w:szCs w:val="18"/>
              </w:rPr>
            </w:pPr>
          </w:p>
          <w:p w14:paraId="139538CC" w14:textId="77777777" w:rsidR="00F979C7" w:rsidRDefault="00F979C7" w:rsidP="00F06E1E">
            <w:pPr>
              <w:rPr>
                <w:rFonts w:ascii="Verdana" w:hAnsi="Verdana"/>
                <w:b/>
                <w:bCs/>
                <w:color w:val="800000"/>
                <w:sz w:val="18"/>
                <w:szCs w:val="18"/>
              </w:rPr>
            </w:pPr>
          </w:p>
          <w:p w14:paraId="13FAB909" w14:textId="77777777" w:rsidR="00F979C7" w:rsidRPr="00073735" w:rsidRDefault="00F979C7" w:rsidP="00F06E1E">
            <w:pPr>
              <w:rPr>
                <w:rFonts w:ascii="Verdana" w:hAnsi="Verdana"/>
                <w:b/>
                <w:bCs/>
                <w:color w:val="800000"/>
                <w:sz w:val="18"/>
                <w:szCs w:val="18"/>
              </w:rPr>
            </w:pPr>
          </w:p>
        </w:tc>
        <w:tc>
          <w:tcPr>
            <w:tcW w:w="8460" w:type="dxa"/>
          </w:tcPr>
          <w:p w14:paraId="14995BC0" w14:textId="215FD242" w:rsidR="00416C93" w:rsidRPr="00073735" w:rsidRDefault="00416C93" w:rsidP="00F06E1E">
            <w:pPr>
              <w:numPr>
                <w:ilvl w:val="0"/>
                <w:numId w:val="1"/>
              </w:numPr>
              <w:tabs>
                <w:tab w:val="clear" w:pos="720"/>
                <w:tab w:val="num" w:pos="317"/>
              </w:tabs>
              <w:ind w:left="317" w:hanging="283"/>
              <w:jc w:val="both"/>
              <w:rPr>
                <w:rFonts w:ascii="Verdana" w:hAnsi="Verdana"/>
                <w:b/>
                <w:bCs/>
                <w:color w:val="800000"/>
                <w:spacing w:val="-8"/>
                <w:sz w:val="18"/>
                <w:szCs w:val="18"/>
              </w:rPr>
            </w:pPr>
            <w:r w:rsidRPr="00073735">
              <w:rPr>
                <w:rFonts w:ascii="Verdana" w:hAnsi="Verdana"/>
                <w:b/>
                <w:bCs/>
                <w:color w:val="800000"/>
                <w:sz w:val="18"/>
                <w:szCs w:val="18"/>
              </w:rPr>
              <w:t>IIVTNU.- EL VALOR DE REFERENCIA NO PUEDE UTILIZARSE COMO VALOR DE TRANSMISIÓN A EFECTOS DE LA PLUSVALÍA MUNICIPAL (IIVTNU) SIN TRAMITAR ANTES UN PROCEDIMIENTO DE COMPROBACIÓN DE VALORES</w:t>
            </w:r>
          </w:p>
        </w:tc>
      </w:tr>
    </w:tbl>
    <w:p w14:paraId="103125A6" w14:textId="77777777" w:rsidR="00416C93" w:rsidRPr="00416C93" w:rsidRDefault="00416C93" w:rsidP="00416C93">
      <w:pPr>
        <w:spacing w:before="100" w:beforeAutospacing="1" w:after="100" w:afterAutospacing="1"/>
        <w:ind w:left="284"/>
        <w:jc w:val="both"/>
        <w:rPr>
          <w:rFonts w:ascii="Verdana" w:hAnsi="Verdana"/>
          <w:sz w:val="18"/>
          <w:szCs w:val="18"/>
        </w:rPr>
      </w:pPr>
      <w:r w:rsidRPr="00416C93">
        <w:rPr>
          <w:rFonts w:ascii="Verdana" w:hAnsi="Verdana"/>
          <w:sz w:val="18"/>
          <w:szCs w:val="18"/>
        </w:rPr>
        <w:t xml:space="preserve">La Dirección General de Tributos, en su </w:t>
      </w:r>
      <w:r w:rsidRPr="00416C93">
        <w:rPr>
          <w:rFonts w:ascii="Verdana" w:hAnsi="Verdana"/>
          <w:b/>
          <w:bCs/>
          <w:sz w:val="18"/>
          <w:szCs w:val="18"/>
        </w:rPr>
        <w:t>Consulta Vinculante V0792-26, de 9 de abril de 2026</w:t>
      </w:r>
      <w:r w:rsidRPr="00416C93">
        <w:rPr>
          <w:rFonts w:ascii="Verdana" w:hAnsi="Verdana"/>
          <w:sz w:val="18"/>
          <w:szCs w:val="18"/>
        </w:rPr>
        <w:t xml:space="preserve">, aclara que, a efectos de acreditar la inexistencia de incremento de valor en el Impuesto sobre el Incremento de Valor de los Terrenos de Naturaleza Urbana (IIVTNU), </w:t>
      </w:r>
      <w:r w:rsidRPr="00416C93">
        <w:rPr>
          <w:rFonts w:ascii="Verdana" w:hAnsi="Verdana"/>
          <w:b/>
          <w:bCs/>
          <w:sz w:val="18"/>
          <w:szCs w:val="18"/>
        </w:rPr>
        <w:t>el valor de referencia del Catastro no puede utilizarse automáticamente como valor de transmisión</w:t>
      </w:r>
      <w:r w:rsidRPr="00416C93">
        <w:rPr>
          <w:rFonts w:ascii="Verdana" w:hAnsi="Verdana"/>
          <w:sz w:val="18"/>
          <w:szCs w:val="18"/>
        </w:rPr>
        <w:t xml:space="preserve">, sustituyendo al precio pactado en la escritura. </w:t>
      </w:r>
    </w:p>
    <w:p w14:paraId="487E095A" w14:textId="77777777" w:rsidR="00416C93" w:rsidRPr="00416C93" w:rsidRDefault="00416C93" w:rsidP="00416C93">
      <w:pPr>
        <w:spacing w:before="100" w:beforeAutospacing="1" w:after="100" w:afterAutospacing="1"/>
        <w:ind w:left="284"/>
        <w:jc w:val="both"/>
        <w:rPr>
          <w:rFonts w:ascii="Verdana" w:hAnsi="Verdana"/>
          <w:sz w:val="18"/>
          <w:szCs w:val="18"/>
        </w:rPr>
      </w:pPr>
      <w:r w:rsidRPr="00416C93">
        <w:rPr>
          <w:rFonts w:ascii="Verdana" w:hAnsi="Verdana"/>
          <w:sz w:val="18"/>
          <w:szCs w:val="18"/>
        </w:rPr>
        <w:t>La consulta analiza el caso de un inmueble vendido por un precio inferior al valor de referencia catastral, en el que el ayuntamiento pretendía considerar este último como valor de transmisión sin tramitar un procedimiento de comprobación de valores.</w:t>
      </w:r>
    </w:p>
    <w:p w14:paraId="26399671" w14:textId="77777777" w:rsidR="00416C93" w:rsidRPr="00416C93" w:rsidRDefault="00416C93" w:rsidP="00416C93">
      <w:pPr>
        <w:spacing w:before="100" w:beforeAutospacing="1" w:after="100" w:afterAutospacing="1"/>
        <w:ind w:left="284"/>
        <w:jc w:val="both"/>
        <w:rPr>
          <w:rFonts w:ascii="Verdana" w:hAnsi="Verdana"/>
          <w:sz w:val="18"/>
          <w:szCs w:val="18"/>
        </w:rPr>
      </w:pPr>
      <w:r w:rsidRPr="00416C93">
        <w:rPr>
          <w:rFonts w:ascii="Verdana" w:hAnsi="Verdana"/>
          <w:sz w:val="18"/>
          <w:szCs w:val="18"/>
        </w:rPr>
        <w:t xml:space="preserve">La DGT recuerda que el artículo 104.5 del TRLRHL establece que, para determinar la existencia o no de incremento de valor, debe tomarse </w:t>
      </w:r>
      <w:r w:rsidRPr="00416C93">
        <w:rPr>
          <w:rFonts w:ascii="Verdana" w:hAnsi="Verdana"/>
          <w:b/>
          <w:bCs/>
          <w:sz w:val="18"/>
          <w:szCs w:val="18"/>
        </w:rPr>
        <w:t>el mayor entre el valor consignado en el título de transmisión y el valor comprobado por la Administración</w:t>
      </w:r>
      <w:r w:rsidRPr="00416C93">
        <w:rPr>
          <w:rFonts w:ascii="Verdana" w:hAnsi="Verdana"/>
          <w:sz w:val="18"/>
          <w:szCs w:val="18"/>
        </w:rPr>
        <w:t xml:space="preserve">, cuando exista una comprobación válida. A diferencia de lo que sucede en el Impuesto sobre </w:t>
      </w:r>
      <w:r w:rsidRPr="00416C93">
        <w:rPr>
          <w:rFonts w:ascii="Verdana" w:hAnsi="Verdana"/>
          <w:sz w:val="18"/>
          <w:szCs w:val="18"/>
        </w:rPr>
        <w:lastRenderedPageBreak/>
        <w:t xml:space="preserve">Sucesiones y Donaciones y en el Impuesto sobre Transmisiones Patrimoniales, </w:t>
      </w:r>
      <w:r w:rsidRPr="00416C93">
        <w:rPr>
          <w:rFonts w:ascii="Verdana" w:hAnsi="Verdana"/>
          <w:b/>
          <w:bCs/>
          <w:sz w:val="18"/>
          <w:szCs w:val="18"/>
        </w:rPr>
        <w:t>la normativa del IIVTNU no atribuye al valor de referencia del Catastro la condición de valor de transmisión</w:t>
      </w:r>
      <w:r w:rsidRPr="00416C93">
        <w:rPr>
          <w:rFonts w:ascii="Verdana" w:hAnsi="Verdana"/>
          <w:sz w:val="18"/>
          <w:szCs w:val="18"/>
        </w:rPr>
        <w:t xml:space="preserve">. </w:t>
      </w:r>
    </w:p>
    <w:p w14:paraId="0A4D313D" w14:textId="77777777" w:rsidR="00416C93" w:rsidRPr="00416C93" w:rsidRDefault="00416C93" w:rsidP="00416C93">
      <w:pPr>
        <w:spacing w:before="100" w:beforeAutospacing="1" w:after="100" w:afterAutospacing="1"/>
        <w:ind w:left="284"/>
        <w:jc w:val="both"/>
        <w:rPr>
          <w:rFonts w:ascii="Verdana" w:hAnsi="Verdana"/>
          <w:sz w:val="18"/>
          <w:szCs w:val="18"/>
        </w:rPr>
      </w:pPr>
      <w:r w:rsidRPr="00416C93">
        <w:rPr>
          <w:rFonts w:ascii="Verdana" w:hAnsi="Verdana"/>
          <w:sz w:val="18"/>
          <w:szCs w:val="18"/>
        </w:rPr>
        <w:t xml:space="preserve">No obstante, la consulta precisa que el ayuntamiento </w:t>
      </w:r>
      <w:r w:rsidRPr="00416C93">
        <w:rPr>
          <w:rFonts w:ascii="Verdana" w:hAnsi="Verdana"/>
          <w:b/>
          <w:bCs/>
          <w:sz w:val="18"/>
          <w:szCs w:val="18"/>
        </w:rPr>
        <w:t>sí puede utilizar el valor de referencia como elemento de comprobación</w:t>
      </w:r>
      <w:r w:rsidRPr="00416C93">
        <w:rPr>
          <w:rFonts w:ascii="Verdana" w:hAnsi="Verdana"/>
          <w:sz w:val="18"/>
          <w:szCs w:val="18"/>
        </w:rPr>
        <w:t xml:space="preserve">, pero únicamente dentro de un procedimiento formal de comprobación de valores y motivando adecuadamente su utilización, al amparo del artículo 57 de la Ley General Tributaria. En consecuencia, </w:t>
      </w:r>
      <w:r w:rsidRPr="00416C93">
        <w:rPr>
          <w:rFonts w:ascii="Verdana" w:hAnsi="Verdana"/>
          <w:b/>
          <w:bCs/>
          <w:sz w:val="18"/>
          <w:szCs w:val="18"/>
        </w:rPr>
        <w:t>no resulta admisible sustituir directamente el precio escriturado por el valor de referencia sin seguir dicho procedimiento</w:t>
      </w:r>
      <w:r w:rsidRPr="00416C93">
        <w:rPr>
          <w:rFonts w:ascii="Verdana" w:hAnsi="Verdana"/>
          <w:sz w:val="18"/>
          <w:szCs w:val="18"/>
        </w:rPr>
        <w:t xml:space="preserve">. </w:t>
      </w:r>
    </w:p>
    <w:p w14:paraId="4E66AFE0" w14:textId="77777777" w:rsidR="00416C93" w:rsidRPr="00416C93" w:rsidRDefault="00416C93" w:rsidP="00416C93">
      <w:pPr>
        <w:spacing w:before="100" w:beforeAutospacing="1" w:after="100" w:afterAutospacing="1"/>
        <w:ind w:left="284"/>
        <w:jc w:val="both"/>
        <w:outlineLvl w:val="2"/>
        <w:rPr>
          <w:rFonts w:ascii="Verdana" w:hAnsi="Verdana"/>
          <w:b/>
          <w:bCs/>
          <w:sz w:val="18"/>
          <w:szCs w:val="18"/>
        </w:rPr>
      </w:pPr>
      <w:r w:rsidRPr="00416C93">
        <w:rPr>
          <w:rFonts w:ascii="Verdana" w:hAnsi="Verdana"/>
          <w:b/>
          <w:bCs/>
          <w:sz w:val="18"/>
          <w:szCs w:val="18"/>
        </w:rPr>
        <w:t>Conclusión</w:t>
      </w:r>
    </w:p>
    <w:p w14:paraId="5475FF7D" w14:textId="77777777" w:rsidR="00416C93" w:rsidRDefault="00416C93" w:rsidP="00416C93">
      <w:pPr>
        <w:spacing w:before="100" w:beforeAutospacing="1" w:after="100" w:afterAutospacing="1"/>
        <w:ind w:left="284"/>
        <w:jc w:val="both"/>
        <w:rPr>
          <w:rFonts w:ascii="Verdana" w:hAnsi="Verdana"/>
          <w:sz w:val="18"/>
          <w:szCs w:val="18"/>
        </w:rPr>
      </w:pPr>
      <w:r w:rsidRPr="00416C93">
        <w:rPr>
          <w:rFonts w:ascii="Verdana" w:hAnsi="Verdana"/>
          <w:sz w:val="18"/>
          <w:szCs w:val="18"/>
        </w:rPr>
        <w:t xml:space="preserve">La DGT confirma que, en la plusvalía municipal, </w:t>
      </w:r>
      <w:r w:rsidRPr="00416C93">
        <w:rPr>
          <w:rFonts w:ascii="Verdana" w:hAnsi="Verdana"/>
          <w:b/>
          <w:bCs/>
          <w:sz w:val="18"/>
          <w:szCs w:val="18"/>
        </w:rPr>
        <w:t>el valor de referencia catastral no desplaza automáticamente al precio de transmisión</w:t>
      </w:r>
      <w:r w:rsidRPr="00416C93">
        <w:rPr>
          <w:rFonts w:ascii="Verdana" w:hAnsi="Verdana"/>
          <w:sz w:val="18"/>
          <w:szCs w:val="18"/>
        </w:rPr>
        <w:t xml:space="preserve">. Solo podrá prevalecer si la Administración local tramita un procedimiento de comprobación de valores debidamente motivado, por lo que los ayuntamientos no pueden basar sus liquidaciones exclusivamente en el valor de referencia del Catastro. </w:t>
      </w:r>
    </w:p>
    <w:p w14:paraId="0BA13B32" w14:textId="77777777" w:rsidR="00D72D56" w:rsidRPr="00416C93" w:rsidRDefault="00D72D56" w:rsidP="00416C93">
      <w:pPr>
        <w:spacing w:before="100" w:beforeAutospacing="1" w:after="100" w:afterAutospacing="1"/>
        <w:ind w:left="284"/>
        <w:jc w:val="both"/>
        <w:rPr>
          <w:rFonts w:ascii="Verdana" w:hAnsi="Verdana"/>
          <w:sz w:val="18"/>
          <w:szCs w:val="18"/>
        </w:rPr>
      </w:pPr>
    </w:p>
    <w:tbl>
      <w:tblPr>
        <w:tblW w:w="8640" w:type="dxa"/>
        <w:tblInd w:w="70" w:type="dxa"/>
        <w:tblCellMar>
          <w:left w:w="70" w:type="dxa"/>
          <w:right w:w="70" w:type="dxa"/>
        </w:tblCellMar>
        <w:tblLook w:val="0000" w:firstRow="0" w:lastRow="0" w:firstColumn="0" w:lastColumn="0" w:noHBand="0" w:noVBand="0"/>
      </w:tblPr>
      <w:tblGrid>
        <w:gridCol w:w="180"/>
        <w:gridCol w:w="8460"/>
      </w:tblGrid>
      <w:tr w:rsidR="00D72D56" w:rsidRPr="00AE2170" w14:paraId="07E37A30" w14:textId="77777777" w:rsidTr="00F06E1E">
        <w:tc>
          <w:tcPr>
            <w:tcW w:w="180" w:type="dxa"/>
            <w:shd w:val="clear" w:color="auto" w:fill="FF6600"/>
          </w:tcPr>
          <w:p w14:paraId="2B675D3F" w14:textId="77777777" w:rsidR="00D72D56" w:rsidRPr="00AE2170" w:rsidRDefault="00D72D56" w:rsidP="00F06E1E">
            <w:pPr>
              <w:rPr>
                <w:rFonts w:ascii="Verdana" w:hAnsi="Verdana"/>
                <w:b/>
                <w:bCs/>
                <w:color w:val="800000"/>
                <w:sz w:val="18"/>
                <w:szCs w:val="18"/>
              </w:rPr>
            </w:pPr>
          </w:p>
        </w:tc>
        <w:tc>
          <w:tcPr>
            <w:tcW w:w="8460" w:type="dxa"/>
          </w:tcPr>
          <w:p w14:paraId="3771129A" w14:textId="6FCCE1BC" w:rsidR="00D72D56" w:rsidRPr="00AE2170" w:rsidRDefault="00AE2170" w:rsidP="00F06E1E">
            <w:pPr>
              <w:numPr>
                <w:ilvl w:val="0"/>
                <w:numId w:val="1"/>
              </w:numPr>
              <w:tabs>
                <w:tab w:val="clear" w:pos="720"/>
                <w:tab w:val="num" w:pos="317"/>
              </w:tabs>
              <w:ind w:left="317" w:hanging="283"/>
              <w:jc w:val="both"/>
              <w:rPr>
                <w:rFonts w:ascii="Verdana" w:hAnsi="Verdana"/>
                <w:b/>
                <w:bCs/>
                <w:color w:val="800000"/>
                <w:spacing w:val="-8"/>
                <w:sz w:val="18"/>
                <w:szCs w:val="18"/>
              </w:rPr>
            </w:pPr>
            <w:r w:rsidRPr="00AE2170">
              <w:rPr>
                <w:rFonts w:ascii="Verdana" w:hAnsi="Verdana"/>
                <w:b/>
                <w:bCs/>
                <w:color w:val="800000"/>
                <w:sz w:val="18"/>
                <w:szCs w:val="18"/>
              </w:rPr>
              <w:t>RESPONSABILIDAD SUBSIDIARIA: OBLIGACIÓN DE DECLARAR PREVIAMENTE FALLIDOS A LOS SOCIOS DE UNA SOCIEDAD DISUELTA Y LIQUIDADA</w:t>
            </w:r>
          </w:p>
        </w:tc>
      </w:tr>
    </w:tbl>
    <w:p w14:paraId="41E2D242" w14:textId="77777777" w:rsidR="00AE2170" w:rsidRPr="00AE2170" w:rsidRDefault="00AE2170" w:rsidP="00AE2170">
      <w:pPr>
        <w:spacing w:before="100" w:beforeAutospacing="1" w:after="100" w:afterAutospacing="1"/>
        <w:ind w:left="284"/>
        <w:jc w:val="both"/>
        <w:rPr>
          <w:rFonts w:ascii="Verdana" w:hAnsi="Verdana"/>
          <w:i/>
          <w:iCs/>
          <w:sz w:val="18"/>
          <w:szCs w:val="18"/>
        </w:rPr>
      </w:pPr>
      <w:r w:rsidRPr="00AE2170">
        <w:rPr>
          <w:rFonts w:ascii="Verdana" w:hAnsi="Verdana"/>
          <w:i/>
          <w:iCs/>
          <w:sz w:val="18"/>
          <w:szCs w:val="18"/>
        </w:rPr>
        <w:t xml:space="preserve">El Tribunal Supremo resuelve una cuestión de gran trascendencia práctica en materia de responsabilidad tributaria subsidiaria de administradores. La controversia consistía en determinar si, una vez extinguida una sociedad mercantil, la Administración puede derivar directamente la responsabilidad subsidiaria al administrador o, por el contrario, debe dirigirse previamente contra los socios como sucesores de la sociedad. </w:t>
      </w:r>
    </w:p>
    <w:p w14:paraId="35A912E8" w14:textId="4E2DC22B" w:rsidR="00AE2170" w:rsidRPr="00AE2170" w:rsidRDefault="00AE2170" w:rsidP="00AE2170">
      <w:pPr>
        <w:spacing w:before="100" w:beforeAutospacing="1" w:after="100" w:afterAutospacing="1"/>
        <w:ind w:left="284"/>
        <w:jc w:val="both"/>
        <w:rPr>
          <w:rFonts w:ascii="Verdana" w:hAnsi="Verdana"/>
          <w:sz w:val="18"/>
          <w:szCs w:val="18"/>
        </w:rPr>
      </w:pPr>
      <w:r w:rsidRPr="00AE2170">
        <w:rPr>
          <w:rFonts w:ascii="Verdana" w:hAnsi="Verdana"/>
          <w:sz w:val="18"/>
          <w:szCs w:val="18"/>
        </w:rPr>
        <w:t xml:space="preserve">La Sala concluye que, cuando una sociedad ha sido </w:t>
      </w:r>
      <w:r w:rsidRPr="00AE2170">
        <w:rPr>
          <w:rFonts w:ascii="Verdana" w:hAnsi="Verdana"/>
          <w:b/>
          <w:bCs/>
          <w:sz w:val="18"/>
          <w:szCs w:val="18"/>
        </w:rPr>
        <w:t>disuelta y liquidada</w:t>
      </w:r>
      <w:r w:rsidRPr="00AE2170">
        <w:rPr>
          <w:rFonts w:ascii="Verdana" w:hAnsi="Verdana"/>
          <w:sz w:val="18"/>
          <w:szCs w:val="18"/>
        </w:rPr>
        <w:t xml:space="preserve">, sus deudas tributarias se transmiten </w:t>
      </w:r>
      <w:r w:rsidR="00A041D7">
        <w:rPr>
          <w:rFonts w:ascii="Verdana" w:hAnsi="Verdana"/>
          <w:sz w:val="18"/>
          <w:szCs w:val="18"/>
        </w:rPr>
        <w:t>“</w:t>
      </w:r>
      <w:r w:rsidRPr="00AE2170">
        <w:rPr>
          <w:rFonts w:ascii="Verdana" w:hAnsi="Verdana"/>
          <w:b/>
          <w:bCs/>
          <w:sz w:val="18"/>
          <w:szCs w:val="18"/>
        </w:rPr>
        <w:t>ope legis</w:t>
      </w:r>
      <w:r w:rsidR="00A041D7">
        <w:rPr>
          <w:rFonts w:ascii="Verdana" w:hAnsi="Verdana"/>
          <w:b/>
          <w:bCs/>
          <w:sz w:val="18"/>
          <w:szCs w:val="18"/>
        </w:rPr>
        <w:t>”</w:t>
      </w:r>
      <w:r w:rsidRPr="00AE2170">
        <w:rPr>
          <w:rFonts w:ascii="Verdana" w:hAnsi="Verdana"/>
          <w:sz w:val="18"/>
          <w:szCs w:val="18"/>
        </w:rPr>
        <w:t xml:space="preserve"> a los </w:t>
      </w:r>
      <w:r w:rsidR="002F3B73" w:rsidRPr="00AE2170">
        <w:rPr>
          <w:rFonts w:ascii="Verdana" w:hAnsi="Verdana"/>
          <w:sz w:val="18"/>
          <w:szCs w:val="18"/>
        </w:rPr>
        <w:t>socios</w:t>
      </w:r>
      <w:r w:rsidR="002F3B73">
        <w:rPr>
          <w:rFonts w:ascii="Verdana" w:hAnsi="Verdana"/>
          <w:sz w:val="18"/>
          <w:szCs w:val="18"/>
        </w:rPr>
        <w:t>,</w:t>
      </w:r>
      <w:r w:rsidR="002F3B73" w:rsidRPr="00035D7E">
        <w:rPr>
          <w:rFonts w:ascii="Verdana" w:hAnsi="Verdana"/>
          <w:sz w:val="18"/>
          <w:szCs w:val="18"/>
        </w:rPr>
        <w:t xml:space="preserve"> los</w:t>
      </w:r>
      <w:r w:rsidR="00035D7E" w:rsidRPr="00035D7E">
        <w:rPr>
          <w:rFonts w:ascii="Verdana" w:hAnsi="Verdana"/>
          <w:sz w:val="18"/>
          <w:szCs w:val="18"/>
        </w:rPr>
        <w:t xml:space="preserve"> cuales quedan obligados solidariamente hasta el límite del valor de su cuota de liquidación, de conformidad con el artículo 40.1 de la Ley General Tributaria vigente en aquel momento (posteriormente, mediante la Ley 7/2012, de 29 de octubre, también se incluyen en dicho límite las “</w:t>
      </w:r>
      <w:r w:rsidR="00035D7E" w:rsidRPr="00035D7E">
        <w:rPr>
          <w:rFonts w:ascii="Verdana" w:hAnsi="Verdana"/>
          <w:i/>
          <w:iCs/>
          <w:sz w:val="18"/>
          <w:szCs w:val="18"/>
        </w:rPr>
        <w:t>percepciones patrimoniales recibidas por los mismos en los dos años anteriores a la fecha de disolución que minoren el patrimonio social que debiera responder de tales obligaciones</w:t>
      </w:r>
      <w:r w:rsidR="00035D7E" w:rsidRPr="00035D7E">
        <w:rPr>
          <w:rFonts w:ascii="Verdana" w:hAnsi="Verdana"/>
          <w:sz w:val="18"/>
          <w:szCs w:val="18"/>
        </w:rPr>
        <w:t>”)</w:t>
      </w:r>
      <w:r w:rsidR="00C36B5A">
        <w:rPr>
          <w:rFonts w:ascii="Verdana" w:hAnsi="Verdana"/>
          <w:sz w:val="18"/>
          <w:szCs w:val="18"/>
        </w:rPr>
        <w:t>.</w:t>
      </w:r>
      <w:r w:rsidR="00035D7E">
        <w:rPr>
          <w:rFonts w:ascii="Verdana" w:hAnsi="Verdana"/>
          <w:sz w:val="18"/>
          <w:szCs w:val="18"/>
        </w:rPr>
        <w:t xml:space="preserve"> </w:t>
      </w:r>
      <w:r w:rsidRPr="00AE2170">
        <w:rPr>
          <w:rFonts w:ascii="Verdana" w:hAnsi="Verdana"/>
          <w:sz w:val="18"/>
          <w:szCs w:val="18"/>
        </w:rPr>
        <w:t>En consecuencia, antes de declarar la responsabilidad subsidiaria del administrador (art. 43.1.a LGT), la Administración debe continuar el procedimiento de recaudación frente a los socios y, únicamente tras declarar</w:t>
      </w:r>
      <w:r w:rsidR="00A041D7">
        <w:rPr>
          <w:rFonts w:ascii="Verdana" w:hAnsi="Verdana"/>
          <w:sz w:val="18"/>
          <w:szCs w:val="18"/>
        </w:rPr>
        <w:t>los fallidos</w:t>
      </w:r>
      <w:r w:rsidRPr="00AE2170">
        <w:rPr>
          <w:rFonts w:ascii="Verdana" w:hAnsi="Verdana"/>
          <w:sz w:val="18"/>
          <w:szCs w:val="18"/>
        </w:rPr>
        <w:t xml:space="preserve">, podrá acudir al responsable subsidiario. </w:t>
      </w:r>
    </w:p>
    <w:p w14:paraId="32471B75" w14:textId="77777777" w:rsidR="00AE2170" w:rsidRPr="00AE2170" w:rsidRDefault="00AE2170" w:rsidP="00AE2170">
      <w:pPr>
        <w:spacing w:before="100" w:beforeAutospacing="1" w:after="100" w:afterAutospacing="1"/>
        <w:ind w:left="284"/>
        <w:jc w:val="both"/>
        <w:rPr>
          <w:rFonts w:ascii="Verdana" w:hAnsi="Verdana"/>
          <w:sz w:val="18"/>
          <w:szCs w:val="18"/>
        </w:rPr>
      </w:pPr>
      <w:r w:rsidRPr="00AE2170">
        <w:rPr>
          <w:rFonts w:ascii="Verdana" w:hAnsi="Verdana"/>
          <w:sz w:val="18"/>
          <w:szCs w:val="18"/>
        </w:rPr>
        <w:t xml:space="preserve">El Tribunal rechaza la tesis de la Administración, que diferenciaba entre sucesores y responsables solidarios para sostener que la declaración de fallido de los socios no era necesaria. Aunque reconoce que los socios no son responsables solidarios del artículo 42 LGT, afirma que, tras la extinción de la sociedad, pasan a ocupar la posición de deudores principales por sucesión legal, lo que impide ignorar su existencia en el procedimiento recaudatorio. </w:t>
      </w:r>
    </w:p>
    <w:p w14:paraId="6CF534CA" w14:textId="77777777" w:rsidR="00AE2170" w:rsidRPr="00AE2170" w:rsidRDefault="00AE2170" w:rsidP="00AE2170">
      <w:pPr>
        <w:spacing w:before="100" w:beforeAutospacing="1" w:after="100" w:afterAutospacing="1"/>
        <w:ind w:left="284"/>
        <w:jc w:val="both"/>
        <w:rPr>
          <w:rFonts w:ascii="Verdana" w:hAnsi="Verdana"/>
          <w:sz w:val="18"/>
          <w:szCs w:val="18"/>
        </w:rPr>
      </w:pPr>
      <w:r w:rsidRPr="00AE2170">
        <w:rPr>
          <w:rFonts w:ascii="Verdana" w:hAnsi="Verdana"/>
          <w:sz w:val="18"/>
          <w:szCs w:val="18"/>
        </w:rPr>
        <w:t xml:space="preserve">Asimismo, el Supremo considera ineficaz la declaración de fallido efectuada respecto de una sociedad ya extinguida, pues la Administración debía haber actuado previamente frente a los socios. De no hacerlo, se vulnera el beneficio de excusión propio de la responsabilidad subsidiaria y se dificulta el derecho de reembolso del administrador frente al verdadero deudor. </w:t>
      </w:r>
    </w:p>
    <w:p w14:paraId="15F708B2" w14:textId="77777777" w:rsidR="00AE2170" w:rsidRPr="00AE2170" w:rsidRDefault="00AE2170" w:rsidP="00AE2170">
      <w:pPr>
        <w:spacing w:before="100" w:beforeAutospacing="1" w:after="100" w:afterAutospacing="1"/>
        <w:ind w:left="284"/>
        <w:jc w:val="both"/>
        <w:rPr>
          <w:rFonts w:ascii="Verdana" w:hAnsi="Verdana"/>
          <w:b/>
          <w:bCs/>
          <w:sz w:val="18"/>
          <w:szCs w:val="18"/>
        </w:rPr>
      </w:pPr>
      <w:r w:rsidRPr="00AE2170">
        <w:rPr>
          <w:rFonts w:ascii="Verdana" w:hAnsi="Verdana"/>
          <w:b/>
          <w:bCs/>
          <w:sz w:val="18"/>
          <w:szCs w:val="18"/>
        </w:rPr>
        <w:t>Doctrina jurisprudencial</w:t>
      </w:r>
    </w:p>
    <w:p w14:paraId="411549F0" w14:textId="77777777" w:rsidR="00AE2170" w:rsidRPr="00AE2170" w:rsidRDefault="00AE2170" w:rsidP="00AE2170">
      <w:pPr>
        <w:spacing w:before="100" w:beforeAutospacing="1" w:after="100" w:afterAutospacing="1"/>
        <w:ind w:left="284"/>
        <w:jc w:val="both"/>
        <w:rPr>
          <w:rFonts w:ascii="Verdana" w:hAnsi="Verdana"/>
          <w:sz w:val="18"/>
          <w:szCs w:val="18"/>
        </w:rPr>
      </w:pPr>
      <w:r w:rsidRPr="00AE2170">
        <w:rPr>
          <w:rFonts w:ascii="Verdana" w:hAnsi="Verdana"/>
          <w:sz w:val="18"/>
          <w:szCs w:val="18"/>
        </w:rPr>
        <w:t>El Tribunal Supremo fija la siguiente doctrina:</w:t>
      </w:r>
    </w:p>
    <w:p w14:paraId="68C25BA5" w14:textId="77777777" w:rsidR="00AE2170" w:rsidRPr="00AE2170" w:rsidRDefault="00AE2170" w:rsidP="00AE2170">
      <w:pPr>
        <w:numPr>
          <w:ilvl w:val="0"/>
          <w:numId w:val="25"/>
        </w:numPr>
        <w:spacing w:before="100" w:beforeAutospacing="1" w:after="100" w:afterAutospacing="1"/>
        <w:jc w:val="both"/>
        <w:rPr>
          <w:rFonts w:ascii="Verdana" w:hAnsi="Verdana"/>
          <w:sz w:val="18"/>
          <w:szCs w:val="18"/>
        </w:rPr>
      </w:pPr>
      <w:r w:rsidRPr="00AE2170">
        <w:rPr>
          <w:rFonts w:ascii="Verdana" w:hAnsi="Verdana"/>
          <w:sz w:val="18"/>
          <w:szCs w:val="18"/>
        </w:rPr>
        <w:t xml:space="preserve">La derivación de responsabilidad subsidiaria del artículo 43.1.a) LGT </w:t>
      </w:r>
      <w:r w:rsidRPr="00AE2170">
        <w:rPr>
          <w:rFonts w:ascii="Verdana" w:hAnsi="Verdana"/>
          <w:b/>
          <w:bCs/>
          <w:sz w:val="18"/>
          <w:szCs w:val="18"/>
        </w:rPr>
        <w:t>exige previamente</w:t>
      </w:r>
      <w:r w:rsidRPr="00AE2170">
        <w:rPr>
          <w:rFonts w:ascii="Verdana" w:hAnsi="Verdana"/>
          <w:sz w:val="18"/>
          <w:szCs w:val="18"/>
        </w:rPr>
        <w:t xml:space="preserve"> la declaración de fallido de los socios de la sociedad deudora cuando esta haya sido disuelta y liquidada. </w:t>
      </w:r>
    </w:p>
    <w:p w14:paraId="0342B285" w14:textId="77777777" w:rsidR="00AE2170" w:rsidRPr="00AE2170" w:rsidRDefault="00AE2170" w:rsidP="00AE2170">
      <w:pPr>
        <w:numPr>
          <w:ilvl w:val="0"/>
          <w:numId w:val="25"/>
        </w:numPr>
        <w:spacing w:before="100" w:beforeAutospacing="1" w:after="100" w:afterAutospacing="1"/>
        <w:jc w:val="both"/>
        <w:rPr>
          <w:rFonts w:ascii="Verdana" w:hAnsi="Verdana"/>
          <w:sz w:val="18"/>
          <w:szCs w:val="18"/>
        </w:rPr>
      </w:pPr>
      <w:r w:rsidRPr="00AE2170">
        <w:rPr>
          <w:rFonts w:ascii="Verdana" w:hAnsi="Verdana"/>
          <w:sz w:val="18"/>
          <w:szCs w:val="18"/>
        </w:rPr>
        <w:t xml:space="preserve">No es posible derivar directamente al administrador las deudas de una sociedad extinguida sin haber seguido previamente el procedimiento frente a los socios sucesores previsto en los artículos 40.1 y 177.2 LGT. </w:t>
      </w:r>
    </w:p>
    <w:p w14:paraId="30C7492C" w14:textId="77777777" w:rsidR="00AE2170" w:rsidRPr="00AE2170" w:rsidRDefault="00AE2170" w:rsidP="00AE2170">
      <w:pPr>
        <w:spacing w:before="100" w:beforeAutospacing="1" w:after="100" w:afterAutospacing="1"/>
        <w:ind w:left="284"/>
        <w:jc w:val="both"/>
        <w:rPr>
          <w:rFonts w:ascii="Verdana" w:hAnsi="Verdana"/>
          <w:b/>
          <w:bCs/>
          <w:sz w:val="18"/>
          <w:szCs w:val="18"/>
        </w:rPr>
      </w:pPr>
      <w:r w:rsidRPr="00AE2170">
        <w:rPr>
          <w:rFonts w:ascii="Verdana" w:hAnsi="Verdana"/>
          <w:b/>
          <w:bCs/>
          <w:sz w:val="18"/>
          <w:szCs w:val="18"/>
        </w:rPr>
        <w:lastRenderedPageBreak/>
        <w:t>Interés práctico</w:t>
      </w:r>
    </w:p>
    <w:p w14:paraId="684EE0F2" w14:textId="77777777" w:rsidR="00AE2170" w:rsidRDefault="00AE2170" w:rsidP="00AE2170">
      <w:pPr>
        <w:spacing w:before="100" w:beforeAutospacing="1" w:after="100" w:afterAutospacing="1"/>
        <w:ind w:left="284"/>
        <w:jc w:val="both"/>
        <w:rPr>
          <w:rFonts w:ascii="Verdana" w:hAnsi="Verdana"/>
          <w:sz w:val="18"/>
          <w:szCs w:val="18"/>
        </w:rPr>
      </w:pPr>
      <w:r w:rsidRPr="00AE2170">
        <w:rPr>
          <w:rFonts w:ascii="Verdana" w:hAnsi="Verdana"/>
          <w:sz w:val="18"/>
          <w:szCs w:val="18"/>
        </w:rPr>
        <w:t>Esta sentencia refuerza las garantías de los administradores frente a las derivaciones de responsabilidad tributaria y obliga a la AEAT a respetar el orden legal de exigencia de las deudas cuando la sociedad ya ha sido liquidada. La resolución tendrá una importante incidencia en los procedimientos de derivación de responsabilidad subsidiaria en supuestos de extinción de sociedades.</w:t>
      </w:r>
    </w:p>
    <w:p w14:paraId="26647132" w14:textId="77777777" w:rsidR="00D82871" w:rsidRPr="00AE2170" w:rsidRDefault="00D82871" w:rsidP="00AE2170">
      <w:pPr>
        <w:spacing w:before="100" w:beforeAutospacing="1" w:after="100" w:afterAutospacing="1"/>
        <w:ind w:left="284"/>
        <w:jc w:val="both"/>
        <w:rPr>
          <w:rFonts w:ascii="Verdana" w:hAnsi="Verdana"/>
          <w:sz w:val="18"/>
          <w:szCs w:val="18"/>
        </w:rPr>
      </w:pPr>
    </w:p>
    <w:tbl>
      <w:tblPr>
        <w:tblW w:w="8640" w:type="dxa"/>
        <w:tblInd w:w="70" w:type="dxa"/>
        <w:tblCellMar>
          <w:left w:w="70" w:type="dxa"/>
          <w:right w:w="70" w:type="dxa"/>
        </w:tblCellMar>
        <w:tblLook w:val="0000" w:firstRow="0" w:lastRow="0" w:firstColumn="0" w:lastColumn="0" w:noHBand="0" w:noVBand="0"/>
      </w:tblPr>
      <w:tblGrid>
        <w:gridCol w:w="180"/>
        <w:gridCol w:w="8460"/>
      </w:tblGrid>
      <w:tr w:rsidR="00D82871" w:rsidRPr="00D82871" w14:paraId="6A9A18DB" w14:textId="77777777" w:rsidTr="00EA094D">
        <w:tc>
          <w:tcPr>
            <w:tcW w:w="180" w:type="dxa"/>
            <w:shd w:val="clear" w:color="auto" w:fill="FF6600"/>
          </w:tcPr>
          <w:p w14:paraId="6E1200C2" w14:textId="77777777" w:rsidR="00D82871" w:rsidRPr="00D82871" w:rsidRDefault="00D82871" w:rsidP="00EA094D">
            <w:pPr>
              <w:rPr>
                <w:rFonts w:ascii="Verdana" w:hAnsi="Verdana"/>
                <w:b/>
                <w:bCs/>
                <w:color w:val="800000"/>
                <w:sz w:val="18"/>
                <w:szCs w:val="18"/>
              </w:rPr>
            </w:pPr>
            <w:bookmarkStart w:id="4" w:name="_Hlk236761424"/>
          </w:p>
        </w:tc>
        <w:tc>
          <w:tcPr>
            <w:tcW w:w="8460" w:type="dxa"/>
          </w:tcPr>
          <w:p w14:paraId="43B3FA67" w14:textId="18C5CCAC" w:rsidR="00D82871" w:rsidRPr="00D82871" w:rsidRDefault="00D82871" w:rsidP="00EA094D">
            <w:pPr>
              <w:numPr>
                <w:ilvl w:val="0"/>
                <w:numId w:val="1"/>
              </w:numPr>
              <w:tabs>
                <w:tab w:val="clear" w:pos="720"/>
                <w:tab w:val="num" w:pos="317"/>
              </w:tabs>
              <w:ind w:left="317" w:hanging="283"/>
              <w:jc w:val="both"/>
              <w:rPr>
                <w:rFonts w:ascii="Verdana" w:hAnsi="Verdana"/>
                <w:b/>
                <w:bCs/>
                <w:color w:val="800000"/>
                <w:spacing w:val="-8"/>
                <w:sz w:val="18"/>
                <w:szCs w:val="18"/>
              </w:rPr>
            </w:pPr>
            <w:r w:rsidRPr="00D82871">
              <w:rPr>
                <w:rFonts w:ascii="Verdana" w:hAnsi="Verdana"/>
                <w:b/>
                <w:bCs/>
                <w:color w:val="800000"/>
                <w:sz w:val="18"/>
                <w:szCs w:val="18"/>
              </w:rPr>
              <w:t>IS.- DEDUCIBILIDAD DE LOS GASTOS FINANCIEROS EN EL IS Y LÍMITES A LA RECALIFICACIÓN DE LOS PRÉSTAMOS PARTICIPATIVOS</w:t>
            </w:r>
          </w:p>
        </w:tc>
      </w:tr>
    </w:tbl>
    <w:p w14:paraId="326C9A1D" w14:textId="1FA8185C" w:rsidR="00D82871" w:rsidRPr="00D82871" w:rsidRDefault="00D82871" w:rsidP="00D82871">
      <w:pPr>
        <w:spacing w:before="100" w:beforeAutospacing="1" w:after="100" w:afterAutospacing="1"/>
        <w:ind w:left="284"/>
        <w:jc w:val="both"/>
        <w:rPr>
          <w:rFonts w:ascii="Verdana" w:hAnsi="Verdana"/>
          <w:sz w:val="18"/>
          <w:szCs w:val="18"/>
        </w:rPr>
      </w:pPr>
      <w:bookmarkStart w:id="5" w:name="_Hlk236761345"/>
      <w:bookmarkEnd w:id="4"/>
      <w:r w:rsidRPr="00D82871">
        <w:rPr>
          <w:rFonts w:ascii="Verdana" w:hAnsi="Verdana"/>
          <w:sz w:val="18"/>
          <w:szCs w:val="18"/>
        </w:rPr>
        <w:t>La Audiencia Nacional</w:t>
      </w:r>
      <w:bookmarkEnd w:id="5"/>
      <w:r>
        <w:rPr>
          <w:rFonts w:ascii="Verdana" w:hAnsi="Verdana"/>
          <w:sz w:val="18"/>
          <w:szCs w:val="18"/>
        </w:rPr>
        <w:t xml:space="preserve">, </w:t>
      </w:r>
      <w:r w:rsidRPr="00D82871">
        <w:rPr>
          <w:rFonts w:ascii="Verdana" w:hAnsi="Verdana"/>
          <w:sz w:val="18"/>
          <w:szCs w:val="18"/>
        </w:rPr>
        <w:t xml:space="preserve">Sala de lo Contencioso-Administrativo, </w:t>
      </w:r>
      <w:r w:rsidR="00A57182">
        <w:rPr>
          <w:rFonts w:ascii="Verdana" w:hAnsi="Verdana"/>
          <w:sz w:val="18"/>
          <w:szCs w:val="18"/>
        </w:rPr>
        <w:t xml:space="preserve">en su </w:t>
      </w:r>
      <w:r w:rsidRPr="00D82871">
        <w:rPr>
          <w:rFonts w:ascii="Verdana" w:hAnsi="Verdana"/>
          <w:sz w:val="18"/>
          <w:szCs w:val="18"/>
        </w:rPr>
        <w:t>Sentencia de 30 de abril de 2026 (Rec. 3/2021)</w:t>
      </w:r>
      <w:r w:rsidR="004F72D3">
        <w:rPr>
          <w:rFonts w:ascii="Verdana" w:hAnsi="Verdana"/>
          <w:b/>
          <w:bCs/>
          <w:sz w:val="18"/>
          <w:szCs w:val="18"/>
        </w:rPr>
        <w:t xml:space="preserve">, </w:t>
      </w:r>
      <w:r w:rsidRPr="00D82871">
        <w:rPr>
          <w:rFonts w:ascii="Verdana" w:hAnsi="Verdana"/>
          <w:sz w:val="18"/>
          <w:szCs w:val="18"/>
        </w:rPr>
        <w:t xml:space="preserve">analiza si la Inspección podía utilizar la </w:t>
      </w:r>
      <w:r w:rsidRPr="00D82871">
        <w:rPr>
          <w:rFonts w:ascii="Verdana" w:hAnsi="Verdana"/>
          <w:b/>
          <w:bCs/>
          <w:sz w:val="18"/>
          <w:szCs w:val="18"/>
        </w:rPr>
        <w:t>potestad de calificación del artículo 13 de la Ley General Tributaria (LGT)</w:t>
      </w:r>
      <w:r w:rsidR="005A2CB9">
        <w:rPr>
          <w:rFonts w:ascii="Verdana" w:hAnsi="Verdana"/>
          <w:b/>
          <w:bCs/>
          <w:sz w:val="18"/>
          <w:szCs w:val="18"/>
        </w:rPr>
        <w:t xml:space="preserve"> “</w:t>
      </w:r>
      <w:r w:rsidR="005A2CB9" w:rsidRPr="005A2CB9">
        <w:rPr>
          <w:rFonts w:ascii="Verdana" w:hAnsi="Verdana"/>
          <w:i/>
          <w:iCs/>
          <w:color w:val="000000"/>
          <w:sz w:val="18"/>
          <w:szCs w:val="18"/>
          <w:shd w:val="clear" w:color="auto" w:fill="FFFFFF"/>
        </w:rPr>
        <w:t>Las obligaciones tributarias se exigirán con arreglo a la naturaleza jurídica del hecho, acto o negocio realizado, cualquiera que sea la forma o denominación que los interesados le hubieran dado</w:t>
      </w:r>
      <w:r w:rsidR="00C36B5A">
        <w:rPr>
          <w:rFonts w:ascii="Verdana" w:hAnsi="Verdana"/>
          <w:i/>
          <w:iCs/>
          <w:color w:val="000000"/>
          <w:sz w:val="18"/>
          <w:szCs w:val="18"/>
          <w:shd w:val="clear" w:color="auto" w:fill="FFFFFF"/>
        </w:rPr>
        <w:t>”</w:t>
      </w:r>
      <w:r w:rsidR="005A2CB9">
        <w:rPr>
          <w:rFonts w:ascii="inconsolatamedium" w:hAnsi="inconsolatamedium"/>
          <w:color w:val="000000"/>
          <w:shd w:val="clear" w:color="auto" w:fill="FFFFFF"/>
        </w:rPr>
        <w:t xml:space="preserve">, </w:t>
      </w:r>
      <w:r w:rsidR="005A2CB9" w:rsidRPr="00A041D7">
        <w:rPr>
          <w:rFonts w:ascii="Verdana" w:hAnsi="Verdana"/>
          <w:color w:val="000000"/>
          <w:sz w:val="18"/>
          <w:szCs w:val="18"/>
          <w:shd w:val="clear" w:color="auto" w:fill="FFFFFF"/>
        </w:rPr>
        <w:t>y prescindiendo de los defectos que pudieran afectar a su validez</w:t>
      </w:r>
      <w:r w:rsidRPr="00D82871">
        <w:rPr>
          <w:rFonts w:ascii="Verdana" w:hAnsi="Verdana"/>
          <w:sz w:val="18"/>
          <w:szCs w:val="18"/>
        </w:rPr>
        <w:t xml:space="preserve"> para negar la deducibilidad de los intereses derivados de un préstamo participativo, al considerar que una operación de reestructuración societaria carecía de motivos económicos válidos y perseguía exclusivamente obtener una ventaja fiscal. </w:t>
      </w:r>
    </w:p>
    <w:p w14:paraId="0B6114CB" w14:textId="77777777" w:rsidR="00D82871" w:rsidRPr="00D82871" w:rsidRDefault="00D82871" w:rsidP="00D82871">
      <w:pPr>
        <w:spacing w:before="100" w:beforeAutospacing="1" w:after="100" w:afterAutospacing="1"/>
        <w:ind w:left="284"/>
        <w:jc w:val="both"/>
        <w:rPr>
          <w:rFonts w:ascii="Verdana" w:hAnsi="Verdana"/>
          <w:b/>
          <w:bCs/>
          <w:sz w:val="18"/>
          <w:szCs w:val="18"/>
        </w:rPr>
      </w:pPr>
      <w:r w:rsidRPr="00D82871">
        <w:rPr>
          <w:rFonts w:ascii="Verdana" w:hAnsi="Verdana"/>
          <w:b/>
          <w:bCs/>
          <w:sz w:val="18"/>
          <w:szCs w:val="18"/>
        </w:rPr>
        <w:t>Antecedentes</w:t>
      </w:r>
    </w:p>
    <w:p w14:paraId="26676373" w14:textId="0B7285A5" w:rsidR="00D82871" w:rsidRPr="00D82871" w:rsidRDefault="00D82871" w:rsidP="00D82871">
      <w:pPr>
        <w:spacing w:before="100" w:beforeAutospacing="1" w:after="100" w:afterAutospacing="1"/>
        <w:ind w:left="284"/>
        <w:jc w:val="both"/>
        <w:rPr>
          <w:rFonts w:ascii="Verdana" w:hAnsi="Verdana"/>
          <w:sz w:val="18"/>
          <w:szCs w:val="18"/>
        </w:rPr>
      </w:pPr>
      <w:r w:rsidRPr="00D82871">
        <w:rPr>
          <w:rFonts w:ascii="Verdana" w:hAnsi="Verdana"/>
          <w:sz w:val="18"/>
          <w:szCs w:val="18"/>
        </w:rPr>
        <w:t xml:space="preserve">La sociedad </w:t>
      </w:r>
      <w:r w:rsidR="005A2CB9">
        <w:rPr>
          <w:rFonts w:ascii="Verdana" w:hAnsi="Verdana"/>
          <w:sz w:val="18"/>
          <w:szCs w:val="18"/>
        </w:rPr>
        <w:t>XX</w:t>
      </w:r>
      <w:r w:rsidRPr="00D82871">
        <w:rPr>
          <w:rFonts w:ascii="Verdana" w:hAnsi="Verdana"/>
          <w:sz w:val="18"/>
          <w:szCs w:val="18"/>
        </w:rPr>
        <w:t xml:space="preserve"> financió la adquisición de otra entidad mediante una combinación de capital, financiación bancaria y un préstamo participativo concedido por su socio principal </w:t>
      </w:r>
      <w:r w:rsidR="004F72D3">
        <w:rPr>
          <w:rFonts w:ascii="Verdana" w:hAnsi="Verdana"/>
          <w:sz w:val="18"/>
          <w:szCs w:val="18"/>
        </w:rPr>
        <w:t>Fondo Y</w:t>
      </w:r>
      <w:r w:rsidRPr="00D82871">
        <w:rPr>
          <w:rFonts w:ascii="Verdana" w:hAnsi="Verdana"/>
          <w:sz w:val="18"/>
          <w:szCs w:val="18"/>
        </w:rPr>
        <w:t xml:space="preserve">. Posteriormente se produjo una fusión y, años después, la venta del grupo. Durante la inspección, la Administración recalificó el préstamo participativo como una aportación a fondos propios y rechazó la deducción de los intereses satisfechos, regularizando el Impuesto sobre Sociedades de los ejercicios 2011-2012 y, por extensión, las bases imponibles negativas aplicadas en 2015-2016. </w:t>
      </w:r>
    </w:p>
    <w:p w14:paraId="675EF2FD" w14:textId="77777777" w:rsidR="00D82871" w:rsidRPr="00D82871" w:rsidRDefault="00D82871" w:rsidP="00D82871">
      <w:pPr>
        <w:spacing w:before="100" w:beforeAutospacing="1" w:after="100" w:afterAutospacing="1"/>
        <w:ind w:left="284"/>
        <w:jc w:val="both"/>
        <w:rPr>
          <w:rFonts w:ascii="Verdana" w:hAnsi="Verdana"/>
          <w:b/>
          <w:bCs/>
          <w:sz w:val="18"/>
          <w:szCs w:val="18"/>
        </w:rPr>
      </w:pPr>
      <w:r w:rsidRPr="00D82871">
        <w:rPr>
          <w:rFonts w:ascii="Verdana" w:hAnsi="Verdana"/>
          <w:b/>
          <w:bCs/>
          <w:sz w:val="18"/>
          <w:szCs w:val="18"/>
        </w:rPr>
        <w:t>Criterio de la Audiencia Nacional</w:t>
      </w:r>
    </w:p>
    <w:p w14:paraId="409CC74D" w14:textId="34E3FF97" w:rsidR="00D82871" w:rsidRPr="00D82871" w:rsidRDefault="00D82871" w:rsidP="00D82871">
      <w:pPr>
        <w:spacing w:before="100" w:beforeAutospacing="1" w:after="100" w:afterAutospacing="1"/>
        <w:ind w:left="284"/>
        <w:jc w:val="both"/>
        <w:rPr>
          <w:rFonts w:ascii="Verdana" w:hAnsi="Verdana"/>
          <w:sz w:val="18"/>
          <w:szCs w:val="18"/>
        </w:rPr>
      </w:pPr>
      <w:r w:rsidRPr="00D82871">
        <w:rPr>
          <w:rFonts w:ascii="Verdana" w:hAnsi="Verdana"/>
          <w:sz w:val="18"/>
          <w:szCs w:val="18"/>
        </w:rPr>
        <w:t xml:space="preserve">La Sala recuerda que la potestad de </w:t>
      </w:r>
      <w:r w:rsidRPr="00D82871">
        <w:rPr>
          <w:rFonts w:ascii="Verdana" w:hAnsi="Verdana"/>
          <w:b/>
          <w:bCs/>
          <w:sz w:val="18"/>
          <w:szCs w:val="18"/>
        </w:rPr>
        <w:t>calificación</w:t>
      </w:r>
      <w:r w:rsidRPr="00D82871">
        <w:rPr>
          <w:rFonts w:ascii="Verdana" w:hAnsi="Verdana"/>
          <w:sz w:val="18"/>
          <w:szCs w:val="18"/>
        </w:rPr>
        <w:t xml:space="preserve"> del artículo 13 LGT únicamente permite determinar la verdadera naturaleza jurídica de los actos o negocios realizados, pero </w:t>
      </w:r>
      <w:r w:rsidRPr="00D82871">
        <w:rPr>
          <w:rFonts w:ascii="Verdana" w:hAnsi="Verdana"/>
          <w:b/>
          <w:bCs/>
          <w:sz w:val="18"/>
          <w:szCs w:val="18"/>
        </w:rPr>
        <w:t>no puede utilizarse para cuestionar la existencia de motivos económicos o apreciar un supuesto de fraude de ley o conflicto en la aplicación de la norma</w:t>
      </w:r>
      <w:r w:rsidRPr="00D82871">
        <w:rPr>
          <w:rFonts w:ascii="Verdana" w:hAnsi="Verdana"/>
          <w:sz w:val="18"/>
          <w:szCs w:val="18"/>
        </w:rPr>
        <w:t>, para lo cual la Administración debe acudir a los procedimientos específicos previstos en los artículos 15 y 16 LGT</w:t>
      </w:r>
      <w:r w:rsidR="005A2CB9">
        <w:rPr>
          <w:rFonts w:ascii="Verdana" w:hAnsi="Verdana"/>
          <w:sz w:val="18"/>
          <w:szCs w:val="18"/>
        </w:rPr>
        <w:t xml:space="preserve"> (</w:t>
      </w:r>
      <w:r w:rsidR="005A2CB9" w:rsidRPr="005A2CB9">
        <w:rPr>
          <w:rFonts w:ascii="Verdana" w:hAnsi="Verdana"/>
          <w:i/>
          <w:iCs/>
          <w:sz w:val="18"/>
          <w:szCs w:val="18"/>
        </w:rPr>
        <w:t>conflicto en la aplicación de la norma tributaria y simulación</w:t>
      </w:r>
      <w:r w:rsidR="005A2CB9">
        <w:rPr>
          <w:rFonts w:ascii="Verdana" w:hAnsi="Verdana"/>
          <w:sz w:val="18"/>
          <w:szCs w:val="18"/>
        </w:rPr>
        <w:t>)</w:t>
      </w:r>
      <w:r w:rsidRPr="00D82871">
        <w:rPr>
          <w:rFonts w:ascii="Verdana" w:hAnsi="Verdana"/>
          <w:sz w:val="18"/>
          <w:szCs w:val="18"/>
        </w:rPr>
        <w:t xml:space="preserve">. </w:t>
      </w:r>
    </w:p>
    <w:p w14:paraId="5996A452" w14:textId="77777777" w:rsidR="00D82871" w:rsidRPr="00D82871" w:rsidRDefault="00D82871" w:rsidP="00D82871">
      <w:pPr>
        <w:spacing w:before="100" w:beforeAutospacing="1" w:after="100" w:afterAutospacing="1"/>
        <w:ind w:left="284"/>
        <w:jc w:val="both"/>
        <w:rPr>
          <w:rFonts w:ascii="Verdana" w:hAnsi="Verdana"/>
          <w:sz w:val="18"/>
          <w:szCs w:val="18"/>
        </w:rPr>
      </w:pPr>
      <w:r w:rsidRPr="00D82871">
        <w:rPr>
          <w:rFonts w:ascii="Verdana" w:hAnsi="Verdana"/>
          <w:sz w:val="18"/>
          <w:szCs w:val="18"/>
        </w:rPr>
        <w:t xml:space="preserve">Asimismo, destaca que el préstamo participativo constituye un instrumento financiero legal cuya utilización no puede desvirtuarse únicamente por el resultado económico obtenido o por el elevado coste financiero de la operación, recordando la doctrina del Tribunal Supremo sobre la deducibilidad de este tipo de gastos cuando financian efectivamente la actividad empresarial. </w:t>
      </w:r>
    </w:p>
    <w:p w14:paraId="032AC558" w14:textId="77777777" w:rsidR="00D82871" w:rsidRPr="00D82871" w:rsidRDefault="00D82871" w:rsidP="00D82871">
      <w:pPr>
        <w:spacing w:before="100" w:beforeAutospacing="1" w:after="100" w:afterAutospacing="1"/>
        <w:ind w:left="284"/>
        <w:jc w:val="both"/>
        <w:rPr>
          <w:rFonts w:ascii="Verdana" w:hAnsi="Verdana"/>
          <w:b/>
          <w:bCs/>
          <w:sz w:val="18"/>
          <w:szCs w:val="18"/>
        </w:rPr>
      </w:pPr>
      <w:r w:rsidRPr="00D82871">
        <w:rPr>
          <w:rFonts w:ascii="Verdana" w:hAnsi="Verdana"/>
          <w:b/>
          <w:bCs/>
          <w:sz w:val="18"/>
          <w:szCs w:val="18"/>
        </w:rPr>
        <w:t>Fallo</w:t>
      </w:r>
    </w:p>
    <w:p w14:paraId="1AE1757F" w14:textId="77777777" w:rsidR="00D82871" w:rsidRPr="00D82871" w:rsidRDefault="00D82871" w:rsidP="00D82871">
      <w:pPr>
        <w:spacing w:before="100" w:beforeAutospacing="1" w:after="100" w:afterAutospacing="1"/>
        <w:ind w:left="284"/>
        <w:jc w:val="both"/>
        <w:rPr>
          <w:rFonts w:ascii="Verdana" w:hAnsi="Verdana"/>
          <w:sz w:val="18"/>
          <w:szCs w:val="18"/>
        </w:rPr>
      </w:pPr>
      <w:r w:rsidRPr="00D82871">
        <w:rPr>
          <w:rFonts w:ascii="Verdana" w:hAnsi="Verdana"/>
          <w:sz w:val="18"/>
          <w:szCs w:val="18"/>
        </w:rPr>
        <w:t xml:space="preserve">La Audiencia Nacional concluye que la Inspección </w:t>
      </w:r>
      <w:r w:rsidRPr="00D82871">
        <w:rPr>
          <w:rFonts w:ascii="Verdana" w:hAnsi="Verdana"/>
          <w:b/>
          <w:bCs/>
          <w:sz w:val="18"/>
          <w:szCs w:val="18"/>
        </w:rPr>
        <w:t>se extralimitó al utilizar la calificación jurídica para cuestionar la finalidad económica de la reestructuración</w:t>
      </w:r>
      <w:r w:rsidRPr="00D82871">
        <w:rPr>
          <w:rFonts w:ascii="Verdana" w:hAnsi="Verdana"/>
          <w:sz w:val="18"/>
          <w:szCs w:val="18"/>
        </w:rPr>
        <w:t xml:space="preserve">, cuando debió acudir, en su caso, al procedimiento específico de conflicto en la aplicación de la norma o de simulación. Al haberse seguido un cauce procedimental inadecuado, declara </w:t>
      </w:r>
      <w:r w:rsidRPr="00D82871">
        <w:rPr>
          <w:rFonts w:ascii="Verdana" w:hAnsi="Verdana"/>
          <w:b/>
          <w:bCs/>
          <w:sz w:val="18"/>
          <w:szCs w:val="18"/>
        </w:rPr>
        <w:t>nulas las liquidaciones practicadas</w:t>
      </w:r>
      <w:r w:rsidRPr="00D82871">
        <w:rPr>
          <w:rFonts w:ascii="Verdana" w:hAnsi="Verdana"/>
          <w:sz w:val="18"/>
          <w:szCs w:val="18"/>
        </w:rPr>
        <w:t xml:space="preserve"> y estima íntegramente el recurso de la sociedad. </w:t>
      </w:r>
    </w:p>
    <w:p w14:paraId="56654947" w14:textId="77777777" w:rsidR="00D82871" w:rsidRPr="00D82871" w:rsidRDefault="00D82871" w:rsidP="00D82871">
      <w:pPr>
        <w:spacing w:before="100" w:beforeAutospacing="1" w:after="100" w:afterAutospacing="1"/>
        <w:ind w:left="284"/>
        <w:jc w:val="both"/>
        <w:rPr>
          <w:rFonts w:ascii="Verdana" w:hAnsi="Verdana"/>
          <w:b/>
          <w:bCs/>
          <w:sz w:val="18"/>
          <w:szCs w:val="18"/>
        </w:rPr>
      </w:pPr>
      <w:r w:rsidRPr="00D82871">
        <w:rPr>
          <w:rFonts w:ascii="Verdana" w:hAnsi="Verdana"/>
          <w:b/>
          <w:bCs/>
          <w:sz w:val="18"/>
          <w:szCs w:val="18"/>
        </w:rPr>
        <w:t>Comentario</w:t>
      </w:r>
    </w:p>
    <w:p w14:paraId="06B905DC" w14:textId="174B648D" w:rsidR="00D82871" w:rsidRDefault="00D82871" w:rsidP="00D82871">
      <w:pPr>
        <w:spacing w:before="100" w:beforeAutospacing="1" w:after="100" w:afterAutospacing="1"/>
        <w:ind w:left="284"/>
        <w:jc w:val="both"/>
        <w:rPr>
          <w:rFonts w:ascii="Verdana" w:hAnsi="Verdana"/>
          <w:sz w:val="18"/>
          <w:szCs w:val="18"/>
        </w:rPr>
      </w:pPr>
      <w:r w:rsidRPr="00D82871">
        <w:rPr>
          <w:rFonts w:ascii="Verdana" w:hAnsi="Verdana"/>
          <w:sz w:val="18"/>
          <w:szCs w:val="18"/>
        </w:rPr>
        <w:t>La Administración no puede utilizar la calificación como vía indirecta para negar la existencia de motivos económicos válidos en una operación de reestructuración. Cuando la regularización se fundamenta en la supuesta finalidad exclusivamente fiscal de una operación, deberá tramitar el procedimiento específico previsto en los artículos 15 o 16 LGT, con todas las garantías que ello comporta para el contribuyente.</w:t>
      </w:r>
    </w:p>
    <w:p w14:paraId="1507376A" w14:textId="77777777" w:rsidR="00F367AB" w:rsidRDefault="00F367AB" w:rsidP="00D82871">
      <w:pPr>
        <w:spacing w:before="100" w:beforeAutospacing="1" w:after="100" w:afterAutospacing="1"/>
        <w:ind w:left="284"/>
        <w:jc w:val="both"/>
        <w:rPr>
          <w:rFonts w:ascii="Verdana" w:hAnsi="Verdana"/>
          <w:sz w:val="18"/>
          <w:szCs w:val="18"/>
        </w:rPr>
      </w:pPr>
    </w:p>
    <w:tbl>
      <w:tblPr>
        <w:tblW w:w="8640" w:type="dxa"/>
        <w:tblInd w:w="70" w:type="dxa"/>
        <w:tblCellMar>
          <w:left w:w="70" w:type="dxa"/>
          <w:right w:w="70" w:type="dxa"/>
        </w:tblCellMar>
        <w:tblLook w:val="0000" w:firstRow="0" w:lastRow="0" w:firstColumn="0" w:lastColumn="0" w:noHBand="0" w:noVBand="0"/>
      </w:tblPr>
      <w:tblGrid>
        <w:gridCol w:w="180"/>
        <w:gridCol w:w="8460"/>
      </w:tblGrid>
      <w:tr w:rsidR="00F367AB" w:rsidRPr="00F367AB" w14:paraId="313C6FB9" w14:textId="77777777" w:rsidTr="00D45061">
        <w:tc>
          <w:tcPr>
            <w:tcW w:w="180" w:type="dxa"/>
            <w:shd w:val="clear" w:color="auto" w:fill="FF6600"/>
          </w:tcPr>
          <w:p w14:paraId="14524A83" w14:textId="77777777" w:rsidR="00F367AB" w:rsidRPr="00F367AB" w:rsidRDefault="00F367AB" w:rsidP="00D45061">
            <w:pPr>
              <w:rPr>
                <w:rFonts w:ascii="Verdana" w:hAnsi="Verdana"/>
                <w:b/>
                <w:bCs/>
                <w:color w:val="800000"/>
                <w:sz w:val="18"/>
                <w:szCs w:val="18"/>
              </w:rPr>
            </w:pPr>
          </w:p>
        </w:tc>
        <w:tc>
          <w:tcPr>
            <w:tcW w:w="8460" w:type="dxa"/>
          </w:tcPr>
          <w:p w14:paraId="34014EE5" w14:textId="644012CC" w:rsidR="00F367AB" w:rsidRPr="00F367AB" w:rsidRDefault="00F367AB" w:rsidP="00D45061">
            <w:pPr>
              <w:numPr>
                <w:ilvl w:val="0"/>
                <w:numId w:val="1"/>
              </w:numPr>
              <w:tabs>
                <w:tab w:val="clear" w:pos="720"/>
                <w:tab w:val="num" w:pos="317"/>
              </w:tabs>
              <w:ind w:left="317" w:hanging="283"/>
              <w:jc w:val="both"/>
              <w:rPr>
                <w:rFonts w:ascii="Verdana" w:hAnsi="Verdana"/>
                <w:b/>
                <w:bCs/>
                <w:color w:val="800000"/>
                <w:spacing w:val="-8"/>
                <w:sz w:val="18"/>
                <w:szCs w:val="18"/>
              </w:rPr>
            </w:pPr>
            <w:r w:rsidRPr="00F367AB">
              <w:rPr>
                <w:rFonts w:ascii="Verdana" w:hAnsi="Verdana"/>
                <w:b/>
                <w:bCs/>
                <w:color w:val="800000"/>
                <w:sz w:val="18"/>
                <w:szCs w:val="18"/>
              </w:rPr>
              <w:t>IS.- EL TRIBUNAL SUPREMO PROHÍBE EL ‘PLAN B’ EN INSPECCIONES: NO SE PUEDE CAMBIAR DE MÉTODO SI FALLA EL ELEGIDO</w:t>
            </w:r>
          </w:p>
        </w:tc>
      </w:tr>
    </w:tbl>
    <w:p w14:paraId="297A11A9" w14:textId="071C9B87" w:rsidR="00743164" w:rsidRPr="00743164" w:rsidRDefault="00743164" w:rsidP="00743164">
      <w:pPr>
        <w:spacing w:before="100" w:beforeAutospacing="1" w:after="100" w:afterAutospacing="1"/>
        <w:ind w:left="284"/>
        <w:jc w:val="both"/>
        <w:rPr>
          <w:rFonts w:ascii="Verdana" w:hAnsi="Verdana"/>
          <w:sz w:val="18"/>
          <w:szCs w:val="18"/>
        </w:rPr>
      </w:pPr>
      <w:r w:rsidRPr="00743164">
        <w:rPr>
          <w:rFonts w:ascii="Verdana" w:hAnsi="Verdana"/>
          <w:sz w:val="18"/>
          <w:szCs w:val="18"/>
        </w:rPr>
        <w:t>El Tribunal Supremo</w:t>
      </w:r>
      <w:r w:rsidR="00A57182">
        <w:rPr>
          <w:rFonts w:ascii="Verdana" w:hAnsi="Verdana"/>
          <w:sz w:val="18"/>
          <w:szCs w:val="18"/>
        </w:rPr>
        <w:t>,</w:t>
      </w:r>
      <w:r w:rsidRPr="00743164">
        <w:rPr>
          <w:rFonts w:ascii="Verdana" w:hAnsi="Verdana"/>
          <w:sz w:val="18"/>
          <w:szCs w:val="18"/>
        </w:rPr>
        <w:t xml:space="preserve"> </w:t>
      </w:r>
      <w:r>
        <w:rPr>
          <w:rFonts w:ascii="Verdana" w:hAnsi="Verdana"/>
          <w:sz w:val="18"/>
          <w:szCs w:val="18"/>
        </w:rPr>
        <w:t xml:space="preserve">en su </w:t>
      </w:r>
      <w:r w:rsidRPr="00A57182">
        <w:rPr>
          <w:rFonts w:ascii="Verdana" w:hAnsi="Verdana"/>
          <w:sz w:val="18"/>
          <w:szCs w:val="18"/>
        </w:rPr>
        <w:t>Sentencia 857/2026, de 7 de julio de 2026</w:t>
      </w:r>
      <w:r w:rsidR="00A57182" w:rsidRPr="00A57182">
        <w:rPr>
          <w:rFonts w:ascii="Verdana" w:hAnsi="Verdana"/>
          <w:sz w:val="18"/>
          <w:szCs w:val="18"/>
        </w:rPr>
        <w:t>,</w:t>
      </w:r>
      <w:r w:rsidRPr="00A57182">
        <w:rPr>
          <w:rFonts w:ascii="Verdana" w:hAnsi="Verdana"/>
          <w:sz w:val="18"/>
          <w:szCs w:val="18"/>
        </w:rPr>
        <w:br/>
        <w:t xml:space="preserve">Sala de lo Contencioso-Administrativo, Sección Segunda </w:t>
      </w:r>
      <w:r w:rsidR="00A57182" w:rsidRPr="00A57182">
        <w:rPr>
          <w:rFonts w:ascii="Verdana" w:hAnsi="Verdana"/>
          <w:sz w:val="18"/>
          <w:szCs w:val="18"/>
        </w:rPr>
        <w:t>recurso</w:t>
      </w:r>
      <w:r w:rsidRPr="00A57182">
        <w:rPr>
          <w:rFonts w:ascii="Verdana" w:hAnsi="Verdana"/>
          <w:sz w:val="18"/>
          <w:szCs w:val="18"/>
        </w:rPr>
        <w:t xml:space="preserve"> de casación  577/2024</w:t>
      </w:r>
      <w:r w:rsidRPr="00743164">
        <w:rPr>
          <w:rFonts w:ascii="Verdana" w:hAnsi="Verdana"/>
          <w:sz w:val="18"/>
          <w:szCs w:val="18"/>
        </w:rPr>
        <w:t xml:space="preserve"> establece que, </w:t>
      </w:r>
      <w:r w:rsidRPr="00743164">
        <w:rPr>
          <w:rFonts w:ascii="Verdana" w:hAnsi="Verdana"/>
          <w:b/>
          <w:bCs/>
          <w:sz w:val="18"/>
          <w:szCs w:val="18"/>
        </w:rPr>
        <w:t>una vez anulada una declaración de fraude de ley</w:t>
      </w:r>
      <w:r w:rsidRPr="00743164">
        <w:rPr>
          <w:rFonts w:ascii="Verdana" w:hAnsi="Verdana"/>
          <w:sz w:val="18"/>
          <w:szCs w:val="18"/>
        </w:rPr>
        <w:t xml:space="preserve">, la Administración tributaria no puede mantener la regularización practicada utilizando, dentro del mismo acuerdo de liquidación, </w:t>
      </w:r>
      <w:r w:rsidRPr="00743164">
        <w:rPr>
          <w:rFonts w:ascii="Verdana" w:hAnsi="Verdana"/>
          <w:b/>
          <w:bCs/>
          <w:sz w:val="18"/>
          <w:szCs w:val="18"/>
        </w:rPr>
        <w:t>un fundamento jurídico distinto e incompatible con aquel que sustentaba inicialmente la regularización</w:t>
      </w:r>
      <w:r w:rsidRPr="00743164">
        <w:rPr>
          <w:rFonts w:ascii="Verdana" w:hAnsi="Verdana"/>
          <w:sz w:val="18"/>
          <w:szCs w:val="18"/>
        </w:rPr>
        <w:t>.</w:t>
      </w:r>
    </w:p>
    <w:p w14:paraId="4B043AC3" w14:textId="77777777" w:rsidR="00743164" w:rsidRDefault="00743164" w:rsidP="00743164">
      <w:pPr>
        <w:spacing w:before="100" w:beforeAutospacing="1" w:after="100" w:afterAutospacing="1"/>
        <w:ind w:left="284"/>
        <w:jc w:val="both"/>
        <w:rPr>
          <w:rFonts w:ascii="Verdana" w:hAnsi="Verdana"/>
          <w:b/>
          <w:bCs/>
          <w:sz w:val="18"/>
          <w:szCs w:val="18"/>
        </w:rPr>
      </w:pPr>
      <w:r w:rsidRPr="00743164">
        <w:rPr>
          <w:rFonts w:ascii="Verdana" w:hAnsi="Verdana"/>
          <w:b/>
          <w:bCs/>
          <w:sz w:val="18"/>
          <w:szCs w:val="18"/>
        </w:rPr>
        <w:t>Antecedentes</w:t>
      </w:r>
    </w:p>
    <w:p w14:paraId="286225EC" w14:textId="77777777" w:rsidR="00743164" w:rsidRPr="00743164" w:rsidRDefault="00743164" w:rsidP="00743164">
      <w:pPr>
        <w:spacing w:before="100" w:beforeAutospacing="1" w:after="100" w:afterAutospacing="1"/>
        <w:ind w:left="284"/>
        <w:jc w:val="both"/>
        <w:rPr>
          <w:rFonts w:ascii="Verdana" w:hAnsi="Verdana"/>
          <w:sz w:val="18"/>
          <w:szCs w:val="18"/>
        </w:rPr>
      </w:pPr>
      <w:r w:rsidRPr="00743164">
        <w:rPr>
          <w:rFonts w:ascii="Verdana" w:hAnsi="Verdana"/>
          <w:sz w:val="18"/>
          <w:szCs w:val="18"/>
        </w:rPr>
        <w:t>El origen del litigio se remonta a una serie de complejas operaciones societarias realizadas por la filial española de un grupo empresarial. En diciembre de 2004, la compañía llevó a cabo una ampliación de capital mediante la aportación de las acciones de una filial sueca, valoradas en 346 millones de euros. Años más tarde, en 2010, la empresa matriz disolvió esta filial, registrando una pérdida patrimonial deducible en el Impuesto sobre Sociedades de más de 46 millones de euros debido a diferencias de cambio de moneda.</w:t>
      </w:r>
    </w:p>
    <w:p w14:paraId="58559C22" w14:textId="77777777" w:rsidR="00743164" w:rsidRPr="00743164" w:rsidRDefault="00743164" w:rsidP="00743164">
      <w:pPr>
        <w:spacing w:before="100" w:beforeAutospacing="1" w:after="100" w:afterAutospacing="1"/>
        <w:ind w:left="284"/>
        <w:jc w:val="both"/>
        <w:rPr>
          <w:rFonts w:ascii="Verdana" w:hAnsi="Verdana"/>
          <w:sz w:val="18"/>
          <w:szCs w:val="18"/>
        </w:rPr>
      </w:pPr>
      <w:r w:rsidRPr="00743164">
        <w:rPr>
          <w:rFonts w:ascii="Verdana" w:hAnsi="Verdana"/>
          <w:sz w:val="18"/>
          <w:szCs w:val="18"/>
        </w:rPr>
        <w:t>Tras un proceso de inspección, la Agencia Tributaria determinó que estas transacciones se habían estructurado en fraude de ley bajo la antigua Ley General Tributaria de 1963. Sin embargo, previendo que los tribunales pudieran tumbar esta calificación por motivos procedimentales, la inspección introdujo una salvaguarda condicional en el acuerdo de liquidación.</w:t>
      </w:r>
    </w:p>
    <w:p w14:paraId="6753B68A" w14:textId="77777777" w:rsidR="00743164" w:rsidRPr="00743164" w:rsidRDefault="00743164" w:rsidP="00743164">
      <w:pPr>
        <w:spacing w:before="100" w:beforeAutospacing="1" w:after="100" w:afterAutospacing="1"/>
        <w:ind w:left="284"/>
        <w:jc w:val="both"/>
        <w:rPr>
          <w:rFonts w:ascii="Verdana" w:hAnsi="Verdana"/>
          <w:sz w:val="18"/>
          <w:szCs w:val="18"/>
        </w:rPr>
      </w:pPr>
      <w:r w:rsidRPr="00743164">
        <w:rPr>
          <w:rFonts w:ascii="Verdana" w:hAnsi="Verdana"/>
          <w:sz w:val="18"/>
          <w:szCs w:val="18"/>
        </w:rPr>
        <w:t>Hacienda estableció que, en el supuesto de que la justicia no refrendase la existencia de fraude de ley, se aplicarían de forma subsidiaria las reglas especiales de valoración previstas en el artículo 15 del Texto Refundido de la Ley del Impuesto sobre Sociedades (TRLIS). Bajo esta alternativa, la Administración valoraba la participación de la filial sueca conforme a su capital social histórico (apenas 222.977 euros) en lugar del valor de mercado declarado, lo que anulaba igualmente la deducción de las pérdidas millonarias en 2010.</w:t>
      </w:r>
    </w:p>
    <w:p w14:paraId="7A0249AF" w14:textId="77777777" w:rsidR="00743164" w:rsidRPr="00743164" w:rsidRDefault="00743164" w:rsidP="00743164">
      <w:pPr>
        <w:spacing w:before="100" w:beforeAutospacing="1" w:after="100" w:afterAutospacing="1"/>
        <w:ind w:left="284"/>
        <w:jc w:val="both"/>
        <w:rPr>
          <w:rFonts w:ascii="Verdana" w:hAnsi="Verdana"/>
          <w:sz w:val="18"/>
          <w:szCs w:val="18"/>
        </w:rPr>
      </w:pPr>
      <w:r w:rsidRPr="00743164">
        <w:rPr>
          <w:rFonts w:ascii="Verdana" w:hAnsi="Verdana"/>
          <w:sz w:val="18"/>
          <w:szCs w:val="18"/>
        </w:rPr>
        <w:t xml:space="preserve">La declaración de fraude de ley fue anulada porque la Administración había utilizado el </w:t>
      </w:r>
      <w:r w:rsidRPr="00743164">
        <w:rPr>
          <w:rFonts w:ascii="Verdana" w:hAnsi="Verdana"/>
          <w:b/>
          <w:bCs/>
          <w:sz w:val="18"/>
          <w:szCs w:val="18"/>
        </w:rPr>
        <w:t>artículo 24 de la LGT de 1963</w:t>
      </w:r>
      <w:r w:rsidRPr="00743164">
        <w:rPr>
          <w:rFonts w:ascii="Verdana" w:hAnsi="Verdana"/>
          <w:sz w:val="18"/>
          <w:szCs w:val="18"/>
        </w:rPr>
        <w:t xml:space="preserve">, cuando, al haberse realizado la operación en 2004, resultaba aplicable la </w:t>
      </w:r>
      <w:r w:rsidRPr="00743164">
        <w:rPr>
          <w:rFonts w:ascii="Verdana" w:hAnsi="Verdana"/>
          <w:b/>
          <w:bCs/>
          <w:sz w:val="18"/>
          <w:szCs w:val="18"/>
        </w:rPr>
        <w:t>LGT de 2003</w:t>
      </w:r>
      <w:r w:rsidRPr="00743164">
        <w:rPr>
          <w:rFonts w:ascii="Verdana" w:hAnsi="Verdana"/>
          <w:sz w:val="18"/>
          <w:szCs w:val="18"/>
        </w:rPr>
        <w:t>, cuyo artículo 15 regula el conflicto en la aplicación de la norma tributaria.</w:t>
      </w:r>
    </w:p>
    <w:p w14:paraId="4EFDA76F" w14:textId="77777777" w:rsidR="00743164" w:rsidRPr="00743164" w:rsidRDefault="00743164" w:rsidP="00743164">
      <w:pPr>
        <w:spacing w:before="100" w:beforeAutospacing="1" w:after="100" w:afterAutospacing="1"/>
        <w:ind w:left="284"/>
        <w:jc w:val="both"/>
        <w:rPr>
          <w:rFonts w:ascii="Verdana" w:hAnsi="Verdana"/>
          <w:b/>
          <w:bCs/>
          <w:sz w:val="18"/>
          <w:szCs w:val="18"/>
        </w:rPr>
      </w:pPr>
      <w:r w:rsidRPr="00743164">
        <w:rPr>
          <w:rFonts w:ascii="Verdana" w:hAnsi="Verdana"/>
          <w:b/>
          <w:bCs/>
          <w:sz w:val="18"/>
          <w:szCs w:val="18"/>
        </w:rPr>
        <w:t>Criterio del Tribunal Supremo</w:t>
      </w:r>
    </w:p>
    <w:p w14:paraId="740D3BFE" w14:textId="77777777" w:rsidR="00743164" w:rsidRPr="00743164" w:rsidRDefault="00743164" w:rsidP="00743164">
      <w:pPr>
        <w:spacing w:before="100" w:beforeAutospacing="1" w:after="100" w:afterAutospacing="1"/>
        <w:ind w:left="284"/>
        <w:jc w:val="both"/>
        <w:rPr>
          <w:rFonts w:ascii="Verdana" w:hAnsi="Verdana"/>
          <w:sz w:val="18"/>
          <w:szCs w:val="18"/>
        </w:rPr>
      </w:pPr>
      <w:r w:rsidRPr="00743164">
        <w:rPr>
          <w:rFonts w:ascii="Verdana" w:hAnsi="Verdana"/>
          <w:sz w:val="18"/>
          <w:szCs w:val="18"/>
        </w:rPr>
        <w:t xml:space="preserve">El Tribunal Supremo rechaza esta forma de proceder por considerar que ambos fundamentos son </w:t>
      </w:r>
      <w:r w:rsidRPr="00743164">
        <w:rPr>
          <w:rFonts w:ascii="Verdana" w:hAnsi="Verdana"/>
          <w:b/>
          <w:bCs/>
          <w:sz w:val="18"/>
          <w:szCs w:val="18"/>
        </w:rPr>
        <w:t>jurídicamente incompatibles</w:t>
      </w:r>
      <w:r w:rsidRPr="00743164">
        <w:rPr>
          <w:rFonts w:ascii="Verdana" w:hAnsi="Verdana"/>
          <w:sz w:val="18"/>
          <w:szCs w:val="18"/>
        </w:rPr>
        <w:t>.</w:t>
      </w:r>
    </w:p>
    <w:p w14:paraId="3AC363FA" w14:textId="77777777" w:rsidR="00743164" w:rsidRPr="00743164" w:rsidRDefault="00743164" w:rsidP="00743164">
      <w:pPr>
        <w:spacing w:before="100" w:beforeAutospacing="1" w:after="100" w:afterAutospacing="1"/>
        <w:ind w:left="284"/>
        <w:jc w:val="both"/>
        <w:rPr>
          <w:rFonts w:ascii="Verdana" w:hAnsi="Verdana"/>
          <w:sz w:val="18"/>
          <w:szCs w:val="18"/>
        </w:rPr>
      </w:pPr>
      <w:r w:rsidRPr="00743164">
        <w:rPr>
          <w:rFonts w:ascii="Verdana" w:hAnsi="Verdana"/>
          <w:sz w:val="18"/>
          <w:szCs w:val="18"/>
        </w:rPr>
        <w:t xml:space="preserve">La Administración no puede considerar simultáneamente que una operación es fraudulenta y, subsidiariamente, tratarla como una operación válida a la que resultan aplicables las reglas ordinarias de valoración. El artículo 15 del TRLIS </w:t>
      </w:r>
      <w:r w:rsidRPr="00743164">
        <w:rPr>
          <w:rFonts w:ascii="Verdana" w:hAnsi="Verdana"/>
          <w:b/>
          <w:bCs/>
          <w:sz w:val="18"/>
          <w:szCs w:val="18"/>
        </w:rPr>
        <w:t>no constituye una cláusula antifraude alternativa</w:t>
      </w:r>
      <w:r w:rsidRPr="00743164">
        <w:rPr>
          <w:rFonts w:ascii="Verdana" w:hAnsi="Verdana"/>
          <w:sz w:val="18"/>
          <w:szCs w:val="18"/>
        </w:rPr>
        <w:t>, sino un régimen de valoración aplicable a operaciones realizadas correctamente.</w:t>
      </w:r>
    </w:p>
    <w:p w14:paraId="74DF4C74" w14:textId="77777777" w:rsidR="00743164" w:rsidRPr="00743164" w:rsidRDefault="00743164" w:rsidP="00743164">
      <w:pPr>
        <w:spacing w:before="100" w:beforeAutospacing="1" w:after="100" w:afterAutospacing="1"/>
        <w:ind w:left="284"/>
        <w:jc w:val="both"/>
        <w:rPr>
          <w:rFonts w:ascii="Verdana" w:hAnsi="Verdana"/>
          <w:sz w:val="18"/>
          <w:szCs w:val="18"/>
        </w:rPr>
      </w:pPr>
      <w:r w:rsidRPr="00743164">
        <w:rPr>
          <w:rFonts w:ascii="Verdana" w:hAnsi="Verdana"/>
          <w:sz w:val="18"/>
          <w:szCs w:val="18"/>
        </w:rPr>
        <w:t>Por tanto, no resulta admisible que, ante la eventual anulación de la declaración de fraude de ley, la Administración haya previsto dentro de la misma liquidación una segunda regularización destinada a producir el mismo efecto económico.</w:t>
      </w:r>
    </w:p>
    <w:p w14:paraId="3584E7CA" w14:textId="77777777" w:rsidR="00743164" w:rsidRPr="00743164" w:rsidRDefault="00743164" w:rsidP="00743164">
      <w:pPr>
        <w:spacing w:before="100" w:beforeAutospacing="1" w:after="100" w:afterAutospacing="1"/>
        <w:ind w:left="284"/>
        <w:jc w:val="both"/>
        <w:rPr>
          <w:rFonts w:ascii="Verdana" w:hAnsi="Verdana"/>
          <w:sz w:val="18"/>
          <w:szCs w:val="18"/>
        </w:rPr>
      </w:pPr>
      <w:r w:rsidRPr="00743164">
        <w:rPr>
          <w:rFonts w:ascii="Verdana" w:hAnsi="Verdana"/>
          <w:sz w:val="18"/>
          <w:szCs w:val="18"/>
        </w:rPr>
        <w:t xml:space="preserve">El Tribunal destaca especialmente que esta actuación genera </w:t>
      </w:r>
      <w:r w:rsidRPr="00743164">
        <w:rPr>
          <w:rFonts w:ascii="Verdana" w:hAnsi="Verdana"/>
          <w:b/>
          <w:bCs/>
          <w:sz w:val="18"/>
          <w:szCs w:val="18"/>
        </w:rPr>
        <w:t>indefensión al contribuyente</w:t>
      </w:r>
      <w:r w:rsidRPr="00743164">
        <w:rPr>
          <w:rFonts w:ascii="Verdana" w:hAnsi="Verdana"/>
          <w:sz w:val="18"/>
          <w:szCs w:val="18"/>
        </w:rPr>
        <w:t>, pues la liquidación no permite conocer con claridad cuál es realmente el fundamento jurídico de la regularización y tampoco permite una adecuada contradicción sobre la segunda vía utilizada.</w:t>
      </w:r>
    </w:p>
    <w:p w14:paraId="46BD0EB8" w14:textId="77777777" w:rsidR="00743164" w:rsidRPr="00743164" w:rsidRDefault="00743164" w:rsidP="00743164">
      <w:pPr>
        <w:spacing w:before="100" w:beforeAutospacing="1" w:after="100" w:afterAutospacing="1"/>
        <w:ind w:left="284"/>
        <w:jc w:val="both"/>
        <w:rPr>
          <w:rFonts w:ascii="Verdana" w:hAnsi="Verdana"/>
          <w:sz w:val="18"/>
          <w:szCs w:val="18"/>
        </w:rPr>
      </w:pPr>
      <w:r w:rsidRPr="00743164">
        <w:rPr>
          <w:rFonts w:ascii="Verdana" w:hAnsi="Verdana"/>
          <w:sz w:val="18"/>
          <w:szCs w:val="18"/>
        </w:rPr>
        <w:t xml:space="preserve">Además, en el caso concreto, la aplicación del artículo 15 del TRLIS se realizó sin identificar con suficiente precisión el apartado concreto aplicado ni justificar adecuadamente el valor de mercado atribuido a las participaciones. El Tribunal recuerda que </w:t>
      </w:r>
      <w:r w:rsidRPr="00743164">
        <w:rPr>
          <w:rFonts w:ascii="Verdana" w:hAnsi="Verdana"/>
          <w:b/>
          <w:bCs/>
          <w:sz w:val="18"/>
          <w:szCs w:val="18"/>
        </w:rPr>
        <w:t>valor normal de mercado no equivale automáticamente a valor del capital social</w:t>
      </w:r>
      <w:r w:rsidRPr="00743164">
        <w:rPr>
          <w:rFonts w:ascii="Verdana" w:hAnsi="Verdana"/>
          <w:sz w:val="18"/>
          <w:szCs w:val="18"/>
        </w:rPr>
        <w:t>, siendo necesaria la correspondiente justificación.</w:t>
      </w:r>
    </w:p>
    <w:p w14:paraId="3DC731FB" w14:textId="77777777" w:rsidR="001A6B56" w:rsidRDefault="001A6B56" w:rsidP="00743164">
      <w:pPr>
        <w:spacing w:before="100" w:beforeAutospacing="1" w:after="100" w:afterAutospacing="1"/>
        <w:ind w:left="284"/>
        <w:jc w:val="both"/>
        <w:rPr>
          <w:rFonts w:ascii="Verdana" w:hAnsi="Verdana"/>
          <w:b/>
          <w:bCs/>
          <w:sz w:val="18"/>
          <w:szCs w:val="18"/>
        </w:rPr>
      </w:pPr>
    </w:p>
    <w:p w14:paraId="5DEA769E" w14:textId="371BBA4F" w:rsidR="00743164" w:rsidRPr="00743164" w:rsidRDefault="00743164" w:rsidP="00743164">
      <w:pPr>
        <w:spacing w:before="100" w:beforeAutospacing="1" w:after="100" w:afterAutospacing="1"/>
        <w:ind w:left="284"/>
        <w:jc w:val="both"/>
        <w:rPr>
          <w:rFonts w:ascii="Verdana" w:hAnsi="Verdana"/>
          <w:b/>
          <w:bCs/>
          <w:sz w:val="18"/>
          <w:szCs w:val="18"/>
        </w:rPr>
      </w:pPr>
      <w:r w:rsidRPr="00743164">
        <w:rPr>
          <w:rFonts w:ascii="Verdana" w:hAnsi="Verdana"/>
          <w:b/>
          <w:bCs/>
          <w:sz w:val="18"/>
          <w:szCs w:val="18"/>
        </w:rPr>
        <w:lastRenderedPageBreak/>
        <w:t>Doctrina jurisprudencial</w:t>
      </w:r>
    </w:p>
    <w:p w14:paraId="06D57A12" w14:textId="77777777" w:rsidR="00743164" w:rsidRPr="00743164" w:rsidRDefault="00743164" w:rsidP="00743164">
      <w:pPr>
        <w:spacing w:before="100" w:beforeAutospacing="1" w:after="100" w:afterAutospacing="1"/>
        <w:ind w:left="284"/>
        <w:jc w:val="both"/>
        <w:rPr>
          <w:rFonts w:ascii="Verdana" w:hAnsi="Verdana"/>
          <w:sz w:val="18"/>
          <w:szCs w:val="18"/>
        </w:rPr>
      </w:pPr>
      <w:r w:rsidRPr="00743164">
        <w:rPr>
          <w:rFonts w:ascii="Verdana" w:hAnsi="Verdana"/>
          <w:sz w:val="18"/>
          <w:szCs w:val="18"/>
        </w:rPr>
        <w:t>El Tribunal Supremo fija la siguiente doctrina:</w:t>
      </w:r>
    </w:p>
    <w:p w14:paraId="46B8C2E1" w14:textId="77777777" w:rsidR="00743164" w:rsidRPr="00743164" w:rsidRDefault="00743164" w:rsidP="00743164">
      <w:pPr>
        <w:numPr>
          <w:ilvl w:val="0"/>
          <w:numId w:val="30"/>
        </w:numPr>
        <w:spacing w:before="100" w:beforeAutospacing="1" w:after="100" w:afterAutospacing="1"/>
        <w:jc w:val="both"/>
        <w:rPr>
          <w:rFonts w:ascii="Verdana" w:hAnsi="Verdana"/>
          <w:sz w:val="18"/>
          <w:szCs w:val="18"/>
        </w:rPr>
      </w:pPr>
      <w:r w:rsidRPr="00743164">
        <w:rPr>
          <w:rFonts w:ascii="Verdana" w:hAnsi="Verdana"/>
          <w:b/>
          <w:bCs/>
          <w:sz w:val="18"/>
          <w:szCs w:val="18"/>
        </w:rPr>
        <w:t>Anulada judicialmente una declaración de fraude de ley</w:t>
      </w:r>
      <w:r w:rsidRPr="00743164">
        <w:rPr>
          <w:rFonts w:ascii="Verdana" w:hAnsi="Verdana"/>
          <w:sz w:val="18"/>
          <w:szCs w:val="18"/>
        </w:rPr>
        <w:t>, la Administración no puede mantener la regularización que provocó mediante un motivo jurídico diferente e incompatible con dicha declaración.</w:t>
      </w:r>
    </w:p>
    <w:p w14:paraId="39191060" w14:textId="77777777" w:rsidR="00743164" w:rsidRPr="00743164" w:rsidRDefault="00743164" w:rsidP="00743164">
      <w:pPr>
        <w:numPr>
          <w:ilvl w:val="0"/>
          <w:numId w:val="30"/>
        </w:numPr>
        <w:spacing w:before="100" w:beforeAutospacing="1" w:after="100" w:afterAutospacing="1"/>
        <w:jc w:val="both"/>
        <w:rPr>
          <w:rFonts w:ascii="Verdana" w:hAnsi="Verdana"/>
          <w:sz w:val="18"/>
          <w:szCs w:val="18"/>
        </w:rPr>
      </w:pPr>
      <w:r w:rsidRPr="00743164">
        <w:rPr>
          <w:rFonts w:ascii="Verdana" w:hAnsi="Verdana"/>
          <w:b/>
          <w:bCs/>
          <w:sz w:val="18"/>
          <w:szCs w:val="18"/>
        </w:rPr>
        <w:t>No es posible fundamentar simultáneamente una misma liquidación</w:t>
      </w:r>
      <w:r w:rsidRPr="00743164">
        <w:rPr>
          <w:rFonts w:ascii="Verdana" w:hAnsi="Verdana"/>
          <w:sz w:val="18"/>
          <w:szCs w:val="18"/>
        </w:rPr>
        <w:t xml:space="preserve"> en la existencia de fraude de ley y en la eventual nulidad de esa misma declaración.</w:t>
      </w:r>
    </w:p>
    <w:p w14:paraId="1195F62A" w14:textId="77777777" w:rsidR="00743164" w:rsidRPr="00743164" w:rsidRDefault="00743164" w:rsidP="00743164">
      <w:pPr>
        <w:numPr>
          <w:ilvl w:val="0"/>
          <w:numId w:val="30"/>
        </w:numPr>
        <w:spacing w:before="100" w:beforeAutospacing="1" w:after="100" w:afterAutospacing="1"/>
        <w:jc w:val="both"/>
        <w:rPr>
          <w:rFonts w:ascii="Verdana" w:hAnsi="Verdana"/>
          <w:sz w:val="18"/>
          <w:szCs w:val="18"/>
        </w:rPr>
      </w:pPr>
      <w:r w:rsidRPr="00743164">
        <w:rPr>
          <w:rFonts w:ascii="Verdana" w:hAnsi="Verdana"/>
          <w:sz w:val="18"/>
          <w:szCs w:val="18"/>
        </w:rPr>
        <w:t xml:space="preserve">La aplicación de las reglas de valoración del </w:t>
      </w:r>
      <w:r w:rsidRPr="00743164">
        <w:rPr>
          <w:rFonts w:ascii="Verdana" w:hAnsi="Verdana"/>
          <w:b/>
          <w:bCs/>
          <w:sz w:val="18"/>
          <w:szCs w:val="18"/>
        </w:rPr>
        <w:t>artículo 15 del TRLIS</w:t>
      </w:r>
      <w:r w:rsidRPr="00743164">
        <w:rPr>
          <w:rFonts w:ascii="Verdana" w:hAnsi="Verdana"/>
          <w:sz w:val="18"/>
          <w:szCs w:val="18"/>
        </w:rPr>
        <w:t xml:space="preserve"> es incompatible, en las circunstancias examinadas, con la utilización de la declaración de fraude de ley como fundamento de la regularización.</w:t>
      </w:r>
    </w:p>
    <w:p w14:paraId="41116114" w14:textId="77777777" w:rsidR="00743164" w:rsidRPr="00743164" w:rsidRDefault="00743164" w:rsidP="00743164">
      <w:pPr>
        <w:numPr>
          <w:ilvl w:val="0"/>
          <w:numId w:val="30"/>
        </w:numPr>
        <w:spacing w:before="100" w:beforeAutospacing="1" w:after="100" w:afterAutospacing="1"/>
        <w:jc w:val="both"/>
        <w:rPr>
          <w:rFonts w:ascii="Verdana" w:hAnsi="Verdana"/>
          <w:sz w:val="18"/>
          <w:szCs w:val="18"/>
        </w:rPr>
      </w:pPr>
      <w:r w:rsidRPr="00743164">
        <w:rPr>
          <w:rFonts w:ascii="Verdana" w:hAnsi="Verdana"/>
          <w:sz w:val="18"/>
          <w:szCs w:val="18"/>
        </w:rPr>
        <w:t xml:space="preserve">La utilización de esta </w:t>
      </w:r>
      <w:r w:rsidRPr="00743164">
        <w:rPr>
          <w:rFonts w:ascii="Verdana" w:hAnsi="Verdana"/>
          <w:b/>
          <w:bCs/>
          <w:sz w:val="18"/>
          <w:szCs w:val="18"/>
        </w:rPr>
        <w:t>doble vía de regularización</w:t>
      </w:r>
      <w:r w:rsidRPr="00743164">
        <w:rPr>
          <w:rFonts w:ascii="Verdana" w:hAnsi="Verdana"/>
          <w:sz w:val="18"/>
          <w:szCs w:val="18"/>
        </w:rPr>
        <w:t xml:space="preserve"> ocasiona indefensión al contribuyente.</w:t>
      </w:r>
    </w:p>
    <w:p w14:paraId="52C62278" w14:textId="77777777" w:rsidR="00743164" w:rsidRPr="00743164" w:rsidRDefault="00743164" w:rsidP="00743164">
      <w:pPr>
        <w:spacing w:before="100" w:beforeAutospacing="1" w:after="100" w:afterAutospacing="1"/>
        <w:ind w:left="284"/>
        <w:jc w:val="both"/>
        <w:rPr>
          <w:rFonts w:ascii="Verdana" w:hAnsi="Verdana"/>
          <w:b/>
          <w:bCs/>
          <w:sz w:val="18"/>
          <w:szCs w:val="18"/>
        </w:rPr>
      </w:pPr>
      <w:r w:rsidRPr="00743164">
        <w:rPr>
          <w:rFonts w:ascii="Verdana" w:hAnsi="Verdana"/>
          <w:b/>
          <w:bCs/>
          <w:sz w:val="18"/>
          <w:szCs w:val="18"/>
        </w:rPr>
        <w:t>Consecuencia para el caso concreto</w:t>
      </w:r>
    </w:p>
    <w:p w14:paraId="16252625" w14:textId="77777777" w:rsidR="00743164" w:rsidRPr="00743164" w:rsidRDefault="00743164" w:rsidP="00743164">
      <w:pPr>
        <w:spacing w:before="100" w:beforeAutospacing="1" w:after="100" w:afterAutospacing="1"/>
        <w:ind w:left="284"/>
        <w:jc w:val="both"/>
        <w:rPr>
          <w:rFonts w:ascii="Verdana" w:hAnsi="Verdana"/>
          <w:sz w:val="18"/>
          <w:szCs w:val="18"/>
        </w:rPr>
      </w:pPr>
      <w:r w:rsidRPr="00743164">
        <w:rPr>
          <w:rFonts w:ascii="Verdana" w:hAnsi="Verdana"/>
          <w:sz w:val="18"/>
          <w:szCs w:val="18"/>
        </w:rPr>
        <w:t xml:space="preserve">El Tribunal Supremo </w:t>
      </w:r>
      <w:r w:rsidRPr="00743164">
        <w:rPr>
          <w:rFonts w:ascii="Verdana" w:hAnsi="Verdana"/>
          <w:b/>
          <w:bCs/>
          <w:sz w:val="18"/>
          <w:szCs w:val="18"/>
        </w:rPr>
        <w:t>casa y anula la sentencia de la Audiencia Nacional</w:t>
      </w:r>
      <w:r w:rsidRPr="00743164">
        <w:rPr>
          <w:rFonts w:ascii="Verdana" w:hAnsi="Verdana"/>
          <w:sz w:val="18"/>
          <w:szCs w:val="18"/>
        </w:rPr>
        <w:t>, al considerar incorrecta su decisión de mantener la regularización mediante la aplicación del artículo 15 del TRLIS una vez anulada la declaración de fraude de ley.</w:t>
      </w:r>
    </w:p>
    <w:p w14:paraId="2A351709" w14:textId="77777777" w:rsidR="00743164" w:rsidRPr="00743164" w:rsidRDefault="00743164" w:rsidP="00743164">
      <w:pPr>
        <w:spacing w:before="100" w:beforeAutospacing="1" w:after="100" w:afterAutospacing="1"/>
        <w:ind w:left="284"/>
        <w:jc w:val="both"/>
        <w:rPr>
          <w:rFonts w:ascii="Verdana" w:hAnsi="Verdana"/>
          <w:sz w:val="18"/>
          <w:szCs w:val="18"/>
        </w:rPr>
      </w:pPr>
      <w:r w:rsidRPr="00743164">
        <w:rPr>
          <w:rFonts w:ascii="Verdana" w:hAnsi="Verdana"/>
          <w:b/>
          <w:bCs/>
          <w:sz w:val="18"/>
          <w:szCs w:val="18"/>
        </w:rPr>
        <w:t>Importancia práctica:</w:t>
      </w:r>
      <w:r w:rsidRPr="00743164">
        <w:rPr>
          <w:rFonts w:ascii="Verdana" w:hAnsi="Verdana"/>
          <w:sz w:val="18"/>
          <w:szCs w:val="18"/>
        </w:rPr>
        <w:t xml:space="preserve"> la sentencia refuerza las exigencias de </w:t>
      </w:r>
      <w:r w:rsidRPr="00743164">
        <w:rPr>
          <w:rFonts w:ascii="Verdana" w:hAnsi="Verdana"/>
          <w:b/>
          <w:bCs/>
          <w:sz w:val="18"/>
          <w:szCs w:val="18"/>
        </w:rPr>
        <w:t>coherencia, claridad y congruencia de las liquidaciones tributarias</w:t>
      </w:r>
      <w:r w:rsidRPr="00743164">
        <w:rPr>
          <w:rFonts w:ascii="Verdana" w:hAnsi="Verdana"/>
          <w:sz w:val="18"/>
          <w:szCs w:val="18"/>
        </w:rPr>
        <w:t>, impidiendo que la Administración utilice una especie de "doble fundamento" para preservar una regularización frente a la eventual anulación judicial de su fundamento principal. La Administración debe elegir y motivar correctamente la vía jurídica que sustenta la regularización, sin poder sustituir posteriormente, dentro del mismo acto, un fundamento incompatible por otro.</w:t>
      </w:r>
    </w:p>
    <w:p w14:paraId="1B77721F" w14:textId="77777777" w:rsidR="00D82871" w:rsidRDefault="00D82871" w:rsidP="001270CF">
      <w:pPr>
        <w:spacing w:before="100" w:beforeAutospacing="1" w:after="100" w:afterAutospacing="1"/>
        <w:ind w:left="284"/>
        <w:jc w:val="both"/>
        <w:rPr>
          <w:rFonts w:ascii="Verdana" w:hAnsi="Verdana"/>
          <w:sz w:val="18"/>
          <w:szCs w:val="18"/>
        </w:rPr>
      </w:pPr>
    </w:p>
    <w:tbl>
      <w:tblPr>
        <w:tblW w:w="8640" w:type="dxa"/>
        <w:tblInd w:w="70" w:type="dxa"/>
        <w:tblCellMar>
          <w:left w:w="70" w:type="dxa"/>
          <w:right w:w="70" w:type="dxa"/>
        </w:tblCellMar>
        <w:tblLook w:val="0000" w:firstRow="0" w:lastRow="0" w:firstColumn="0" w:lastColumn="0" w:noHBand="0" w:noVBand="0"/>
      </w:tblPr>
      <w:tblGrid>
        <w:gridCol w:w="180"/>
        <w:gridCol w:w="8460"/>
      </w:tblGrid>
      <w:tr w:rsidR="002F3B73" w:rsidRPr="002F3B73" w14:paraId="7EDB1385" w14:textId="77777777" w:rsidTr="00EA094D">
        <w:tc>
          <w:tcPr>
            <w:tcW w:w="180" w:type="dxa"/>
            <w:shd w:val="clear" w:color="auto" w:fill="FF6600"/>
          </w:tcPr>
          <w:p w14:paraId="4BF565C8" w14:textId="77777777" w:rsidR="002F3B73" w:rsidRPr="002F3B73" w:rsidRDefault="002F3B73" w:rsidP="00EA094D">
            <w:pPr>
              <w:rPr>
                <w:rFonts w:ascii="Verdana" w:hAnsi="Verdana"/>
                <w:b/>
                <w:bCs/>
                <w:color w:val="800000"/>
                <w:sz w:val="18"/>
                <w:szCs w:val="18"/>
              </w:rPr>
            </w:pPr>
          </w:p>
        </w:tc>
        <w:tc>
          <w:tcPr>
            <w:tcW w:w="8460" w:type="dxa"/>
          </w:tcPr>
          <w:p w14:paraId="204E81ED" w14:textId="33B5C8E3" w:rsidR="00E64962" w:rsidRPr="00E64962" w:rsidRDefault="002F3B73" w:rsidP="00E64962">
            <w:pPr>
              <w:numPr>
                <w:ilvl w:val="0"/>
                <w:numId w:val="1"/>
              </w:numPr>
              <w:tabs>
                <w:tab w:val="clear" w:pos="720"/>
                <w:tab w:val="num" w:pos="317"/>
                <w:tab w:val="left" w:pos="389"/>
              </w:tabs>
              <w:ind w:left="317" w:hanging="283"/>
              <w:jc w:val="both"/>
              <w:rPr>
                <w:rFonts w:ascii="Verdana" w:hAnsi="Verdana"/>
                <w:b/>
                <w:bCs/>
                <w:color w:val="800000"/>
                <w:spacing w:val="-8"/>
                <w:sz w:val="18"/>
                <w:szCs w:val="18"/>
              </w:rPr>
            </w:pPr>
            <w:r w:rsidRPr="002F3B73">
              <w:rPr>
                <w:rFonts w:ascii="Verdana" w:hAnsi="Verdana"/>
                <w:b/>
                <w:bCs/>
                <w:color w:val="800000"/>
                <w:sz w:val="18"/>
                <w:szCs w:val="18"/>
              </w:rPr>
              <w:t>IRPF.- GANANCIA PATRIMONIAL DE ACCIONES UTILIZANDO EL VALOR NOMINAL TRAS UN CONTRA</w:t>
            </w:r>
            <w:r w:rsidR="00A57182">
              <w:rPr>
                <w:rFonts w:ascii="Verdana" w:hAnsi="Verdana"/>
                <w:b/>
                <w:bCs/>
                <w:color w:val="800000"/>
                <w:sz w:val="18"/>
                <w:szCs w:val="18"/>
              </w:rPr>
              <w:t xml:space="preserve"> </w:t>
            </w:r>
            <w:r w:rsidRPr="002F3B73">
              <w:rPr>
                <w:rFonts w:ascii="Verdana" w:hAnsi="Verdana"/>
                <w:b/>
                <w:bCs/>
                <w:color w:val="800000"/>
                <w:sz w:val="18"/>
                <w:szCs w:val="18"/>
              </w:rPr>
              <w:t>SPLIT</w:t>
            </w:r>
          </w:p>
        </w:tc>
      </w:tr>
    </w:tbl>
    <w:p w14:paraId="7E6A7ED8" w14:textId="77777777" w:rsidR="00A40D3A" w:rsidRDefault="00A40D3A" w:rsidP="00A40D3A">
      <w:pPr>
        <w:ind w:left="284"/>
        <w:jc w:val="both"/>
        <w:rPr>
          <w:rFonts w:ascii="Verdana" w:hAnsi="Verdana"/>
          <w:sz w:val="18"/>
          <w:szCs w:val="18"/>
        </w:rPr>
      </w:pPr>
    </w:p>
    <w:p w14:paraId="033444CA" w14:textId="61E3E239" w:rsidR="00E64962" w:rsidRPr="00A40D3A" w:rsidRDefault="00E64962" w:rsidP="002F3B73">
      <w:pPr>
        <w:spacing w:before="100" w:beforeAutospacing="1" w:after="100" w:afterAutospacing="1"/>
        <w:ind w:left="284"/>
        <w:jc w:val="both"/>
        <w:rPr>
          <w:rFonts w:ascii="Verdana" w:hAnsi="Verdana"/>
          <w:sz w:val="18"/>
          <w:szCs w:val="18"/>
        </w:rPr>
      </w:pPr>
      <w:r w:rsidRPr="00A40D3A">
        <w:rPr>
          <w:rFonts w:ascii="Verdana" w:hAnsi="Verdana"/>
          <w:sz w:val="18"/>
          <w:szCs w:val="18"/>
        </w:rPr>
        <w:t>La operación de contra Split o agrupación de acciones es un ajuste a la inversa del Split. Se reduce el número de títulos en circulación, y se aumenta el valor nominal de las acciones, manteniéndose el mismo valor del capital social.</w:t>
      </w:r>
    </w:p>
    <w:p w14:paraId="48A68A47" w14:textId="6140678E" w:rsidR="002F3B73" w:rsidRPr="002F3B73" w:rsidRDefault="002F3B73" w:rsidP="002F3B73">
      <w:pPr>
        <w:spacing w:before="100" w:beforeAutospacing="1" w:after="100" w:afterAutospacing="1"/>
        <w:ind w:left="284"/>
        <w:jc w:val="both"/>
        <w:rPr>
          <w:rFonts w:ascii="Verdana" w:hAnsi="Verdana"/>
          <w:sz w:val="18"/>
          <w:szCs w:val="18"/>
        </w:rPr>
      </w:pPr>
      <w:r w:rsidRPr="00A57182">
        <w:rPr>
          <w:rFonts w:ascii="Verdana" w:hAnsi="Verdana"/>
          <w:sz w:val="18"/>
          <w:szCs w:val="18"/>
        </w:rPr>
        <w:t xml:space="preserve">El Tribunal Superior de Justicia de Andalucía, en su Sentencia 297/2026, de 9 de marzo de 2026 (Rec. 419/2022), estima el recurso del contribuyente y anula una </w:t>
      </w:r>
      <w:r w:rsidRPr="002F3B73">
        <w:rPr>
          <w:rFonts w:ascii="Verdana" w:hAnsi="Verdana"/>
          <w:sz w:val="18"/>
          <w:szCs w:val="18"/>
        </w:rPr>
        <w:t xml:space="preserve">liquidación del IRPF al considerar improcedente el método utilizado por la Inspección para determinar el valor de adquisición de unas acciones transmitidas. </w:t>
      </w:r>
    </w:p>
    <w:p w14:paraId="381395E4" w14:textId="77777777" w:rsidR="002F3B73" w:rsidRPr="002F3B73" w:rsidRDefault="002F3B73" w:rsidP="002F3B73">
      <w:pPr>
        <w:spacing w:before="100" w:beforeAutospacing="1" w:after="100" w:afterAutospacing="1"/>
        <w:ind w:left="284"/>
        <w:jc w:val="both"/>
        <w:rPr>
          <w:rFonts w:ascii="Verdana" w:hAnsi="Verdana"/>
          <w:b/>
          <w:bCs/>
          <w:sz w:val="18"/>
          <w:szCs w:val="18"/>
        </w:rPr>
      </w:pPr>
      <w:r w:rsidRPr="002F3B73">
        <w:rPr>
          <w:rFonts w:ascii="Verdana" w:hAnsi="Verdana"/>
          <w:b/>
          <w:bCs/>
          <w:sz w:val="18"/>
          <w:szCs w:val="18"/>
        </w:rPr>
        <w:t>Antecedentes</w:t>
      </w:r>
    </w:p>
    <w:p w14:paraId="626A2C56" w14:textId="1C1C20B7" w:rsidR="002F3B73" w:rsidRPr="002F3B73" w:rsidRDefault="002F3B73" w:rsidP="002F3B73">
      <w:pPr>
        <w:spacing w:before="100" w:beforeAutospacing="1" w:after="100" w:afterAutospacing="1"/>
        <w:ind w:left="284"/>
        <w:jc w:val="both"/>
        <w:rPr>
          <w:rFonts w:ascii="Verdana" w:hAnsi="Verdana"/>
          <w:sz w:val="18"/>
          <w:szCs w:val="18"/>
        </w:rPr>
      </w:pPr>
      <w:r w:rsidRPr="002F3B73">
        <w:rPr>
          <w:rFonts w:ascii="Verdana" w:hAnsi="Verdana"/>
          <w:sz w:val="18"/>
          <w:szCs w:val="18"/>
        </w:rPr>
        <w:t xml:space="preserve">La Inspección regularizó la transmisión parcial de acciones de </w:t>
      </w:r>
      <w:r w:rsidR="009A234A">
        <w:rPr>
          <w:rFonts w:ascii="Verdana" w:hAnsi="Verdana"/>
          <w:sz w:val="18"/>
          <w:szCs w:val="18"/>
        </w:rPr>
        <w:t xml:space="preserve">la sociedad XX </w:t>
      </w:r>
      <w:r w:rsidRPr="002F3B73">
        <w:rPr>
          <w:rFonts w:ascii="Verdana" w:hAnsi="Verdana"/>
          <w:sz w:val="18"/>
          <w:szCs w:val="18"/>
        </w:rPr>
        <w:t xml:space="preserve">correspondiente al ejercicio 2015. Ante la falta de documentación suficiente sobre el coste de adquisición de los títulos vendidos, la Administración calculó dicho coste mediante una </w:t>
      </w:r>
      <w:r w:rsidRPr="002F3B73">
        <w:rPr>
          <w:rFonts w:ascii="Verdana" w:hAnsi="Verdana"/>
          <w:b/>
          <w:bCs/>
          <w:sz w:val="18"/>
          <w:szCs w:val="18"/>
        </w:rPr>
        <w:t>proporción basada en el valor nominal</w:t>
      </w:r>
      <w:r w:rsidRPr="002F3B73">
        <w:rPr>
          <w:rFonts w:ascii="Verdana" w:hAnsi="Verdana"/>
          <w:sz w:val="18"/>
          <w:szCs w:val="18"/>
        </w:rPr>
        <w:t xml:space="preserve"> de las acciones adquiridas y transmitidas, concluyendo que existía una ganancia patrimonial. </w:t>
      </w:r>
    </w:p>
    <w:p w14:paraId="1E33B749" w14:textId="4156DF55" w:rsidR="002F3B73" w:rsidRPr="002F3B73" w:rsidRDefault="002F3B73" w:rsidP="002F3B73">
      <w:pPr>
        <w:spacing w:before="100" w:beforeAutospacing="1" w:after="100" w:afterAutospacing="1"/>
        <w:ind w:left="284"/>
        <w:jc w:val="both"/>
        <w:rPr>
          <w:rFonts w:ascii="Verdana" w:hAnsi="Verdana"/>
          <w:sz w:val="18"/>
          <w:szCs w:val="18"/>
        </w:rPr>
      </w:pPr>
      <w:r w:rsidRPr="002F3B73">
        <w:rPr>
          <w:rFonts w:ascii="Verdana" w:hAnsi="Verdana"/>
          <w:sz w:val="18"/>
          <w:szCs w:val="18"/>
        </w:rPr>
        <w:t xml:space="preserve">La contribuyente sostuvo que este criterio era incorrecto, ya que las acciones habían sido objeto de una operación de </w:t>
      </w:r>
      <w:r w:rsidRPr="002F3B73">
        <w:rPr>
          <w:rFonts w:ascii="Verdana" w:hAnsi="Verdana"/>
          <w:b/>
          <w:bCs/>
          <w:sz w:val="18"/>
          <w:szCs w:val="18"/>
        </w:rPr>
        <w:t>contra</w:t>
      </w:r>
      <w:r w:rsidR="00A57182">
        <w:rPr>
          <w:rFonts w:ascii="Verdana" w:hAnsi="Verdana"/>
          <w:b/>
          <w:bCs/>
          <w:sz w:val="18"/>
          <w:szCs w:val="18"/>
        </w:rPr>
        <w:t xml:space="preserve"> S</w:t>
      </w:r>
      <w:r w:rsidRPr="002F3B73">
        <w:rPr>
          <w:rFonts w:ascii="Verdana" w:hAnsi="Verdana"/>
          <w:b/>
          <w:bCs/>
          <w:sz w:val="18"/>
          <w:szCs w:val="18"/>
        </w:rPr>
        <w:t>plit</w:t>
      </w:r>
      <w:r w:rsidRPr="002F3B73">
        <w:rPr>
          <w:rFonts w:ascii="Verdana" w:hAnsi="Verdana"/>
          <w:sz w:val="18"/>
          <w:szCs w:val="18"/>
        </w:rPr>
        <w:t xml:space="preserve">, circunstancia que alteró el valor nominal sin modificar el valor económico real de la inversión. Asimismo, defendió que los datos disponibles acreditaban una pérdida patrimonial y que correspondía a la Administración demostrar la existencia de una ganancia. </w:t>
      </w:r>
    </w:p>
    <w:p w14:paraId="410B2F68" w14:textId="77777777" w:rsidR="002F3B73" w:rsidRPr="002F3B73" w:rsidRDefault="002F3B73" w:rsidP="002F3B73">
      <w:pPr>
        <w:spacing w:before="100" w:beforeAutospacing="1" w:after="100" w:afterAutospacing="1"/>
        <w:ind w:left="284"/>
        <w:jc w:val="both"/>
        <w:rPr>
          <w:rFonts w:ascii="Verdana" w:hAnsi="Verdana"/>
          <w:b/>
          <w:bCs/>
          <w:sz w:val="18"/>
          <w:szCs w:val="18"/>
        </w:rPr>
      </w:pPr>
      <w:r w:rsidRPr="002F3B73">
        <w:rPr>
          <w:rFonts w:ascii="Verdana" w:hAnsi="Verdana"/>
          <w:b/>
          <w:bCs/>
          <w:sz w:val="18"/>
          <w:szCs w:val="18"/>
        </w:rPr>
        <w:t>Criterio del Tribunal</w:t>
      </w:r>
    </w:p>
    <w:p w14:paraId="652671FC" w14:textId="77777777" w:rsidR="002F3B73" w:rsidRPr="002F3B73" w:rsidRDefault="002F3B73" w:rsidP="002F3B73">
      <w:pPr>
        <w:spacing w:before="100" w:beforeAutospacing="1" w:after="100" w:afterAutospacing="1"/>
        <w:ind w:left="284"/>
        <w:jc w:val="both"/>
        <w:rPr>
          <w:rFonts w:ascii="Verdana" w:hAnsi="Verdana"/>
          <w:sz w:val="18"/>
          <w:szCs w:val="18"/>
        </w:rPr>
      </w:pPr>
      <w:r w:rsidRPr="002F3B73">
        <w:rPr>
          <w:rFonts w:ascii="Verdana" w:hAnsi="Verdana"/>
          <w:sz w:val="18"/>
          <w:szCs w:val="18"/>
        </w:rPr>
        <w:t xml:space="preserve">La Sala recuerda que, conforme a los artículos 33, 34 y 35 de la Ley del IRPF, las ganancias y pérdidas patrimoniales deben calcularse atendiendo al </w:t>
      </w:r>
      <w:r w:rsidRPr="002F3B73">
        <w:rPr>
          <w:rFonts w:ascii="Verdana" w:hAnsi="Verdana"/>
          <w:b/>
          <w:bCs/>
          <w:sz w:val="18"/>
          <w:szCs w:val="18"/>
        </w:rPr>
        <w:t>precio real de adquisición y de transmisión</w:t>
      </w:r>
      <w:r w:rsidRPr="002F3B73">
        <w:rPr>
          <w:rFonts w:ascii="Verdana" w:hAnsi="Verdana"/>
          <w:sz w:val="18"/>
          <w:szCs w:val="18"/>
        </w:rPr>
        <w:t xml:space="preserve">, no al valor nominal de los títulos. Asimismo, destaca que la carga de acreditar </w:t>
      </w:r>
      <w:r w:rsidRPr="002F3B73">
        <w:rPr>
          <w:rFonts w:ascii="Verdana" w:hAnsi="Verdana"/>
          <w:sz w:val="18"/>
          <w:szCs w:val="18"/>
        </w:rPr>
        <w:lastRenderedPageBreak/>
        <w:t xml:space="preserve">los hechos que determinan un incremento de la deuda tributaria corresponde a la Administración. </w:t>
      </w:r>
    </w:p>
    <w:p w14:paraId="0EEFBC26" w14:textId="77777777" w:rsidR="002F3B73" w:rsidRPr="002F3B73" w:rsidRDefault="002F3B73" w:rsidP="002F3B73">
      <w:pPr>
        <w:spacing w:before="100" w:beforeAutospacing="1" w:after="100" w:afterAutospacing="1"/>
        <w:ind w:left="284"/>
        <w:jc w:val="both"/>
        <w:rPr>
          <w:rFonts w:ascii="Verdana" w:hAnsi="Verdana"/>
          <w:sz w:val="18"/>
          <w:szCs w:val="18"/>
        </w:rPr>
      </w:pPr>
      <w:r w:rsidRPr="002F3B73">
        <w:rPr>
          <w:rFonts w:ascii="Verdana" w:hAnsi="Verdana"/>
          <w:sz w:val="18"/>
          <w:szCs w:val="18"/>
        </w:rPr>
        <w:t>El Tribunal considera que el método empleado por la Inspección carece de fundamento jurídico porque:</w:t>
      </w:r>
    </w:p>
    <w:p w14:paraId="1E11AAFD" w14:textId="77777777" w:rsidR="002F3B73" w:rsidRPr="002F3B73" w:rsidRDefault="002F3B73" w:rsidP="002F3B73">
      <w:pPr>
        <w:numPr>
          <w:ilvl w:val="0"/>
          <w:numId w:val="26"/>
        </w:numPr>
        <w:spacing w:before="100" w:beforeAutospacing="1" w:after="100" w:afterAutospacing="1"/>
        <w:jc w:val="both"/>
        <w:rPr>
          <w:rFonts w:ascii="Verdana" w:hAnsi="Verdana"/>
          <w:sz w:val="18"/>
          <w:szCs w:val="18"/>
        </w:rPr>
      </w:pPr>
      <w:r w:rsidRPr="002F3B73">
        <w:rPr>
          <w:rFonts w:ascii="Verdana" w:hAnsi="Verdana"/>
          <w:sz w:val="18"/>
          <w:szCs w:val="18"/>
        </w:rPr>
        <w:t xml:space="preserve">El valor nominal es una magnitud contable que no refleja necesariamente el precio de mercado ni el coste real de adquisición. </w:t>
      </w:r>
    </w:p>
    <w:p w14:paraId="26D973B1" w14:textId="65E6F41E" w:rsidR="002F3B73" w:rsidRPr="002F3B73" w:rsidRDefault="002F3B73" w:rsidP="002F3B73">
      <w:pPr>
        <w:numPr>
          <w:ilvl w:val="0"/>
          <w:numId w:val="26"/>
        </w:numPr>
        <w:spacing w:before="100" w:beforeAutospacing="1" w:after="100" w:afterAutospacing="1"/>
        <w:jc w:val="both"/>
        <w:rPr>
          <w:rFonts w:ascii="Verdana" w:hAnsi="Verdana"/>
          <w:sz w:val="18"/>
          <w:szCs w:val="18"/>
        </w:rPr>
      </w:pPr>
      <w:r w:rsidRPr="002F3B73">
        <w:rPr>
          <w:rFonts w:ascii="Verdana" w:hAnsi="Verdana"/>
          <w:sz w:val="18"/>
          <w:szCs w:val="18"/>
        </w:rPr>
        <w:t xml:space="preserve">La existencia de un </w:t>
      </w:r>
      <w:r w:rsidRPr="002F3B73">
        <w:rPr>
          <w:rFonts w:ascii="Verdana" w:hAnsi="Verdana"/>
          <w:b/>
          <w:bCs/>
          <w:sz w:val="18"/>
          <w:szCs w:val="18"/>
        </w:rPr>
        <w:t>contra</w:t>
      </w:r>
      <w:r w:rsidR="00A57182">
        <w:rPr>
          <w:rFonts w:ascii="Verdana" w:hAnsi="Verdana"/>
          <w:b/>
          <w:bCs/>
          <w:sz w:val="18"/>
          <w:szCs w:val="18"/>
        </w:rPr>
        <w:t xml:space="preserve"> S</w:t>
      </w:r>
      <w:r w:rsidRPr="002F3B73">
        <w:rPr>
          <w:rFonts w:ascii="Verdana" w:hAnsi="Verdana"/>
          <w:b/>
          <w:bCs/>
          <w:sz w:val="18"/>
          <w:szCs w:val="18"/>
        </w:rPr>
        <w:t>plit</w:t>
      </w:r>
      <w:r w:rsidRPr="002F3B73">
        <w:rPr>
          <w:rFonts w:ascii="Verdana" w:hAnsi="Verdana"/>
          <w:sz w:val="18"/>
          <w:szCs w:val="18"/>
        </w:rPr>
        <w:t xml:space="preserve"> modifica el valor nominal y el número de acciones, pero no altera el valor económico de la inversión, por lo que utilizar dicho valor como criterio de reparto conduce a resultados artificiales. </w:t>
      </w:r>
    </w:p>
    <w:p w14:paraId="7F382796" w14:textId="77777777" w:rsidR="002F3B73" w:rsidRPr="002F3B73" w:rsidRDefault="002F3B73" w:rsidP="002F3B73">
      <w:pPr>
        <w:numPr>
          <w:ilvl w:val="0"/>
          <w:numId w:val="26"/>
        </w:numPr>
        <w:spacing w:before="100" w:beforeAutospacing="1" w:after="100" w:afterAutospacing="1"/>
        <w:jc w:val="both"/>
        <w:rPr>
          <w:rFonts w:ascii="Verdana" w:hAnsi="Verdana"/>
          <w:sz w:val="18"/>
          <w:szCs w:val="18"/>
        </w:rPr>
      </w:pPr>
      <w:r w:rsidRPr="002F3B73">
        <w:rPr>
          <w:rFonts w:ascii="Verdana" w:hAnsi="Verdana"/>
          <w:sz w:val="18"/>
          <w:szCs w:val="18"/>
        </w:rPr>
        <w:t xml:space="preserve">La Administración no acreditó el verdadero valor de adquisición ni justificó la imposibilidad de obtenerlo antes de acudir a un método alternativo. </w:t>
      </w:r>
    </w:p>
    <w:p w14:paraId="2853A0FA" w14:textId="77777777" w:rsidR="002F3B73" w:rsidRPr="002F3B73" w:rsidRDefault="002F3B73" w:rsidP="002F3B73">
      <w:pPr>
        <w:spacing w:before="100" w:beforeAutospacing="1" w:after="100" w:afterAutospacing="1"/>
        <w:ind w:left="284"/>
        <w:jc w:val="both"/>
        <w:rPr>
          <w:rFonts w:ascii="Verdana" w:hAnsi="Verdana"/>
          <w:b/>
          <w:bCs/>
          <w:sz w:val="18"/>
          <w:szCs w:val="18"/>
        </w:rPr>
      </w:pPr>
      <w:r w:rsidRPr="002F3B73">
        <w:rPr>
          <w:rFonts w:ascii="Verdana" w:hAnsi="Verdana"/>
          <w:b/>
          <w:bCs/>
          <w:sz w:val="18"/>
          <w:szCs w:val="18"/>
        </w:rPr>
        <w:t>Fallo</w:t>
      </w:r>
    </w:p>
    <w:p w14:paraId="2B53577C" w14:textId="77777777" w:rsidR="002F3B73" w:rsidRPr="002F3B73" w:rsidRDefault="002F3B73" w:rsidP="002F3B73">
      <w:pPr>
        <w:spacing w:before="100" w:beforeAutospacing="1" w:after="100" w:afterAutospacing="1"/>
        <w:ind w:left="284"/>
        <w:jc w:val="both"/>
        <w:rPr>
          <w:rFonts w:ascii="Verdana" w:hAnsi="Verdana"/>
          <w:sz w:val="18"/>
          <w:szCs w:val="18"/>
        </w:rPr>
      </w:pPr>
      <w:r w:rsidRPr="002F3B73">
        <w:rPr>
          <w:rFonts w:ascii="Verdana" w:hAnsi="Verdana"/>
          <w:sz w:val="18"/>
          <w:szCs w:val="18"/>
        </w:rPr>
        <w:t xml:space="preserve">El TSJ de Andalucía estima el recurso y anula la liquidación practicada, al considerar que el método utilizado por la Administración vulnera el </w:t>
      </w:r>
      <w:r w:rsidRPr="002F3B73">
        <w:rPr>
          <w:rFonts w:ascii="Verdana" w:hAnsi="Verdana"/>
          <w:b/>
          <w:bCs/>
          <w:sz w:val="18"/>
          <w:szCs w:val="18"/>
        </w:rPr>
        <w:t>artículo 35 de la Ley del IRPF</w:t>
      </w:r>
      <w:r w:rsidRPr="002F3B73">
        <w:rPr>
          <w:rFonts w:ascii="Verdana" w:hAnsi="Verdana"/>
          <w:sz w:val="18"/>
          <w:szCs w:val="18"/>
        </w:rPr>
        <w:t xml:space="preserve"> y el </w:t>
      </w:r>
      <w:r w:rsidRPr="002F3B73">
        <w:rPr>
          <w:rFonts w:ascii="Verdana" w:hAnsi="Verdana"/>
          <w:b/>
          <w:bCs/>
          <w:sz w:val="18"/>
          <w:szCs w:val="18"/>
        </w:rPr>
        <w:t>artículo 105 de la Ley General Tributaria</w:t>
      </w:r>
      <w:r w:rsidRPr="002F3B73">
        <w:rPr>
          <w:rFonts w:ascii="Verdana" w:hAnsi="Verdana"/>
          <w:sz w:val="18"/>
          <w:szCs w:val="18"/>
        </w:rPr>
        <w:t xml:space="preserve">, al sustituir el precio real de adquisición por un criterio basado en el valor nominal de las acciones. </w:t>
      </w:r>
    </w:p>
    <w:p w14:paraId="37500085" w14:textId="77777777" w:rsidR="002F3B73" w:rsidRPr="002F3B73" w:rsidRDefault="002F3B73" w:rsidP="002F3B73">
      <w:pPr>
        <w:spacing w:before="100" w:beforeAutospacing="1" w:after="100" w:afterAutospacing="1"/>
        <w:ind w:left="284"/>
        <w:jc w:val="both"/>
        <w:rPr>
          <w:rFonts w:ascii="Verdana" w:hAnsi="Verdana"/>
          <w:b/>
          <w:bCs/>
          <w:sz w:val="18"/>
          <w:szCs w:val="18"/>
        </w:rPr>
      </w:pPr>
      <w:r w:rsidRPr="002F3B73">
        <w:rPr>
          <w:rFonts w:ascii="Verdana" w:hAnsi="Verdana"/>
          <w:b/>
          <w:bCs/>
          <w:sz w:val="18"/>
          <w:szCs w:val="18"/>
        </w:rPr>
        <w:t>Comentario</w:t>
      </w:r>
    </w:p>
    <w:p w14:paraId="1330CB4E" w14:textId="615E6319" w:rsidR="002F3B73" w:rsidRDefault="002F3B73" w:rsidP="002F3B73">
      <w:pPr>
        <w:spacing w:before="100" w:beforeAutospacing="1" w:after="100" w:afterAutospacing="1"/>
        <w:ind w:left="284"/>
        <w:jc w:val="both"/>
        <w:rPr>
          <w:rFonts w:ascii="Verdana" w:hAnsi="Verdana"/>
          <w:sz w:val="18"/>
          <w:szCs w:val="18"/>
        </w:rPr>
      </w:pPr>
      <w:r w:rsidRPr="002F3B73">
        <w:rPr>
          <w:rFonts w:ascii="Verdana" w:hAnsi="Verdana"/>
          <w:sz w:val="18"/>
          <w:szCs w:val="18"/>
        </w:rPr>
        <w:t xml:space="preserve">Esta sentencia refuerza un principio esencial en la tributación de las ganancias patrimoniales derivadas de valores mobiliarios: </w:t>
      </w:r>
      <w:r w:rsidRPr="002F3B73">
        <w:rPr>
          <w:rFonts w:ascii="Verdana" w:hAnsi="Verdana"/>
          <w:b/>
          <w:bCs/>
          <w:sz w:val="18"/>
          <w:szCs w:val="18"/>
        </w:rPr>
        <w:t>el coste de adquisición debe determinarse conforme al importe realmente satisfecho</w:t>
      </w:r>
      <w:r w:rsidRPr="002F3B73">
        <w:rPr>
          <w:rFonts w:ascii="Verdana" w:hAnsi="Verdana"/>
          <w:sz w:val="18"/>
          <w:szCs w:val="18"/>
        </w:rPr>
        <w:t xml:space="preserve">, sin que la Administración pueda recurrir a métodos de cálculo basados en el valor nominal cuando éstos no reflejen la realidad económica de la operación, especialmente en supuestos de reestructuración societaria como </w:t>
      </w:r>
      <w:r w:rsidR="006B1E5F">
        <w:rPr>
          <w:rFonts w:ascii="Verdana" w:hAnsi="Verdana"/>
          <w:sz w:val="18"/>
          <w:szCs w:val="18"/>
        </w:rPr>
        <w:t>el</w:t>
      </w:r>
      <w:r w:rsidRPr="002F3B73">
        <w:rPr>
          <w:rFonts w:ascii="Verdana" w:hAnsi="Verdana"/>
          <w:sz w:val="18"/>
          <w:szCs w:val="18"/>
        </w:rPr>
        <w:t xml:space="preserve"> </w:t>
      </w:r>
      <w:r w:rsidRPr="002F3B73">
        <w:rPr>
          <w:rFonts w:ascii="Verdana" w:hAnsi="Verdana"/>
          <w:b/>
          <w:bCs/>
          <w:sz w:val="18"/>
          <w:szCs w:val="18"/>
        </w:rPr>
        <w:t>contra</w:t>
      </w:r>
      <w:r w:rsidR="00A57182">
        <w:rPr>
          <w:rFonts w:ascii="Verdana" w:hAnsi="Verdana"/>
          <w:b/>
          <w:bCs/>
          <w:sz w:val="18"/>
          <w:szCs w:val="18"/>
        </w:rPr>
        <w:t xml:space="preserve"> S</w:t>
      </w:r>
      <w:r w:rsidRPr="002F3B73">
        <w:rPr>
          <w:rFonts w:ascii="Verdana" w:hAnsi="Verdana"/>
          <w:b/>
          <w:bCs/>
          <w:sz w:val="18"/>
          <w:szCs w:val="18"/>
        </w:rPr>
        <w:t>plit</w:t>
      </w:r>
      <w:r w:rsidRPr="002F3B73">
        <w:rPr>
          <w:rFonts w:ascii="Verdana" w:hAnsi="Verdana"/>
          <w:sz w:val="18"/>
          <w:szCs w:val="18"/>
        </w:rPr>
        <w:t>. Además, recuerda que la ausencia de documentación por parte del contribuyente no exonera a la Administración de su obligación de acreditar adecuadamente los elementos que fundamentan la regularización tributaria.</w:t>
      </w:r>
    </w:p>
    <w:p w14:paraId="020F4C5C" w14:textId="77777777" w:rsidR="00525894" w:rsidRPr="002F3B73" w:rsidRDefault="00525894" w:rsidP="002F3B73">
      <w:pPr>
        <w:spacing w:before="100" w:beforeAutospacing="1" w:after="100" w:afterAutospacing="1"/>
        <w:ind w:left="284"/>
        <w:jc w:val="both"/>
        <w:rPr>
          <w:rFonts w:ascii="Verdana" w:hAnsi="Verdana"/>
          <w:sz w:val="18"/>
          <w:szCs w:val="18"/>
        </w:rPr>
      </w:pPr>
    </w:p>
    <w:tbl>
      <w:tblPr>
        <w:tblW w:w="8744" w:type="dxa"/>
        <w:tblCellMar>
          <w:left w:w="70" w:type="dxa"/>
          <w:right w:w="70" w:type="dxa"/>
        </w:tblCellMar>
        <w:tblLook w:val="0000" w:firstRow="0" w:lastRow="0" w:firstColumn="0" w:lastColumn="0" w:noHBand="0" w:noVBand="0"/>
      </w:tblPr>
      <w:tblGrid>
        <w:gridCol w:w="284"/>
        <w:gridCol w:w="8460"/>
      </w:tblGrid>
      <w:tr w:rsidR="00525894" w:rsidRPr="00525894" w14:paraId="15801172" w14:textId="77777777" w:rsidTr="00525894">
        <w:tc>
          <w:tcPr>
            <w:tcW w:w="284" w:type="dxa"/>
            <w:shd w:val="clear" w:color="auto" w:fill="FF6600"/>
          </w:tcPr>
          <w:p w14:paraId="43AA692B" w14:textId="77777777" w:rsidR="00525894" w:rsidRPr="00525894" w:rsidRDefault="00525894" w:rsidP="00D45061">
            <w:pPr>
              <w:rPr>
                <w:rFonts w:ascii="Verdana" w:hAnsi="Verdana"/>
                <w:b/>
                <w:bCs/>
                <w:iCs/>
                <w:color w:val="800000"/>
                <w:sz w:val="18"/>
                <w:szCs w:val="18"/>
              </w:rPr>
            </w:pPr>
          </w:p>
        </w:tc>
        <w:tc>
          <w:tcPr>
            <w:tcW w:w="8460" w:type="dxa"/>
          </w:tcPr>
          <w:p w14:paraId="7B916FEF" w14:textId="16CB45CA" w:rsidR="00525894" w:rsidRPr="00525894" w:rsidRDefault="00525894" w:rsidP="00525894">
            <w:pPr>
              <w:pStyle w:val="Prrafodelista"/>
              <w:numPr>
                <w:ilvl w:val="0"/>
                <w:numId w:val="1"/>
              </w:numPr>
              <w:tabs>
                <w:tab w:val="clear" w:pos="720"/>
                <w:tab w:val="left" w:pos="170"/>
              </w:tabs>
              <w:ind w:left="359" w:hanging="359"/>
              <w:jc w:val="both"/>
              <w:rPr>
                <w:rFonts w:ascii="Verdana" w:hAnsi="Verdana"/>
                <w:b/>
                <w:bCs/>
                <w:iCs/>
                <w:color w:val="800000"/>
                <w:sz w:val="18"/>
                <w:szCs w:val="18"/>
              </w:rPr>
            </w:pPr>
            <w:r w:rsidRPr="00525894">
              <w:rPr>
                <w:rFonts w:ascii="Verdana" w:hAnsi="Verdana"/>
                <w:b/>
                <w:bCs/>
                <w:iCs/>
                <w:color w:val="800000"/>
                <w:sz w:val="18"/>
                <w:szCs w:val="18"/>
              </w:rPr>
              <w:t>IRPF</w:t>
            </w:r>
            <w:r w:rsidR="00A57182">
              <w:rPr>
                <w:rFonts w:ascii="Verdana" w:hAnsi="Verdana"/>
                <w:b/>
                <w:bCs/>
                <w:iCs/>
                <w:color w:val="800000"/>
                <w:sz w:val="18"/>
                <w:szCs w:val="18"/>
              </w:rPr>
              <w:t>.-</w:t>
            </w:r>
            <w:r w:rsidRPr="00525894">
              <w:rPr>
                <w:rFonts w:ascii="Verdana" w:hAnsi="Verdana"/>
                <w:b/>
                <w:bCs/>
                <w:iCs/>
                <w:color w:val="800000"/>
                <w:sz w:val="18"/>
                <w:szCs w:val="18"/>
              </w:rPr>
              <w:t xml:space="preserve"> EXENCIÓN POR REINVERSIÓN EN VIVIENDA HABITUAL: LÍMITE CUANDO LA NUEVA VIVIENDA SE ADQUIERE CON CARÁCTER GANANCIAL</w:t>
            </w:r>
          </w:p>
        </w:tc>
      </w:tr>
    </w:tbl>
    <w:p w14:paraId="3ED62E86" w14:textId="48A6A35C" w:rsidR="00525894" w:rsidRPr="00525894" w:rsidRDefault="00525894" w:rsidP="00525894">
      <w:pPr>
        <w:spacing w:before="100" w:beforeAutospacing="1" w:after="100" w:afterAutospacing="1"/>
        <w:ind w:left="284"/>
        <w:jc w:val="both"/>
        <w:rPr>
          <w:rFonts w:ascii="Verdana" w:hAnsi="Verdana"/>
          <w:sz w:val="18"/>
          <w:szCs w:val="18"/>
        </w:rPr>
      </w:pPr>
      <w:r w:rsidRPr="00525894">
        <w:rPr>
          <w:rFonts w:ascii="Verdana" w:hAnsi="Verdana"/>
          <w:sz w:val="18"/>
          <w:szCs w:val="18"/>
        </w:rPr>
        <w:t>El TEAC</w:t>
      </w:r>
      <w:r w:rsidR="00A57182">
        <w:rPr>
          <w:rFonts w:ascii="Verdana" w:hAnsi="Verdana"/>
          <w:sz w:val="18"/>
          <w:szCs w:val="18"/>
        </w:rPr>
        <w:t>,</w:t>
      </w:r>
      <w:r>
        <w:rPr>
          <w:rFonts w:ascii="Verdana" w:hAnsi="Verdana"/>
          <w:sz w:val="18"/>
          <w:szCs w:val="18"/>
        </w:rPr>
        <w:t xml:space="preserve"> en su r</w:t>
      </w:r>
      <w:r w:rsidRPr="00525894">
        <w:rPr>
          <w:rFonts w:ascii="Verdana" w:hAnsi="Verdana"/>
          <w:bCs/>
          <w:sz w:val="18"/>
          <w:szCs w:val="18"/>
        </w:rPr>
        <w:t>esolución de 13 de julio de 2026</w:t>
      </w:r>
      <w:r w:rsidR="009510D4">
        <w:rPr>
          <w:rFonts w:ascii="Verdana" w:hAnsi="Verdana"/>
          <w:bCs/>
          <w:sz w:val="18"/>
          <w:szCs w:val="18"/>
        </w:rPr>
        <w:t>,</w:t>
      </w:r>
      <w:r w:rsidRPr="00525894">
        <w:rPr>
          <w:rFonts w:ascii="Verdana" w:hAnsi="Verdana"/>
          <w:bCs/>
          <w:sz w:val="18"/>
          <w:szCs w:val="18"/>
        </w:rPr>
        <w:t xml:space="preserve"> RG 00/05896/2025</w:t>
      </w:r>
      <w:r>
        <w:rPr>
          <w:rFonts w:ascii="Verdana" w:hAnsi="Verdana"/>
          <w:bCs/>
          <w:sz w:val="18"/>
          <w:szCs w:val="18"/>
        </w:rPr>
        <w:t xml:space="preserve">, unificación de </w:t>
      </w:r>
      <w:r w:rsidR="00B13D1E">
        <w:rPr>
          <w:rFonts w:ascii="Verdana" w:hAnsi="Verdana"/>
          <w:bCs/>
          <w:sz w:val="18"/>
          <w:szCs w:val="18"/>
        </w:rPr>
        <w:t>criterio,</w:t>
      </w:r>
      <w:r w:rsidR="00B13D1E" w:rsidRPr="00525894">
        <w:rPr>
          <w:rFonts w:ascii="Verdana" w:hAnsi="Verdana"/>
          <w:sz w:val="18"/>
          <w:szCs w:val="18"/>
        </w:rPr>
        <w:t xml:space="preserve"> analiza</w:t>
      </w:r>
      <w:r w:rsidRPr="00525894">
        <w:rPr>
          <w:rFonts w:ascii="Verdana" w:hAnsi="Verdana"/>
          <w:sz w:val="18"/>
          <w:szCs w:val="18"/>
        </w:rPr>
        <w:t xml:space="preserve"> si un contribuyente que transmite una </w:t>
      </w:r>
      <w:r w:rsidRPr="00525894">
        <w:rPr>
          <w:rFonts w:ascii="Verdana" w:hAnsi="Verdana"/>
          <w:b/>
          <w:bCs/>
          <w:sz w:val="18"/>
          <w:szCs w:val="18"/>
        </w:rPr>
        <w:t>vivienda habitual de carácter privativo</w:t>
      </w:r>
      <w:r w:rsidRPr="00525894">
        <w:rPr>
          <w:rFonts w:ascii="Verdana" w:hAnsi="Verdana"/>
          <w:sz w:val="18"/>
          <w:szCs w:val="18"/>
        </w:rPr>
        <w:t xml:space="preserve"> puede aplicar la exención por reinversión sobre la totalidad de la ganancia cuando destina el importe obtenido a la adquisición de una nueva vivienda habitual que adquiere </w:t>
      </w:r>
      <w:r w:rsidRPr="00525894">
        <w:rPr>
          <w:rFonts w:ascii="Verdana" w:hAnsi="Verdana"/>
          <w:b/>
          <w:bCs/>
          <w:sz w:val="18"/>
          <w:szCs w:val="18"/>
        </w:rPr>
        <w:t>con carácter ganancial junto con su cónyuge</w:t>
      </w:r>
      <w:r w:rsidRPr="00525894">
        <w:rPr>
          <w:rFonts w:ascii="Verdana" w:hAnsi="Verdana"/>
          <w:sz w:val="18"/>
          <w:szCs w:val="18"/>
        </w:rPr>
        <w:t>.</w:t>
      </w:r>
    </w:p>
    <w:p w14:paraId="39C3B142" w14:textId="77777777" w:rsidR="00525894" w:rsidRPr="00525894" w:rsidRDefault="00525894" w:rsidP="00525894">
      <w:pPr>
        <w:spacing w:before="100" w:beforeAutospacing="1" w:after="100" w:afterAutospacing="1"/>
        <w:ind w:left="284"/>
        <w:jc w:val="both"/>
        <w:rPr>
          <w:rFonts w:ascii="Verdana" w:hAnsi="Verdana"/>
          <w:sz w:val="18"/>
          <w:szCs w:val="18"/>
        </w:rPr>
      </w:pPr>
      <w:r w:rsidRPr="00525894">
        <w:rPr>
          <w:rFonts w:ascii="Verdana" w:hAnsi="Verdana"/>
          <w:sz w:val="18"/>
          <w:szCs w:val="18"/>
        </w:rPr>
        <w:t>La controversia surge porque el contribuyente había destinado a la nueva vivienda la totalidad del importe obtenido por la venta de su vivienda privativa, pero la nueva vivienda pertenecía a ambos cónyuges.</w:t>
      </w:r>
    </w:p>
    <w:p w14:paraId="2373FE01" w14:textId="77777777" w:rsidR="00525894" w:rsidRPr="00525894" w:rsidRDefault="00525894" w:rsidP="00525894">
      <w:pPr>
        <w:spacing w:before="100" w:beforeAutospacing="1" w:after="100" w:afterAutospacing="1"/>
        <w:ind w:left="284"/>
        <w:jc w:val="both"/>
        <w:rPr>
          <w:rFonts w:ascii="Verdana" w:hAnsi="Verdana"/>
          <w:b/>
          <w:bCs/>
          <w:sz w:val="18"/>
          <w:szCs w:val="18"/>
        </w:rPr>
      </w:pPr>
      <w:r w:rsidRPr="00525894">
        <w:rPr>
          <w:rFonts w:ascii="Verdana" w:hAnsi="Verdana"/>
          <w:b/>
          <w:bCs/>
          <w:sz w:val="18"/>
          <w:szCs w:val="18"/>
        </w:rPr>
        <w:t>Criterio del TEAC</w:t>
      </w:r>
    </w:p>
    <w:p w14:paraId="33E43BB7" w14:textId="77777777" w:rsidR="00525894" w:rsidRPr="00525894" w:rsidRDefault="00525894" w:rsidP="00525894">
      <w:pPr>
        <w:spacing w:before="100" w:beforeAutospacing="1" w:after="100" w:afterAutospacing="1"/>
        <w:ind w:left="284"/>
        <w:jc w:val="both"/>
        <w:rPr>
          <w:rFonts w:ascii="Verdana" w:hAnsi="Verdana"/>
          <w:sz w:val="18"/>
          <w:szCs w:val="18"/>
        </w:rPr>
      </w:pPr>
      <w:r w:rsidRPr="00525894">
        <w:rPr>
          <w:rFonts w:ascii="Verdana" w:hAnsi="Verdana"/>
          <w:sz w:val="18"/>
          <w:szCs w:val="18"/>
        </w:rPr>
        <w:t xml:space="preserve">El TEAC establece que la exención por reinversión prevista en el </w:t>
      </w:r>
      <w:r w:rsidRPr="00525894">
        <w:rPr>
          <w:rFonts w:ascii="Verdana" w:hAnsi="Verdana"/>
          <w:b/>
          <w:bCs/>
          <w:sz w:val="18"/>
          <w:szCs w:val="18"/>
        </w:rPr>
        <w:t>artículo 38.1 de la LIRPF</w:t>
      </w:r>
      <w:r w:rsidRPr="00525894">
        <w:rPr>
          <w:rFonts w:ascii="Verdana" w:hAnsi="Verdana"/>
          <w:sz w:val="18"/>
          <w:szCs w:val="18"/>
        </w:rPr>
        <w:t xml:space="preserve"> únicamente puede aplicarse respecto del importe efectivamente destinado por el contribuyente a adquirir la parte de la nueva vivienda de la que resulta titular.</w:t>
      </w:r>
    </w:p>
    <w:p w14:paraId="55D39CAB" w14:textId="77777777" w:rsidR="00525894" w:rsidRPr="00525894" w:rsidRDefault="00525894" w:rsidP="00525894">
      <w:pPr>
        <w:spacing w:before="100" w:beforeAutospacing="1" w:after="100" w:afterAutospacing="1"/>
        <w:ind w:left="284"/>
        <w:jc w:val="both"/>
        <w:rPr>
          <w:rFonts w:ascii="Verdana" w:hAnsi="Verdana"/>
          <w:sz w:val="18"/>
          <w:szCs w:val="18"/>
        </w:rPr>
      </w:pPr>
      <w:r w:rsidRPr="00525894">
        <w:rPr>
          <w:rFonts w:ascii="Verdana" w:hAnsi="Verdana"/>
          <w:sz w:val="18"/>
          <w:szCs w:val="18"/>
        </w:rPr>
        <w:t xml:space="preserve">Para determinar esta proporción resulta determinante el </w:t>
      </w:r>
      <w:r w:rsidRPr="00525894">
        <w:rPr>
          <w:rFonts w:ascii="Verdana" w:hAnsi="Verdana"/>
          <w:b/>
          <w:bCs/>
          <w:sz w:val="18"/>
          <w:szCs w:val="18"/>
        </w:rPr>
        <w:t>porcentaje de participación que el contribuyente adquiere en la nueva vivienda</w:t>
      </w:r>
      <w:r w:rsidRPr="00525894">
        <w:rPr>
          <w:rFonts w:ascii="Verdana" w:hAnsi="Verdana"/>
          <w:sz w:val="18"/>
          <w:szCs w:val="18"/>
        </w:rPr>
        <w:t>.</w:t>
      </w:r>
    </w:p>
    <w:p w14:paraId="322E2703" w14:textId="77777777" w:rsidR="00525894" w:rsidRPr="00525894" w:rsidRDefault="00525894" w:rsidP="00525894">
      <w:pPr>
        <w:spacing w:before="100" w:beforeAutospacing="1" w:after="100" w:afterAutospacing="1"/>
        <w:ind w:left="284"/>
        <w:jc w:val="both"/>
        <w:rPr>
          <w:rFonts w:ascii="Verdana" w:hAnsi="Verdana"/>
          <w:sz w:val="18"/>
          <w:szCs w:val="18"/>
        </w:rPr>
      </w:pPr>
      <w:r w:rsidRPr="00525894">
        <w:rPr>
          <w:rFonts w:ascii="Verdana" w:hAnsi="Verdana"/>
          <w:sz w:val="18"/>
          <w:szCs w:val="18"/>
        </w:rPr>
        <w:t xml:space="preserve">En consecuencia, cuando la nueva vivienda se adquiere con carácter ganancial y no existe una atribución expresa de cuotas, a efectos del IRPF se considera que corresponde </w:t>
      </w:r>
      <w:r w:rsidRPr="00525894">
        <w:rPr>
          <w:rFonts w:ascii="Verdana" w:hAnsi="Verdana"/>
          <w:b/>
          <w:bCs/>
          <w:sz w:val="18"/>
          <w:szCs w:val="18"/>
        </w:rPr>
        <w:t>un 50% a cada cónyuge</w:t>
      </w:r>
      <w:r w:rsidRPr="00525894">
        <w:rPr>
          <w:rFonts w:ascii="Verdana" w:hAnsi="Verdana"/>
          <w:sz w:val="18"/>
          <w:szCs w:val="18"/>
        </w:rPr>
        <w:t>, conforme al artículo 11 de la LIRPF.</w:t>
      </w:r>
    </w:p>
    <w:p w14:paraId="2F9B5E3B" w14:textId="77777777" w:rsidR="00525894" w:rsidRPr="00525894" w:rsidRDefault="00525894" w:rsidP="00525894">
      <w:pPr>
        <w:spacing w:before="100" w:beforeAutospacing="1" w:after="100" w:afterAutospacing="1"/>
        <w:ind w:left="284"/>
        <w:jc w:val="both"/>
        <w:rPr>
          <w:rFonts w:ascii="Verdana" w:hAnsi="Verdana"/>
          <w:sz w:val="18"/>
          <w:szCs w:val="18"/>
        </w:rPr>
      </w:pPr>
      <w:r w:rsidRPr="00525894">
        <w:rPr>
          <w:rFonts w:ascii="Verdana" w:hAnsi="Verdana"/>
          <w:sz w:val="18"/>
          <w:szCs w:val="18"/>
        </w:rPr>
        <w:t xml:space="preserve">Por tanto, si un contribuyente vende una vivienda habitual privativa de la que era titular al 100% y reinvierte el importe obtenido en una nueva vivienda ganancial, de la que adquiere </w:t>
      </w:r>
      <w:r w:rsidRPr="00525894">
        <w:rPr>
          <w:rFonts w:ascii="Verdana" w:hAnsi="Verdana"/>
          <w:sz w:val="18"/>
          <w:szCs w:val="18"/>
        </w:rPr>
        <w:lastRenderedPageBreak/>
        <w:t xml:space="preserve">el 50%, </w:t>
      </w:r>
      <w:r w:rsidRPr="00525894">
        <w:rPr>
          <w:rFonts w:ascii="Verdana" w:hAnsi="Verdana"/>
          <w:b/>
          <w:bCs/>
          <w:sz w:val="18"/>
          <w:szCs w:val="18"/>
        </w:rPr>
        <w:t>no podrá considerar reinvertido, a efectos de la exención, más del importe correspondiente a ese 50%</w:t>
      </w:r>
      <w:r w:rsidRPr="00525894">
        <w:rPr>
          <w:rFonts w:ascii="Verdana" w:hAnsi="Verdana"/>
          <w:sz w:val="18"/>
          <w:szCs w:val="18"/>
        </w:rPr>
        <w:t>.</w:t>
      </w:r>
    </w:p>
    <w:p w14:paraId="767AC37D" w14:textId="77777777" w:rsidR="00525894" w:rsidRPr="00525894" w:rsidRDefault="00525894" w:rsidP="00525894">
      <w:pPr>
        <w:spacing w:before="100" w:beforeAutospacing="1" w:after="100" w:afterAutospacing="1"/>
        <w:ind w:left="284"/>
        <w:jc w:val="both"/>
        <w:rPr>
          <w:rFonts w:ascii="Verdana" w:hAnsi="Verdana"/>
          <w:b/>
          <w:bCs/>
          <w:sz w:val="18"/>
          <w:szCs w:val="18"/>
        </w:rPr>
      </w:pPr>
      <w:r w:rsidRPr="00525894">
        <w:rPr>
          <w:rFonts w:ascii="Verdana" w:hAnsi="Verdana"/>
          <w:b/>
          <w:bCs/>
          <w:sz w:val="18"/>
          <w:szCs w:val="18"/>
        </w:rPr>
        <w:t>Fundamentación</w:t>
      </w:r>
    </w:p>
    <w:p w14:paraId="5EAA8C3E" w14:textId="77777777" w:rsidR="00525894" w:rsidRPr="00525894" w:rsidRDefault="00525894" w:rsidP="00525894">
      <w:pPr>
        <w:spacing w:before="100" w:beforeAutospacing="1" w:after="100" w:afterAutospacing="1"/>
        <w:ind w:left="284"/>
        <w:jc w:val="both"/>
        <w:rPr>
          <w:rFonts w:ascii="Verdana" w:hAnsi="Verdana"/>
          <w:sz w:val="18"/>
          <w:szCs w:val="18"/>
        </w:rPr>
      </w:pPr>
      <w:r w:rsidRPr="00525894">
        <w:rPr>
          <w:rFonts w:ascii="Verdana" w:hAnsi="Verdana"/>
          <w:sz w:val="18"/>
          <w:szCs w:val="18"/>
        </w:rPr>
        <w:t>El TEAC recuerda que el artículo 38.1 LIRPF permite excluir de gravamen la ganancia patrimonial derivada de la transmisión de la vivienda habitual cuando el importe obtenido se reinvierte en una nueva vivienda habitual. Si la reinversión es inferior al importe obtenido, la exención es proporcional.</w:t>
      </w:r>
    </w:p>
    <w:p w14:paraId="4FD30DD9" w14:textId="3E4F7FB8" w:rsidR="00525894" w:rsidRPr="00525894" w:rsidRDefault="00525894" w:rsidP="00525894">
      <w:pPr>
        <w:spacing w:before="100" w:beforeAutospacing="1" w:after="100" w:afterAutospacing="1"/>
        <w:ind w:left="284"/>
        <w:jc w:val="both"/>
        <w:rPr>
          <w:rFonts w:ascii="Verdana" w:hAnsi="Verdana"/>
          <w:sz w:val="18"/>
          <w:szCs w:val="18"/>
        </w:rPr>
      </w:pPr>
      <w:r w:rsidRPr="00525894">
        <w:rPr>
          <w:rFonts w:ascii="Verdana" w:hAnsi="Verdana"/>
          <w:sz w:val="18"/>
          <w:szCs w:val="18"/>
        </w:rPr>
        <w:t xml:space="preserve">La clave se encuentra en el </w:t>
      </w:r>
      <w:r w:rsidRPr="00525894">
        <w:rPr>
          <w:rFonts w:ascii="Verdana" w:hAnsi="Verdana"/>
          <w:b/>
          <w:bCs/>
          <w:sz w:val="18"/>
          <w:szCs w:val="18"/>
        </w:rPr>
        <w:t>artículo 11 LIRPF</w:t>
      </w:r>
      <w:r w:rsidRPr="00525894">
        <w:rPr>
          <w:rFonts w:ascii="Verdana" w:hAnsi="Verdana"/>
          <w:sz w:val="18"/>
          <w:szCs w:val="18"/>
        </w:rPr>
        <w:t xml:space="preserve">, que establece que los bienes y derechos comunes a ambos cónyuges se atribuyen fiscalmente por mitad, salvo que se justifique otra cuota de participación. El TEAC considera que esta regla de individualización fiscal resulta </w:t>
      </w:r>
      <w:r w:rsidR="00787D1B" w:rsidRPr="00525894">
        <w:rPr>
          <w:rFonts w:ascii="Verdana" w:hAnsi="Verdana"/>
          <w:sz w:val="18"/>
          <w:szCs w:val="18"/>
        </w:rPr>
        <w:t>determinante,</w:t>
      </w:r>
      <w:r w:rsidRPr="00525894">
        <w:rPr>
          <w:rFonts w:ascii="Verdana" w:hAnsi="Verdana"/>
          <w:sz w:val="18"/>
          <w:szCs w:val="18"/>
        </w:rPr>
        <w:t xml:space="preserve"> aunque, desde el punto de vista civil, la sociedad de gananciales constituya una comunidad en mano común en la que no existen cuotas individuales sobre cada bien.</w:t>
      </w:r>
    </w:p>
    <w:p w14:paraId="6EC72A2D" w14:textId="77777777" w:rsidR="00525894" w:rsidRPr="00525894" w:rsidRDefault="00525894" w:rsidP="00525894">
      <w:pPr>
        <w:spacing w:before="100" w:beforeAutospacing="1" w:after="100" w:afterAutospacing="1"/>
        <w:ind w:left="284"/>
        <w:jc w:val="both"/>
        <w:rPr>
          <w:rFonts w:ascii="Verdana" w:hAnsi="Verdana"/>
          <w:sz w:val="18"/>
          <w:szCs w:val="18"/>
        </w:rPr>
      </w:pPr>
      <w:r w:rsidRPr="00525894">
        <w:rPr>
          <w:rFonts w:ascii="Verdana" w:hAnsi="Verdana"/>
          <w:sz w:val="18"/>
          <w:szCs w:val="18"/>
        </w:rPr>
        <w:t xml:space="preserve">De este modo, el importe satisfecho por uno de los cónyuges que exceda de la cantidad correspondiente a su porcentaje de titularidad </w:t>
      </w:r>
      <w:r w:rsidRPr="00525894">
        <w:rPr>
          <w:rFonts w:ascii="Verdana" w:hAnsi="Verdana"/>
          <w:b/>
          <w:bCs/>
          <w:sz w:val="18"/>
          <w:szCs w:val="18"/>
        </w:rPr>
        <w:t>no se considera reinvertido en la adquisición de su propia vivienda habitual</w:t>
      </w:r>
      <w:r w:rsidRPr="00525894">
        <w:rPr>
          <w:rFonts w:ascii="Verdana" w:hAnsi="Verdana"/>
          <w:sz w:val="18"/>
          <w:szCs w:val="18"/>
        </w:rPr>
        <w:t>, sino destinado a financiar la adquisición de la parte correspondiente al otro cónyuge.</w:t>
      </w:r>
    </w:p>
    <w:p w14:paraId="69A9F336" w14:textId="77777777" w:rsidR="00525894" w:rsidRPr="00525894" w:rsidRDefault="00525894" w:rsidP="00525894">
      <w:pPr>
        <w:spacing w:before="100" w:beforeAutospacing="1" w:after="100" w:afterAutospacing="1"/>
        <w:ind w:left="284"/>
        <w:jc w:val="both"/>
        <w:rPr>
          <w:rFonts w:ascii="Verdana" w:hAnsi="Verdana"/>
          <w:b/>
          <w:bCs/>
          <w:sz w:val="18"/>
          <w:szCs w:val="18"/>
        </w:rPr>
      </w:pPr>
      <w:r w:rsidRPr="00525894">
        <w:rPr>
          <w:rFonts w:ascii="Verdana" w:hAnsi="Verdana"/>
          <w:b/>
          <w:bCs/>
          <w:sz w:val="18"/>
          <w:szCs w:val="18"/>
        </w:rPr>
        <w:t>Ejemplo práctico</w:t>
      </w:r>
    </w:p>
    <w:p w14:paraId="37E449FE" w14:textId="77777777" w:rsidR="00525894" w:rsidRPr="00525894" w:rsidRDefault="00525894" w:rsidP="00525894">
      <w:pPr>
        <w:spacing w:before="100" w:beforeAutospacing="1" w:after="100" w:afterAutospacing="1"/>
        <w:ind w:left="284"/>
        <w:jc w:val="both"/>
        <w:rPr>
          <w:rFonts w:ascii="Verdana" w:hAnsi="Verdana"/>
          <w:sz w:val="18"/>
          <w:szCs w:val="18"/>
        </w:rPr>
      </w:pPr>
      <w:r w:rsidRPr="00525894">
        <w:rPr>
          <w:rFonts w:ascii="Verdana" w:hAnsi="Verdana"/>
          <w:sz w:val="18"/>
          <w:szCs w:val="18"/>
        </w:rPr>
        <w:t xml:space="preserve">Un contribuyente vende su vivienda habitual privativa y obtiene </w:t>
      </w:r>
      <w:r w:rsidRPr="00525894">
        <w:rPr>
          <w:rFonts w:ascii="Verdana" w:hAnsi="Verdana"/>
          <w:b/>
          <w:bCs/>
          <w:sz w:val="18"/>
          <w:szCs w:val="18"/>
        </w:rPr>
        <w:t>200.000 euros</w:t>
      </w:r>
      <w:r w:rsidRPr="00525894">
        <w:rPr>
          <w:rFonts w:ascii="Verdana" w:hAnsi="Verdana"/>
          <w:sz w:val="18"/>
          <w:szCs w:val="18"/>
        </w:rPr>
        <w:t xml:space="preserve">, destinando todo ese importe a la adquisición de una nueva vivienda habitual por importe de </w:t>
      </w:r>
      <w:r w:rsidRPr="00525894">
        <w:rPr>
          <w:rFonts w:ascii="Verdana" w:hAnsi="Verdana"/>
          <w:b/>
          <w:bCs/>
          <w:sz w:val="18"/>
          <w:szCs w:val="18"/>
        </w:rPr>
        <w:t>300.000 euros</w:t>
      </w:r>
      <w:r w:rsidRPr="00525894">
        <w:rPr>
          <w:rFonts w:ascii="Verdana" w:hAnsi="Verdana"/>
          <w:sz w:val="18"/>
          <w:szCs w:val="18"/>
        </w:rPr>
        <w:t>, que adquiere con su cónyuge con carácter ganancial.</w:t>
      </w:r>
    </w:p>
    <w:p w14:paraId="4BF753EA" w14:textId="77777777" w:rsidR="00525894" w:rsidRPr="00525894" w:rsidRDefault="00525894" w:rsidP="00525894">
      <w:pPr>
        <w:spacing w:before="100" w:beforeAutospacing="1" w:after="100" w:afterAutospacing="1"/>
        <w:ind w:left="284"/>
        <w:jc w:val="both"/>
        <w:rPr>
          <w:rFonts w:ascii="Verdana" w:hAnsi="Verdana"/>
          <w:sz w:val="18"/>
          <w:szCs w:val="18"/>
        </w:rPr>
      </w:pPr>
      <w:r w:rsidRPr="00525894">
        <w:rPr>
          <w:rFonts w:ascii="Verdana" w:hAnsi="Verdana"/>
          <w:sz w:val="18"/>
          <w:szCs w:val="18"/>
        </w:rPr>
        <w:t>A efectos del IRPF:</w:t>
      </w:r>
    </w:p>
    <w:p w14:paraId="6A5B0C26" w14:textId="77777777" w:rsidR="00525894" w:rsidRPr="00525894" w:rsidRDefault="00525894" w:rsidP="00525894">
      <w:pPr>
        <w:numPr>
          <w:ilvl w:val="0"/>
          <w:numId w:val="29"/>
        </w:numPr>
        <w:spacing w:before="100" w:beforeAutospacing="1" w:after="100" w:afterAutospacing="1"/>
        <w:jc w:val="both"/>
        <w:rPr>
          <w:rFonts w:ascii="Verdana" w:hAnsi="Verdana"/>
          <w:sz w:val="18"/>
          <w:szCs w:val="18"/>
        </w:rPr>
      </w:pPr>
      <w:r w:rsidRPr="00525894">
        <w:rPr>
          <w:rFonts w:ascii="Verdana" w:hAnsi="Verdana"/>
          <w:sz w:val="18"/>
          <w:szCs w:val="18"/>
        </w:rPr>
        <w:t xml:space="preserve">Participación del contribuyente en la nueva vivienda: </w:t>
      </w:r>
      <w:r w:rsidRPr="00525894">
        <w:rPr>
          <w:rFonts w:ascii="Verdana" w:hAnsi="Verdana"/>
          <w:b/>
          <w:bCs/>
          <w:sz w:val="18"/>
          <w:szCs w:val="18"/>
        </w:rPr>
        <w:t>50%</w:t>
      </w:r>
      <w:r w:rsidRPr="00525894">
        <w:rPr>
          <w:rFonts w:ascii="Verdana" w:hAnsi="Verdana"/>
          <w:sz w:val="18"/>
          <w:szCs w:val="18"/>
        </w:rPr>
        <w:t>.</w:t>
      </w:r>
    </w:p>
    <w:p w14:paraId="41EE0D55" w14:textId="77777777" w:rsidR="00525894" w:rsidRPr="00525894" w:rsidRDefault="00525894" w:rsidP="00525894">
      <w:pPr>
        <w:numPr>
          <w:ilvl w:val="0"/>
          <w:numId w:val="29"/>
        </w:numPr>
        <w:spacing w:before="100" w:beforeAutospacing="1" w:after="100" w:afterAutospacing="1"/>
        <w:jc w:val="both"/>
        <w:rPr>
          <w:rFonts w:ascii="Verdana" w:hAnsi="Verdana"/>
          <w:sz w:val="18"/>
          <w:szCs w:val="18"/>
        </w:rPr>
      </w:pPr>
      <w:r w:rsidRPr="00525894">
        <w:rPr>
          <w:rFonts w:ascii="Verdana" w:hAnsi="Verdana"/>
          <w:sz w:val="18"/>
          <w:szCs w:val="18"/>
        </w:rPr>
        <w:t xml:space="preserve">Importe máximo de la nueva vivienda que puede computar como reinversión: </w:t>
      </w:r>
      <w:r w:rsidRPr="00525894">
        <w:rPr>
          <w:rFonts w:ascii="Verdana" w:hAnsi="Verdana"/>
          <w:b/>
          <w:bCs/>
          <w:sz w:val="18"/>
          <w:szCs w:val="18"/>
        </w:rPr>
        <w:t>150.000 euros</w:t>
      </w:r>
      <w:r w:rsidRPr="00525894">
        <w:rPr>
          <w:rFonts w:ascii="Verdana" w:hAnsi="Verdana"/>
          <w:sz w:val="18"/>
          <w:szCs w:val="18"/>
        </w:rPr>
        <w:t>.</w:t>
      </w:r>
    </w:p>
    <w:p w14:paraId="6482558F" w14:textId="77777777" w:rsidR="00525894" w:rsidRPr="00525894" w:rsidRDefault="00525894" w:rsidP="00525894">
      <w:pPr>
        <w:numPr>
          <w:ilvl w:val="0"/>
          <w:numId w:val="29"/>
        </w:numPr>
        <w:spacing w:before="100" w:beforeAutospacing="1" w:after="100" w:afterAutospacing="1"/>
        <w:jc w:val="both"/>
        <w:rPr>
          <w:rFonts w:ascii="Verdana" w:hAnsi="Verdana"/>
          <w:sz w:val="18"/>
          <w:szCs w:val="18"/>
        </w:rPr>
      </w:pPr>
      <w:r w:rsidRPr="00525894">
        <w:rPr>
          <w:rFonts w:ascii="Verdana" w:hAnsi="Verdana"/>
          <w:sz w:val="18"/>
          <w:szCs w:val="18"/>
        </w:rPr>
        <w:t xml:space="preserve">Los otros </w:t>
      </w:r>
      <w:r w:rsidRPr="00525894">
        <w:rPr>
          <w:rFonts w:ascii="Verdana" w:hAnsi="Verdana"/>
          <w:b/>
          <w:bCs/>
          <w:sz w:val="18"/>
          <w:szCs w:val="18"/>
        </w:rPr>
        <w:t>50.000 euros</w:t>
      </w:r>
      <w:r w:rsidRPr="00525894">
        <w:rPr>
          <w:rFonts w:ascii="Verdana" w:hAnsi="Verdana"/>
          <w:sz w:val="18"/>
          <w:szCs w:val="18"/>
        </w:rPr>
        <w:t xml:space="preserve"> que hubiera aportado el contribuyente no constituyen reinversión en su propia vivienda habitual a efectos de la exención.</w:t>
      </w:r>
    </w:p>
    <w:p w14:paraId="77194D6D" w14:textId="77777777" w:rsidR="00525894" w:rsidRPr="00525894" w:rsidRDefault="00525894" w:rsidP="00525894">
      <w:pPr>
        <w:numPr>
          <w:ilvl w:val="0"/>
          <w:numId w:val="29"/>
        </w:numPr>
        <w:spacing w:before="100" w:beforeAutospacing="1" w:after="100" w:afterAutospacing="1"/>
        <w:jc w:val="both"/>
        <w:rPr>
          <w:rFonts w:ascii="Verdana" w:hAnsi="Verdana"/>
          <w:sz w:val="18"/>
          <w:szCs w:val="18"/>
        </w:rPr>
      </w:pPr>
      <w:r w:rsidRPr="00525894">
        <w:rPr>
          <w:rFonts w:ascii="Verdana" w:hAnsi="Verdana"/>
          <w:sz w:val="18"/>
          <w:szCs w:val="18"/>
        </w:rPr>
        <w:t>Por tanto, la exención de la ganancia patrimonial no podrá alcanzar el 100% por el mero hecho de que haya destinado los 200.000 euros obtenidos de la venta a la nueva vivienda.</w:t>
      </w:r>
    </w:p>
    <w:p w14:paraId="20BC3FD1" w14:textId="77777777" w:rsidR="00525894" w:rsidRPr="00525894" w:rsidRDefault="00525894" w:rsidP="00525894">
      <w:pPr>
        <w:spacing w:before="100" w:beforeAutospacing="1" w:after="100" w:afterAutospacing="1"/>
        <w:ind w:left="284"/>
        <w:jc w:val="both"/>
        <w:rPr>
          <w:rFonts w:ascii="Verdana" w:hAnsi="Verdana"/>
          <w:sz w:val="18"/>
          <w:szCs w:val="18"/>
        </w:rPr>
      </w:pPr>
      <w:r w:rsidRPr="00525894">
        <w:rPr>
          <w:rFonts w:ascii="Verdana" w:hAnsi="Verdana"/>
          <w:sz w:val="18"/>
          <w:szCs w:val="18"/>
        </w:rPr>
        <w:t xml:space="preserve">El porcentaje del 50% no constituye una regla absoluta para todos los casos: el límite será el </w:t>
      </w:r>
      <w:r w:rsidRPr="00525894">
        <w:rPr>
          <w:rFonts w:ascii="Verdana" w:hAnsi="Verdana"/>
          <w:b/>
          <w:bCs/>
          <w:sz w:val="18"/>
          <w:szCs w:val="18"/>
        </w:rPr>
        <w:t>porcentaje de participación que efectivamente corresponda al contribuyente en la nueva vivienda</w:t>
      </w:r>
      <w:r w:rsidRPr="00525894">
        <w:rPr>
          <w:rFonts w:ascii="Verdana" w:hAnsi="Verdana"/>
          <w:sz w:val="18"/>
          <w:szCs w:val="18"/>
        </w:rPr>
        <w:t>. En las adquisiciones gananciales sin atribución expresa de cuotas, dicho porcentaje será, con carácter general, del 50%.</w:t>
      </w:r>
    </w:p>
    <w:p w14:paraId="70E8FA15" w14:textId="77777777" w:rsidR="00525894" w:rsidRPr="00525894" w:rsidRDefault="00525894" w:rsidP="00525894">
      <w:pPr>
        <w:spacing w:before="100" w:beforeAutospacing="1" w:after="100" w:afterAutospacing="1"/>
        <w:ind w:left="284"/>
        <w:jc w:val="both"/>
        <w:rPr>
          <w:rFonts w:ascii="Verdana" w:hAnsi="Verdana"/>
          <w:b/>
          <w:bCs/>
          <w:sz w:val="18"/>
          <w:szCs w:val="18"/>
        </w:rPr>
      </w:pPr>
      <w:r w:rsidRPr="00525894">
        <w:rPr>
          <w:rFonts w:ascii="Verdana" w:hAnsi="Verdana"/>
          <w:b/>
          <w:bCs/>
          <w:sz w:val="18"/>
          <w:szCs w:val="18"/>
        </w:rPr>
        <w:t>Importancia de la resolución</w:t>
      </w:r>
    </w:p>
    <w:p w14:paraId="34CEEA92" w14:textId="77777777" w:rsidR="00525894" w:rsidRPr="00525894" w:rsidRDefault="00525894" w:rsidP="00525894">
      <w:pPr>
        <w:spacing w:before="100" w:beforeAutospacing="1" w:after="100" w:afterAutospacing="1"/>
        <w:ind w:left="284"/>
        <w:jc w:val="both"/>
        <w:rPr>
          <w:rFonts w:ascii="Verdana" w:hAnsi="Verdana"/>
          <w:sz w:val="18"/>
          <w:szCs w:val="18"/>
        </w:rPr>
      </w:pPr>
      <w:r w:rsidRPr="00525894">
        <w:rPr>
          <w:rFonts w:ascii="Verdana" w:hAnsi="Verdana"/>
          <w:sz w:val="18"/>
          <w:szCs w:val="18"/>
        </w:rPr>
        <w:t xml:space="preserve">La resolución tiene especial relevancia porque </w:t>
      </w:r>
      <w:r w:rsidRPr="00525894">
        <w:rPr>
          <w:rFonts w:ascii="Verdana" w:hAnsi="Verdana"/>
          <w:b/>
          <w:bCs/>
          <w:sz w:val="18"/>
          <w:szCs w:val="18"/>
        </w:rPr>
        <w:t>unifica el criterio de los Tribunales Económico-Administrativos</w:t>
      </w:r>
      <w:r w:rsidRPr="00525894">
        <w:rPr>
          <w:rFonts w:ascii="Verdana" w:hAnsi="Verdana"/>
          <w:sz w:val="18"/>
          <w:szCs w:val="18"/>
        </w:rPr>
        <w:t xml:space="preserve"> y confirma la posición que venían manteniendo el TEAR de Cantabria y la Dirección General de Tributos.</w:t>
      </w:r>
    </w:p>
    <w:p w14:paraId="0109AF18" w14:textId="77777777" w:rsidR="00525894" w:rsidRPr="00525894" w:rsidRDefault="00525894" w:rsidP="00525894">
      <w:pPr>
        <w:spacing w:before="100" w:beforeAutospacing="1" w:after="100" w:afterAutospacing="1"/>
        <w:ind w:left="284"/>
        <w:jc w:val="both"/>
        <w:rPr>
          <w:rFonts w:ascii="Verdana" w:hAnsi="Verdana"/>
          <w:sz w:val="18"/>
          <w:szCs w:val="18"/>
        </w:rPr>
      </w:pPr>
      <w:r w:rsidRPr="00525894">
        <w:rPr>
          <w:rFonts w:ascii="Verdana" w:hAnsi="Verdana"/>
          <w:sz w:val="18"/>
          <w:szCs w:val="18"/>
        </w:rPr>
        <w:t xml:space="preserve">El TEAC establece, por tanto, que para determinar la cuantía de la reinversión no basta con acreditar que el dinero procedente de la venta se ha destinado materialmente al pago de la nueva vivienda. Es necesario que dicho importe se corresponda con la </w:t>
      </w:r>
      <w:r w:rsidRPr="00525894">
        <w:rPr>
          <w:rFonts w:ascii="Verdana" w:hAnsi="Verdana"/>
          <w:b/>
          <w:bCs/>
          <w:sz w:val="18"/>
          <w:szCs w:val="18"/>
        </w:rPr>
        <w:t>participación en la titularidad de la nueva vivienda adquirida por el propio contribuyente</w:t>
      </w:r>
      <w:r w:rsidRPr="00525894">
        <w:rPr>
          <w:rFonts w:ascii="Verdana" w:hAnsi="Verdana"/>
          <w:sz w:val="18"/>
          <w:szCs w:val="18"/>
        </w:rPr>
        <w:t>.</w:t>
      </w:r>
    </w:p>
    <w:p w14:paraId="6B8EED34" w14:textId="61FC9BB0" w:rsidR="00525894" w:rsidRDefault="00525894" w:rsidP="00525894">
      <w:pPr>
        <w:spacing w:before="100" w:beforeAutospacing="1" w:after="100" w:afterAutospacing="1"/>
        <w:ind w:left="284"/>
        <w:jc w:val="both"/>
        <w:rPr>
          <w:rFonts w:ascii="Verdana" w:hAnsi="Verdana"/>
          <w:sz w:val="18"/>
          <w:szCs w:val="18"/>
        </w:rPr>
      </w:pPr>
      <w:r w:rsidRPr="00525894">
        <w:rPr>
          <w:rFonts w:ascii="Verdana" w:hAnsi="Verdana"/>
          <w:b/>
          <w:bCs/>
          <w:sz w:val="18"/>
          <w:szCs w:val="18"/>
        </w:rPr>
        <w:t>Conclusión:</w:t>
      </w:r>
      <w:r w:rsidRPr="00525894">
        <w:rPr>
          <w:rFonts w:ascii="Verdana" w:hAnsi="Verdana"/>
          <w:sz w:val="18"/>
          <w:szCs w:val="18"/>
        </w:rPr>
        <w:t xml:space="preserve"> </w:t>
      </w:r>
      <w:r w:rsidR="00F261F7">
        <w:rPr>
          <w:rFonts w:ascii="Verdana" w:hAnsi="Verdana"/>
          <w:sz w:val="18"/>
          <w:szCs w:val="18"/>
        </w:rPr>
        <w:t>C</w:t>
      </w:r>
      <w:r w:rsidRPr="00525894">
        <w:rPr>
          <w:rFonts w:ascii="Verdana" w:hAnsi="Verdana"/>
          <w:sz w:val="18"/>
          <w:szCs w:val="18"/>
        </w:rPr>
        <w:t xml:space="preserve">uando se transmite una vivienda habitual privativa y se adquiere otra con carácter ganancial, la exención por reinversión queda limitada al importe destinado a adquirir la participación que corresponde al contribuyente en la nueva vivienda. Si esta se adquiere ganancialmente sin atribución de cuotas, el límite será, en principio, el </w:t>
      </w:r>
      <w:r w:rsidRPr="00525894">
        <w:rPr>
          <w:rFonts w:ascii="Verdana" w:hAnsi="Verdana"/>
          <w:b/>
          <w:bCs/>
          <w:sz w:val="18"/>
          <w:szCs w:val="18"/>
        </w:rPr>
        <w:t>50% del precio de adquisición</w:t>
      </w:r>
      <w:r w:rsidRPr="00525894">
        <w:rPr>
          <w:rFonts w:ascii="Verdana" w:hAnsi="Verdana"/>
          <w:sz w:val="18"/>
          <w:szCs w:val="18"/>
        </w:rPr>
        <w:t>.</w:t>
      </w:r>
    </w:p>
    <w:p w14:paraId="1281EA99" w14:textId="77777777" w:rsidR="008D4AEF" w:rsidRPr="00525894" w:rsidRDefault="008D4AEF" w:rsidP="00525894">
      <w:pPr>
        <w:spacing w:before="100" w:beforeAutospacing="1" w:after="100" w:afterAutospacing="1"/>
        <w:ind w:left="284"/>
        <w:jc w:val="both"/>
        <w:rPr>
          <w:rFonts w:ascii="Verdana" w:hAnsi="Verdana"/>
          <w:sz w:val="18"/>
          <w:szCs w:val="18"/>
        </w:rPr>
      </w:pPr>
    </w:p>
    <w:tbl>
      <w:tblPr>
        <w:tblW w:w="8744" w:type="dxa"/>
        <w:tblCellMar>
          <w:left w:w="70" w:type="dxa"/>
          <w:right w:w="70" w:type="dxa"/>
        </w:tblCellMar>
        <w:tblLook w:val="0000" w:firstRow="0" w:lastRow="0" w:firstColumn="0" w:lastColumn="0" w:noHBand="0" w:noVBand="0"/>
      </w:tblPr>
      <w:tblGrid>
        <w:gridCol w:w="284"/>
        <w:gridCol w:w="8460"/>
      </w:tblGrid>
      <w:tr w:rsidR="008D4AEF" w:rsidRPr="00525894" w14:paraId="2EF766CD" w14:textId="77777777" w:rsidTr="00244321">
        <w:tc>
          <w:tcPr>
            <w:tcW w:w="284" w:type="dxa"/>
            <w:shd w:val="clear" w:color="auto" w:fill="FF6600"/>
          </w:tcPr>
          <w:p w14:paraId="57C644EC" w14:textId="77777777" w:rsidR="008D4AEF" w:rsidRPr="00525894" w:rsidRDefault="008D4AEF" w:rsidP="00244321">
            <w:pPr>
              <w:rPr>
                <w:rFonts w:ascii="Verdana" w:hAnsi="Verdana"/>
                <w:b/>
                <w:bCs/>
                <w:iCs/>
                <w:color w:val="800000"/>
                <w:sz w:val="18"/>
                <w:szCs w:val="18"/>
              </w:rPr>
            </w:pPr>
          </w:p>
        </w:tc>
        <w:tc>
          <w:tcPr>
            <w:tcW w:w="8460" w:type="dxa"/>
          </w:tcPr>
          <w:p w14:paraId="6C4F081E" w14:textId="29F49E70" w:rsidR="008D4AEF" w:rsidRPr="00525894" w:rsidRDefault="00A57182" w:rsidP="00244321">
            <w:pPr>
              <w:pStyle w:val="Prrafodelista"/>
              <w:numPr>
                <w:ilvl w:val="0"/>
                <w:numId w:val="1"/>
              </w:numPr>
              <w:tabs>
                <w:tab w:val="clear" w:pos="720"/>
                <w:tab w:val="left" w:pos="170"/>
              </w:tabs>
              <w:ind w:left="359" w:hanging="359"/>
              <w:jc w:val="both"/>
              <w:rPr>
                <w:rFonts w:ascii="Verdana" w:hAnsi="Verdana"/>
                <w:b/>
                <w:bCs/>
                <w:iCs/>
                <w:color w:val="800000"/>
                <w:sz w:val="18"/>
                <w:szCs w:val="18"/>
              </w:rPr>
            </w:pPr>
            <w:r w:rsidRPr="00A57182">
              <w:rPr>
                <w:rFonts w:ascii="Verdana" w:hAnsi="Verdana"/>
                <w:b/>
                <w:bCs/>
                <w:iCs/>
                <w:color w:val="800000"/>
                <w:sz w:val="18"/>
                <w:szCs w:val="18"/>
              </w:rPr>
              <w:t>IRPF.– RENDIMIENTOS DEL CAPITAL INMOBILIARIO: DEDUCIBILIDAD DE LAS PRIMAS DE SEGURO DE VIDA VINCULADAS A PRÉSTAMOS HIPOTECARIOS</w:t>
            </w:r>
          </w:p>
        </w:tc>
      </w:tr>
    </w:tbl>
    <w:p w14:paraId="3E6020DF" w14:textId="77777777" w:rsidR="008D4AEF" w:rsidRPr="008D4AEF" w:rsidRDefault="008D4AEF" w:rsidP="008D4AEF">
      <w:pPr>
        <w:spacing w:before="100" w:beforeAutospacing="1" w:after="100" w:afterAutospacing="1"/>
        <w:ind w:left="284"/>
        <w:jc w:val="both"/>
        <w:rPr>
          <w:rFonts w:ascii="Verdana" w:hAnsi="Verdana"/>
          <w:sz w:val="18"/>
          <w:szCs w:val="18"/>
        </w:rPr>
      </w:pPr>
      <w:r w:rsidRPr="008D4AEF">
        <w:rPr>
          <w:rFonts w:ascii="Verdana" w:hAnsi="Verdana"/>
          <w:sz w:val="18"/>
          <w:szCs w:val="18"/>
        </w:rPr>
        <w:t xml:space="preserve">El TEAC establece, en </w:t>
      </w:r>
      <w:r w:rsidRPr="008D4AEF">
        <w:rPr>
          <w:rFonts w:ascii="Verdana" w:hAnsi="Verdana"/>
          <w:b/>
          <w:bCs/>
          <w:sz w:val="18"/>
          <w:szCs w:val="18"/>
        </w:rPr>
        <w:t>unificación de criterio</w:t>
      </w:r>
      <w:r w:rsidRPr="008D4AEF">
        <w:rPr>
          <w:rFonts w:ascii="Verdana" w:hAnsi="Verdana"/>
          <w:sz w:val="18"/>
          <w:szCs w:val="18"/>
        </w:rPr>
        <w:t xml:space="preserve">, que las </w:t>
      </w:r>
      <w:r w:rsidRPr="008D4AEF">
        <w:rPr>
          <w:rFonts w:ascii="Verdana" w:hAnsi="Verdana"/>
          <w:b/>
          <w:bCs/>
          <w:sz w:val="18"/>
          <w:szCs w:val="18"/>
        </w:rPr>
        <w:t>primas de los seguros de vida vinculados a un préstamo hipotecario que grava un inmueble arrendado son fiscalmente deducibles</w:t>
      </w:r>
      <w:r w:rsidRPr="008D4AEF">
        <w:rPr>
          <w:rFonts w:ascii="Verdana" w:hAnsi="Verdana"/>
          <w:sz w:val="18"/>
          <w:szCs w:val="18"/>
        </w:rPr>
        <w:t xml:space="preserve"> para determinar el rendimiento neto del capital inmobiliario </w:t>
      </w:r>
      <w:r w:rsidRPr="008D4AEF">
        <w:rPr>
          <w:rFonts w:ascii="Verdana" w:hAnsi="Verdana"/>
          <w:b/>
          <w:bCs/>
          <w:sz w:val="18"/>
          <w:szCs w:val="18"/>
        </w:rPr>
        <w:t>cuando la contratación del seguro está incluida en las condiciones del préstamo y su suscripción determina una bonificación en el tipo de interés</w:t>
      </w:r>
      <w:r w:rsidRPr="008D4AEF">
        <w:rPr>
          <w:rFonts w:ascii="Verdana" w:hAnsi="Verdana"/>
          <w:sz w:val="18"/>
          <w:szCs w:val="18"/>
        </w:rPr>
        <w:t xml:space="preserve">. </w:t>
      </w:r>
    </w:p>
    <w:p w14:paraId="08D9F33E" w14:textId="77777777" w:rsidR="008D4AEF" w:rsidRPr="008D4AEF" w:rsidRDefault="008D4AEF" w:rsidP="008D4AEF">
      <w:pPr>
        <w:spacing w:before="100" w:beforeAutospacing="1" w:after="100" w:afterAutospacing="1"/>
        <w:ind w:left="284"/>
        <w:jc w:val="both"/>
        <w:rPr>
          <w:rFonts w:ascii="Verdana" w:hAnsi="Verdana"/>
          <w:sz w:val="18"/>
          <w:szCs w:val="18"/>
        </w:rPr>
      </w:pPr>
      <w:r w:rsidRPr="008D4AEF">
        <w:rPr>
          <w:rFonts w:ascii="Verdana" w:hAnsi="Verdana"/>
          <w:sz w:val="18"/>
          <w:szCs w:val="18"/>
        </w:rPr>
        <w:t xml:space="preserve">El Tribunal considera que estas primas pueden calificarse como </w:t>
      </w:r>
      <w:r w:rsidRPr="008D4AEF">
        <w:rPr>
          <w:rFonts w:ascii="Verdana" w:hAnsi="Verdana"/>
          <w:b/>
          <w:bCs/>
          <w:sz w:val="18"/>
          <w:szCs w:val="18"/>
        </w:rPr>
        <w:t>“gastos de financiación”</w:t>
      </w:r>
      <w:r w:rsidRPr="008D4AEF">
        <w:rPr>
          <w:rFonts w:ascii="Verdana" w:hAnsi="Verdana"/>
          <w:sz w:val="18"/>
          <w:szCs w:val="18"/>
        </w:rPr>
        <w:t xml:space="preserve"> del artículo 23.1.a).1.º LIRPF, aunque no sean propiamente intereses del préstamo ni encajen en los seguros sobre el inmueble contemplados en el artículo 13.f) RIRPF. La normativa establece un concepto </w:t>
      </w:r>
      <w:r w:rsidRPr="008D4AEF">
        <w:rPr>
          <w:rFonts w:ascii="Verdana" w:hAnsi="Verdana"/>
          <w:b/>
          <w:bCs/>
          <w:sz w:val="18"/>
          <w:szCs w:val="18"/>
        </w:rPr>
        <w:t>no cerrado</w:t>
      </w:r>
      <w:r w:rsidRPr="008D4AEF">
        <w:rPr>
          <w:rFonts w:ascii="Verdana" w:hAnsi="Verdana"/>
          <w:sz w:val="18"/>
          <w:szCs w:val="18"/>
        </w:rPr>
        <w:t xml:space="preserve"> de gastos necesarios, por lo que pueden incluirse otros gastos que presenten una vinculación directa con la financiación y con la obtención de los rendimientos. </w:t>
      </w:r>
    </w:p>
    <w:p w14:paraId="2C55380A" w14:textId="77777777" w:rsidR="008D4AEF" w:rsidRPr="008D4AEF" w:rsidRDefault="008D4AEF" w:rsidP="008D4AEF">
      <w:pPr>
        <w:spacing w:before="100" w:beforeAutospacing="1" w:after="100" w:afterAutospacing="1"/>
        <w:ind w:left="284"/>
        <w:jc w:val="both"/>
        <w:rPr>
          <w:rFonts w:ascii="Verdana" w:hAnsi="Verdana"/>
          <w:b/>
          <w:bCs/>
          <w:sz w:val="18"/>
          <w:szCs w:val="18"/>
        </w:rPr>
      </w:pPr>
      <w:r w:rsidRPr="008D4AEF">
        <w:rPr>
          <w:rFonts w:ascii="Verdana" w:hAnsi="Verdana"/>
          <w:b/>
          <w:bCs/>
          <w:sz w:val="18"/>
          <w:szCs w:val="18"/>
        </w:rPr>
        <w:t>Fundamentación</w:t>
      </w:r>
    </w:p>
    <w:p w14:paraId="5C53990B" w14:textId="1C96D588" w:rsidR="008D4AEF" w:rsidRPr="008D4AEF" w:rsidRDefault="008D4AEF" w:rsidP="008D4AEF">
      <w:pPr>
        <w:spacing w:before="100" w:beforeAutospacing="1" w:after="100" w:afterAutospacing="1"/>
        <w:ind w:left="284"/>
        <w:jc w:val="both"/>
        <w:rPr>
          <w:rFonts w:ascii="Verdana" w:hAnsi="Verdana"/>
          <w:sz w:val="18"/>
          <w:szCs w:val="18"/>
        </w:rPr>
      </w:pPr>
      <w:r w:rsidRPr="008D4AEF">
        <w:rPr>
          <w:rFonts w:ascii="Verdana" w:hAnsi="Verdana"/>
          <w:sz w:val="18"/>
          <w:szCs w:val="18"/>
        </w:rPr>
        <w:t xml:space="preserve">El artículo 23.1.a) LIRPF permite deducir los </w:t>
      </w:r>
      <w:r w:rsidRPr="008D4AEF">
        <w:rPr>
          <w:rFonts w:ascii="Verdana" w:hAnsi="Verdana"/>
          <w:b/>
          <w:bCs/>
          <w:sz w:val="18"/>
          <w:szCs w:val="18"/>
        </w:rPr>
        <w:t>gastos necesarios para la obtención de los rendimientos</w:t>
      </w:r>
      <w:r w:rsidRPr="008D4AEF">
        <w:rPr>
          <w:rFonts w:ascii="Verdana" w:hAnsi="Verdana"/>
          <w:sz w:val="18"/>
          <w:szCs w:val="18"/>
        </w:rPr>
        <w:t xml:space="preserve">, incluyendo los intereses de capitales ajenos y los </w:t>
      </w:r>
      <w:r w:rsidRPr="008D4AEF">
        <w:rPr>
          <w:rFonts w:ascii="Verdana" w:hAnsi="Verdana"/>
          <w:b/>
          <w:bCs/>
          <w:sz w:val="18"/>
          <w:szCs w:val="18"/>
        </w:rPr>
        <w:t>demás gastos de financiación</w:t>
      </w:r>
      <w:r w:rsidRPr="008D4AEF">
        <w:rPr>
          <w:rFonts w:ascii="Verdana" w:hAnsi="Verdana"/>
          <w:sz w:val="18"/>
          <w:szCs w:val="18"/>
        </w:rPr>
        <w:t xml:space="preserve">. El TEAC destaca que la enumeración legal no es </w:t>
      </w:r>
      <w:r>
        <w:rPr>
          <w:rFonts w:ascii="Verdana" w:hAnsi="Verdana"/>
          <w:sz w:val="18"/>
          <w:szCs w:val="18"/>
        </w:rPr>
        <w:t>“</w:t>
      </w:r>
      <w:r w:rsidRPr="008D4AEF">
        <w:rPr>
          <w:rFonts w:ascii="Verdana" w:hAnsi="Verdana"/>
          <w:i/>
          <w:iCs/>
          <w:sz w:val="18"/>
          <w:szCs w:val="18"/>
        </w:rPr>
        <w:t>numerus clausus</w:t>
      </w:r>
      <w:r>
        <w:rPr>
          <w:rFonts w:ascii="Verdana" w:hAnsi="Verdana"/>
          <w:i/>
          <w:iCs/>
          <w:sz w:val="18"/>
          <w:szCs w:val="18"/>
        </w:rPr>
        <w:t>”</w:t>
      </w:r>
      <w:r w:rsidRPr="008D4AEF">
        <w:rPr>
          <w:rFonts w:ascii="Verdana" w:hAnsi="Verdana"/>
          <w:sz w:val="18"/>
          <w:szCs w:val="18"/>
        </w:rPr>
        <w:t xml:space="preserve">. </w:t>
      </w:r>
    </w:p>
    <w:p w14:paraId="0E232ACB" w14:textId="77777777" w:rsidR="008D4AEF" w:rsidRPr="008D4AEF" w:rsidRDefault="008D4AEF" w:rsidP="008D4AEF">
      <w:pPr>
        <w:spacing w:before="100" w:beforeAutospacing="1" w:after="100" w:afterAutospacing="1"/>
        <w:ind w:left="284"/>
        <w:jc w:val="both"/>
        <w:rPr>
          <w:rFonts w:ascii="Verdana" w:hAnsi="Verdana"/>
          <w:sz w:val="18"/>
          <w:szCs w:val="18"/>
        </w:rPr>
      </w:pPr>
      <w:r w:rsidRPr="008D4AEF">
        <w:rPr>
          <w:rFonts w:ascii="Verdana" w:hAnsi="Verdana"/>
          <w:sz w:val="18"/>
          <w:szCs w:val="18"/>
        </w:rPr>
        <w:t xml:space="preserve">Aunque el seguro de vida no protege directamente el inmueble —el riesgo asegurado es la vida o incapacidad del asegurado—, el TEAC entiende que existe una </w:t>
      </w:r>
      <w:r w:rsidRPr="008D4AEF">
        <w:rPr>
          <w:rFonts w:ascii="Verdana" w:hAnsi="Verdana"/>
          <w:b/>
          <w:bCs/>
          <w:sz w:val="18"/>
          <w:szCs w:val="18"/>
        </w:rPr>
        <w:t>conexión económica directa con la financiación</w:t>
      </w:r>
      <w:r w:rsidRPr="008D4AEF">
        <w:rPr>
          <w:rFonts w:ascii="Verdana" w:hAnsi="Verdana"/>
          <w:sz w:val="18"/>
          <w:szCs w:val="18"/>
        </w:rPr>
        <w:t xml:space="preserve"> cuando su contratación permite obtener mejores condiciones hipotecarias. En particular, si el seguro reduce el tipo de interés, repercute directamente en la cuantía de los intereses satisfechos, que sí son deducibles. </w:t>
      </w:r>
    </w:p>
    <w:p w14:paraId="762D6185" w14:textId="77777777" w:rsidR="008D4AEF" w:rsidRPr="008D4AEF" w:rsidRDefault="008D4AEF" w:rsidP="008D4AEF">
      <w:pPr>
        <w:spacing w:before="100" w:beforeAutospacing="1" w:after="100" w:afterAutospacing="1"/>
        <w:ind w:left="284"/>
        <w:jc w:val="both"/>
        <w:rPr>
          <w:rFonts w:ascii="Verdana" w:hAnsi="Verdana"/>
          <w:sz w:val="18"/>
          <w:szCs w:val="18"/>
        </w:rPr>
      </w:pPr>
      <w:r w:rsidRPr="008D4AEF">
        <w:rPr>
          <w:rFonts w:ascii="Verdana" w:hAnsi="Verdana"/>
          <w:sz w:val="18"/>
          <w:szCs w:val="18"/>
        </w:rPr>
        <w:t xml:space="preserve">Para alcanzar esta conclusión, el TEAC tiene especialmente en cuenta la evolución de la antigua </w:t>
      </w:r>
      <w:r w:rsidRPr="008D4AEF">
        <w:rPr>
          <w:rFonts w:ascii="Verdana" w:hAnsi="Verdana"/>
          <w:b/>
          <w:bCs/>
          <w:sz w:val="18"/>
          <w:szCs w:val="18"/>
        </w:rPr>
        <w:t>deducción por inversión en vivienda habitual</w:t>
      </w:r>
      <w:r w:rsidRPr="008D4AEF">
        <w:rPr>
          <w:rFonts w:ascii="Verdana" w:hAnsi="Verdana"/>
          <w:sz w:val="18"/>
          <w:szCs w:val="18"/>
        </w:rPr>
        <w:t xml:space="preserve"> y la doctrina de la DGT, que había considerado en distintos pronunciamientos que determinados seguros de vida vinculados a préstamos hipotecarios constituían gastos derivados de la financiación cuando su contratación figuraba entre las condiciones del prestamista. </w:t>
      </w:r>
    </w:p>
    <w:p w14:paraId="460318DD" w14:textId="77777777" w:rsidR="008D4AEF" w:rsidRPr="008D4AEF" w:rsidRDefault="008D4AEF" w:rsidP="008D4AEF">
      <w:pPr>
        <w:spacing w:before="100" w:beforeAutospacing="1" w:after="100" w:afterAutospacing="1"/>
        <w:ind w:left="284"/>
        <w:jc w:val="both"/>
        <w:rPr>
          <w:rFonts w:ascii="Verdana" w:hAnsi="Verdana"/>
          <w:b/>
          <w:bCs/>
          <w:sz w:val="18"/>
          <w:szCs w:val="18"/>
        </w:rPr>
      </w:pPr>
      <w:r w:rsidRPr="008D4AEF">
        <w:rPr>
          <w:rFonts w:ascii="Verdana" w:hAnsi="Verdana"/>
          <w:b/>
          <w:bCs/>
          <w:sz w:val="18"/>
          <w:szCs w:val="18"/>
        </w:rPr>
        <w:t>Importancia del cambio de criterio</w:t>
      </w:r>
    </w:p>
    <w:p w14:paraId="7FDD9F56" w14:textId="77777777" w:rsidR="008D4AEF" w:rsidRPr="008D4AEF" w:rsidRDefault="008D4AEF" w:rsidP="008D4AEF">
      <w:pPr>
        <w:spacing w:before="100" w:beforeAutospacing="1" w:after="100" w:afterAutospacing="1"/>
        <w:ind w:left="284"/>
        <w:jc w:val="both"/>
        <w:rPr>
          <w:rFonts w:ascii="Verdana" w:hAnsi="Verdana"/>
          <w:sz w:val="18"/>
          <w:szCs w:val="18"/>
        </w:rPr>
      </w:pPr>
      <w:r w:rsidRPr="008D4AEF">
        <w:rPr>
          <w:rFonts w:ascii="Verdana" w:hAnsi="Verdana"/>
          <w:sz w:val="18"/>
          <w:szCs w:val="18"/>
        </w:rPr>
        <w:t xml:space="preserve">La resolución supone apartarse del criterio mantenido por la </w:t>
      </w:r>
      <w:r w:rsidRPr="00A57182">
        <w:rPr>
          <w:rFonts w:ascii="Verdana" w:hAnsi="Verdana"/>
          <w:sz w:val="18"/>
          <w:szCs w:val="18"/>
        </w:rPr>
        <w:t>DGT en la consulta V2303-18,</w:t>
      </w:r>
      <w:r w:rsidRPr="008D4AEF">
        <w:rPr>
          <w:rFonts w:ascii="Verdana" w:hAnsi="Verdana"/>
          <w:sz w:val="18"/>
          <w:szCs w:val="18"/>
        </w:rPr>
        <w:t xml:space="preserve"> según el cual el seguro de vida no era deducible cuando su falta de contratación únicamente provocaba un incremento del tipo de interés, pero no impedía obtener el préstamo. El TEAC considera ahora que esa circunstancia </w:t>
      </w:r>
      <w:r w:rsidRPr="008D4AEF">
        <w:rPr>
          <w:rFonts w:ascii="Verdana" w:hAnsi="Verdana"/>
          <w:b/>
          <w:bCs/>
          <w:sz w:val="18"/>
          <w:szCs w:val="18"/>
        </w:rPr>
        <w:t>no impide apreciar la necesaria vinculación con la financiación</w:t>
      </w:r>
      <w:r w:rsidRPr="008D4AEF">
        <w:rPr>
          <w:rFonts w:ascii="Verdana" w:hAnsi="Verdana"/>
          <w:sz w:val="18"/>
          <w:szCs w:val="18"/>
        </w:rPr>
        <w:t xml:space="preserve">. </w:t>
      </w:r>
    </w:p>
    <w:p w14:paraId="7436AA43" w14:textId="77777777" w:rsidR="008D4AEF" w:rsidRPr="008D4AEF" w:rsidRDefault="008D4AEF" w:rsidP="008D4AEF">
      <w:pPr>
        <w:spacing w:before="100" w:beforeAutospacing="1" w:after="100" w:afterAutospacing="1"/>
        <w:ind w:left="284"/>
        <w:jc w:val="both"/>
        <w:rPr>
          <w:rFonts w:ascii="Verdana" w:hAnsi="Verdana"/>
          <w:b/>
          <w:bCs/>
          <w:sz w:val="18"/>
          <w:szCs w:val="18"/>
        </w:rPr>
      </w:pPr>
      <w:r w:rsidRPr="008D4AEF">
        <w:rPr>
          <w:rFonts w:ascii="Verdana" w:hAnsi="Verdana"/>
          <w:b/>
          <w:bCs/>
          <w:sz w:val="18"/>
          <w:szCs w:val="18"/>
        </w:rPr>
        <w:t>Aplicación práctica</w:t>
      </w:r>
    </w:p>
    <w:p w14:paraId="702ECEA3" w14:textId="77777777" w:rsidR="008D4AEF" w:rsidRPr="008D4AEF" w:rsidRDefault="008D4AEF" w:rsidP="008D4AEF">
      <w:pPr>
        <w:spacing w:before="100" w:beforeAutospacing="1" w:after="100" w:afterAutospacing="1"/>
        <w:ind w:left="284"/>
        <w:jc w:val="both"/>
        <w:rPr>
          <w:rFonts w:ascii="Verdana" w:hAnsi="Verdana"/>
          <w:sz w:val="18"/>
          <w:szCs w:val="18"/>
        </w:rPr>
      </w:pPr>
      <w:r w:rsidRPr="008D4AEF">
        <w:rPr>
          <w:rFonts w:ascii="Verdana" w:hAnsi="Verdana"/>
          <w:sz w:val="18"/>
          <w:szCs w:val="18"/>
        </w:rPr>
        <w:t xml:space="preserve">La deducibilidad exige que pueda acreditarse que el seguro está </w:t>
      </w:r>
      <w:r w:rsidRPr="008D4AEF">
        <w:rPr>
          <w:rFonts w:ascii="Verdana" w:hAnsi="Verdana"/>
          <w:b/>
          <w:bCs/>
          <w:sz w:val="18"/>
          <w:szCs w:val="18"/>
        </w:rPr>
        <w:t>vinculado a las condiciones de financiación</w:t>
      </w:r>
      <w:r w:rsidRPr="008D4AEF">
        <w:rPr>
          <w:rFonts w:ascii="Verdana" w:hAnsi="Verdana"/>
          <w:sz w:val="18"/>
          <w:szCs w:val="18"/>
        </w:rPr>
        <w:t xml:space="preserve"> del inmueble arrendado y que su contratación tiene incidencia en las condiciones económicas del préstamo. En el caso analizado, la póliza establecía expresamente su vinculación al crédito y que el seguro se extinguía con la cancelación anticipada del préstamo. </w:t>
      </w:r>
    </w:p>
    <w:p w14:paraId="17F02FBE" w14:textId="77777777" w:rsidR="008D4AEF" w:rsidRDefault="008D4AEF" w:rsidP="008D4AEF">
      <w:pPr>
        <w:spacing w:before="100" w:beforeAutospacing="1" w:after="100" w:afterAutospacing="1"/>
        <w:ind w:left="284"/>
        <w:jc w:val="both"/>
        <w:rPr>
          <w:rFonts w:ascii="Verdana" w:hAnsi="Verdana"/>
          <w:sz w:val="18"/>
          <w:szCs w:val="18"/>
        </w:rPr>
      </w:pPr>
      <w:r w:rsidRPr="008D4AEF">
        <w:rPr>
          <w:rFonts w:ascii="Verdana" w:hAnsi="Verdana"/>
          <w:b/>
          <w:bCs/>
          <w:sz w:val="18"/>
          <w:szCs w:val="18"/>
        </w:rPr>
        <w:t>Conclusión:</w:t>
      </w:r>
      <w:r w:rsidRPr="008D4AEF">
        <w:rPr>
          <w:rFonts w:ascii="Verdana" w:hAnsi="Verdana"/>
          <w:sz w:val="18"/>
          <w:szCs w:val="18"/>
        </w:rPr>
        <w:t xml:space="preserve"> </w:t>
      </w:r>
    </w:p>
    <w:p w14:paraId="4EBA3E9F" w14:textId="45A29AA3" w:rsidR="008D4AEF" w:rsidRPr="008D4AEF" w:rsidRDefault="008D4AEF" w:rsidP="008D4AEF">
      <w:pPr>
        <w:spacing w:before="100" w:beforeAutospacing="1" w:after="100" w:afterAutospacing="1"/>
        <w:ind w:left="284"/>
        <w:jc w:val="both"/>
        <w:rPr>
          <w:rFonts w:ascii="Verdana" w:hAnsi="Verdana"/>
          <w:sz w:val="18"/>
          <w:szCs w:val="18"/>
        </w:rPr>
      </w:pPr>
      <w:r>
        <w:rPr>
          <w:rFonts w:ascii="Verdana" w:hAnsi="Verdana"/>
          <w:sz w:val="18"/>
          <w:szCs w:val="18"/>
        </w:rPr>
        <w:t>L</w:t>
      </w:r>
      <w:r w:rsidRPr="008D4AEF">
        <w:rPr>
          <w:rFonts w:ascii="Verdana" w:hAnsi="Verdana"/>
          <w:sz w:val="18"/>
          <w:szCs w:val="18"/>
        </w:rPr>
        <w:t xml:space="preserve">as primas de un seguro de vida asociado a la hipoteca de un inmueble alquilado </w:t>
      </w:r>
      <w:r w:rsidRPr="008D4AEF">
        <w:rPr>
          <w:rFonts w:ascii="Verdana" w:hAnsi="Verdana"/>
          <w:b/>
          <w:bCs/>
          <w:sz w:val="18"/>
          <w:szCs w:val="18"/>
        </w:rPr>
        <w:t>pueden deducirse como gasto de financiación en el IRPF</w:t>
      </w:r>
      <w:r w:rsidRPr="008D4AEF">
        <w:rPr>
          <w:rFonts w:ascii="Verdana" w:hAnsi="Verdana"/>
          <w:sz w:val="18"/>
          <w:szCs w:val="18"/>
        </w:rPr>
        <w:t xml:space="preserve">, no solo cuando el seguro sea obligatorio para obtener el préstamo, sino también cuando su contratación forme parte de las condiciones financieras y permita obtener una </w:t>
      </w:r>
      <w:r w:rsidRPr="008D4AEF">
        <w:rPr>
          <w:rFonts w:ascii="Verdana" w:hAnsi="Verdana"/>
          <w:b/>
          <w:bCs/>
          <w:sz w:val="18"/>
          <w:szCs w:val="18"/>
        </w:rPr>
        <w:t>bonificación del tipo de interés</w:t>
      </w:r>
      <w:r w:rsidRPr="008D4AEF">
        <w:rPr>
          <w:rFonts w:ascii="Verdana" w:hAnsi="Verdana"/>
          <w:sz w:val="18"/>
          <w:szCs w:val="18"/>
        </w:rPr>
        <w:t xml:space="preserve">. </w:t>
      </w:r>
    </w:p>
    <w:p w14:paraId="54473E00" w14:textId="77777777" w:rsidR="00D82871" w:rsidRDefault="00D82871" w:rsidP="001270CF">
      <w:pPr>
        <w:spacing w:before="100" w:beforeAutospacing="1" w:after="100" w:afterAutospacing="1"/>
        <w:ind w:left="284"/>
        <w:jc w:val="both"/>
        <w:rPr>
          <w:rFonts w:ascii="Verdana" w:hAnsi="Verdana"/>
          <w:sz w:val="18"/>
          <w:szCs w:val="18"/>
        </w:rPr>
      </w:pPr>
    </w:p>
    <w:p w14:paraId="5E8703FB" w14:textId="77777777" w:rsidR="00D82871" w:rsidRPr="001270CF" w:rsidRDefault="00D82871" w:rsidP="001270CF">
      <w:pPr>
        <w:spacing w:before="100" w:beforeAutospacing="1" w:after="100" w:afterAutospacing="1"/>
        <w:ind w:left="284"/>
        <w:jc w:val="both"/>
        <w:rPr>
          <w:rFonts w:ascii="Verdana" w:hAnsi="Verdana"/>
          <w:sz w:val="18"/>
          <w:szCs w:val="18"/>
        </w:rPr>
      </w:pPr>
    </w:p>
    <w:p w14:paraId="388579CD" w14:textId="72FF400F" w:rsidR="00CD6E0A" w:rsidRPr="00174599" w:rsidRDefault="00CD6E0A" w:rsidP="001270CF">
      <w:pPr>
        <w:ind w:left="284"/>
        <w:rPr>
          <w:rFonts w:ascii="Verdana" w:hAnsi="Verdana"/>
          <w:color w:val="000000"/>
          <w:sz w:val="18"/>
          <w:szCs w:val="18"/>
        </w:rPr>
      </w:pPr>
      <w:r w:rsidRPr="00174599">
        <w:rPr>
          <w:rFonts w:ascii="Verdana" w:hAnsi="Verdana"/>
          <w:color w:val="000000"/>
          <w:sz w:val="18"/>
          <w:szCs w:val="18"/>
        </w:rPr>
        <w:br w:type="page"/>
      </w:r>
    </w:p>
    <w:p w14:paraId="49E89086" w14:textId="3B8A412F" w:rsidR="002B55F1" w:rsidRDefault="002B55F1" w:rsidP="00051B72">
      <w:pPr>
        <w:pStyle w:val="Sangradetextonormal"/>
        <w:tabs>
          <w:tab w:val="left" w:pos="0"/>
        </w:tabs>
        <w:ind w:left="0"/>
        <w:contextualSpacing/>
        <w:jc w:val="both"/>
        <w:rPr>
          <w:rFonts w:ascii="Verdana" w:hAnsi="Verdana"/>
          <w:b/>
          <w:bCs/>
          <w:color w:val="800000"/>
          <w:sz w:val="22"/>
          <w:szCs w:val="22"/>
        </w:rPr>
      </w:pPr>
      <w:r w:rsidRPr="00D85A46">
        <w:rPr>
          <w:rFonts w:ascii="Verdana" w:hAnsi="Verdana"/>
          <w:b/>
          <w:bCs/>
          <w:color w:val="800000"/>
          <w:sz w:val="22"/>
          <w:szCs w:val="22"/>
        </w:rPr>
        <w:lastRenderedPageBreak/>
        <w:t xml:space="preserve">DISPOSICIONES PUBLICADAS DURANTE </w:t>
      </w:r>
      <w:r w:rsidR="00352E2F">
        <w:rPr>
          <w:rFonts w:ascii="Verdana" w:hAnsi="Verdana"/>
          <w:b/>
          <w:bCs/>
          <w:color w:val="800000"/>
          <w:sz w:val="22"/>
          <w:szCs w:val="22"/>
        </w:rPr>
        <w:t>LOS MESES DE JULIO Y</w:t>
      </w:r>
      <w:r w:rsidR="00887B11">
        <w:rPr>
          <w:rFonts w:ascii="Verdana" w:hAnsi="Verdana"/>
          <w:b/>
          <w:bCs/>
          <w:color w:val="800000"/>
          <w:sz w:val="22"/>
          <w:szCs w:val="22"/>
        </w:rPr>
        <w:t xml:space="preserve"> </w:t>
      </w:r>
      <w:r w:rsidRPr="00D85A46">
        <w:rPr>
          <w:rFonts w:ascii="Verdana" w:hAnsi="Verdana"/>
          <w:b/>
          <w:bCs/>
          <w:color w:val="800000"/>
          <w:sz w:val="22"/>
          <w:szCs w:val="22"/>
        </w:rPr>
        <w:t xml:space="preserve">AGOSTO DE </w:t>
      </w:r>
      <w:r w:rsidR="00DF1F7F">
        <w:rPr>
          <w:rFonts w:ascii="Verdana" w:hAnsi="Verdana"/>
          <w:b/>
          <w:bCs/>
          <w:color w:val="800000"/>
          <w:sz w:val="22"/>
          <w:szCs w:val="22"/>
        </w:rPr>
        <w:t>20</w:t>
      </w:r>
      <w:r w:rsidR="00504680">
        <w:rPr>
          <w:rFonts w:ascii="Verdana" w:hAnsi="Verdana"/>
          <w:b/>
          <w:bCs/>
          <w:color w:val="800000"/>
          <w:sz w:val="22"/>
          <w:szCs w:val="22"/>
        </w:rPr>
        <w:t>2</w:t>
      </w:r>
      <w:r w:rsidR="007C1CEF">
        <w:rPr>
          <w:rFonts w:ascii="Verdana" w:hAnsi="Verdana"/>
          <w:b/>
          <w:bCs/>
          <w:color w:val="800000"/>
          <w:sz w:val="22"/>
          <w:szCs w:val="22"/>
        </w:rPr>
        <w:t>6</w:t>
      </w:r>
    </w:p>
    <w:p w14:paraId="3AB8D9FC" w14:textId="77777777" w:rsidR="00BE784E" w:rsidRDefault="00BE784E" w:rsidP="00F5160E">
      <w:pPr>
        <w:pStyle w:val="Sangradetextonormal"/>
        <w:ind w:left="0"/>
        <w:contextualSpacing/>
        <w:rPr>
          <w:rFonts w:ascii="Verdana" w:hAnsi="Verdana"/>
          <w:bCs/>
          <w:i/>
          <w:sz w:val="18"/>
          <w:szCs w:val="18"/>
        </w:rPr>
      </w:pPr>
    </w:p>
    <w:p w14:paraId="752FC174" w14:textId="77777777" w:rsidR="0032740F" w:rsidRPr="0032740F" w:rsidRDefault="0032740F" w:rsidP="0032740F">
      <w:pPr>
        <w:pStyle w:val="Sangradetextonormal"/>
        <w:ind w:left="0"/>
        <w:contextualSpacing/>
        <w:jc w:val="both"/>
        <w:rPr>
          <w:rFonts w:ascii="Verdana" w:hAnsi="Verdana"/>
          <w:b/>
          <w:iCs/>
          <w:color w:val="800000"/>
          <w:sz w:val="18"/>
          <w:szCs w:val="18"/>
        </w:rPr>
      </w:pPr>
      <w:bookmarkStart w:id="6" w:name="_Hlk173512973"/>
      <w:r w:rsidRPr="0032740F">
        <w:rPr>
          <w:rFonts w:ascii="Verdana" w:hAnsi="Verdana"/>
          <w:b/>
          <w:iCs/>
          <w:color w:val="800000"/>
          <w:sz w:val="18"/>
          <w:szCs w:val="18"/>
        </w:rPr>
        <w:t>Impuestos</w:t>
      </w:r>
    </w:p>
    <w:p w14:paraId="15B57BCE" w14:textId="3C76FC2C" w:rsidR="00953B9F" w:rsidRPr="0032740F" w:rsidRDefault="0032740F" w:rsidP="0032740F">
      <w:pPr>
        <w:pStyle w:val="Sangradetextonormal"/>
        <w:ind w:left="0"/>
        <w:contextualSpacing/>
        <w:jc w:val="both"/>
        <w:rPr>
          <w:rFonts w:ascii="Verdana" w:hAnsi="Verdana"/>
          <w:bCs/>
          <w:sz w:val="18"/>
          <w:szCs w:val="18"/>
        </w:rPr>
      </w:pPr>
      <w:r w:rsidRPr="0032740F">
        <w:rPr>
          <w:rFonts w:ascii="Verdana" w:hAnsi="Verdana"/>
          <w:bCs/>
          <w:iCs/>
          <w:sz w:val="18"/>
          <w:szCs w:val="18"/>
        </w:rPr>
        <w:t>Orden HAC/652/2026, de 26 de junio, por la que se modifica la Orden HFP/587/2023, de 9 de junio, por la que se aprueba el modelo 718 «Impuesto Temporal de Solidaridad de las Grandes Fortunas», se determina el lugar, forma y plazos de su presentación, las condiciones y el procedimiento para su presentación.</w:t>
      </w:r>
    </w:p>
    <w:p w14:paraId="287708EF" w14:textId="7E51494E" w:rsidR="00953B9F" w:rsidRDefault="00953B9F" w:rsidP="00953B9F">
      <w:pPr>
        <w:pStyle w:val="Sangradetextonormal"/>
        <w:ind w:left="0"/>
        <w:contextualSpacing/>
        <w:jc w:val="both"/>
        <w:rPr>
          <w:rFonts w:ascii="Verdana" w:hAnsi="Verdana"/>
          <w:bCs/>
          <w:i/>
          <w:iCs/>
          <w:sz w:val="18"/>
          <w:szCs w:val="18"/>
        </w:rPr>
      </w:pPr>
      <w:bookmarkStart w:id="7" w:name="_Hlk236333055"/>
      <w:bookmarkEnd w:id="6"/>
      <w:r>
        <w:rPr>
          <w:rFonts w:ascii="Verdana" w:hAnsi="Verdana"/>
          <w:bCs/>
          <w:i/>
          <w:iCs/>
          <w:sz w:val="18"/>
          <w:szCs w:val="18"/>
        </w:rPr>
        <w:t>Ministerio de Hacienda. B.O.E. núm. 15</w:t>
      </w:r>
      <w:r w:rsidR="0032740F">
        <w:rPr>
          <w:rFonts w:ascii="Verdana" w:hAnsi="Verdana"/>
          <w:bCs/>
          <w:i/>
          <w:iCs/>
          <w:sz w:val="18"/>
          <w:szCs w:val="18"/>
        </w:rPr>
        <w:t>7</w:t>
      </w:r>
      <w:r>
        <w:rPr>
          <w:rFonts w:ascii="Verdana" w:hAnsi="Verdana"/>
          <w:bCs/>
          <w:i/>
          <w:iCs/>
          <w:sz w:val="18"/>
          <w:szCs w:val="18"/>
        </w:rPr>
        <w:t xml:space="preserve"> de 2</w:t>
      </w:r>
      <w:r w:rsidR="0032740F">
        <w:rPr>
          <w:rFonts w:ascii="Verdana" w:hAnsi="Verdana"/>
          <w:bCs/>
          <w:i/>
          <w:iCs/>
          <w:sz w:val="18"/>
          <w:szCs w:val="18"/>
        </w:rPr>
        <w:t>9</w:t>
      </w:r>
      <w:r>
        <w:rPr>
          <w:rFonts w:ascii="Verdana" w:hAnsi="Verdana"/>
          <w:bCs/>
          <w:i/>
          <w:iCs/>
          <w:sz w:val="18"/>
          <w:szCs w:val="18"/>
        </w:rPr>
        <w:t xml:space="preserve"> de </w:t>
      </w:r>
      <w:r w:rsidR="00F1344A">
        <w:rPr>
          <w:rFonts w:ascii="Verdana" w:hAnsi="Verdana"/>
          <w:bCs/>
          <w:i/>
          <w:iCs/>
          <w:sz w:val="18"/>
          <w:szCs w:val="18"/>
        </w:rPr>
        <w:t>junio</w:t>
      </w:r>
      <w:r>
        <w:rPr>
          <w:rFonts w:ascii="Verdana" w:hAnsi="Verdana"/>
          <w:bCs/>
          <w:i/>
          <w:iCs/>
          <w:sz w:val="18"/>
          <w:szCs w:val="18"/>
        </w:rPr>
        <w:t xml:space="preserve"> de 202</w:t>
      </w:r>
      <w:r w:rsidR="0032740F">
        <w:rPr>
          <w:rFonts w:ascii="Verdana" w:hAnsi="Verdana"/>
          <w:bCs/>
          <w:i/>
          <w:iCs/>
          <w:sz w:val="18"/>
          <w:szCs w:val="18"/>
        </w:rPr>
        <w:t>6</w:t>
      </w:r>
      <w:r>
        <w:rPr>
          <w:rFonts w:ascii="Verdana" w:hAnsi="Verdana"/>
          <w:bCs/>
          <w:i/>
          <w:iCs/>
          <w:sz w:val="18"/>
          <w:szCs w:val="18"/>
        </w:rPr>
        <w:t>.</w:t>
      </w:r>
    </w:p>
    <w:bookmarkEnd w:id="7"/>
    <w:p w14:paraId="7A27576B" w14:textId="77777777" w:rsidR="00F1344A" w:rsidRDefault="00F1344A" w:rsidP="00953B9F">
      <w:pPr>
        <w:pStyle w:val="Sangradetextonormal"/>
        <w:ind w:left="0"/>
        <w:contextualSpacing/>
        <w:jc w:val="both"/>
        <w:rPr>
          <w:rFonts w:ascii="Verdana" w:hAnsi="Verdana"/>
          <w:bCs/>
          <w:i/>
          <w:iCs/>
          <w:sz w:val="18"/>
          <w:szCs w:val="18"/>
        </w:rPr>
      </w:pPr>
    </w:p>
    <w:p w14:paraId="74389340" w14:textId="77777777" w:rsidR="00F1344A" w:rsidRPr="00F1344A" w:rsidRDefault="00F1344A" w:rsidP="00F1344A">
      <w:pPr>
        <w:pStyle w:val="Sangradetextonormal"/>
        <w:ind w:left="0"/>
        <w:contextualSpacing/>
        <w:jc w:val="both"/>
        <w:rPr>
          <w:rFonts w:ascii="Verdana" w:hAnsi="Verdana"/>
          <w:b/>
          <w:iCs/>
          <w:color w:val="800000"/>
          <w:sz w:val="18"/>
          <w:szCs w:val="18"/>
        </w:rPr>
      </w:pPr>
      <w:r w:rsidRPr="00F1344A">
        <w:rPr>
          <w:rFonts w:ascii="Verdana" w:hAnsi="Verdana"/>
          <w:b/>
          <w:iCs/>
          <w:color w:val="800000"/>
          <w:sz w:val="18"/>
          <w:szCs w:val="18"/>
        </w:rPr>
        <w:t>Impuestos. Procedimientos tributarios</w:t>
      </w:r>
    </w:p>
    <w:p w14:paraId="20B72296" w14:textId="39760040" w:rsidR="00F1344A" w:rsidRDefault="00F1344A" w:rsidP="00F1344A">
      <w:pPr>
        <w:pStyle w:val="Sangradetextonormal"/>
        <w:ind w:left="0"/>
        <w:contextualSpacing/>
        <w:jc w:val="both"/>
        <w:rPr>
          <w:rFonts w:ascii="Verdana" w:hAnsi="Verdana"/>
          <w:bCs/>
          <w:sz w:val="18"/>
          <w:szCs w:val="18"/>
        </w:rPr>
      </w:pPr>
      <w:r w:rsidRPr="00F1344A">
        <w:rPr>
          <w:rFonts w:ascii="Verdana" w:hAnsi="Verdana"/>
          <w:bCs/>
          <w:sz w:val="18"/>
          <w:szCs w:val="18"/>
        </w:rPr>
        <w:t>Corrección de errores de la Orden HAC/623/2026, de 12 de junio, por la que se modifican la Orden EHA/3316/2010, de 17 de diciembre, por la que se aprueban los modelos de autoliquidación 210, 211 y 213 del Impuesto sobre la Renta de No Residentes, que deben utilizarse para declarar las rentas obtenidas sin mediación de establecimiento permanente, la retención practicada en la adquisición de bienes inmuebles a no residentes sin establecimiento permanente y el gravamen especial sobre bienes inmuebles de entidades no residentes, y se establecen las condiciones generales y el procedimiento para su presentación y otras normas referentes a la tributación de no residentes; la Orden EHA/3290/2008, de 6 de noviembre, por la que se aprueban el modelo 216 «Impuesto sobre la Renta de No Residentes. Rentas obtenidas sin mediación de establecimiento permanente. Retenciones e ingresos a cuenta. Declaración-documento de ingreso» y el modelo 296 «Impuesto sobre la Renta de No Residentes. No residentes sin establecimiento permanente. Declaración anual de retenciones e ingresos a cuenta»; y la Orden EHA/1658/2009, de 12 de junio, por la que se establecen el procedimiento y las condiciones para la domiciliación del pago de determinadas deudas cuya gestión tiene atribuida la Agencia Estatal de Administración Tributaria.</w:t>
      </w:r>
    </w:p>
    <w:p w14:paraId="1035ED53" w14:textId="7E457FF1" w:rsidR="00F1344A" w:rsidRDefault="00F1344A" w:rsidP="00F1344A">
      <w:pPr>
        <w:pStyle w:val="Sangradetextonormal"/>
        <w:ind w:left="0"/>
        <w:contextualSpacing/>
        <w:jc w:val="both"/>
        <w:rPr>
          <w:rFonts w:ascii="Verdana" w:hAnsi="Verdana"/>
          <w:bCs/>
          <w:i/>
          <w:iCs/>
          <w:sz w:val="18"/>
          <w:szCs w:val="18"/>
        </w:rPr>
      </w:pPr>
      <w:bookmarkStart w:id="8" w:name="_Hlk236334022"/>
      <w:r>
        <w:rPr>
          <w:rFonts w:ascii="Verdana" w:hAnsi="Verdana"/>
          <w:bCs/>
          <w:i/>
          <w:iCs/>
          <w:sz w:val="18"/>
          <w:szCs w:val="18"/>
        </w:rPr>
        <w:t xml:space="preserve">Ministerio de Hacienda. </w:t>
      </w:r>
      <w:bookmarkStart w:id="9" w:name="_Hlk236333520"/>
      <w:r>
        <w:rPr>
          <w:rFonts w:ascii="Verdana" w:hAnsi="Verdana"/>
          <w:bCs/>
          <w:i/>
          <w:iCs/>
          <w:sz w:val="18"/>
          <w:szCs w:val="18"/>
        </w:rPr>
        <w:t>B.O.E. núm. 162 de 4 de julio de 2026.</w:t>
      </w:r>
      <w:bookmarkEnd w:id="9"/>
    </w:p>
    <w:bookmarkEnd w:id="8"/>
    <w:p w14:paraId="222376C2" w14:textId="77777777" w:rsidR="00515894" w:rsidRDefault="00515894" w:rsidP="00F1344A">
      <w:pPr>
        <w:pStyle w:val="Sangradetextonormal"/>
        <w:ind w:left="0"/>
        <w:contextualSpacing/>
        <w:jc w:val="both"/>
        <w:rPr>
          <w:rFonts w:ascii="Verdana" w:hAnsi="Verdana"/>
          <w:bCs/>
          <w:i/>
          <w:iCs/>
          <w:sz w:val="18"/>
          <w:szCs w:val="18"/>
        </w:rPr>
      </w:pPr>
    </w:p>
    <w:p w14:paraId="3627FE06" w14:textId="77777777" w:rsidR="00515894" w:rsidRDefault="00515894" w:rsidP="00515894">
      <w:pPr>
        <w:pStyle w:val="Sangradetextonormal"/>
        <w:ind w:left="0"/>
        <w:contextualSpacing/>
        <w:jc w:val="both"/>
        <w:rPr>
          <w:rFonts w:ascii="Verdana" w:hAnsi="Verdana"/>
          <w:b/>
          <w:iCs/>
          <w:color w:val="800000"/>
          <w:sz w:val="18"/>
          <w:szCs w:val="18"/>
        </w:rPr>
      </w:pPr>
      <w:r w:rsidRPr="00515894">
        <w:rPr>
          <w:rFonts w:ascii="Verdana" w:hAnsi="Verdana"/>
          <w:b/>
          <w:iCs/>
          <w:color w:val="800000"/>
          <w:sz w:val="18"/>
          <w:szCs w:val="18"/>
        </w:rPr>
        <w:t>Medidas financieras</w:t>
      </w:r>
    </w:p>
    <w:p w14:paraId="497AFEE5" w14:textId="199CF9CD" w:rsidR="00515894" w:rsidRPr="00515894" w:rsidRDefault="00515894" w:rsidP="00515894">
      <w:pPr>
        <w:pStyle w:val="Sangradetextonormal"/>
        <w:ind w:left="0"/>
        <w:contextualSpacing/>
        <w:jc w:val="both"/>
        <w:rPr>
          <w:rFonts w:ascii="Verdana" w:hAnsi="Verdana"/>
          <w:b/>
          <w:iCs/>
          <w:color w:val="800000"/>
          <w:sz w:val="18"/>
          <w:szCs w:val="18"/>
        </w:rPr>
      </w:pPr>
      <w:r w:rsidRPr="00515894">
        <w:rPr>
          <w:rFonts w:ascii="Verdana" w:hAnsi="Verdana"/>
          <w:bCs/>
          <w:sz w:val="18"/>
          <w:szCs w:val="18"/>
        </w:rPr>
        <w:t>Resolución de 21 de julio de 2026, de la Secretaría General de Financiación Autonómica y Local, por la que se da cumplimiento al artículo 41.1.a) del Real Decreto-ley 17/2014, de 26 de diciembre, de medidas de sostenibilidad financiera de las comunidades autónomas y entidades locales y otras de carácter económico.</w:t>
      </w:r>
    </w:p>
    <w:p w14:paraId="027902CF" w14:textId="4F65CC07" w:rsidR="00515894" w:rsidRDefault="00515894" w:rsidP="00515894">
      <w:pPr>
        <w:pStyle w:val="Sangradetextonormal"/>
        <w:ind w:left="0"/>
        <w:contextualSpacing/>
        <w:jc w:val="both"/>
        <w:rPr>
          <w:rFonts w:ascii="Verdana" w:hAnsi="Verdana"/>
          <w:bCs/>
          <w:i/>
          <w:iCs/>
          <w:sz w:val="18"/>
          <w:szCs w:val="18"/>
        </w:rPr>
      </w:pPr>
      <w:r>
        <w:rPr>
          <w:rFonts w:ascii="Verdana" w:hAnsi="Verdana"/>
          <w:bCs/>
          <w:i/>
          <w:iCs/>
          <w:sz w:val="18"/>
          <w:szCs w:val="18"/>
        </w:rPr>
        <w:t>Ministerio de Hacienda. B.O.E. núm. 184 de 29 de julio de 2026.</w:t>
      </w:r>
    </w:p>
    <w:p w14:paraId="357726C5" w14:textId="77777777" w:rsidR="007F7D5C" w:rsidRDefault="007F7D5C" w:rsidP="00515894">
      <w:pPr>
        <w:pStyle w:val="Sangradetextonormal"/>
        <w:ind w:left="0"/>
        <w:contextualSpacing/>
        <w:jc w:val="both"/>
        <w:rPr>
          <w:rFonts w:ascii="Verdana" w:hAnsi="Verdana"/>
          <w:bCs/>
          <w:i/>
          <w:iCs/>
          <w:sz w:val="18"/>
          <w:szCs w:val="18"/>
        </w:rPr>
      </w:pPr>
    </w:p>
    <w:p w14:paraId="0B7B6B65" w14:textId="77777777" w:rsidR="007F7D5C" w:rsidRDefault="007F7D5C" w:rsidP="00515894">
      <w:pPr>
        <w:pStyle w:val="Sangradetextonormal"/>
        <w:ind w:left="0"/>
        <w:contextualSpacing/>
        <w:jc w:val="both"/>
        <w:rPr>
          <w:rFonts w:ascii="Verdana" w:hAnsi="Verdana"/>
          <w:bCs/>
          <w:i/>
          <w:iCs/>
          <w:sz w:val="18"/>
          <w:szCs w:val="18"/>
        </w:rPr>
      </w:pPr>
    </w:p>
    <w:p w14:paraId="616F6C33" w14:textId="256C95A1" w:rsidR="006C68F1" w:rsidRPr="00C66757" w:rsidRDefault="006C68F1" w:rsidP="006C68F1">
      <w:pPr>
        <w:pStyle w:val="Sangradetextonormal"/>
        <w:ind w:left="0"/>
        <w:contextualSpacing/>
        <w:jc w:val="center"/>
        <w:rPr>
          <w:rFonts w:ascii="Verdana" w:hAnsi="Verdana"/>
          <w:bCs/>
          <w:sz w:val="18"/>
          <w:szCs w:val="18"/>
        </w:rPr>
      </w:pPr>
      <w:r w:rsidRPr="00C356BB">
        <w:rPr>
          <w:rFonts w:ascii="Verdana" w:hAnsi="Verdana"/>
          <w:b/>
          <w:bCs/>
          <w:color w:val="800000"/>
          <w:sz w:val="18"/>
          <w:szCs w:val="18"/>
          <w:lang w:val="es-ES_tradnl"/>
        </w:rPr>
        <w:t>COMUNIDADES AUTÓNOMAS Y FORALES</w:t>
      </w:r>
    </w:p>
    <w:p w14:paraId="5BAD9CCD" w14:textId="77777777" w:rsidR="00C22024" w:rsidRDefault="00C22024" w:rsidP="00515894">
      <w:pPr>
        <w:pStyle w:val="Sangradetextonormal"/>
        <w:ind w:left="0"/>
        <w:contextualSpacing/>
        <w:jc w:val="both"/>
        <w:rPr>
          <w:rFonts w:ascii="Verdana" w:hAnsi="Verdana"/>
          <w:bCs/>
          <w:sz w:val="18"/>
          <w:szCs w:val="18"/>
        </w:rPr>
      </w:pPr>
    </w:p>
    <w:p w14:paraId="1FB3D8A2" w14:textId="77777777" w:rsidR="00EC7C43" w:rsidRDefault="00BE6237" w:rsidP="00EC7C43">
      <w:pPr>
        <w:pStyle w:val="Sangradetextonormal"/>
        <w:ind w:left="0"/>
        <w:contextualSpacing/>
        <w:jc w:val="both"/>
        <w:rPr>
          <w:rFonts w:ascii="Verdana" w:hAnsi="Verdana"/>
          <w:b/>
          <w:iCs/>
          <w:color w:val="800000"/>
          <w:sz w:val="18"/>
          <w:szCs w:val="18"/>
        </w:rPr>
      </w:pPr>
      <w:r w:rsidRPr="00BE6237">
        <w:rPr>
          <w:rFonts w:ascii="Verdana" w:hAnsi="Verdana"/>
          <w:b/>
          <w:iCs/>
          <w:color w:val="800000"/>
          <w:sz w:val="18"/>
          <w:szCs w:val="18"/>
        </w:rPr>
        <w:t xml:space="preserve">COMUNIDAD AUTÓNOMA DE </w:t>
      </w:r>
      <w:r w:rsidR="00EC7C43">
        <w:rPr>
          <w:rFonts w:ascii="Verdana" w:hAnsi="Verdana"/>
          <w:b/>
          <w:iCs/>
          <w:color w:val="800000"/>
          <w:sz w:val="18"/>
          <w:szCs w:val="18"/>
        </w:rPr>
        <w:t>CATALUÑA</w:t>
      </w:r>
    </w:p>
    <w:p w14:paraId="3F64D071" w14:textId="77777777" w:rsidR="00EC7C43" w:rsidRPr="00EC7C43" w:rsidRDefault="00EC7C43" w:rsidP="00EC7C43">
      <w:pPr>
        <w:pStyle w:val="Sangradetextonormal"/>
        <w:ind w:left="0"/>
        <w:contextualSpacing/>
        <w:jc w:val="both"/>
        <w:rPr>
          <w:rFonts w:ascii="Verdana" w:hAnsi="Verdana"/>
          <w:b/>
          <w:iCs/>
          <w:color w:val="800000"/>
          <w:sz w:val="18"/>
          <w:szCs w:val="18"/>
        </w:rPr>
      </w:pPr>
      <w:r w:rsidRPr="00EC7C43">
        <w:rPr>
          <w:rFonts w:ascii="Verdana" w:hAnsi="Verdana"/>
          <w:b/>
          <w:iCs/>
          <w:color w:val="800000"/>
          <w:sz w:val="18"/>
          <w:szCs w:val="18"/>
        </w:rPr>
        <w:t>Medidas urgentes</w:t>
      </w:r>
    </w:p>
    <w:p w14:paraId="67F5A02C" w14:textId="77777777" w:rsidR="00EC7C43" w:rsidRDefault="00EC7C43" w:rsidP="00EC7C43">
      <w:pPr>
        <w:pStyle w:val="Sangradetextonormal"/>
        <w:ind w:left="0"/>
        <w:contextualSpacing/>
        <w:jc w:val="both"/>
        <w:rPr>
          <w:rFonts w:ascii="Verdana" w:hAnsi="Verdana"/>
          <w:bCs/>
          <w:sz w:val="18"/>
          <w:szCs w:val="18"/>
        </w:rPr>
      </w:pPr>
      <w:r w:rsidRPr="00EC7C43">
        <w:rPr>
          <w:rFonts w:ascii="Verdana" w:hAnsi="Verdana"/>
          <w:bCs/>
          <w:sz w:val="18"/>
          <w:szCs w:val="18"/>
        </w:rPr>
        <w:t>Ley 5/2026, de 20 de mayo, de medidas urgentes de apoyo al sector agrario y forestal.</w:t>
      </w:r>
    </w:p>
    <w:p w14:paraId="79F1BB4B" w14:textId="77777777" w:rsidR="00EC7C43" w:rsidRDefault="00EC7C43" w:rsidP="00EC7C43">
      <w:pPr>
        <w:pStyle w:val="Sangradetextonormal"/>
        <w:ind w:left="0"/>
        <w:contextualSpacing/>
        <w:jc w:val="both"/>
        <w:rPr>
          <w:rFonts w:ascii="Verdana" w:hAnsi="Verdana"/>
          <w:bCs/>
          <w:i/>
          <w:iCs/>
          <w:sz w:val="18"/>
          <w:szCs w:val="18"/>
        </w:rPr>
      </w:pPr>
      <w:r>
        <w:rPr>
          <w:rFonts w:ascii="Verdana" w:hAnsi="Verdana"/>
          <w:bCs/>
          <w:i/>
          <w:iCs/>
          <w:sz w:val="18"/>
          <w:szCs w:val="18"/>
        </w:rPr>
        <w:t>B.O.E. núm. 174 de 18 de julio de 2026.</w:t>
      </w:r>
    </w:p>
    <w:p w14:paraId="4306954A" w14:textId="77777777" w:rsidR="00EC7C43" w:rsidRDefault="00EC7C43" w:rsidP="00EC7C43">
      <w:pPr>
        <w:pStyle w:val="Sangradetextonormal"/>
        <w:ind w:left="0"/>
        <w:contextualSpacing/>
        <w:jc w:val="both"/>
        <w:rPr>
          <w:rFonts w:ascii="Verdana" w:hAnsi="Verdana"/>
          <w:bCs/>
          <w:i/>
          <w:iCs/>
          <w:sz w:val="18"/>
          <w:szCs w:val="18"/>
        </w:rPr>
      </w:pPr>
    </w:p>
    <w:p w14:paraId="55039E75" w14:textId="77777777" w:rsidR="00EC7C43" w:rsidRPr="00EC7C43" w:rsidRDefault="00EC7C43" w:rsidP="00EC7C43">
      <w:pPr>
        <w:pStyle w:val="Sangradetextonormal"/>
        <w:ind w:left="0"/>
        <w:contextualSpacing/>
        <w:jc w:val="both"/>
        <w:rPr>
          <w:rFonts w:ascii="Verdana" w:hAnsi="Verdana"/>
          <w:b/>
          <w:iCs/>
          <w:color w:val="800000"/>
          <w:sz w:val="18"/>
          <w:szCs w:val="18"/>
        </w:rPr>
      </w:pPr>
      <w:r w:rsidRPr="00EC7C43">
        <w:rPr>
          <w:rFonts w:ascii="Verdana" w:hAnsi="Verdana"/>
          <w:b/>
          <w:iCs/>
          <w:color w:val="800000"/>
          <w:sz w:val="18"/>
          <w:szCs w:val="18"/>
        </w:rPr>
        <w:t>COMUNIDAD DE MADRID</w:t>
      </w:r>
    </w:p>
    <w:p w14:paraId="06E2E2DF" w14:textId="77777777" w:rsidR="00EC7C43" w:rsidRPr="00EC7C43" w:rsidRDefault="00EC7C43" w:rsidP="00EC7C43">
      <w:pPr>
        <w:pStyle w:val="Sangradetextonormal"/>
        <w:ind w:left="0"/>
        <w:contextualSpacing/>
        <w:jc w:val="both"/>
        <w:rPr>
          <w:rFonts w:ascii="Verdana" w:hAnsi="Verdana"/>
          <w:b/>
          <w:iCs/>
          <w:color w:val="800000"/>
          <w:sz w:val="18"/>
          <w:szCs w:val="18"/>
        </w:rPr>
      </w:pPr>
      <w:r w:rsidRPr="00EC7C43">
        <w:rPr>
          <w:rFonts w:ascii="Verdana" w:hAnsi="Verdana"/>
          <w:b/>
          <w:iCs/>
          <w:color w:val="800000"/>
          <w:sz w:val="18"/>
          <w:szCs w:val="18"/>
        </w:rPr>
        <w:t>Tributos</w:t>
      </w:r>
    </w:p>
    <w:p w14:paraId="49263BDC" w14:textId="77777777" w:rsidR="00EC7C43" w:rsidRDefault="00EC7C43" w:rsidP="00EC7C43">
      <w:pPr>
        <w:pStyle w:val="Sangradetextonormal"/>
        <w:ind w:left="0"/>
        <w:contextualSpacing/>
        <w:jc w:val="both"/>
        <w:rPr>
          <w:rFonts w:ascii="Verdana" w:hAnsi="Verdana"/>
          <w:bCs/>
          <w:sz w:val="18"/>
          <w:szCs w:val="18"/>
        </w:rPr>
      </w:pPr>
      <w:r w:rsidRPr="00EC7C43">
        <w:rPr>
          <w:rFonts w:ascii="Verdana" w:hAnsi="Verdana"/>
          <w:bCs/>
          <w:sz w:val="18"/>
          <w:szCs w:val="18"/>
        </w:rPr>
        <w:t>Ley 3/2026, de 30 de junio, de Apoyo a la Empresa Familiar.</w:t>
      </w:r>
    </w:p>
    <w:p w14:paraId="69AB54A6" w14:textId="3ACC0B10" w:rsidR="00EC7C43" w:rsidRDefault="00EC7C43" w:rsidP="00EC7C43">
      <w:pPr>
        <w:pStyle w:val="Sangradetextonormal"/>
        <w:ind w:left="0"/>
        <w:contextualSpacing/>
        <w:jc w:val="both"/>
        <w:rPr>
          <w:rFonts w:ascii="Verdana" w:hAnsi="Verdana"/>
          <w:bCs/>
          <w:i/>
          <w:iCs/>
          <w:sz w:val="18"/>
          <w:szCs w:val="18"/>
        </w:rPr>
      </w:pPr>
      <w:r>
        <w:rPr>
          <w:rFonts w:ascii="Verdana" w:hAnsi="Verdana"/>
          <w:bCs/>
          <w:i/>
          <w:iCs/>
          <w:sz w:val="18"/>
          <w:szCs w:val="18"/>
        </w:rPr>
        <w:t>B.O.E. núm. 178 de 23 de julio de 2026.</w:t>
      </w:r>
    </w:p>
    <w:p w14:paraId="0ADA5B51" w14:textId="77777777" w:rsidR="007F7D5C" w:rsidRDefault="007F7D5C" w:rsidP="00EC7C43">
      <w:pPr>
        <w:pStyle w:val="Sangradetextonormal"/>
        <w:ind w:left="0"/>
        <w:contextualSpacing/>
        <w:jc w:val="both"/>
        <w:rPr>
          <w:rFonts w:ascii="Verdana" w:hAnsi="Verdana"/>
          <w:bCs/>
          <w:i/>
          <w:iCs/>
          <w:sz w:val="18"/>
          <w:szCs w:val="18"/>
        </w:rPr>
      </w:pPr>
    </w:p>
    <w:p w14:paraId="6DF43A55" w14:textId="77777777" w:rsidR="007F7D5C" w:rsidRPr="007F7D5C" w:rsidRDefault="007F7D5C" w:rsidP="007F7D5C">
      <w:pPr>
        <w:pStyle w:val="Sangradetextonormal"/>
        <w:ind w:left="0"/>
        <w:contextualSpacing/>
        <w:jc w:val="both"/>
        <w:rPr>
          <w:rFonts w:ascii="Verdana" w:hAnsi="Verdana"/>
          <w:b/>
          <w:iCs/>
          <w:color w:val="800000"/>
          <w:sz w:val="18"/>
          <w:szCs w:val="18"/>
        </w:rPr>
      </w:pPr>
      <w:r w:rsidRPr="007F7D5C">
        <w:rPr>
          <w:rFonts w:ascii="Verdana" w:hAnsi="Verdana"/>
          <w:b/>
          <w:iCs/>
          <w:color w:val="800000"/>
          <w:sz w:val="18"/>
          <w:szCs w:val="18"/>
        </w:rPr>
        <w:t>COMUNIDAD FORAL DE NAVARRA</w:t>
      </w:r>
    </w:p>
    <w:p w14:paraId="4D6EB5D4" w14:textId="77777777" w:rsidR="007F7D5C" w:rsidRPr="007F7D5C" w:rsidRDefault="007F7D5C" w:rsidP="007F7D5C">
      <w:pPr>
        <w:pStyle w:val="Sangradetextonormal"/>
        <w:ind w:left="0"/>
        <w:contextualSpacing/>
        <w:jc w:val="both"/>
        <w:rPr>
          <w:rFonts w:ascii="Verdana" w:hAnsi="Verdana"/>
          <w:b/>
          <w:iCs/>
          <w:color w:val="800000"/>
          <w:sz w:val="18"/>
          <w:szCs w:val="18"/>
        </w:rPr>
      </w:pPr>
      <w:r w:rsidRPr="007F7D5C">
        <w:rPr>
          <w:rFonts w:ascii="Verdana" w:hAnsi="Verdana"/>
          <w:b/>
          <w:iCs/>
          <w:color w:val="800000"/>
          <w:sz w:val="18"/>
          <w:szCs w:val="18"/>
        </w:rPr>
        <w:t>Impuestos</w:t>
      </w:r>
    </w:p>
    <w:p w14:paraId="2B427609" w14:textId="77777777" w:rsidR="007F7D5C" w:rsidRDefault="007F7D5C" w:rsidP="007F7D5C">
      <w:pPr>
        <w:pStyle w:val="Sangradetextonormal"/>
        <w:ind w:left="0"/>
        <w:contextualSpacing/>
        <w:jc w:val="both"/>
        <w:rPr>
          <w:rFonts w:ascii="Verdana" w:hAnsi="Verdana"/>
          <w:bCs/>
          <w:sz w:val="18"/>
          <w:szCs w:val="18"/>
        </w:rPr>
      </w:pPr>
      <w:r w:rsidRPr="007F7D5C">
        <w:rPr>
          <w:rFonts w:ascii="Verdana" w:hAnsi="Verdana"/>
          <w:bCs/>
          <w:sz w:val="18"/>
          <w:szCs w:val="18"/>
        </w:rPr>
        <w:t>Decreto Foral Legislativo 2/2026, de 29 de julio, de Armonización Tributaria, por el que se modifica el Impuesto sobre el Valor Añadido y el Impuesto sobre el Valor de la Producción de la Energía Eléctrica.</w:t>
      </w:r>
    </w:p>
    <w:p w14:paraId="5BA0D699" w14:textId="1367A807" w:rsidR="007F7D5C" w:rsidRDefault="007F7D5C" w:rsidP="007F7D5C">
      <w:pPr>
        <w:pStyle w:val="Sangradetextonormal"/>
        <w:ind w:left="0"/>
        <w:contextualSpacing/>
        <w:jc w:val="both"/>
        <w:rPr>
          <w:rFonts w:ascii="Verdana" w:hAnsi="Verdana"/>
          <w:bCs/>
          <w:i/>
          <w:iCs/>
          <w:sz w:val="18"/>
          <w:szCs w:val="18"/>
        </w:rPr>
      </w:pPr>
      <w:r w:rsidRPr="007F7D5C">
        <w:rPr>
          <w:rFonts w:ascii="Verdana" w:hAnsi="Verdana"/>
          <w:bCs/>
          <w:i/>
          <w:iCs/>
          <w:sz w:val="18"/>
          <w:szCs w:val="18"/>
        </w:rPr>
        <w:t xml:space="preserve">B.O.E. </w:t>
      </w:r>
      <w:r w:rsidR="00D0130E" w:rsidRPr="007F7D5C">
        <w:rPr>
          <w:rFonts w:ascii="Verdana" w:hAnsi="Verdana"/>
          <w:bCs/>
          <w:i/>
          <w:iCs/>
          <w:sz w:val="18"/>
          <w:szCs w:val="18"/>
        </w:rPr>
        <w:t>núm.</w:t>
      </w:r>
      <w:r w:rsidRPr="007F7D5C">
        <w:rPr>
          <w:rFonts w:ascii="Verdana" w:hAnsi="Verdana"/>
          <w:bCs/>
          <w:i/>
          <w:iCs/>
          <w:sz w:val="18"/>
          <w:szCs w:val="18"/>
        </w:rPr>
        <w:t xml:space="preserve"> 201 de 17 de agosto de 2026.</w:t>
      </w:r>
    </w:p>
    <w:p w14:paraId="5F2835F3" w14:textId="77777777" w:rsidR="00D0130E" w:rsidRDefault="00D0130E" w:rsidP="007F7D5C">
      <w:pPr>
        <w:pStyle w:val="Sangradetextonormal"/>
        <w:ind w:left="0"/>
        <w:contextualSpacing/>
        <w:jc w:val="both"/>
        <w:rPr>
          <w:rFonts w:ascii="Verdana" w:hAnsi="Verdana"/>
          <w:bCs/>
          <w:i/>
          <w:iCs/>
          <w:sz w:val="18"/>
          <w:szCs w:val="18"/>
        </w:rPr>
      </w:pPr>
    </w:p>
    <w:p w14:paraId="7D727A0F" w14:textId="77777777" w:rsidR="00D0130E" w:rsidRPr="00D0130E" w:rsidRDefault="00D0130E" w:rsidP="00D0130E">
      <w:pPr>
        <w:pStyle w:val="Sangradetextonormal"/>
        <w:ind w:left="0"/>
        <w:contextualSpacing/>
        <w:jc w:val="both"/>
        <w:rPr>
          <w:rFonts w:ascii="Verdana" w:hAnsi="Verdana"/>
          <w:b/>
          <w:iCs/>
          <w:color w:val="800000"/>
          <w:sz w:val="18"/>
          <w:szCs w:val="18"/>
        </w:rPr>
      </w:pPr>
      <w:r w:rsidRPr="00D0130E">
        <w:rPr>
          <w:rFonts w:ascii="Verdana" w:hAnsi="Verdana"/>
          <w:b/>
          <w:iCs/>
          <w:color w:val="800000"/>
          <w:sz w:val="18"/>
          <w:szCs w:val="18"/>
        </w:rPr>
        <w:t>COMUNIDAD AUTÓNOMA DE EXTREMADURA</w:t>
      </w:r>
    </w:p>
    <w:p w14:paraId="2BC18464" w14:textId="77777777" w:rsidR="00D0130E" w:rsidRPr="00D0130E" w:rsidRDefault="00D0130E" w:rsidP="00D0130E">
      <w:pPr>
        <w:pStyle w:val="Sangradetextonormal"/>
        <w:ind w:left="0"/>
        <w:contextualSpacing/>
        <w:jc w:val="both"/>
        <w:rPr>
          <w:rFonts w:ascii="Verdana" w:hAnsi="Verdana"/>
          <w:b/>
          <w:iCs/>
          <w:color w:val="800000"/>
          <w:sz w:val="18"/>
          <w:szCs w:val="18"/>
        </w:rPr>
      </w:pPr>
      <w:r w:rsidRPr="00D0130E">
        <w:rPr>
          <w:rFonts w:ascii="Verdana" w:hAnsi="Verdana"/>
          <w:b/>
          <w:iCs/>
          <w:color w:val="800000"/>
          <w:sz w:val="18"/>
          <w:szCs w:val="18"/>
        </w:rPr>
        <w:t>Presupuestos</w:t>
      </w:r>
    </w:p>
    <w:p w14:paraId="3CE9DFC3" w14:textId="3A00BC62" w:rsidR="00D0130E" w:rsidRDefault="00D0130E" w:rsidP="00D0130E">
      <w:pPr>
        <w:pStyle w:val="Sangradetextonormal"/>
        <w:ind w:left="0"/>
        <w:contextualSpacing/>
        <w:jc w:val="both"/>
        <w:rPr>
          <w:rFonts w:ascii="Verdana" w:hAnsi="Verdana"/>
          <w:bCs/>
          <w:sz w:val="18"/>
          <w:szCs w:val="18"/>
        </w:rPr>
      </w:pPr>
      <w:r w:rsidRPr="00D0130E">
        <w:rPr>
          <w:rFonts w:ascii="Verdana" w:hAnsi="Verdana"/>
          <w:bCs/>
          <w:sz w:val="18"/>
          <w:szCs w:val="18"/>
        </w:rPr>
        <w:t>Ley 2/2026, de 3 de agosto, de Presupuestos Generales de la Comunidad Autónoma de Extremadura para el año 2026.</w:t>
      </w:r>
    </w:p>
    <w:p w14:paraId="40E26C9D" w14:textId="2B5B26E8" w:rsidR="00D0130E" w:rsidRPr="00D0130E" w:rsidRDefault="00D0130E" w:rsidP="00D0130E">
      <w:pPr>
        <w:pStyle w:val="Sangradetextonormal"/>
        <w:ind w:left="0"/>
        <w:contextualSpacing/>
        <w:jc w:val="both"/>
        <w:rPr>
          <w:rFonts w:ascii="Verdana" w:hAnsi="Verdana"/>
          <w:bCs/>
          <w:i/>
          <w:iCs/>
          <w:sz w:val="18"/>
          <w:szCs w:val="18"/>
        </w:rPr>
      </w:pPr>
      <w:r w:rsidRPr="007F7D5C">
        <w:rPr>
          <w:rFonts w:ascii="Verdana" w:hAnsi="Verdana"/>
          <w:bCs/>
          <w:i/>
          <w:iCs/>
          <w:sz w:val="18"/>
          <w:szCs w:val="18"/>
        </w:rPr>
        <w:t>B.O.E. núm. 201 de 17 de agosto de 20</w:t>
      </w:r>
      <w:r>
        <w:rPr>
          <w:rFonts w:ascii="Verdana" w:hAnsi="Verdana"/>
          <w:bCs/>
          <w:i/>
          <w:iCs/>
          <w:sz w:val="18"/>
          <w:szCs w:val="18"/>
        </w:rPr>
        <w:t>26.</w:t>
      </w:r>
    </w:p>
    <w:p w14:paraId="433A9959" w14:textId="77777777" w:rsidR="007F7D5C" w:rsidRDefault="007F7D5C" w:rsidP="00EC7C43">
      <w:pPr>
        <w:pStyle w:val="Sangradetextonormal"/>
        <w:ind w:left="0"/>
        <w:contextualSpacing/>
        <w:jc w:val="both"/>
        <w:rPr>
          <w:rFonts w:ascii="Verdana" w:hAnsi="Verdana"/>
          <w:bCs/>
          <w:i/>
          <w:iCs/>
          <w:sz w:val="18"/>
          <w:szCs w:val="18"/>
        </w:rPr>
      </w:pPr>
    </w:p>
    <w:p w14:paraId="2FD82D3C" w14:textId="77777777" w:rsidR="00EC7C43" w:rsidRPr="00EC7C43" w:rsidRDefault="00EC7C43" w:rsidP="00EC7C43">
      <w:pPr>
        <w:pStyle w:val="Sangradetextonormal"/>
        <w:ind w:left="0"/>
        <w:contextualSpacing/>
        <w:jc w:val="both"/>
        <w:rPr>
          <w:rFonts w:ascii="Verdana" w:hAnsi="Verdana"/>
          <w:bCs/>
          <w:sz w:val="18"/>
          <w:szCs w:val="18"/>
        </w:rPr>
      </w:pPr>
    </w:p>
    <w:p w14:paraId="5777623F" w14:textId="62F055DD" w:rsidR="007C1CEF" w:rsidRPr="00EC7C43" w:rsidRDefault="007C1CEF" w:rsidP="00EC7C43">
      <w:pPr>
        <w:pStyle w:val="Sangradetextonormal"/>
        <w:ind w:left="0"/>
        <w:contextualSpacing/>
        <w:jc w:val="both"/>
        <w:rPr>
          <w:rFonts w:ascii="Verdana" w:hAnsi="Verdana"/>
          <w:b/>
          <w:iCs/>
          <w:color w:val="800000"/>
          <w:sz w:val="18"/>
          <w:szCs w:val="18"/>
        </w:rPr>
      </w:pPr>
    </w:p>
    <w:p w14:paraId="4A819101" w14:textId="6365300B" w:rsidR="002B55F1" w:rsidRPr="00012A76" w:rsidRDefault="002B55F1" w:rsidP="00BE784E">
      <w:pPr>
        <w:pStyle w:val="Sangradetextonormal"/>
        <w:ind w:left="0"/>
        <w:contextualSpacing/>
        <w:rPr>
          <w:rFonts w:ascii="Verdana" w:hAnsi="Verdana"/>
          <w:b/>
          <w:color w:val="800000"/>
          <w:sz w:val="22"/>
          <w:szCs w:val="22"/>
        </w:rPr>
      </w:pPr>
      <w:r w:rsidRPr="00012A76">
        <w:rPr>
          <w:rFonts w:ascii="Verdana" w:hAnsi="Verdana"/>
          <w:b/>
          <w:color w:val="800000"/>
          <w:sz w:val="22"/>
          <w:szCs w:val="22"/>
        </w:rPr>
        <w:t xml:space="preserve">CALENDARIO FISCAL PARA EL MES DE SEPTIEMBRE DE </w:t>
      </w:r>
      <w:r w:rsidR="00DB0C49" w:rsidRPr="00012A76">
        <w:rPr>
          <w:rFonts w:ascii="Verdana" w:hAnsi="Verdana"/>
          <w:b/>
          <w:color w:val="800000"/>
          <w:sz w:val="22"/>
          <w:szCs w:val="22"/>
        </w:rPr>
        <w:t>202</w:t>
      </w:r>
      <w:r w:rsidR="007C1CEF" w:rsidRPr="00012A76">
        <w:rPr>
          <w:rFonts w:ascii="Verdana" w:hAnsi="Verdana"/>
          <w:b/>
          <w:color w:val="800000"/>
          <w:sz w:val="22"/>
          <w:szCs w:val="22"/>
        </w:rPr>
        <w:t>6</w:t>
      </w:r>
    </w:p>
    <w:p w14:paraId="4A070786" w14:textId="77777777" w:rsidR="00844FF5" w:rsidRPr="00844FF5" w:rsidRDefault="00844FF5" w:rsidP="00844FF5">
      <w:pPr>
        <w:jc w:val="both"/>
        <w:rPr>
          <w:rFonts w:ascii="Verdana" w:hAnsi="Verdana"/>
          <w:sz w:val="18"/>
          <w:szCs w:val="18"/>
        </w:rPr>
      </w:pPr>
    </w:p>
    <w:p w14:paraId="7A2DF7C2" w14:textId="3755489C" w:rsidR="008C5986" w:rsidRPr="008C5986" w:rsidRDefault="008C5986" w:rsidP="008C5986">
      <w:pPr>
        <w:shd w:val="clear" w:color="auto" w:fill="FFFFFF"/>
        <w:spacing w:after="100" w:afterAutospacing="1"/>
        <w:outlineLvl w:val="0"/>
        <w:rPr>
          <w:rFonts w:ascii="Verdana" w:hAnsi="Verdana" w:cs="Arial"/>
          <w:b/>
          <w:bCs/>
          <w:color w:val="000000"/>
          <w:kern w:val="36"/>
          <w:sz w:val="18"/>
          <w:szCs w:val="18"/>
        </w:rPr>
      </w:pPr>
      <w:r w:rsidRPr="008C5986">
        <w:rPr>
          <w:rFonts w:ascii="Verdana" w:hAnsi="Verdana" w:cs="Arial"/>
          <w:b/>
          <w:bCs/>
          <w:color w:val="000000"/>
          <w:kern w:val="36"/>
          <w:sz w:val="18"/>
          <w:szCs w:val="18"/>
        </w:rPr>
        <w:t>HASTA EL 14 DE SEPTIEMBRE</w:t>
      </w:r>
    </w:p>
    <w:p w14:paraId="5086C6EF" w14:textId="14F289E7" w:rsidR="008C5986" w:rsidRPr="008C5986" w:rsidRDefault="008C5986" w:rsidP="008C5986">
      <w:pPr>
        <w:shd w:val="clear" w:color="auto" w:fill="FFFFFF"/>
        <w:spacing w:after="100" w:afterAutospacing="1"/>
        <w:outlineLvl w:val="2"/>
        <w:rPr>
          <w:rFonts w:ascii="Verdana" w:hAnsi="Verdana" w:cs="Arial"/>
          <w:color w:val="000000"/>
          <w:sz w:val="18"/>
          <w:szCs w:val="18"/>
        </w:rPr>
      </w:pPr>
      <w:r w:rsidRPr="008C5986">
        <w:rPr>
          <w:rFonts w:ascii="Verdana" w:hAnsi="Verdana" w:cs="Arial"/>
          <w:b/>
          <w:bCs/>
          <w:color w:val="000000"/>
          <w:sz w:val="18"/>
          <w:szCs w:val="18"/>
        </w:rPr>
        <w:t xml:space="preserve">INTRASTAT - Estadística </w:t>
      </w:r>
      <w:r w:rsidR="00A57182">
        <w:rPr>
          <w:rFonts w:ascii="Verdana" w:hAnsi="Verdana" w:cs="Arial"/>
          <w:b/>
          <w:bCs/>
          <w:color w:val="000000"/>
          <w:sz w:val="18"/>
          <w:szCs w:val="18"/>
        </w:rPr>
        <w:t xml:space="preserve">de </w:t>
      </w:r>
      <w:r w:rsidRPr="008C5986">
        <w:rPr>
          <w:rFonts w:ascii="Verdana" w:hAnsi="Verdana" w:cs="Arial"/>
          <w:b/>
          <w:bCs/>
          <w:color w:val="000000"/>
          <w:sz w:val="18"/>
          <w:szCs w:val="18"/>
        </w:rPr>
        <w:t>Comercio Intracomunitario</w:t>
      </w:r>
    </w:p>
    <w:p w14:paraId="5D8AA998" w14:textId="230AF094" w:rsidR="008C5986" w:rsidRPr="008C5986" w:rsidRDefault="008C5986" w:rsidP="008C5986">
      <w:pPr>
        <w:numPr>
          <w:ilvl w:val="0"/>
          <w:numId w:val="31"/>
        </w:numPr>
        <w:shd w:val="clear" w:color="auto" w:fill="FFFFFF"/>
        <w:spacing w:after="100" w:afterAutospacing="1"/>
        <w:rPr>
          <w:rFonts w:ascii="Verdana" w:hAnsi="Verdana" w:cs="Arial"/>
          <w:color w:val="000000"/>
          <w:sz w:val="18"/>
          <w:szCs w:val="18"/>
        </w:rPr>
      </w:pPr>
      <w:r w:rsidRPr="008C5986">
        <w:rPr>
          <w:rFonts w:ascii="Verdana" w:hAnsi="Verdana" w:cs="Arial"/>
          <w:color w:val="000000"/>
          <w:sz w:val="18"/>
          <w:szCs w:val="18"/>
        </w:rPr>
        <w:t>Agosto 2026. Obligados a suministrar información estadística.</w:t>
      </w:r>
    </w:p>
    <w:p w14:paraId="4E0D653E" w14:textId="77777777" w:rsidR="008C5986" w:rsidRPr="008C5986" w:rsidRDefault="008C5986" w:rsidP="008C5986">
      <w:pPr>
        <w:shd w:val="clear" w:color="auto" w:fill="FFFFFF"/>
        <w:spacing w:after="100" w:afterAutospacing="1"/>
        <w:rPr>
          <w:rFonts w:ascii="Verdana" w:hAnsi="Verdana" w:cs="Arial"/>
          <w:color w:val="000000"/>
          <w:sz w:val="18"/>
          <w:szCs w:val="18"/>
        </w:rPr>
      </w:pPr>
    </w:p>
    <w:p w14:paraId="3A622160" w14:textId="79397F4B" w:rsidR="008C5986" w:rsidRPr="008C5986" w:rsidRDefault="008C5986" w:rsidP="008C5986">
      <w:pPr>
        <w:shd w:val="clear" w:color="auto" w:fill="FFFFFF"/>
        <w:spacing w:after="100" w:afterAutospacing="1"/>
        <w:outlineLvl w:val="0"/>
        <w:rPr>
          <w:rFonts w:ascii="Verdana" w:hAnsi="Verdana" w:cs="Arial"/>
          <w:b/>
          <w:bCs/>
          <w:color w:val="000000"/>
          <w:kern w:val="36"/>
          <w:sz w:val="18"/>
          <w:szCs w:val="18"/>
        </w:rPr>
      </w:pPr>
      <w:r w:rsidRPr="008C5986">
        <w:rPr>
          <w:rFonts w:ascii="Verdana" w:hAnsi="Verdana" w:cs="Arial"/>
          <w:b/>
          <w:bCs/>
          <w:color w:val="000000"/>
          <w:kern w:val="36"/>
          <w:sz w:val="18"/>
          <w:szCs w:val="18"/>
        </w:rPr>
        <w:t>HASTA EL 21 DE SEPTIEMBRE</w:t>
      </w:r>
    </w:p>
    <w:p w14:paraId="61A72EB3" w14:textId="77777777" w:rsidR="008C5986" w:rsidRPr="008C5986" w:rsidRDefault="008C5986" w:rsidP="008C5986">
      <w:pPr>
        <w:shd w:val="clear" w:color="auto" w:fill="FFFFFF"/>
        <w:spacing w:after="100" w:afterAutospacing="1"/>
        <w:outlineLvl w:val="2"/>
        <w:rPr>
          <w:rFonts w:ascii="Verdana" w:hAnsi="Verdana" w:cs="Arial"/>
          <w:color w:val="000000"/>
          <w:sz w:val="18"/>
          <w:szCs w:val="18"/>
        </w:rPr>
      </w:pPr>
      <w:r w:rsidRPr="008C5986">
        <w:rPr>
          <w:rFonts w:ascii="Verdana" w:hAnsi="Verdana" w:cs="Arial"/>
          <w:b/>
          <w:bCs/>
          <w:color w:val="000000"/>
          <w:sz w:val="18"/>
          <w:szCs w:val="18"/>
        </w:rPr>
        <w:t>Renta y Sociedades</w:t>
      </w:r>
    </w:p>
    <w:p w14:paraId="65B76629" w14:textId="0CDD4CFD" w:rsidR="008C5986" w:rsidRPr="008C5986" w:rsidRDefault="008C5986" w:rsidP="008C5986">
      <w:pPr>
        <w:shd w:val="clear" w:color="auto" w:fill="FFFFFF"/>
        <w:spacing w:after="100" w:afterAutospacing="1"/>
        <w:rPr>
          <w:rFonts w:ascii="Verdana" w:hAnsi="Verdana" w:cs="Arial"/>
          <w:color w:val="000000"/>
          <w:sz w:val="18"/>
          <w:szCs w:val="18"/>
        </w:rPr>
      </w:pPr>
      <w:r w:rsidRPr="008C5986">
        <w:rPr>
          <w:rFonts w:ascii="Verdana" w:hAnsi="Verdana" w:cs="Arial"/>
          <w:color w:val="000000"/>
          <w:sz w:val="18"/>
          <w:szCs w:val="18"/>
        </w:rPr>
        <w:t xml:space="preserve">Retenciones e ingresos a cuenta de rendimientos del trabajo, actividades económicas, premios y determinadas ganancias patrimoniales e imputaciones de renta, ganancias derivadas de acciones y participaciones de las Instituciones de Inversión Colectiva, rentas de arrendamiento de inmuebles urbanos, capital mobiliario, personas autorizadas y saldos en cuentas </w:t>
      </w:r>
      <w:r w:rsidR="00A57182">
        <w:rPr>
          <w:rFonts w:ascii="Verdana" w:hAnsi="Verdana" w:cs="Arial"/>
          <w:color w:val="000000"/>
          <w:sz w:val="18"/>
          <w:szCs w:val="18"/>
        </w:rPr>
        <w:t xml:space="preserve">y, </w:t>
      </w:r>
      <w:r w:rsidRPr="008C5986">
        <w:rPr>
          <w:rFonts w:ascii="Verdana" w:hAnsi="Verdana" w:cs="Arial"/>
          <w:color w:val="000000"/>
          <w:sz w:val="18"/>
          <w:szCs w:val="18"/>
        </w:rPr>
        <w:t>de rentas de no residentes obtenidas sin establecimiento permanente.</w:t>
      </w:r>
    </w:p>
    <w:p w14:paraId="47D72AA1" w14:textId="77777777" w:rsidR="008C5986" w:rsidRPr="008C5986" w:rsidRDefault="008C5986" w:rsidP="008C5986">
      <w:pPr>
        <w:numPr>
          <w:ilvl w:val="0"/>
          <w:numId w:val="32"/>
        </w:numPr>
        <w:shd w:val="clear" w:color="auto" w:fill="FFFFFF"/>
        <w:spacing w:before="100" w:beforeAutospacing="1" w:after="100" w:afterAutospacing="1"/>
        <w:rPr>
          <w:rFonts w:ascii="Verdana" w:hAnsi="Verdana" w:cs="Arial"/>
          <w:color w:val="000000"/>
          <w:sz w:val="18"/>
          <w:szCs w:val="18"/>
        </w:rPr>
      </w:pPr>
      <w:r w:rsidRPr="008C5986">
        <w:rPr>
          <w:rFonts w:ascii="Verdana" w:hAnsi="Verdana" w:cs="Arial"/>
          <w:color w:val="000000"/>
          <w:sz w:val="18"/>
          <w:szCs w:val="18"/>
        </w:rPr>
        <w:t>Agosto 2026. Grandes empresas: 111, 115, 117, 123, 124, 126, 128, 216, 230</w:t>
      </w:r>
    </w:p>
    <w:p w14:paraId="248B465F" w14:textId="77777777" w:rsidR="008C5986" w:rsidRPr="008C5986" w:rsidRDefault="008C5986" w:rsidP="008C5986">
      <w:pPr>
        <w:shd w:val="clear" w:color="auto" w:fill="FFFFFF"/>
        <w:spacing w:after="100" w:afterAutospacing="1"/>
        <w:outlineLvl w:val="2"/>
        <w:rPr>
          <w:rFonts w:ascii="Verdana" w:hAnsi="Verdana" w:cs="Arial"/>
          <w:color w:val="000000"/>
          <w:sz w:val="18"/>
          <w:szCs w:val="18"/>
        </w:rPr>
      </w:pPr>
      <w:r w:rsidRPr="008C5986">
        <w:rPr>
          <w:rFonts w:ascii="Verdana" w:hAnsi="Verdana" w:cs="Arial"/>
          <w:b/>
          <w:bCs/>
          <w:color w:val="000000"/>
          <w:sz w:val="18"/>
          <w:szCs w:val="18"/>
        </w:rPr>
        <w:t>IVA</w:t>
      </w:r>
    </w:p>
    <w:p w14:paraId="0E1762DC" w14:textId="77777777" w:rsidR="008C5986" w:rsidRPr="008C5986" w:rsidRDefault="008C5986" w:rsidP="008C5986">
      <w:pPr>
        <w:numPr>
          <w:ilvl w:val="0"/>
          <w:numId w:val="33"/>
        </w:numPr>
        <w:shd w:val="clear" w:color="auto" w:fill="FFFFFF"/>
        <w:spacing w:after="100" w:afterAutospacing="1"/>
        <w:rPr>
          <w:rFonts w:ascii="Verdana" w:hAnsi="Verdana" w:cs="Arial"/>
          <w:color w:val="000000"/>
          <w:sz w:val="18"/>
          <w:szCs w:val="18"/>
        </w:rPr>
      </w:pPr>
      <w:r w:rsidRPr="008C5986">
        <w:rPr>
          <w:rFonts w:ascii="Verdana" w:hAnsi="Verdana" w:cs="Arial"/>
          <w:color w:val="000000"/>
          <w:sz w:val="18"/>
          <w:szCs w:val="18"/>
        </w:rPr>
        <w:t>Julio y agosto 2026. Declaración recapitulativa de operaciones intracomunitarias: 349</w:t>
      </w:r>
    </w:p>
    <w:p w14:paraId="32385C2D" w14:textId="77777777" w:rsidR="008C5986" w:rsidRPr="008C5986" w:rsidRDefault="008C5986" w:rsidP="008C5986">
      <w:pPr>
        <w:numPr>
          <w:ilvl w:val="0"/>
          <w:numId w:val="33"/>
        </w:numPr>
        <w:shd w:val="clear" w:color="auto" w:fill="FFFFFF"/>
        <w:spacing w:after="100" w:afterAutospacing="1"/>
        <w:rPr>
          <w:rFonts w:ascii="Verdana" w:hAnsi="Verdana" w:cs="Arial"/>
          <w:color w:val="000000"/>
          <w:sz w:val="18"/>
          <w:szCs w:val="18"/>
        </w:rPr>
      </w:pPr>
      <w:r w:rsidRPr="008C5986">
        <w:rPr>
          <w:rFonts w:ascii="Verdana" w:hAnsi="Verdana" w:cs="Arial"/>
          <w:color w:val="000000"/>
          <w:sz w:val="18"/>
          <w:szCs w:val="18"/>
        </w:rPr>
        <w:t>Solicitud de devolución por sujetos pasivos en el régimen simplificado del IVA y que ejerzan la actividad de transporte de viajeros o de mercancías por carretera, por adquirir determinados medios de transporte: 308</w:t>
      </w:r>
    </w:p>
    <w:p w14:paraId="3735046A" w14:textId="77777777" w:rsidR="008C5986" w:rsidRPr="008C5986" w:rsidRDefault="008C5986" w:rsidP="008C5986">
      <w:pPr>
        <w:shd w:val="clear" w:color="auto" w:fill="FFFFFF"/>
        <w:spacing w:after="100" w:afterAutospacing="1"/>
        <w:outlineLvl w:val="2"/>
        <w:rPr>
          <w:rFonts w:ascii="Verdana" w:hAnsi="Verdana" w:cs="Arial"/>
          <w:color w:val="000000"/>
          <w:sz w:val="18"/>
          <w:szCs w:val="18"/>
        </w:rPr>
      </w:pPr>
      <w:r w:rsidRPr="008C5986">
        <w:rPr>
          <w:rFonts w:ascii="Verdana" w:hAnsi="Verdana" w:cs="Arial"/>
          <w:b/>
          <w:bCs/>
          <w:color w:val="000000"/>
          <w:sz w:val="18"/>
          <w:szCs w:val="18"/>
        </w:rPr>
        <w:t>Impuesto sobre las Primas de Seguros</w:t>
      </w:r>
    </w:p>
    <w:p w14:paraId="07F716BA" w14:textId="77777777" w:rsidR="008C5986" w:rsidRPr="008C5986" w:rsidRDefault="008C5986" w:rsidP="008C5986">
      <w:pPr>
        <w:numPr>
          <w:ilvl w:val="0"/>
          <w:numId w:val="34"/>
        </w:numPr>
        <w:shd w:val="clear" w:color="auto" w:fill="FFFFFF"/>
        <w:spacing w:before="100" w:beforeAutospacing="1" w:after="100" w:afterAutospacing="1"/>
        <w:rPr>
          <w:rFonts w:ascii="Verdana" w:hAnsi="Verdana" w:cs="Arial"/>
          <w:color w:val="000000"/>
          <w:sz w:val="18"/>
          <w:szCs w:val="18"/>
        </w:rPr>
      </w:pPr>
      <w:r w:rsidRPr="008C5986">
        <w:rPr>
          <w:rFonts w:ascii="Verdana" w:hAnsi="Verdana" w:cs="Arial"/>
          <w:color w:val="000000"/>
          <w:sz w:val="18"/>
          <w:szCs w:val="18"/>
        </w:rPr>
        <w:t>Julio y agosto 2026: 430</w:t>
      </w:r>
    </w:p>
    <w:p w14:paraId="2D2F843C" w14:textId="77777777" w:rsidR="008C5986" w:rsidRPr="008C5986" w:rsidRDefault="008C5986" w:rsidP="008C5986">
      <w:pPr>
        <w:shd w:val="clear" w:color="auto" w:fill="FFFFFF"/>
        <w:spacing w:after="100" w:afterAutospacing="1"/>
        <w:outlineLvl w:val="2"/>
        <w:rPr>
          <w:rFonts w:ascii="Verdana" w:hAnsi="Verdana" w:cs="Arial"/>
          <w:color w:val="000000"/>
          <w:sz w:val="18"/>
          <w:szCs w:val="18"/>
        </w:rPr>
      </w:pPr>
      <w:r w:rsidRPr="008C5986">
        <w:rPr>
          <w:rFonts w:ascii="Verdana" w:hAnsi="Verdana" w:cs="Arial"/>
          <w:b/>
          <w:bCs/>
          <w:color w:val="000000"/>
          <w:sz w:val="18"/>
          <w:szCs w:val="18"/>
        </w:rPr>
        <w:t>Impuestos Especiales de Fabricación</w:t>
      </w:r>
    </w:p>
    <w:p w14:paraId="12F0C126" w14:textId="77777777" w:rsidR="008C5986" w:rsidRPr="008C5986" w:rsidRDefault="008C5986" w:rsidP="008C5986">
      <w:pPr>
        <w:numPr>
          <w:ilvl w:val="0"/>
          <w:numId w:val="35"/>
        </w:numPr>
        <w:shd w:val="clear" w:color="auto" w:fill="FFFFFF"/>
        <w:spacing w:after="100" w:afterAutospacing="1"/>
        <w:rPr>
          <w:rFonts w:ascii="Verdana" w:hAnsi="Verdana" w:cs="Arial"/>
          <w:color w:val="000000"/>
          <w:sz w:val="18"/>
          <w:szCs w:val="18"/>
        </w:rPr>
      </w:pPr>
      <w:r w:rsidRPr="008C5986">
        <w:rPr>
          <w:rFonts w:ascii="Verdana" w:hAnsi="Verdana" w:cs="Arial"/>
          <w:color w:val="000000"/>
          <w:sz w:val="18"/>
          <w:szCs w:val="18"/>
        </w:rPr>
        <w:t>Junio 2026. Grandes empresas: 561, 562, 563</w:t>
      </w:r>
    </w:p>
    <w:p w14:paraId="392E8FFE" w14:textId="77777777" w:rsidR="008C5986" w:rsidRPr="008C5986" w:rsidRDefault="008C5986" w:rsidP="008C5986">
      <w:pPr>
        <w:numPr>
          <w:ilvl w:val="0"/>
          <w:numId w:val="35"/>
        </w:numPr>
        <w:shd w:val="clear" w:color="auto" w:fill="FFFFFF"/>
        <w:spacing w:after="100" w:afterAutospacing="1"/>
        <w:rPr>
          <w:rFonts w:ascii="Verdana" w:hAnsi="Verdana" w:cs="Arial"/>
          <w:color w:val="000000"/>
          <w:sz w:val="18"/>
          <w:szCs w:val="18"/>
        </w:rPr>
      </w:pPr>
      <w:r w:rsidRPr="008C5986">
        <w:rPr>
          <w:rFonts w:ascii="Verdana" w:hAnsi="Verdana" w:cs="Arial"/>
          <w:color w:val="000000"/>
          <w:sz w:val="18"/>
          <w:szCs w:val="18"/>
        </w:rPr>
        <w:t>Agosto 2026: 548, 566, 581</w:t>
      </w:r>
    </w:p>
    <w:p w14:paraId="4A56DE29" w14:textId="77777777" w:rsidR="008C5986" w:rsidRPr="008C5986" w:rsidRDefault="008C5986" w:rsidP="008C5986">
      <w:pPr>
        <w:numPr>
          <w:ilvl w:val="0"/>
          <w:numId w:val="35"/>
        </w:numPr>
        <w:shd w:val="clear" w:color="auto" w:fill="FFFFFF"/>
        <w:spacing w:after="100" w:afterAutospacing="1"/>
        <w:rPr>
          <w:rFonts w:ascii="Verdana" w:hAnsi="Verdana" w:cs="Arial"/>
          <w:color w:val="000000"/>
          <w:sz w:val="18"/>
          <w:szCs w:val="18"/>
        </w:rPr>
      </w:pPr>
      <w:r w:rsidRPr="008C5986">
        <w:rPr>
          <w:rFonts w:ascii="Verdana" w:hAnsi="Verdana" w:cs="Arial"/>
          <w:color w:val="000000"/>
          <w:sz w:val="18"/>
          <w:szCs w:val="18"/>
        </w:rPr>
        <w:t>Agosto 2026: 573 (Autoliquidación), A24 (Solicitud de devolución)</w:t>
      </w:r>
    </w:p>
    <w:p w14:paraId="0195B167" w14:textId="77777777" w:rsidR="008C5986" w:rsidRPr="008C5986" w:rsidRDefault="008C5986" w:rsidP="008C5986">
      <w:pPr>
        <w:numPr>
          <w:ilvl w:val="0"/>
          <w:numId w:val="35"/>
        </w:numPr>
        <w:shd w:val="clear" w:color="auto" w:fill="FFFFFF"/>
        <w:spacing w:after="100" w:afterAutospacing="1"/>
        <w:rPr>
          <w:rFonts w:ascii="Verdana" w:hAnsi="Verdana" w:cs="Arial"/>
          <w:color w:val="000000"/>
          <w:sz w:val="18"/>
          <w:szCs w:val="18"/>
        </w:rPr>
      </w:pPr>
      <w:r w:rsidRPr="008C5986">
        <w:rPr>
          <w:rFonts w:ascii="Verdana" w:hAnsi="Verdana" w:cs="Arial"/>
          <w:color w:val="000000"/>
          <w:sz w:val="18"/>
          <w:szCs w:val="18"/>
        </w:rPr>
        <w:t>Declaración de operaciones por los destinatarios registrados y representantes fiscales: 510</w:t>
      </w:r>
    </w:p>
    <w:p w14:paraId="66C35C1C" w14:textId="77777777" w:rsidR="008C5986" w:rsidRPr="008C5986" w:rsidRDefault="008C5986" w:rsidP="008C5986">
      <w:pPr>
        <w:shd w:val="clear" w:color="auto" w:fill="FFFFFF"/>
        <w:spacing w:after="100" w:afterAutospacing="1"/>
        <w:outlineLvl w:val="2"/>
        <w:rPr>
          <w:rFonts w:ascii="Verdana" w:hAnsi="Verdana" w:cs="Arial"/>
          <w:color w:val="000000"/>
          <w:sz w:val="18"/>
          <w:szCs w:val="18"/>
        </w:rPr>
      </w:pPr>
      <w:r w:rsidRPr="008C5986">
        <w:rPr>
          <w:rFonts w:ascii="Verdana" w:hAnsi="Verdana" w:cs="Arial"/>
          <w:b/>
          <w:bCs/>
          <w:color w:val="000000"/>
          <w:sz w:val="18"/>
          <w:szCs w:val="18"/>
        </w:rPr>
        <w:t>Impuesto Especial sobre la Electricidad</w:t>
      </w:r>
    </w:p>
    <w:p w14:paraId="6FB19801" w14:textId="77777777" w:rsidR="008C5986" w:rsidRPr="008C5986" w:rsidRDefault="008C5986" w:rsidP="008C5986">
      <w:pPr>
        <w:numPr>
          <w:ilvl w:val="0"/>
          <w:numId w:val="36"/>
        </w:numPr>
        <w:shd w:val="clear" w:color="auto" w:fill="FFFFFF"/>
        <w:spacing w:after="100" w:afterAutospacing="1"/>
        <w:rPr>
          <w:rFonts w:ascii="Verdana" w:hAnsi="Verdana" w:cs="Arial"/>
          <w:color w:val="000000"/>
          <w:sz w:val="18"/>
          <w:szCs w:val="18"/>
        </w:rPr>
      </w:pPr>
      <w:r w:rsidRPr="008C5986">
        <w:rPr>
          <w:rFonts w:ascii="Verdana" w:hAnsi="Verdana" w:cs="Arial"/>
          <w:color w:val="000000"/>
          <w:sz w:val="18"/>
          <w:szCs w:val="18"/>
        </w:rPr>
        <w:t>Agosto 2026. Grandes empresas: 560</w:t>
      </w:r>
    </w:p>
    <w:p w14:paraId="0B215102" w14:textId="77777777" w:rsidR="008C5986" w:rsidRPr="008C5986" w:rsidRDefault="008C5986" w:rsidP="008C5986">
      <w:pPr>
        <w:shd w:val="clear" w:color="auto" w:fill="FFFFFF"/>
        <w:spacing w:after="100" w:afterAutospacing="1"/>
        <w:outlineLvl w:val="2"/>
        <w:rPr>
          <w:rFonts w:ascii="Verdana" w:hAnsi="Verdana" w:cs="Arial"/>
          <w:color w:val="000000"/>
          <w:sz w:val="18"/>
          <w:szCs w:val="18"/>
        </w:rPr>
      </w:pPr>
      <w:r w:rsidRPr="008C5986">
        <w:rPr>
          <w:rFonts w:ascii="Verdana" w:hAnsi="Verdana" w:cs="Arial"/>
          <w:b/>
          <w:bCs/>
          <w:color w:val="000000"/>
          <w:sz w:val="18"/>
          <w:szCs w:val="18"/>
        </w:rPr>
        <w:t>Impuestos Medioambientales</w:t>
      </w:r>
    </w:p>
    <w:p w14:paraId="182D69E9" w14:textId="77777777" w:rsidR="008C5986" w:rsidRPr="008C5986" w:rsidRDefault="008C5986" w:rsidP="008C5986">
      <w:pPr>
        <w:numPr>
          <w:ilvl w:val="0"/>
          <w:numId w:val="37"/>
        </w:numPr>
        <w:shd w:val="clear" w:color="auto" w:fill="FFFFFF"/>
        <w:spacing w:after="100" w:afterAutospacing="1"/>
        <w:rPr>
          <w:rFonts w:ascii="Verdana" w:hAnsi="Verdana" w:cs="Arial"/>
          <w:color w:val="000000"/>
          <w:sz w:val="18"/>
          <w:szCs w:val="18"/>
        </w:rPr>
      </w:pPr>
      <w:r w:rsidRPr="008C5986">
        <w:rPr>
          <w:rFonts w:ascii="Verdana" w:hAnsi="Verdana" w:cs="Arial"/>
          <w:color w:val="000000"/>
          <w:sz w:val="18"/>
          <w:szCs w:val="18"/>
        </w:rPr>
        <w:t>Agosto 2026. Impuesto especial sobre los envases de plástico no reutilizables. Autoliquidación: 592</w:t>
      </w:r>
    </w:p>
    <w:p w14:paraId="2144BB41" w14:textId="77777777" w:rsidR="008C5986" w:rsidRPr="008C5986" w:rsidRDefault="008C5986" w:rsidP="008C5986">
      <w:pPr>
        <w:numPr>
          <w:ilvl w:val="0"/>
          <w:numId w:val="37"/>
        </w:numPr>
        <w:shd w:val="clear" w:color="auto" w:fill="FFFFFF"/>
        <w:spacing w:after="100" w:afterAutospacing="1"/>
        <w:rPr>
          <w:rFonts w:ascii="Verdana" w:hAnsi="Verdana" w:cs="Arial"/>
          <w:color w:val="000000"/>
          <w:sz w:val="18"/>
          <w:szCs w:val="18"/>
        </w:rPr>
      </w:pPr>
      <w:r w:rsidRPr="008C5986">
        <w:rPr>
          <w:rFonts w:ascii="Verdana" w:hAnsi="Verdana" w:cs="Arial"/>
          <w:color w:val="000000"/>
          <w:sz w:val="18"/>
          <w:szCs w:val="18"/>
        </w:rPr>
        <w:t>Año 2026. Impuesto sobre el valor de la producción de la energía eléctrica. Segundo pago fraccionado: 583</w:t>
      </w:r>
    </w:p>
    <w:p w14:paraId="64D07B83" w14:textId="77777777" w:rsidR="008C5986" w:rsidRPr="008C5986" w:rsidRDefault="008C5986" w:rsidP="008C5986">
      <w:pPr>
        <w:shd w:val="clear" w:color="auto" w:fill="FFFFFF"/>
        <w:spacing w:after="100" w:afterAutospacing="1"/>
        <w:outlineLvl w:val="2"/>
        <w:rPr>
          <w:rFonts w:ascii="Verdana" w:hAnsi="Verdana" w:cs="Arial"/>
          <w:color w:val="000000"/>
          <w:sz w:val="18"/>
          <w:szCs w:val="18"/>
        </w:rPr>
      </w:pPr>
      <w:r w:rsidRPr="008C5986">
        <w:rPr>
          <w:rFonts w:ascii="Verdana" w:hAnsi="Verdana" w:cs="Arial"/>
          <w:b/>
          <w:bCs/>
          <w:color w:val="000000"/>
          <w:sz w:val="18"/>
          <w:szCs w:val="18"/>
        </w:rPr>
        <w:t>Impuesto sobre las Transacciones Financieras</w:t>
      </w:r>
    </w:p>
    <w:p w14:paraId="2D1F34B2" w14:textId="77777777" w:rsidR="008C5986" w:rsidRPr="008C5986" w:rsidRDefault="008C5986" w:rsidP="008C5986">
      <w:pPr>
        <w:numPr>
          <w:ilvl w:val="0"/>
          <w:numId w:val="38"/>
        </w:numPr>
        <w:shd w:val="clear" w:color="auto" w:fill="FFFFFF"/>
        <w:spacing w:after="100" w:afterAutospacing="1"/>
        <w:rPr>
          <w:rFonts w:ascii="Verdana" w:hAnsi="Verdana" w:cs="Arial"/>
          <w:color w:val="000000"/>
          <w:sz w:val="18"/>
          <w:szCs w:val="18"/>
        </w:rPr>
      </w:pPr>
      <w:r w:rsidRPr="008C5986">
        <w:rPr>
          <w:rFonts w:ascii="Verdana" w:hAnsi="Verdana" w:cs="Arial"/>
          <w:color w:val="000000"/>
          <w:sz w:val="18"/>
          <w:szCs w:val="18"/>
        </w:rPr>
        <w:t>Agosto 2026: 604</w:t>
      </w:r>
    </w:p>
    <w:p w14:paraId="21355DEB" w14:textId="77777777" w:rsidR="008C5986" w:rsidRPr="008C5986" w:rsidRDefault="008C5986" w:rsidP="008C5986">
      <w:pPr>
        <w:shd w:val="clear" w:color="auto" w:fill="FFFFFF"/>
        <w:spacing w:after="100" w:afterAutospacing="1"/>
        <w:outlineLvl w:val="2"/>
        <w:rPr>
          <w:rFonts w:ascii="Verdana" w:hAnsi="Verdana" w:cs="Arial"/>
          <w:color w:val="000000"/>
          <w:sz w:val="18"/>
          <w:szCs w:val="18"/>
        </w:rPr>
      </w:pPr>
      <w:r w:rsidRPr="008C5986">
        <w:rPr>
          <w:rFonts w:ascii="Verdana" w:hAnsi="Verdana" w:cs="Arial"/>
          <w:b/>
          <w:bCs/>
          <w:color w:val="000000"/>
          <w:sz w:val="18"/>
          <w:szCs w:val="18"/>
        </w:rPr>
        <w:t>Impuesto sobre el margen de intereses y comisiones de determinadas entidades financieras</w:t>
      </w:r>
    </w:p>
    <w:p w14:paraId="1760BE44" w14:textId="77777777" w:rsidR="008C5986" w:rsidRPr="008C5986" w:rsidRDefault="008C5986" w:rsidP="008C5986">
      <w:pPr>
        <w:numPr>
          <w:ilvl w:val="0"/>
          <w:numId w:val="39"/>
        </w:numPr>
        <w:shd w:val="clear" w:color="auto" w:fill="FFFFFF"/>
        <w:spacing w:after="100" w:afterAutospacing="1"/>
        <w:rPr>
          <w:rFonts w:ascii="Verdana" w:hAnsi="Verdana" w:cs="Arial"/>
          <w:color w:val="000000"/>
          <w:sz w:val="18"/>
          <w:szCs w:val="18"/>
        </w:rPr>
      </w:pPr>
      <w:r w:rsidRPr="008C5986">
        <w:rPr>
          <w:rFonts w:ascii="Verdana" w:hAnsi="Verdana" w:cs="Arial"/>
          <w:color w:val="000000"/>
          <w:sz w:val="18"/>
          <w:szCs w:val="18"/>
        </w:rPr>
        <w:t>Año 2025: 780 (Autoliquidación)</w:t>
      </w:r>
    </w:p>
    <w:p w14:paraId="434B1A2E" w14:textId="77777777" w:rsidR="008C5986" w:rsidRPr="008C5986" w:rsidRDefault="008C5986" w:rsidP="008C5986">
      <w:pPr>
        <w:shd w:val="clear" w:color="auto" w:fill="FFFFFF"/>
        <w:spacing w:after="100" w:afterAutospacing="1"/>
        <w:rPr>
          <w:rFonts w:ascii="Verdana" w:hAnsi="Verdana" w:cs="Arial"/>
          <w:color w:val="000000"/>
          <w:sz w:val="18"/>
          <w:szCs w:val="18"/>
        </w:rPr>
      </w:pPr>
    </w:p>
    <w:p w14:paraId="39F92529" w14:textId="77777777" w:rsidR="008C5986" w:rsidRPr="001A6B56" w:rsidRDefault="008C5986" w:rsidP="008C5986">
      <w:pPr>
        <w:shd w:val="clear" w:color="auto" w:fill="FFFFFF"/>
        <w:spacing w:after="100" w:afterAutospacing="1"/>
        <w:outlineLvl w:val="0"/>
        <w:rPr>
          <w:rFonts w:ascii="Verdana" w:hAnsi="Verdana" w:cs="Arial"/>
          <w:b/>
          <w:bCs/>
          <w:caps/>
          <w:color w:val="000000"/>
          <w:kern w:val="36"/>
          <w:sz w:val="18"/>
          <w:szCs w:val="18"/>
        </w:rPr>
      </w:pPr>
      <w:r w:rsidRPr="001A6B56">
        <w:rPr>
          <w:rFonts w:ascii="Verdana" w:hAnsi="Verdana" w:cs="Arial"/>
          <w:b/>
          <w:bCs/>
          <w:caps/>
          <w:color w:val="000000"/>
          <w:kern w:val="36"/>
          <w:sz w:val="18"/>
          <w:szCs w:val="18"/>
        </w:rPr>
        <w:t>Hasta el 30 de septiembre</w:t>
      </w:r>
    </w:p>
    <w:p w14:paraId="26136AA4" w14:textId="77777777" w:rsidR="008C5986" w:rsidRPr="008C5986" w:rsidRDefault="008C5986" w:rsidP="008C5986">
      <w:pPr>
        <w:shd w:val="clear" w:color="auto" w:fill="FFFFFF"/>
        <w:spacing w:after="100" w:afterAutospacing="1"/>
        <w:outlineLvl w:val="2"/>
        <w:rPr>
          <w:rFonts w:ascii="Verdana" w:hAnsi="Verdana" w:cs="Arial"/>
          <w:color w:val="000000"/>
          <w:sz w:val="18"/>
          <w:szCs w:val="18"/>
        </w:rPr>
      </w:pPr>
      <w:r w:rsidRPr="008C5986">
        <w:rPr>
          <w:rFonts w:ascii="Verdana" w:hAnsi="Verdana" w:cs="Arial"/>
          <w:b/>
          <w:bCs/>
          <w:color w:val="000000"/>
          <w:sz w:val="18"/>
          <w:szCs w:val="18"/>
        </w:rPr>
        <w:t>IVA</w:t>
      </w:r>
    </w:p>
    <w:p w14:paraId="51EED9C3" w14:textId="77777777" w:rsidR="008C5986" w:rsidRPr="008C5986" w:rsidRDefault="008C5986" w:rsidP="008C5986">
      <w:pPr>
        <w:numPr>
          <w:ilvl w:val="0"/>
          <w:numId w:val="40"/>
        </w:numPr>
        <w:shd w:val="clear" w:color="auto" w:fill="FFFFFF"/>
        <w:spacing w:after="100" w:afterAutospacing="1"/>
        <w:rPr>
          <w:rFonts w:ascii="Verdana" w:hAnsi="Verdana" w:cs="Arial"/>
          <w:color w:val="000000"/>
          <w:sz w:val="18"/>
          <w:szCs w:val="18"/>
        </w:rPr>
      </w:pPr>
      <w:r w:rsidRPr="008C5986">
        <w:rPr>
          <w:rFonts w:ascii="Verdana" w:hAnsi="Verdana" w:cs="Arial"/>
          <w:color w:val="000000"/>
          <w:sz w:val="18"/>
          <w:szCs w:val="18"/>
        </w:rPr>
        <w:t>Año 2025. Solicitud de devolución del IVA soportado: 360,361</w:t>
      </w:r>
    </w:p>
    <w:p w14:paraId="5324F2EB" w14:textId="77777777" w:rsidR="008C5986" w:rsidRPr="008C5986" w:rsidRDefault="008C5986" w:rsidP="008C5986">
      <w:pPr>
        <w:numPr>
          <w:ilvl w:val="0"/>
          <w:numId w:val="40"/>
        </w:numPr>
        <w:shd w:val="clear" w:color="auto" w:fill="FFFFFF"/>
        <w:spacing w:after="100" w:afterAutospacing="1"/>
        <w:rPr>
          <w:rFonts w:ascii="Verdana" w:hAnsi="Verdana" w:cs="Arial"/>
          <w:color w:val="000000"/>
          <w:sz w:val="18"/>
          <w:szCs w:val="18"/>
        </w:rPr>
      </w:pPr>
      <w:r w:rsidRPr="008C5986">
        <w:rPr>
          <w:rFonts w:ascii="Verdana" w:hAnsi="Verdana" w:cs="Arial"/>
          <w:color w:val="000000"/>
          <w:sz w:val="18"/>
          <w:szCs w:val="18"/>
        </w:rPr>
        <w:t>Agosto 2026. Autoliquidación: 303</w:t>
      </w:r>
    </w:p>
    <w:p w14:paraId="4B87FC7C" w14:textId="77777777" w:rsidR="008C5986" w:rsidRPr="008C5986" w:rsidRDefault="008C5986" w:rsidP="008C5986">
      <w:pPr>
        <w:numPr>
          <w:ilvl w:val="0"/>
          <w:numId w:val="40"/>
        </w:numPr>
        <w:shd w:val="clear" w:color="auto" w:fill="FFFFFF"/>
        <w:spacing w:after="100" w:afterAutospacing="1"/>
        <w:rPr>
          <w:rFonts w:ascii="Verdana" w:hAnsi="Verdana" w:cs="Arial"/>
          <w:color w:val="000000"/>
          <w:sz w:val="18"/>
          <w:szCs w:val="18"/>
        </w:rPr>
      </w:pPr>
      <w:r w:rsidRPr="008C5986">
        <w:rPr>
          <w:rFonts w:ascii="Verdana" w:hAnsi="Verdana" w:cs="Arial"/>
          <w:color w:val="000000"/>
          <w:sz w:val="18"/>
          <w:szCs w:val="18"/>
        </w:rPr>
        <w:lastRenderedPageBreak/>
        <w:t>Agosto 2026. Grupo de entidades, modelo individual: 322</w:t>
      </w:r>
    </w:p>
    <w:p w14:paraId="3AEDF617" w14:textId="77777777" w:rsidR="008C5986" w:rsidRPr="008C5986" w:rsidRDefault="008C5986" w:rsidP="008C5986">
      <w:pPr>
        <w:numPr>
          <w:ilvl w:val="0"/>
          <w:numId w:val="40"/>
        </w:numPr>
        <w:shd w:val="clear" w:color="auto" w:fill="FFFFFF"/>
        <w:spacing w:after="100" w:afterAutospacing="1"/>
        <w:rPr>
          <w:rFonts w:ascii="Verdana" w:hAnsi="Verdana" w:cs="Arial"/>
          <w:color w:val="000000"/>
          <w:sz w:val="18"/>
          <w:szCs w:val="18"/>
        </w:rPr>
      </w:pPr>
      <w:r w:rsidRPr="008C5986">
        <w:rPr>
          <w:rFonts w:ascii="Verdana" w:hAnsi="Verdana" w:cs="Arial"/>
          <w:color w:val="000000"/>
          <w:sz w:val="18"/>
          <w:szCs w:val="18"/>
        </w:rPr>
        <w:t>Agosto 2026. Grupo de entidades, modelo agregado: 353</w:t>
      </w:r>
    </w:p>
    <w:p w14:paraId="5606B06A" w14:textId="77777777" w:rsidR="008C5986" w:rsidRPr="008C5986" w:rsidRDefault="008C5986" w:rsidP="008C5986">
      <w:pPr>
        <w:numPr>
          <w:ilvl w:val="0"/>
          <w:numId w:val="40"/>
        </w:numPr>
        <w:shd w:val="clear" w:color="auto" w:fill="FFFFFF"/>
        <w:spacing w:after="100" w:afterAutospacing="1"/>
        <w:rPr>
          <w:rFonts w:ascii="Verdana" w:hAnsi="Verdana" w:cs="Arial"/>
          <w:color w:val="000000"/>
          <w:sz w:val="18"/>
          <w:szCs w:val="18"/>
        </w:rPr>
      </w:pPr>
      <w:r w:rsidRPr="008C5986">
        <w:rPr>
          <w:rFonts w:ascii="Verdana" w:hAnsi="Verdana" w:cs="Arial"/>
          <w:color w:val="000000"/>
          <w:sz w:val="18"/>
          <w:szCs w:val="18"/>
        </w:rPr>
        <w:t>Agosto 2026. Ventanilla única - Régimen de importación: 369</w:t>
      </w:r>
    </w:p>
    <w:p w14:paraId="59AAA71A" w14:textId="77777777" w:rsidR="008C5986" w:rsidRPr="008C5986" w:rsidRDefault="008C5986" w:rsidP="008C5986">
      <w:pPr>
        <w:numPr>
          <w:ilvl w:val="0"/>
          <w:numId w:val="40"/>
        </w:numPr>
        <w:shd w:val="clear" w:color="auto" w:fill="FFFFFF"/>
        <w:spacing w:after="100" w:afterAutospacing="1"/>
        <w:rPr>
          <w:rFonts w:ascii="Verdana" w:hAnsi="Verdana" w:cs="Arial"/>
          <w:color w:val="000000"/>
          <w:sz w:val="18"/>
          <w:szCs w:val="18"/>
        </w:rPr>
      </w:pPr>
      <w:r w:rsidRPr="008C5986">
        <w:rPr>
          <w:rFonts w:ascii="Verdana" w:hAnsi="Verdana" w:cs="Arial"/>
          <w:color w:val="000000"/>
          <w:sz w:val="18"/>
          <w:szCs w:val="18"/>
        </w:rPr>
        <w:t>Agosto 2026. Operaciones asimiladas a las importaciones: 380</w:t>
      </w:r>
    </w:p>
    <w:p w14:paraId="02D96D10" w14:textId="77777777" w:rsidR="008C5986" w:rsidRPr="008C5986" w:rsidRDefault="008C5986" w:rsidP="008C5986">
      <w:pPr>
        <w:numPr>
          <w:ilvl w:val="0"/>
          <w:numId w:val="40"/>
        </w:numPr>
        <w:shd w:val="clear" w:color="auto" w:fill="FFFFFF"/>
        <w:spacing w:after="100" w:afterAutospacing="1"/>
        <w:rPr>
          <w:rFonts w:ascii="Verdana" w:hAnsi="Verdana" w:cs="Arial"/>
          <w:color w:val="000000"/>
          <w:sz w:val="18"/>
          <w:szCs w:val="18"/>
        </w:rPr>
      </w:pPr>
      <w:r w:rsidRPr="008C5986">
        <w:rPr>
          <w:rFonts w:ascii="Verdana" w:hAnsi="Verdana" w:cs="Arial"/>
          <w:color w:val="000000"/>
          <w:sz w:val="18"/>
          <w:szCs w:val="18"/>
        </w:rPr>
        <w:t>Primer trimestre 2026: solicitud de reembolso en el marco de las relaciones diplomáticas, consulares y de los Organismos Internacionales reconocidos por España: 362</w:t>
      </w:r>
    </w:p>
    <w:p w14:paraId="6A399F67" w14:textId="77777777" w:rsidR="008C5986" w:rsidRPr="008C5986" w:rsidRDefault="008C5986" w:rsidP="008C5986">
      <w:pPr>
        <w:numPr>
          <w:ilvl w:val="0"/>
          <w:numId w:val="40"/>
        </w:numPr>
        <w:shd w:val="clear" w:color="auto" w:fill="FFFFFF"/>
        <w:spacing w:after="100" w:afterAutospacing="1"/>
        <w:rPr>
          <w:rFonts w:ascii="Verdana" w:hAnsi="Verdana" w:cs="Arial"/>
          <w:color w:val="000000"/>
          <w:sz w:val="18"/>
          <w:szCs w:val="18"/>
        </w:rPr>
      </w:pPr>
      <w:r w:rsidRPr="008C5986">
        <w:rPr>
          <w:rFonts w:ascii="Verdana" w:hAnsi="Verdana" w:cs="Arial"/>
          <w:color w:val="000000"/>
          <w:sz w:val="18"/>
          <w:szCs w:val="18"/>
        </w:rPr>
        <w:t>Primer trimestre 2026: solicitud de reembolso de las cuotas tributarias soportadas relativas a la Organización del Tratado del Atlántico Norte, a los Cuarteles Generales Internacionales de dicha Organización y a los Estados parte en dicho Tratado: 364</w:t>
      </w:r>
    </w:p>
    <w:p w14:paraId="3FA53326" w14:textId="77777777" w:rsidR="008C5986" w:rsidRPr="008C5986" w:rsidRDefault="008C5986" w:rsidP="008C5986">
      <w:pPr>
        <w:numPr>
          <w:ilvl w:val="0"/>
          <w:numId w:val="40"/>
        </w:numPr>
        <w:shd w:val="clear" w:color="auto" w:fill="FFFFFF"/>
        <w:spacing w:after="100" w:afterAutospacing="1"/>
        <w:rPr>
          <w:rFonts w:ascii="Verdana" w:hAnsi="Verdana" w:cs="Arial"/>
          <w:color w:val="000000"/>
          <w:sz w:val="18"/>
          <w:szCs w:val="18"/>
        </w:rPr>
      </w:pPr>
      <w:r w:rsidRPr="008C5986">
        <w:rPr>
          <w:rFonts w:ascii="Verdana" w:hAnsi="Verdana" w:cs="Arial"/>
          <w:color w:val="000000"/>
          <w:sz w:val="18"/>
          <w:szCs w:val="18"/>
        </w:rPr>
        <w:t>Primer trimestre 2026: solicitud de reembolso de las cuotas tributarias soportadas por las fuerzas armadas de los Estados miembros de la UE: 381</w:t>
      </w:r>
    </w:p>
    <w:p w14:paraId="3FA80588" w14:textId="77777777" w:rsidR="008C5986" w:rsidRPr="008C5986" w:rsidRDefault="008C5986" w:rsidP="008C5986">
      <w:pPr>
        <w:shd w:val="clear" w:color="auto" w:fill="FFFFFF"/>
        <w:spacing w:after="100" w:afterAutospacing="1"/>
        <w:outlineLvl w:val="2"/>
        <w:rPr>
          <w:rFonts w:ascii="Verdana" w:hAnsi="Verdana" w:cs="Arial"/>
          <w:color w:val="000000"/>
          <w:sz w:val="18"/>
          <w:szCs w:val="18"/>
        </w:rPr>
      </w:pPr>
      <w:r w:rsidRPr="008C5986">
        <w:rPr>
          <w:rFonts w:ascii="Verdana" w:hAnsi="Verdana" w:cs="Arial"/>
          <w:b/>
          <w:bCs/>
          <w:color w:val="000000"/>
          <w:sz w:val="18"/>
          <w:szCs w:val="18"/>
        </w:rPr>
        <w:t>Impuestos Medioambientales</w:t>
      </w:r>
    </w:p>
    <w:p w14:paraId="2BE90C3F" w14:textId="77777777" w:rsidR="008C5986" w:rsidRPr="008C5986" w:rsidRDefault="008C5986" w:rsidP="008C5986">
      <w:pPr>
        <w:numPr>
          <w:ilvl w:val="0"/>
          <w:numId w:val="41"/>
        </w:numPr>
        <w:shd w:val="clear" w:color="auto" w:fill="FFFFFF"/>
        <w:spacing w:after="100" w:afterAutospacing="1"/>
        <w:rPr>
          <w:rFonts w:ascii="Verdana" w:hAnsi="Verdana" w:cs="Arial"/>
          <w:color w:val="000000"/>
          <w:sz w:val="18"/>
          <w:szCs w:val="18"/>
        </w:rPr>
      </w:pPr>
      <w:r w:rsidRPr="008C5986">
        <w:rPr>
          <w:rFonts w:ascii="Verdana" w:hAnsi="Verdana" w:cs="Arial"/>
          <w:color w:val="000000"/>
          <w:sz w:val="18"/>
          <w:szCs w:val="18"/>
        </w:rPr>
        <w:t>Julio y agosto 2026. Impuesto especial sobre los envases de plástico no reutilizables. Presentación contabilidad y libro registro de existencias</w:t>
      </w:r>
    </w:p>
    <w:p w14:paraId="26879E8F" w14:textId="77777777" w:rsidR="008C5986" w:rsidRPr="008C5986" w:rsidRDefault="008C5986" w:rsidP="008C5986">
      <w:pPr>
        <w:shd w:val="clear" w:color="auto" w:fill="FFFFFF"/>
        <w:spacing w:after="100" w:afterAutospacing="1"/>
        <w:outlineLvl w:val="2"/>
        <w:rPr>
          <w:rFonts w:ascii="Verdana" w:hAnsi="Verdana" w:cs="Arial"/>
          <w:color w:val="000000"/>
          <w:sz w:val="18"/>
          <w:szCs w:val="18"/>
        </w:rPr>
      </w:pPr>
      <w:r w:rsidRPr="008C5986">
        <w:rPr>
          <w:rFonts w:ascii="Verdana" w:hAnsi="Verdana" w:cs="Arial"/>
          <w:b/>
          <w:bCs/>
          <w:color w:val="000000"/>
          <w:sz w:val="18"/>
          <w:szCs w:val="18"/>
        </w:rPr>
        <w:t>Declaración informativa mensual de las operaciones realizadas por los empresarios o profesionales adheridos al sistema de gestión de cobros a través de cualquier tipo de tarjetas y mediante pagos asociados a números de teléfono móvil</w:t>
      </w:r>
    </w:p>
    <w:p w14:paraId="3BDAAD57" w14:textId="77777777" w:rsidR="008C5986" w:rsidRPr="008C5986" w:rsidRDefault="008C5986" w:rsidP="008C5986">
      <w:pPr>
        <w:numPr>
          <w:ilvl w:val="0"/>
          <w:numId w:val="42"/>
        </w:numPr>
        <w:shd w:val="clear" w:color="auto" w:fill="FFFFFF"/>
        <w:spacing w:after="100" w:afterAutospacing="1"/>
        <w:rPr>
          <w:rFonts w:ascii="Verdana" w:hAnsi="Verdana" w:cs="Arial"/>
          <w:color w:val="000000"/>
          <w:sz w:val="18"/>
          <w:szCs w:val="18"/>
        </w:rPr>
      </w:pPr>
      <w:r w:rsidRPr="008C5986">
        <w:rPr>
          <w:rFonts w:ascii="Verdana" w:hAnsi="Verdana" w:cs="Arial"/>
          <w:color w:val="000000"/>
          <w:sz w:val="18"/>
          <w:szCs w:val="18"/>
        </w:rPr>
        <w:t>Agosto 2026: 170</w:t>
      </w:r>
    </w:p>
    <w:p w14:paraId="4F38B0D4" w14:textId="77777777" w:rsidR="008C5986" w:rsidRPr="008C5986" w:rsidRDefault="008C5986" w:rsidP="008C5986">
      <w:pPr>
        <w:shd w:val="clear" w:color="auto" w:fill="FFFFFF"/>
        <w:spacing w:after="100" w:afterAutospacing="1"/>
        <w:outlineLvl w:val="2"/>
        <w:rPr>
          <w:rFonts w:ascii="Verdana" w:hAnsi="Verdana" w:cs="Arial"/>
          <w:color w:val="000000"/>
          <w:sz w:val="18"/>
          <w:szCs w:val="18"/>
        </w:rPr>
      </w:pPr>
      <w:r w:rsidRPr="008C5986">
        <w:rPr>
          <w:rFonts w:ascii="Verdana" w:hAnsi="Verdana" w:cs="Arial"/>
          <w:b/>
          <w:bCs/>
          <w:color w:val="000000"/>
          <w:sz w:val="18"/>
          <w:szCs w:val="18"/>
        </w:rPr>
        <w:t>Declaración informativa mensual de cuentas en toda clase de instituciones financieras y resumen anual de retenciones e ingresos a cuenta sobre rendimientos del capital mobiliario y rentas obtenidas por la contraprestación derivada de cuentas en toda clase de instituciones financieras</w:t>
      </w:r>
    </w:p>
    <w:p w14:paraId="4CE4A722" w14:textId="77777777" w:rsidR="008C5986" w:rsidRPr="008C5986" w:rsidRDefault="008C5986" w:rsidP="008C5986">
      <w:pPr>
        <w:numPr>
          <w:ilvl w:val="0"/>
          <w:numId w:val="43"/>
        </w:numPr>
        <w:shd w:val="clear" w:color="auto" w:fill="FFFFFF"/>
        <w:spacing w:after="100" w:afterAutospacing="1"/>
        <w:rPr>
          <w:rFonts w:ascii="Verdana" w:hAnsi="Verdana" w:cs="Arial"/>
          <w:color w:val="000000"/>
          <w:sz w:val="18"/>
          <w:szCs w:val="18"/>
        </w:rPr>
      </w:pPr>
      <w:r w:rsidRPr="008C5986">
        <w:rPr>
          <w:rFonts w:ascii="Verdana" w:hAnsi="Verdana" w:cs="Arial"/>
          <w:color w:val="000000"/>
          <w:sz w:val="18"/>
          <w:szCs w:val="18"/>
        </w:rPr>
        <w:t>Agosto 2026: 196</w:t>
      </w:r>
    </w:p>
    <w:p w14:paraId="21A80ADB" w14:textId="77777777" w:rsidR="008C5986" w:rsidRPr="008C5986" w:rsidRDefault="008C5986" w:rsidP="008C5986">
      <w:pPr>
        <w:shd w:val="clear" w:color="auto" w:fill="FFFFFF"/>
        <w:spacing w:after="100" w:afterAutospacing="1"/>
        <w:rPr>
          <w:rFonts w:ascii="Verdana" w:hAnsi="Verdana" w:cs="Arial"/>
          <w:color w:val="000000"/>
          <w:sz w:val="18"/>
          <w:szCs w:val="18"/>
        </w:rPr>
      </w:pPr>
    </w:p>
    <w:p w14:paraId="7B81D5C5" w14:textId="77777777" w:rsidR="00844FF5" w:rsidRPr="00844FF5" w:rsidRDefault="00844FF5" w:rsidP="00844FF5">
      <w:pPr>
        <w:jc w:val="both"/>
        <w:rPr>
          <w:rFonts w:ascii="Verdana" w:hAnsi="Verdana"/>
          <w:sz w:val="18"/>
          <w:szCs w:val="18"/>
        </w:rPr>
      </w:pPr>
    </w:p>
    <w:p w14:paraId="77387E13" w14:textId="77777777" w:rsidR="004C188A" w:rsidRPr="00D66413" w:rsidRDefault="004C188A" w:rsidP="004C188A">
      <w:pPr>
        <w:jc w:val="both"/>
        <w:rPr>
          <w:rFonts w:ascii="Verdana" w:hAnsi="Verdana"/>
          <w:sz w:val="18"/>
          <w:szCs w:val="18"/>
          <w:lang w:val="es-ES_tradnl"/>
        </w:rPr>
      </w:pPr>
    </w:p>
    <w:p w14:paraId="601BA22A" w14:textId="77777777" w:rsidR="00CB75DB" w:rsidRPr="00D66413" w:rsidRDefault="00CB75DB" w:rsidP="002003E0">
      <w:pPr>
        <w:jc w:val="both"/>
        <w:rPr>
          <w:rFonts w:ascii="Verdana" w:hAnsi="Verdana"/>
          <w:b/>
          <w:sz w:val="18"/>
          <w:szCs w:val="18"/>
          <w:lang w:val="es-ES_tradnl"/>
        </w:rPr>
      </w:pPr>
    </w:p>
    <w:sectPr w:rsidR="00CB75DB" w:rsidRPr="00D66413" w:rsidSect="001270CF">
      <w:pgSz w:w="11906" w:h="16838"/>
      <w:pgMar w:top="1418" w:right="1701" w:bottom="1560" w:left="15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EDA94" w14:textId="77777777" w:rsidR="00957D4D" w:rsidRDefault="00957D4D">
      <w:r>
        <w:separator/>
      </w:r>
    </w:p>
  </w:endnote>
  <w:endnote w:type="continuationSeparator" w:id="0">
    <w:p w14:paraId="31639021" w14:textId="77777777" w:rsidR="00957D4D" w:rsidRDefault="00957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inconsolatamedium">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0AF89" w14:textId="77777777" w:rsidR="00957D4D" w:rsidRDefault="00957D4D">
      <w:r>
        <w:separator/>
      </w:r>
    </w:p>
  </w:footnote>
  <w:footnote w:type="continuationSeparator" w:id="0">
    <w:p w14:paraId="04BA0716" w14:textId="77777777" w:rsidR="00957D4D" w:rsidRDefault="00957D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02AD6"/>
    <w:multiLevelType w:val="multilevel"/>
    <w:tmpl w:val="15664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A54FCC"/>
    <w:multiLevelType w:val="multilevel"/>
    <w:tmpl w:val="FD02D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345C9F"/>
    <w:multiLevelType w:val="multilevel"/>
    <w:tmpl w:val="FC641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A91B4D"/>
    <w:multiLevelType w:val="multilevel"/>
    <w:tmpl w:val="24368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C30D64"/>
    <w:multiLevelType w:val="hybridMultilevel"/>
    <w:tmpl w:val="983A6B10"/>
    <w:lvl w:ilvl="0" w:tplc="D0A83528">
      <w:start w:val="5"/>
      <w:numFmt w:val="decimal"/>
      <w:lvlText w:val="%1."/>
      <w:lvlJc w:val="left"/>
      <w:pPr>
        <w:ind w:left="100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EE51F2E"/>
    <w:multiLevelType w:val="multilevel"/>
    <w:tmpl w:val="AF281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C21008"/>
    <w:multiLevelType w:val="hybridMultilevel"/>
    <w:tmpl w:val="99863D58"/>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7" w15:restartNumberingAfterBreak="0">
    <w:nsid w:val="112034BC"/>
    <w:multiLevelType w:val="hybridMultilevel"/>
    <w:tmpl w:val="B9DA8B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187283B"/>
    <w:multiLevelType w:val="hybridMultilevel"/>
    <w:tmpl w:val="324CF914"/>
    <w:lvl w:ilvl="0" w:tplc="03D2D7EA">
      <w:start w:val="6"/>
      <w:numFmt w:val="decimal"/>
      <w:lvlText w:val="%1."/>
      <w:lvlJc w:val="left"/>
      <w:pPr>
        <w:tabs>
          <w:tab w:val="num" w:pos="720"/>
        </w:tabs>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25501B4"/>
    <w:multiLevelType w:val="multilevel"/>
    <w:tmpl w:val="F626B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4227B6"/>
    <w:multiLevelType w:val="hybridMultilevel"/>
    <w:tmpl w:val="5B2648F2"/>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1" w15:restartNumberingAfterBreak="0">
    <w:nsid w:val="199D645B"/>
    <w:multiLevelType w:val="multilevel"/>
    <w:tmpl w:val="85688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B912C3"/>
    <w:multiLevelType w:val="multilevel"/>
    <w:tmpl w:val="D3AAC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942885"/>
    <w:multiLevelType w:val="multilevel"/>
    <w:tmpl w:val="5F5A7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6018E9"/>
    <w:multiLevelType w:val="multilevel"/>
    <w:tmpl w:val="B254B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E8877D3"/>
    <w:multiLevelType w:val="multilevel"/>
    <w:tmpl w:val="59407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EDF0692"/>
    <w:multiLevelType w:val="multilevel"/>
    <w:tmpl w:val="9A309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1F57EEF"/>
    <w:multiLevelType w:val="multilevel"/>
    <w:tmpl w:val="C80AB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480682"/>
    <w:multiLevelType w:val="multilevel"/>
    <w:tmpl w:val="B2027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9B7004B"/>
    <w:multiLevelType w:val="multilevel"/>
    <w:tmpl w:val="FB548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D3459FB"/>
    <w:multiLevelType w:val="multilevel"/>
    <w:tmpl w:val="7B96C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11E7AAF"/>
    <w:multiLevelType w:val="hybridMultilevel"/>
    <w:tmpl w:val="B53C3B80"/>
    <w:lvl w:ilvl="0" w:tplc="0C0A0001">
      <w:start w:val="1"/>
      <w:numFmt w:val="bullet"/>
      <w:lvlText w:val=""/>
      <w:lvlJc w:val="left"/>
      <w:pPr>
        <w:ind w:left="1364" w:hanging="360"/>
      </w:pPr>
      <w:rPr>
        <w:rFonts w:ascii="Symbol" w:hAnsi="Symbol" w:hint="default"/>
      </w:rPr>
    </w:lvl>
    <w:lvl w:ilvl="1" w:tplc="0C0A0003" w:tentative="1">
      <w:start w:val="1"/>
      <w:numFmt w:val="bullet"/>
      <w:lvlText w:val="o"/>
      <w:lvlJc w:val="left"/>
      <w:pPr>
        <w:ind w:left="2084" w:hanging="360"/>
      </w:pPr>
      <w:rPr>
        <w:rFonts w:ascii="Courier New" w:hAnsi="Courier New" w:cs="Courier New" w:hint="default"/>
      </w:rPr>
    </w:lvl>
    <w:lvl w:ilvl="2" w:tplc="0C0A0005" w:tentative="1">
      <w:start w:val="1"/>
      <w:numFmt w:val="bullet"/>
      <w:lvlText w:val=""/>
      <w:lvlJc w:val="left"/>
      <w:pPr>
        <w:ind w:left="2804" w:hanging="360"/>
      </w:pPr>
      <w:rPr>
        <w:rFonts w:ascii="Wingdings" w:hAnsi="Wingdings" w:hint="default"/>
      </w:rPr>
    </w:lvl>
    <w:lvl w:ilvl="3" w:tplc="0C0A0001" w:tentative="1">
      <w:start w:val="1"/>
      <w:numFmt w:val="bullet"/>
      <w:lvlText w:val=""/>
      <w:lvlJc w:val="left"/>
      <w:pPr>
        <w:ind w:left="3524" w:hanging="360"/>
      </w:pPr>
      <w:rPr>
        <w:rFonts w:ascii="Symbol" w:hAnsi="Symbol" w:hint="default"/>
      </w:rPr>
    </w:lvl>
    <w:lvl w:ilvl="4" w:tplc="0C0A0003" w:tentative="1">
      <w:start w:val="1"/>
      <w:numFmt w:val="bullet"/>
      <w:lvlText w:val="o"/>
      <w:lvlJc w:val="left"/>
      <w:pPr>
        <w:ind w:left="4244" w:hanging="360"/>
      </w:pPr>
      <w:rPr>
        <w:rFonts w:ascii="Courier New" w:hAnsi="Courier New" w:cs="Courier New" w:hint="default"/>
      </w:rPr>
    </w:lvl>
    <w:lvl w:ilvl="5" w:tplc="0C0A0005" w:tentative="1">
      <w:start w:val="1"/>
      <w:numFmt w:val="bullet"/>
      <w:lvlText w:val=""/>
      <w:lvlJc w:val="left"/>
      <w:pPr>
        <w:ind w:left="4964" w:hanging="360"/>
      </w:pPr>
      <w:rPr>
        <w:rFonts w:ascii="Wingdings" w:hAnsi="Wingdings" w:hint="default"/>
      </w:rPr>
    </w:lvl>
    <w:lvl w:ilvl="6" w:tplc="0C0A0001" w:tentative="1">
      <w:start w:val="1"/>
      <w:numFmt w:val="bullet"/>
      <w:lvlText w:val=""/>
      <w:lvlJc w:val="left"/>
      <w:pPr>
        <w:ind w:left="5684" w:hanging="360"/>
      </w:pPr>
      <w:rPr>
        <w:rFonts w:ascii="Symbol" w:hAnsi="Symbol" w:hint="default"/>
      </w:rPr>
    </w:lvl>
    <w:lvl w:ilvl="7" w:tplc="0C0A0003" w:tentative="1">
      <w:start w:val="1"/>
      <w:numFmt w:val="bullet"/>
      <w:lvlText w:val="o"/>
      <w:lvlJc w:val="left"/>
      <w:pPr>
        <w:ind w:left="6404" w:hanging="360"/>
      </w:pPr>
      <w:rPr>
        <w:rFonts w:ascii="Courier New" w:hAnsi="Courier New" w:cs="Courier New" w:hint="default"/>
      </w:rPr>
    </w:lvl>
    <w:lvl w:ilvl="8" w:tplc="0C0A0005" w:tentative="1">
      <w:start w:val="1"/>
      <w:numFmt w:val="bullet"/>
      <w:lvlText w:val=""/>
      <w:lvlJc w:val="left"/>
      <w:pPr>
        <w:ind w:left="7124" w:hanging="360"/>
      </w:pPr>
      <w:rPr>
        <w:rFonts w:ascii="Wingdings" w:hAnsi="Wingdings" w:hint="default"/>
      </w:rPr>
    </w:lvl>
  </w:abstractNum>
  <w:abstractNum w:abstractNumId="22" w15:restartNumberingAfterBreak="0">
    <w:nsid w:val="377B168B"/>
    <w:multiLevelType w:val="multilevel"/>
    <w:tmpl w:val="0CBCE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E16E0B"/>
    <w:multiLevelType w:val="multilevel"/>
    <w:tmpl w:val="EBE07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CE31996"/>
    <w:multiLevelType w:val="multilevel"/>
    <w:tmpl w:val="90C67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DF57B3"/>
    <w:multiLevelType w:val="multilevel"/>
    <w:tmpl w:val="6E44B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60166F4"/>
    <w:multiLevelType w:val="multilevel"/>
    <w:tmpl w:val="B6B27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735744B"/>
    <w:multiLevelType w:val="multilevel"/>
    <w:tmpl w:val="65168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7AC5BF1"/>
    <w:multiLevelType w:val="multilevel"/>
    <w:tmpl w:val="D8B09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B8A3BE3"/>
    <w:multiLevelType w:val="multilevel"/>
    <w:tmpl w:val="5AD64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E5D10A3"/>
    <w:multiLevelType w:val="multilevel"/>
    <w:tmpl w:val="E1646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F6F1031"/>
    <w:multiLevelType w:val="multilevel"/>
    <w:tmpl w:val="A328A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1447038"/>
    <w:multiLevelType w:val="hybridMultilevel"/>
    <w:tmpl w:val="1BC6F08A"/>
    <w:lvl w:ilvl="0" w:tplc="3A148B78">
      <w:start w:val="1"/>
      <w:numFmt w:val="decimal"/>
      <w:lvlText w:val="%1."/>
      <w:lvlJc w:val="left"/>
      <w:pPr>
        <w:tabs>
          <w:tab w:val="num" w:pos="720"/>
        </w:tabs>
        <w:ind w:left="720" w:hanging="360"/>
      </w:pPr>
    </w:lvl>
    <w:lvl w:ilvl="1" w:tplc="0C0A0005">
      <w:start w:val="1"/>
      <w:numFmt w:val="bullet"/>
      <w:lvlText w:val=""/>
      <w:lvlJc w:val="left"/>
      <w:pPr>
        <w:tabs>
          <w:tab w:val="num" w:pos="1440"/>
        </w:tabs>
        <w:ind w:left="1440" w:hanging="360"/>
      </w:pPr>
      <w:rPr>
        <w:rFonts w:ascii="Wingdings" w:hAnsi="Wingding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15:restartNumberingAfterBreak="0">
    <w:nsid w:val="58E3575D"/>
    <w:multiLevelType w:val="multilevel"/>
    <w:tmpl w:val="CBAAE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B157A51"/>
    <w:multiLevelType w:val="multilevel"/>
    <w:tmpl w:val="870EA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E5477CC"/>
    <w:multiLevelType w:val="multilevel"/>
    <w:tmpl w:val="4DB21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6E3529"/>
    <w:multiLevelType w:val="multilevel"/>
    <w:tmpl w:val="67D03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6B6D69"/>
    <w:multiLevelType w:val="multilevel"/>
    <w:tmpl w:val="3B627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7765DA5"/>
    <w:multiLevelType w:val="multilevel"/>
    <w:tmpl w:val="7BF268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78741D"/>
    <w:multiLevelType w:val="multilevel"/>
    <w:tmpl w:val="BFDA9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16F0AE4"/>
    <w:multiLevelType w:val="multilevel"/>
    <w:tmpl w:val="00F65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9F7527"/>
    <w:multiLevelType w:val="multilevel"/>
    <w:tmpl w:val="5E0A1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73B6B1C"/>
    <w:multiLevelType w:val="multilevel"/>
    <w:tmpl w:val="BD700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7BC2AF0"/>
    <w:multiLevelType w:val="multilevel"/>
    <w:tmpl w:val="FA0AF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9F55C5"/>
    <w:multiLevelType w:val="multilevel"/>
    <w:tmpl w:val="3C32B5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09746315">
    <w:abstractNumId w:val="32"/>
  </w:num>
  <w:num w:numId="2" w16cid:durableId="948393796">
    <w:abstractNumId w:val="6"/>
  </w:num>
  <w:num w:numId="3" w16cid:durableId="62874311">
    <w:abstractNumId w:val="13"/>
  </w:num>
  <w:num w:numId="4" w16cid:durableId="17120333">
    <w:abstractNumId w:val="40"/>
  </w:num>
  <w:num w:numId="5" w16cid:durableId="193467061">
    <w:abstractNumId w:val="33"/>
  </w:num>
  <w:num w:numId="6" w16cid:durableId="1942831499">
    <w:abstractNumId w:val="35"/>
  </w:num>
  <w:num w:numId="7" w16cid:durableId="749887267">
    <w:abstractNumId w:val="22"/>
  </w:num>
  <w:num w:numId="8" w16cid:durableId="1254900620">
    <w:abstractNumId w:val="14"/>
  </w:num>
  <w:num w:numId="9" w16cid:durableId="2036805631">
    <w:abstractNumId w:val="15"/>
  </w:num>
  <w:num w:numId="10" w16cid:durableId="1594510786">
    <w:abstractNumId w:val="41"/>
  </w:num>
  <w:num w:numId="11" w16cid:durableId="1603296572">
    <w:abstractNumId w:val="30"/>
  </w:num>
  <w:num w:numId="12" w16cid:durableId="1869023939">
    <w:abstractNumId w:val="11"/>
  </w:num>
  <w:num w:numId="13" w16cid:durableId="571044214">
    <w:abstractNumId w:val="28"/>
  </w:num>
  <w:num w:numId="14" w16cid:durableId="62607456">
    <w:abstractNumId w:val="0"/>
  </w:num>
  <w:num w:numId="15" w16cid:durableId="1495335604">
    <w:abstractNumId w:val="19"/>
  </w:num>
  <w:num w:numId="16" w16cid:durableId="69810978">
    <w:abstractNumId w:val="36"/>
  </w:num>
  <w:num w:numId="17" w16cid:durableId="1838882568">
    <w:abstractNumId w:val="21"/>
  </w:num>
  <w:num w:numId="18" w16cid:durableId="1342506219">
    <w:abstractNumId w:val="24"/>
  </w:num>
  <w:num w:numId="19" w16cid:durableId="694616941">
    <w:abstractNumId w:val="4"/>
  </w:num>
  <w:num w:numId="20" w16cid:durableId="1597404908">
    <w:abstractNumId w:val="8"/>
  </w:num>
  <w:num w:numId="21" w16cid:durableId="1263688641">
    <w:abstractNumId w:val="39"/>
  </w:num>
  <w:num w:numId="22" w16cid:durableId="1705598385">
    <w:abstractNumId w:val="37"/>
  </w:num>
  <w:num w:numId="23" w16cid:durableId="525797329">
    <w:abstractNumId w:val="7"/>
  </w:num>
  <w:num w:numId="24" w16cid:durableId="1141188487">
    <w:abstractNumId w:val="38"/>
  </w:num>
  <w:num w:numId="25" w16cid:durableId="1218006443">
    <w:abstractNumId w:val="16"/>
  </w:num>
  <w:num w:numId="26" w16cid:durableId="1513374201">
    <w:abstractNumId w:val="31"/>
  </w:num>
  <w:num w:numId="27" w16cid:durableId="958953599">
    <w:abstractNumId w:val="2"/>
  </w:num>
  <w:num w:numId="28" w16cid:durableId="596795171">
    <w:abstractNumId w:val="42"/>
  </w:num>
  <w:num w:numId="29" w16cid:durableId="1244948622">
    <w:abstractNumId w:val="5"/>
  </w:num>
  <w:num w:numId="30" w16cid:durableId="1740058715">
    <w:abstractNumId w:val="44"/>
  </w:num>
  <w:num w:numId="31" w16cid:durableId="2071808733">
    <w:abstractNumId w:val="9"/>
  </w:num>
  <w:num w:numId="32" w16cid:durableId="59065123">
    <w:abstractNumId w:val="25"/>
  </w:num>
  <w:num w:numId="33" w16cid:durableId="1209797387">
    <w:abstractNumId w:val="26"/>
  </w:num>
  <w:num w:numId="34" w16cid:durableId="856238084">
    <w:abstractNumId w:val="34"/>
  </w:num>
  <w:num w:numId="35" w16cid:durableId="1376616044">
    <w:abstractNumId w:val="29"/>
  </w:num>
  <w:num w:numId="36" w16cid:durableId="1367177558">
    <w:abstractNumId w:val="23"/>
  </w:num>
  <w:num w:numId="37" w16cid:durableId="63573234">
    <w:abstractNumId w:val="20"/>
  </w:num>
  <w:num w:numId="38" w16cid:durableId="106315146">
    <w:abstractNumId w:val="27"/>
  </w:num>
  <w:num w:numId="39" w16cid:durableId="681051817">
    <w:abstractNumId w:val="18"/>
  </w:num>
  <w:num w:numId="40" w16cid:durableId="422384234">
    <w:abstractNumId w:val="12"/>
  </w:num>
  <w:num w:numId="41" w16cid:durableId="486434759">
    <w:abstractNumId w:val="17"/>
  </w:num>
  <w:num w:numId="42" w16cid:durableId="691226401">
    <w:abstractNumId w:val="43"/>
  </w:num>
  <w:num w:numId="43" w16cid:durableId="1090465117">
    <w:abstractNumId w:val="1"/>
  </w:num>
  <w:num w:numId="44" w16cid:durableId="1419601319">
    <w:abstractNumId w:val="3"/>
  </w:num>
  <w:num w:numId="45" w16cid:durableId="1439833230">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activeWritingStyle w:appName="MSWord" w:lang="es-ES" w:vendorID="64" w:dllVersion="6" w:nlCheck="1" w:checkStyle="1"/>
  <w:activeWritingStyle w:appName="MSWord" w:lang="es-ES_tradnl" w:vendorID="64" w:dllVersion="6" w:nlCheck="1" w:checkStyle="1"/>
  <w:activeWritingStyle w:appName="MSWord" w:lang="en-GB" w:vendorID="64" w:dllVersion="6" w:nlCheck="1" w:checkStyle="1"/>
  <w:activeWritingStyle w:appName="MSWord" w:lang="es-ES" w:vendorID="64" w:dllVersion="0" w:nlCheck="1" w:checkStyle="0"/>
  <w:activeWritingStyle w:appName="MSWord" w:lang="es-ES_tradnl" w:vendorID="64" w:dllVersion="0" w:nlCheck="1" w:checkStyle="0"/>
  <w:activeWritingStyle w:appName="MSWord" w:lang="es-ES" w:vendorID="64" w:dllVersion="4096" w:nlCheck="1" w:checkStyle="0"/>
  <w:activeWritingStyle w:appName="MSWord" w:lang="es-ES_tradnl" w:vendorID="64" w:dllVersion="4096" w:nlCheck="1" w:checkStyle="0"/>
  <w:activeWritingStyle w:appName="MSWord" w:lang="fr-FR" w:vendorID="64" w:dllVersion="6"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37C"/>
    <w:rsid w:val="000019A3"/>
    <w:rsid w:val="000028FA"/>
    <w:rsid w:val="000048F8"/>
    <w:rsid w:val="00005E9D"/>
    <w:rsid w:val="000105D9"/>
    <w:rsid w:val="00010C23"/>
    <w:rsid w:val="000111E9"/>
    <w:rsid w:val="000112AD"/>
    <w:rsid w:val="00012A76"/>
    <w:rsid w:val="00016BA2"/>
    <w:rsid w:val="000207DB"/>
    <w:rsid w:val="00020E5D"/>
    <w:rsid w:val="00021C72"/>
    <w:rsid w:val="00022557"/>
    <w:rsid w:val="00023E00"/>
    <w:rsid w:val="00025324"/>
    <w:rsid w:val="000261BE"/>
    <w:rsid w:val="00026231"/>
    <w:rsid w:val="00026EC3"/>
    <w:rsid w:val="000270D2"/>
    <w:rsid w:val="000270E8"/>
    <w:rsid w:val="00031FE0"/>
    <w:rsid w:val="00032064"/>
    <w:rsid w:val="00032128"/>
    <w:rsid w:val="0003466A"/>
    <w:rsid w:val="00034E97"/>
    <w:rsid w:val="000355BA"/>
    <w:rsid w:val="00035978"/>
    <w:rsid w:val="00035D45"/>
    <w:rsid w:val="00035D7E"/>
    <w:rsid w:val="00036454"/>
    <w:rsid w:val="0003655F"/>
    <w:rsid w:val="0003678D"/>
    <w:rsid w:val="0004230D"/>
    <w:rsid w:val="000456FC"/>
    <w:rsid w:val="000461DF"/>
    <w:rsid w:val="00050973"/>
    <w:rsid w:val="00051B72"/>
    <w:rsid w:val="00051E40"/>
    <w:rsid w:val="000529D3"/>
    <w:rsid w:val="00056CEE"/>
    <w:rsid w:val="000578D2"/>
    <w:rsid w:val="0005793E"/>
    <w:rsid w:val="00057B9E"/>
    <w:rsid w:val="00057C34"/>
    <w:rsid w:val="00061D66"/>
    <w:rsid w:val="000640D9"/>
    <w:rsid w:val="00065D4F"/>
    <w:rsid w:val="00066633"/>
    <w:rsid w:val="000714A7"/>
    <w:rsid w:val="00071B81"/>
    <w:rsid w:val="00073735"/>
    <w:rsid w:val="000737B7"/>
    <w:rsid w:val="000737DF"/>
    <w:rsid w:val="000739DE"/>
    <w:rsid w:val="00074F5B"/>
    <w:rsid w:val="000752F9"/>
    <w:rsid w:val="00075B32"/>
    <w:rsid w:val="00075DEE"/>
    <w:rsid w:val="00083E8A"/>
    <w:rsid w:val="00084132"/>
    <w:rsid w:val="00086D10"/>
    <w:rsid w:val="00087F84"/>
    <w:rsid w:val="00090253"/>
    <w:rsid w:val="00095D30"/>
    <w:rsid w:val="00096CEE"/>
    <w:rsid w:val="00097138"/>
    <w:rsid w:val="000978FF"/>
    <w:rsid w:val="00097D6C"/>
    <w:rsid w:val="000A27F8"/>
    <w:rsid w:val="000A2F1B"/>
    <w:rsid w:val="000A3007"/>
    <w:rsid w:val="000A3041"/>
    <w:rsid w:val="000A76BB"/>
    <w:rsid w:val="000B0801"/>
    <w:rsid w:val="000B2913"/>
    <w:rsid w:val="000B3563"/>
    <w:rsid w:val="000B4058"/>
    <w:rsid w:val="000C04ED"/>
    <w:rsid w:val="000C0BEF"/>
    <w:rsid w:val="000C2F61"/>
    <w:rsid w:val="000C36D5"/>
    <w:rsid w:val="000C5647"/>
    <w:rsid w:val="000C5732"/>
    <w:rsid w:val="000C5AF1"/>
    <w:rsid w:val="000D0F40"/>
    <w:rsid w:val="000D39BA"/>
    <w:rsid w:val="000D4C9E"/>
    <w:rsid w:val="000D6027"/>
    <w:rsid w:val="000D72A3"/>
    <w:rsid w:val="000E0EB5"/>
    <w:rsid w:val="000E149E"/>
    <w:rsid w:val="000E31C0"/>
    <w:rsid w:val="000E44B9"/>
    <w:rsid w:val="000E7F33"/>
    <w:rsid w:val="000E7F5C"/>
    <w:rsid w:val="000F367A"/>
    <w:rsid w:val="000F3D51"/>
    <w:rsid w:val="000F3F02"/>
    <w:rsid w:val="000F6255"/>
    <w:rsid w:val="000F7529"/>
    <w:rsid w:val="00100879"/>
    <w:rsid w:val="00103BCE"/>
    <w:rsid w:val="00104DC3"/>
    <w:rsid w:val="00107AFC"/>
    <w:rsid w:val="00107D25"/>
    <w:rsid w:val="001103A8"/>
    <w:rsid w:val="001105DE"/>
    <w:rsid w:val="00110705"/>
    <w:rsid w:val="00110B83"/>
    <w:rsid w:val="00114B70"/>
    <w:rsid w:val="00115348"/>
    <w:rsid w:val="0011554D"/>
    <w:rsid w:val="0011731F"/>
    <w:rsid w:val="00120318"/>
    <w:rsid w:val="001203B4"/>
    <w:rsid w:val="00123083"/>
    <w:rsid w:val="001233B1"/>
    <w:rsid w:val="00123D1D"/>
    <w:rsid w:val="0012576E"/>
    <w:rsid w:val="001270CF"/>
    <w:rsid w:val="0013051E"/>
    <w:rsid w:val="00130B4F"/>
    <w:rsid w:val="001315CD"/>
    <w:rsid w:val="00131C82"/>
    <w:rsid w:val="001341CB"/>
    <w:rsid w:val="00134FC1"/>
    <w:rsid w:val="00137392"/>
    <w:rsid w:val="0014063A"/>
    <w:rsid w:val="001432F9"/>
    <w:rsid w:val="001435F8"/>
    <w:rsid w:val="00144CA2"/>
    <w:rsid w:val="0014713B"/>
    <w:rsid w:val="0015101D"/>
    <w:rsid w:val="001517C7"/>
    <w:rsid w:val="0015429F"/>
    <w:rsid w:val="0015565F"/>
    <w:rsid w:val="00157210"/>
    <w:rsid w:val="001603D6"/>
    <w:rsid w:val="0016441E"/>
    <w:rsid w:val="001645CA"/>
    <w:rsid w:val="00172D86"/>
    <w:rsid w:val="0017389A"/>
    <w:rsid w:val="001742E4"/>
    <w:rsid w:val="00174599"/>
    <w:rsid w:val="00176A58"/>
    <w:rsid w:val="001817C1"/>
    <w:rsid w:val="001821E9"/>
    <w:rsid w:val="0018302E"/>
    <w:rsid w:val="00183AA8"/>
    <w:rsid w:val="0018518C"/>
    <w:rsid w:val="0018542C"/>
    <w:rsid w:val="0019006D"/>
    <w:rsid w:val="00192C16"/>
    <w:rsid w:val="001941A2"/>
    <w:rsid w:val="00195C13"/>
    <w:rsid w:val="00195C41"/>
    <w:rsid w:val="001A14BA"/>
    <w:rsid w:val="001A19B6"/>
    <w:rsid w:val="001A38EA"/>
    <w:rsid w:val="001A5C73"/>
    <w:rsid w:val="001A6500"/>
    <w:rsid w:val="001A6B56"/>
    <w:rsid w:val="001A6C28"/>
    <w:rsid w:val="001B0479"/>
    <w:rsid w:val="001B0FCD"/>
    <w:rsid w:val="001B13CD"/>
    <w:rsid w:val="001B19F8"/>
    <w:rsid w:val="001B1A90"/>
    <w:rsid w:val="001B1B0F"/>
    <w:rsid w:val="001B1EC4"/>
    <w:rsid w:val="001B4E5B"/>
    <w:rsid w:val="001B5B37"/>
    <w:rsid w:val="001B608A"/>
    <w:rsid w:val="001B634A"/>
    <w:rsid w:val="001B76E9"/>
    <w:rsid w:val="001C5F2C"/>
    <w:rsid w:val="001C615C"/>
    <w:rsid w:val="001D1146"/>
    <w:rsid w:val="001D14E7"/>
    <w:rsid w:val="001D1EAB"/>
    <w:rsid w:val="001D37AA"/>
    <w:rsid w:val="001D473C"/>
    <w:rsid w:val="001D4E05"/>
    <w:rsid w:val="001E08AA"/>
    <w:rsid w:val="001E0CC2"/>
    <w:rsid w:val="001E3F60"/>
    <w:rsid w:val="001E4594"/>
    <w:rsid w:val="001E691A"/>
    <w:rsid w:val="001E705A"/>
    <w:rsid w:val="001E7941"/>
    <w:rsid w:val="001F0018"/>
    <w:rsid w:val="001F0315"/>
    <w:rsid w:val="001F0738"/>
    <w:rsid w:val="001F3358"/>
    <w:rsid w:val="001F3F95"/>
    <w:rsid w:val="001F464C"/>
    <w:rsid w:val="001F46E2"/>
    <w:rsid w:val="001F5C21"/>
    <w:rsid w:val="001F6CB1"/>
    <w:rsid w:val="001F6DAC"/>
    <w:rsid w:val="001F7FA0"/>
    <w:rsid w:val="002003E0"/>
    <w:rsid w:val="002005DD"/>
    <w:rsid w:val="00202157"/>
    <w:rsid w:val="00204314"/>
    <w:rsid w:val="00204CE3"/>
    <w:rsid w:val="00206422"/>
    <w:rsid w:val="002069A7"/>
    <w:rsid w:val="00207721"/>
    <w:rsid w:val="00207915"/>
    <w:rsid w:val="0021276C"/>
    <w:rsid w:val="00214042"/>
    <w:rsid w:val="00214A82"/>
    <w:rsid w:val="00217814"/>
    <w:rsid w:val="00217DBE"/>
    <w:rsid w:val="00217E93"/>
    <w:rsid w:val="00222127"/>
    <w:rsid w:val="00222442"/>
    <w:rsid w:val="002224D5"/>
    <w:rsid w:val="00222C97"/>
    <w:rsid w:val="00224074"/>
    <w:rsid w:val="00224A80"/>
    <w:rsid w:val="00224FB4"/>
    <w:rsid w:val="00232390"/>
    <w:rsid w:val="002330FD"/>
    <w:rsid w:val="002334F5"/>
    <w:rsid w:val="00243BCD"/>
    <w:rsid w:val="002444CC"/>
    <w:rsid w:val="00246E66"/>
    <w:rsid w:val="00251B44"/>
    <w:rsid w:val="00252543"/>
    <w:rsid w:val="002526C4"/>
    <w:rsid w:val="00252DCE"/>
    <w:rsid w:val="00253E9D"/>
    <w:rsid w:val="00254DDA"/>
    <w:rsid w:val="00254E07"/>
    <w:rsid w:val="00261555"/>
    <w:rsid w:val="00267BD5"/>
    <w:rsid w:val="0027045E"/>
    <w:rsid w:val="00270561"/>
    <w:rsid w:val="00270C9D"/>
    <w:rsid w:val="00271A56"/>
    <w:rsid w:val="002734D4"/>
    <w:rsid w:val="0027427C"/>
    <w:rsid w:val="00274769"/>
    <w:rsid w:val="0027578F"/>
    <w:rsid w:val="0028016F"/>
    <w:rsid w:val="00286557"/>
    <w:rsid w:val="00287458"/>
    <w:rsid w:val="00287761"/>
    <w:rsid w:val="00291D8D"/>
    <w:rsid w:val="00292985"/>
    <w:rsid w:val="00294ED4"/>
    <w:rsid w:val="002A1842"/>
    <w:rsid w:val="002A2338"/>
    <w:rsid w:val="002A45CC"/>
    <w:rsid w:val="002A4D7C"/>
    <w:rsid w:val="002A523B"/>
    <w:rsid w:val="002A6AD5"/>
    <w:rsid w:val="002A6BE4"/>
    <w:rsid w:val="002A793A"/>
    <w:rsid w:val="002A7D15"/>
    <w:rsid w:val="002B2B15"/>
    <w:rsid w:val="002B2E8D"/>
    <w:rsid w:val="002B3824"/>
    <w:rsid w:val="002B4864"/>
    <w:rsid w:val="002B4C69"/>
    <w:rsid w:val="002B55F1"/>
    <w:rsid w:val="002C046C"/>
    <w:rsid w:val="002C34AB"/>
    <w:rsid w:val="002C3B77"/>
    <w:rsid w:val="002C4CF4"/>
    <w:rsid w:val="002C5523"/>
    <w:rsid w:val="002C6D94"/>
    <w:rsid w:val="002C7E27"/>
    <w:rsid w:val="002D01FD"/>
    <w:rsid w:val="002D0F26"/>
    <w:rsid w:val="002D359C"/>
    <w:rsid w:val="002D6133"/>
    <w:rsid w:val="002D6A89"/>
    <w:rsid w:val="002E0861"/>
    <w:rsid w:val="002E0F75"/>
    <w:rsid w:val="002E13BE"/>
    <w:rsid w:val="002E31D3"/>
    <w:rsid w:val="002E43AB"/>
    <w:rsid w:val="002E7AA5"/>
    <w:rsid w:val="002F3780"/>
    <w:rsid w:val="002F3900"/>
    <w:rsid w:val="002F3B73"/>
    <w:rsid w:val="002F51BC"/>
    <w:rsid w:val="002F55F5"/>
    <w:rsid w:val="002F7246"/>
    <w:rsid w:val="002F78F5"/>
    <w:rsid w:val="003005B1"/>
    <w:rsid w:val="00300A06"/>
    <w:rsid w:val="00301745"/>
    <w:rsid w:val="00302711"/>
    <w:rsid w:val="00302714"/>
    <w:rsid w:val="00303C2F"/>
    <w:rsid w:val="0030662B"/>
    <w:rsid w:val="00307106"/>
    <w:rsid w:val="0030775E"/>
    <w:rsid w:val="00310548"/>
    <w:rsid w:val="00310551"/>
    <w:rsid w:val="00312BBB"/>
    <w:rsid w:val="00314D37"/>
    <w:rsid w:val="00314F4F"/>
    <w:rsid w:val="00316389"/>
    <w:rsid w:val="00320C7C"/>
    <w:rsid w:val="00321319"/>
    <w:rsid w:val="00321770"/>
    <w:rsid w:val="00321BB1"/>
    <w:rsid w:val="00324CF9"/>
    <w:rsid w:val="00325770"/>
    <w:rsid w:val="0032649B"/>
    <w:rsid w:val="00327142"/>
    <w:rsid w:val="0032740F"/>
    <w:rsid w:val="00330D9F"/>
    <w:rsid w:val="00331BA9"/>
    <w:rsid w:val="00333983"/>
    <w:rsid w:val="00334F09"/>
    <w:rsid w:val="0034184C"/>
    <w:rsid w:val="003428D9"/>
    <w:rsid w:val="00342FA4"/>
    <w:rsid w:val="003431A9"/>
    <w:rsid w:val="00343F39"/>
    <w:rsid w:val="003446C7"/>
    <w:rsid w:val="0034751A"/>
    <w:rsid w:val="00352E2F"/>
    <w:rsid w:val="00355640"/>
    <w:rsid w:val="00355A8F"/>
    <w:rsid w:val="003565A8"/>
    <w:rsid w:val="003576FF"/>
    <w:rsid w:val="00360014"/>
    <w:rsid w:val="00362FB3"/>
    <w:rsid w:val="0036517B"/>
    <w:rsid w:val="00365511"/>
    <w:rsid w:val="003703C6"/>
    <w:rsid w:val="00372181"/>
    <w:rsid w:val="00372183"/>
    <w:rsid w:val="00372CA1"/>
    <w:rsid w:val="00380183"/>
    <w:rsid w:val="0038064F"/>
    <w:rsid w:val="00380C3A"/>
    <w:rsid w:val="003837C7"/>
    <w:rsid w:val="003864B2"/>
    <w:rsid w:val="00386AF3"/>
    <w:rsid w:val="00387D7C"/>
    <w:rsid w:val="00392339"/>
    <w:rsid w:val="00392352"/>
    <w:rsid w:val="003925C6"/>
    <w:rsid w:val="00393E43"/>
    <w:rsid w:val="00393FBF"/>
    <w:rsid w:val="003A5F04"/>
    <w:rsid w:val="003A6322"/>
    <w:rsid w:val="003A65F1"/>
    <w:rsid w:val="003A6869"/>
    <w:rsid w:val="003A69CB"/>
    <w:rsid w:val="003A6DA5"/>
    <w:rsid w:val="003B15E5"/>
    <w:rsid w:val="003B2C22"/>
    <w:rsid w:val="003B7AD4"/>
    <w:rsid w:val="003C0487"/>
    <w:rsid w:val="003C1048"/>
    <w:rsid w:val="003C1DA7"/>
    <w:rsid w:val="003C20BB"/>
    <w:rsid w:val="003C38E3"/>
    <w:rsid w:val="003C3C23"/>
    <w:rsid w:val="003C5D6F"/>
    <w:rsid w:val="003C698F"/>
    <w:rsid w:val="003C764D"/>
    <w:rsid w:val="003D04B8"/>
    <w:rsid w:val="003D0896"/>
    <w:rsid w:val="003D12C0"/>
    <w:rsid w:val="003D211E"/>
    <w:rsid w:val="003E04B5"/>
    <w:rsid w:val="003E07DB"/>
    <w:rsid w:val="003E1793"/>
    <w:rsid w:val="003E275F"/>
    <w:rsid w:val="003E3F38"/>
    <w:rsid w:val="003E57F4"/>
    <w:rsid w:val="003E7456"/>
    <w:rsid w:val="003F0C5C"/>
    <w:rsid w:val="003F2849"/>
    <w:rsid w:val="003F3C56"/>
    <w:rsid w:val="003F3E97"/>
    <w:rsid w:val="003F3EFD"/>
    <w:rsid w:val="003F43DA"/>
    <w:rsid w:val="003F6B09"/>
    <w:rsid w:val="003F6E49"/>
    <w:rsid w:val="003F7716"/>
    <w:rsid w:val="00400825"/>
    <w:rsid w:val="00402ADF"/>
    <w:rsid w:val="00402DE6"/>
    <w:rsid w:val="00402EF5"/>
    <w:rsid w:val="00402F1D"/>
    <w:rsid w:val="00403426"/>
    <w:rsid w:val="00403AEB"/>
    <w:rsid w:val="00404B98"/>
    <w:rsid w:val="00404F18"/>
    <w:rsid w:val="0040593A"/>
    <w:rsid w:val="0040607E"/>
    <w:rsid w:val="00411B85"/>
    <w:rsid w:val="004146B9"/>
    <w:rsid w:val="0041470E"/>
    <w:rsid w:val="004153D5"/>
    <w:rsid w:val="00416C93"/>
    <w:rsid w:val="004201E0"/>
    <w:rsid w:val="004218AF"/>
    <w:rsid w:val="0042235D"/>
    <w:rsid w:val="00422775"/>
    <w:rsid w:val="00422DDF"/>
    <w:rsid w:val="00423EE8"/>
    <w:rsid w:val="00423FF3"/>
    <w:rsid w:val="004248F5"/>
    <w:rsid w:val="00426D93"/>
    <w:rsid w:val="004277E5"/>
    <w:rsid w:val="00430053"/>
    <w:rsid w:val="00432CD6"/>
    <w:rsid w:val="00433EE2"/>
    <w:rsid w:val="00434600"/>
    <w:rsid w:val="00437885"/>
    <w:rsid w:val="00441C96"/>
    <w:rsid w:val="00442B43"/>
    <w:rsid w:val="00443A30"/>
    <w:rsid w:val="00443D5B"/>
    <w:rsid w:val="00444177"/>
    <w:rsid w:val="004445C7"/>
    <w:rsid w:val="004446CE"/>
    <w:rsid w:val="00444ABD"/>
    <w:rsid w:val="004457F1"/>
    <w:rsid w:val="00445B61"/>
    <w:rsid w:val="0044678B"/>
    <w:rsid w:val="00446CA1"/>
    <w:rsid w:val="004501A5"/>
    <w:rsid w:val="00451876"/>
    <w:rsid w:val="00451FF8"/>
    <w:rsid w:val="00452F15"/>
    <w:rsid w:val="00453092"/>
    <w:rsid w:val="00454DF0"/>
    <w:rsid w:val="00456863"/>
    <w:rsid w:val="00456FC8"/>
    <w:rsid w:val="00461076"/>
    <w:rsid w:val="0046210E"/>
    <w:rsid w:val="004627F2"/>
    <w:rsid w:val="00464D81"/>
    <w:rsid w:val="00465B72"/>
    <w:rsid w:val="0046635A"/>
    <w:rsid w:val="004667F3"/>
    <w:rsid w:val="0047063C"/>
    <w:rsid w:val="00470D13"/>
    <w:rsid w:val="004712B9"/>
    <w:rsid w:val="00471A00"/>
    <w:rsid w:val="00474E86"/>
    <w:rsid w:val="00477542"/>
    <w:rsid w:val="00480805"/>
    <w:rsid w:val="00482164"/>
    <w:rsid w:val="00482363"/>
    <w:rsid w:val="0048537B"/>
    <w:rsid w:val="0048737A"/>
    <w:rsid w:val="00490EF1"/>
    <w:rsid w:val="00494EA9"/>
    <w:rsid w:val="004951C2"/>
    <w:rsid w:val="004A2D0C"/>
    <w:rsid w:val="004A44A8"/>
    <w:rsid w:val="004A4F68"/>
    <w:rsid w:val="004A7A1E"/>
    <w:rsid w:val="004B2499"/>
    <w:rsid w:val="004B5BDE"/>
    <w:rsid w:val="004B6087"/>
    <w:rsid w:val="004C0C44"/>
    <w:rsid w:val="004C1182"/>
    <w:rsid w:val="004C133B"/>
    <w:rsid w:val="004C188A"/>
    <w:rsid w:val="004C1FC0"/>
    <w:rsid w:val="004C265F"/>
    <w:rsid w:val="004C2C33"/>
    <w:rsid w:val="004C3693"/>
    <w:rsid w:val="004C59F2"/>
    <w:rsid w:val="004C5F53"/>
    <w:rsid w:val="004C6B62"/>
    <w:rsid w:val="004C7D7F"/>
    <w:rsid w:val="004D0292"/>
    <w:rsid w:val="004D10E3"/>
    <w:rsid w:val="004D158A"/>
    <w:rsid w:val="004D3080"/>
    <w:rsid w:val="004D45AA"/>
    <w:rsid w:val="004D6EFC"/>
    <w:rsid w:val="004D76B9"/>
    <w:rsid w:val="004E556E"/>
    <w:rsid w:val="004E5E16"/>
    <w:rsid w:val="004F2C6A"/>
    <w:rsid w:val="004F3CAB"/>
    <w:rsid w:val="004F5978"/>
    <w:rsid w:val="004F6AB7"/>
    <w:rsid w:val="004F6EED"/>
    <w:rsid w:val="004F6F0D"/>
    <w:rsid w:val="004F72D3"/>
    <w:rsid w:val="004F7D5D"/>
    <w:rsid w:val="004F7E48"/>
    <w:rsid w:val="004F7F77"/>
    <w:rsid w:val="00500597"/>
    <w:rsid w:val="005036E8"/>
    <w:rsid w:val="00504680"/>
    <w:rsid w:val="005050CC"/>
    <w:rsid w:val="005105AA"/>
    <w:rsid w:val="005117A6"/>
    <w:rsid w:val="00513FAD"/>
    <w:rsid w:val="00514E41"/>
    <w:rsid w:val="00515894"/>
    <w:rsid w:val="00515DB7"/>
    <w:rsid w:val="00516229"/>
    <w:rsid w:val="005206ED"/>
    <w:rsid w:val="0052258F"/>
    <w:rsid w:val="005246A9"/>
    <w:rsid w:val="00524761"/>
    <w:rsid w:val="0052581E"/>
    <w:rsid w:val="00525894"/>
    <w:rsid w:val="00527C7D"/>
    <w:rsid w:val="0053007E"/>
    <w:rsid w:val="00530DED"/>
    <w:rsid w:val="00531670"/>
    <w:rsid w:val="0053196D"/>
    <w:rsid w:val="00533899"/>
    <w:rsid w:val="00534CAD"/>
    <w:rsid w:val="00535AD6"/>
    <w:rsid w:val="00536ADB"/>
    <w:rsid w:val="0053701A"/>
    <w:rsid w:val="005439CB"/>
    <w:rsid w:val="00544DE1"/>
    <w:rsid w:val="005460C3"/>
    <w:rsid w:val="00552503"/>
    <w:rsid w:val="00553A05"/>
    <w:rsid w:val="00554F3E"/>
    <w:rsid w:val="00555B6B"/>
    <w:rsid w:val="005578FC"/>
    <w:rsid w:val="00562A05"/>
    <w:rsid w:val="005644E8"/>
    <w:rsid w:val="00564AB9"/>
    <w:rsid w:val="00564E79"/>
    <w:rsid w:val="00565CE2"/>
    <w:rsid w:val="00566D04"/>
    <w:rsid w:val="00566EFD"/>
    <w:rsid w:val="00566F9A"/>
    <w:rsid w:val="00570B94"/>
    <w:rsid w:val="0057172B"/>
    <w:rsid w:val="005737E2"/>
    <w:rsid w:val="00573ADE"/>
    <w:rsid w:val="005846F2"/>
    <w:rsid w:val="005904EE"/>
    <w:rsid w:val="00591024"/>
    <w:rsid w:val="00593846"/>
    <w:rsid w:val="00594483"/>
    <w:rsid w:val="00596321"/>
    <w:rsid w:val="005A17D4"/>
    <w:rsid w:val="005A2CB9"/>
    <w:rsid w:val="005A3D63"/>
    <w:rsid w:val="005A483D"/>
    <w:rsid w:val="005A5115"/>
    <w:rsid w:val="005A6246"/>
    <w:rsid w:val="005A62D8"/>
    <w:rsid w:val="005B502F"/>
    <w:rsid w:val="005B5F15"/>
    <w:rsid w:val="005B65C7"/>
    <w:rsid w:val="005B6D50"/>
    <w:rsid w:val="005B71BE"/>
    <w:rsid w:val="005B7864"/>
    <w:rsid w:val="005C029B"/>
    <w:rsid w:val="005C0742"/>
    <w:rsid w:val="005C0918"/>
    <w:rsid w:val="005C09AA"/>
    <w:rsid w:val="005C1DA7"/>
    <w:rsid w:val="005C29B9"/>
    <w:rsid w:val="005C3693"/>
    <w:rsid w:val="005C42A2"/>
    <w:rsid w:val="005D1389"/>
    <w:rsid w:val="005D23E4"/>
    <w:rsid w:val="005D29A4"/>
    <w:rsid w:val="005D37DB"/>
    <w:rsid w:val="005D54E4"/>
    <w:rsid w:val="005D66D6"/>
    <w:rsid w:val="005D671B"/>
    <w:rsid w:val="005E12C2"/>
    <w:rsid w:val="005E1F0D"/>
    <w:rsid w:val="005E29D3"/>
    <w:rsid w:val="005E30AA"/>
    <w:rsid w:val="005E4506"/>
    <w:rsid w:val="005E5020"/>
    <w:rsid w:val="005E502B"/>
    <w:rsid w:val="005E541A"/>
    <w:rsid w:val="005E5AAB"/>
    <w:rsid w:val="005E6C0F"/>
    <w:rsid w:val="005E7F4E"/>
    <w:rsid w:val="005F699D"/>
    <w:rsid w:val="005F722C"/>
    <w:rsid w:val="005F7291"/>
    <w:rsid w:val="005F7C29"/>
    <w:rsid w:val="005F7D7E"/>
    <w:rsid w:val="0060046C"/>
    <w:rsid w:val="00600F18"/>
    <w:rsid w:val="00604F3B"/>
    <w:rsid w:val="00606739"/>
    <w:rsid w:val="00606C51"/>
    <w:rsid w:val="00606E32"/>
    <w:rsid w:val="00607B52"/>
    <w:rsid w:val="006100B3"/>
    <w:rsid w:val="00610252"/>
    <w:rsid w:val="00612918"/>
    <w:rsid w:val="00613EFC"/>
    <w:rsid w:val="00614B9E"/>
    <w:rsid w:val="0061709B"/>
    <w:rsid w:val="00621823"/>
    <w:rsid w:val="00624500"/>
    <w:rsid w:val="00624541"/>
    <w:rsid w:val="00632834"/>
    <w:rsid w:val="00632969"/>
    <w:rsid w:val="006332FB"/>
    <w:rsid w:val="0063699E"/>
    <w:rsid w:val="006422A6"/>
    <w:rsid w:val="0064249C"/>
    <w:rsid w:val="00642E49"/>
    <w:rsid w:val="00643450"/>
    <w:rsid w:val="00644173"/>
    <w:rsid w:val="00645852"/>
    <w:rsid w:val="00652DB0"/>
    <w:rsid w:val="00654289"/>
    <w:rsid w:val="00661FB5"/>
    <w:rsid w:val="006623BF"/>
    <w:rsid w:val="00663583"/>
    <w:rsid w:val="00673EB3"/>
    <w:rsid w:val="00674303"/>
    <w:rsid w:val="006758F1"/>
    <w:rsid w:val="00677214"/>
    <w:rsid w:val="00677705"/>
    <w:rsid w:val="00680320"/>
    <w:rsid w:val="00681130"/>
    <w:rsid w:val="00681B43"/>
    <w:rsid w:val="00681DC4"/>
    <w:rsid w:val="00684163"/>
    <w:rsid w:val="00684197"/>
    <w:rsid w:val="00685597"/>
    <w:rsid w:val="00685F0D"/>
    <w:rsid w:val="00686D8C"/>
    <w:rsid w:val="00687892"/>
    <w:rsid w:val="00687ACD"/>
    <w:rsid w:val="00687F95"/>
    <w:rsid w:val="00690AE1"/>
    <w:rsid w:val="00691432"/>
    <w:rsid w:val="006934D4"/>
    <w:rsid w:val="006949F9"/>
    <w:rsid w:val="00694AD6"/>
    <w:rsid w:val="00695895"/>
    <w:rsid w:val="00695D67"/>
    <w:rsid w:val="00695D82"/>
    <w:rsid w:val="006967EB"/>
    <w:rsid w:val="006A0344"/>
    <w:rsid w:val="006A0C08"/>
    <w:rsid w:val="006A2295"/>
    <w:rsid w:val="006A4012"/>
    <w:rsid w:val="006A5017"/>
    <w:rsid w:val="006A7240"/>
    <w:rsid w:val="006B09A6"/>
    <w:rsid w:val="006B1B6E"/>
    <w:rsid w:val="006B1E5F"/>
    <w:rsid w:val="006B3AC0"/>
    <w:rsid w:val="006B66D2"/>
    <w:rsid w:val="006B7DF0"/>
    <w:rsid w:val="006C0DB4"/>
    <w:rsid w:val="006C17E4"/>
    <w:rsid w:val="006C2B81"/>
    <w:rsid w:val="006C2BC2"/>
    <w:rsid w:val="006C408F"/>
    <w:rsid w:val="006C44B6"/>
    <w:rsid w:val="006C68F1"/>
    <w:rsid w:val="006D0788"/>
    <w:rsid w:val="006D174D"/>
    <w:rsid w:val="006D2A33"/>
    <w:rsid w:val="006D65AD"/>
    <w:rsid w:val="006E0706"/>
    <w:rsid w:val="006E1485"/>
    <w:rsid w:val="006E31BE"/>
    <w:rsid w:val="006E40A8"/>
    <w:rsid w:val="006E4234"/>
    <w:rsid w:val="006E59DB"/>
    <w:rsid w:val="006F36C7"/>
    <w:rsid w:val="006F71EC"/>
    <w:rsid w:val="007001B8"/>
    <w:rsid w:val="00701A98"/>
    <w:rsid w:val="00702C83"/>
    <w:rsid w:val="00703AF1"/>
    <w:rsid w:val="00704BC3"/>
    <w:rsid w:val="00704D4A"/>
    <w:rsid w:val="00704FED"/>
    <w:rsid w:val="00705C09"/>
    <w:rsid w:val="00706D63"/>
    <w:rsid w:val="00710242"/>
    <w:rsid w:val="00710409"/>
    <w:rsid w:val="00710F60"/>
    <w:rsid w:val="00711822"/>
    <w:rsid w:val="0071512F"/>
    <w:rsid w:val="0071540E"/>
    <w:rsid w:val="0072046F"/>
    <w:rsid w:val="00722059"/>
    <w:rsid w:val="00723DE6"/>
    <w:rsid w:val="00724DCC"/>
    <w:rsid w:val="0072676A"/>
    <w:rsid w:val="00727741"/>
    <w:rsid w:val="0073024B"/>
    <w:rsid w:val="0073274C"/>
    <w:rsid w:val="007340F4"/>
    <w:rsid w:val="00735AB8"/>
    <w:rsid w:val="007365BB"/>
    <w:rsid w:val="00740098"/>
    <w:rsid w:val="00743164"/>
    <w:rsid w:val="00743302"/>
    <w:rsid w:val="00743334"/>
    <w:rsid w:val="00743A45"/>
    <w:rsid w:val="00744A44"/>
    <w:rsid w:val="00746792"/>
    <w:rsid w:val="00747895"/>
    <w:rsid w:val="00750FBA"/>
    <w:rsid w:val="007527B4"/>
    <w:rsid w:val="00752F09"/>
    <w:rsid w:val="00753198"/>
    <w:rsid w:val="00753E93"/>
    <w:rsid w:val="00756802"/>
    <w:rsid w:val="007614F3"/>
    <w:rsid w:val="007618D8"/>
    <w:rsid w:val="00761908"/>
    <w:rsid w:val="00761C10"/>
    <w:rsid w:val="0076419A"/>
    <w:rsid w:val="007644F0"/>
    <w:rsid w:val="00764BF1"/>
    <w:rsid w:val="00767351"/>
    <w:rsid w:val="0077137C"/>
    <w:rsid w:val="00771DF7"/>
    <w:rsid w:val="00772AC6"/>
    <w:rsid w:val="007736A0"/>
    <w:rsid w:val="007764E2"/>
    <w:rsid w:val="007771FC"/>
    <w:rsid w:val="00777370"/>
    <w:rsid w:val="00782963"/>
    <w:rsid w:val="00782E85"/>
    <w:rsid w:val="007833D0"/>
    <w:rsid w:val="007842FA"/>
    <w:rsid w:val="007845CF"/>
    <w:rsid w:val="007847E7"/>
    <w:rsid w:val="00785067"/>
    <w:rsid w:val="00785359"/>
    <w:rsid w:val="007862D6"/>
    <w:rsid w:val="00787D1B"/>
    <w:rsid w:val="0079062F"/>
    <w:rsid w:val="00790B0B"/>
    <w:rsid w:val="00794E2C"/>
    <w:rsid w:val="007951CC"/>
    <w:rsid w:val="00797B93"/>
    <w:rsid w:val="00797E5A"/>
    <w:rsid w:val="007A1000"/>
    <w:rsid w:val="007A1D2F"/>
    <w:rsid w:val="007A1F0D"/>
    <w:rsid w:val="007A532F"/>
    <w:rsid w:val="007A5D3E"/>
    <w:rsid w:val="007A6850"/>
    <w:rsid w:val="007A7A7A"/>
    <w:rsid w:val="007B03FC"/>
    <w:rsid w:val="007B1858"/>
    <w:rsid w:val="007B1C6C"/>
    <w:rsid w:val="007B52CB"/>
    <w:rsid w:val="007B5909"/>
    <w:rsid w:val="007B5F10"/>
    <w:rsid w:val="007B7625"/>
    <w:rsid w:val="007C1263"/>
    <w:rsid w:val="007C1C99"/>
    <w:rsid w:val="007C1CEF"/>
    <w:rsid w:val="007C501B"/>
    <w:rsid w:val="007C7817"/>
    <w:rsid w:val="007D02CF"/>
    <w:rsid w:val="007D3954"/>
    <w:rsid w:val="007D3F1F"/>
    <w:rsid w:val="007D597F"/>
    <w:rsid w:val="007D65A1"/>
    <w:rsid w:val="007D67C1"/>
    <w:rsid w:val="007D79FE"/>
    <w:rsid w:val="007E0B07"/>
    <w:rsid w:val="007E0FD8"/>
    <w:rsid w:val="007E47B6"/>
    <w:rsid w:val="007E6456"/>
    <w:rsid w:val="007F041F"/>
    <w:rsid w:val="007F4524"/>
    <w:rsid w:val="007F4695"/>
    <w:rsid w:val="007F7C29"/>
    <w:rsid w:val="007F7D5C"/>
    <w:rsid w:val="00802082"/>
    <w:rsid w:val="00802A96"/>
    <w:rsid w:val="0080383D"/>
    <w:rsid w:val="00804175"/>
    <w:rsid w:val="00804542"/>
    <w:rsid w:val="00805FC8"/>
    <w:rsid w:val="008074A5"/>
    <w:rsid w:val="008076FE"/>
    <w:rsid w:val="008078C5"/>
    <w:rsid w:val="00811037"/>
    <w:rsid w:val="008129FA"/>
    <w:rsid w:val="00813544"/>
    <w:rsid w:val="008166EE"/>
    <w:rsid w:val="00816776"/>
    <w:rsid w:val="008207B9"/>
    <w:rsid w:val="008211FF"/>
    <w:rsid w:val="00822147"/>
    <w:rsid w:val="00822487"/>
    <w:rsid w:val="0082291A"/>
    <w:rsid w:val="00823B20"/>
    <w:rsid w:val="00825726"/>
    <w:rsid w:val="008260F6"/>
    <w:rsid w:val="00830E4F"/>
    <w:rsid w:val="00830FB0"/>
    <w:rsid w:val="00831346"/>
    <w:rsid w:val="00831588"/>
    <w:rsid w:val="00832A14"/>
    <w:rsid w:val="00833188"/>
    <w:rsid w:val="00833B46"/>
    <w:rsid w:val="00834568"/>
    <w:rsid w:val="008368CE"/>
    <w:rsid w:val="00841D7B"/>
    <w:rsid w:val="00842053"/>
    <w:rsid w:val="00844124"/>
    <w:rsid w:val="00844FF5"/>
    <w:rsid w:val="008451BB"/>
    <w:rsid w:val="00845283"/>
    <w:rsid w:val="008518EA"/>
    <w:rsid w:val="00853C4C"/>
    <w:rsid w:val="00853C8E"/>
    <w:rsid w:val="00856052"/>
    <w:rsid w:val="008562C5"/>
    <w:rsid w:val="00857B76"/>
    <w:rsid w:val="00857D5B"/>
    <w:rsid w:val="00860936"/>
    <w:rsid w:val="00861E8C"/>
    <w:rsid w:val="00863462"/>
    <w:rsid w:val="00863CA9"/>
    <w:rsid w:val="00863DA7"/>
    <w:rsid w:val="0086420B"/>
    <w:rsid w:val="0086740F"/>
    <w:rsid w:val="00870D59"/>
    <w:rsid w:val="0087322B"/>
    <w:rsid w:val="00874E9D"/>
    <w:rsid w:val="008755E1"/>
    <w:rsid w:val="00875FE6"/>
    <w:rsid w:val="00877808"/>
    <w:rsid w:val="008779EA"/>
    <w:rsid w:val="0088297B"/>
    <w:rsid w:val="00883903"/>
    <w:rsid w:val="00884AAC"/>
    <w:rsid w:val="00884FB3"/>
    <w:rsid w:val="00887149"/>
    <w:rsid w:val="00887B11"/>
    <w:rsid w:val="00892079"/>
    <w:rsid w:val="008931F0"/>
    <w:rsid w:val="00893B3D"/>
    <w:rsid w:val="008945AE"/>
    <w:rsid w:val="008949A4"/>
    <w:rsid w:val="0089531E"/>
    <w:rsid w:val="008954EB"/>
    <w:rsid w:val="0089670A"/>
    <w:rsid w:val="008979CF"/>
    <w:rsid w:val="008A00E7"/>
    <w:rsid w:val="008A085F"/>
    <w:rsid w:val="008A0E18"/>
    <w:rsid w:val="008A27B6"/>
    <w:rsid w:val="008A2877"/>
    <w:rsid w:val="008A33E3"/>
    <w:rsid w:val="008A4864"/>
    <w:rsid w:val="008A56BA"/>
    <w:rsid w:val="008A5FE9"/>
    <w:rsid w:val="008B0198"/>
    <w:rsid w:val="008B20BE"/>
    <w:rsid w:val="008B2704"/>
    <w:rsid w:val="008B2AAF"/>
    <w:rsid w:val="008B675C"/>
    <w:rsid w:val="008B6860"/>
    <w:rsid w:val="008B779B"/>
    <w:rsid w:val="008C5986"/>
    <w:rsid w:val="008D4AEF"/>
    <w:rsid w:val="008D5990"/>
    <w:rsid w:val="008D6E6B"/>
    <w:rsid w:val="008E1387"/>
    <w:rsid w:val="008E6002"/>
    <w:rsid w:val="008E60AE"/>
    <w:rsid w:val="008E6C82"/>
    <w:rsid w:val="008E7461"/>
    <w:rsid w:val="008E76CC"/>
    <w:rsid w:val="008E7AA1"/>
    <w:rsid w:val="008F1A20"/>
    <w:rsid w:val="008F1D5C"/>
    <w:rsid w:val="008F1E85"/>
    <w:rsid w:val="008F39BF"/>
    <w:rsid w:val="008F430E"/>
    <w:rsid w:val="008F7320"/>
    <w:rsid w:val="0090028B"/>
    <w:rsid w:val="009041FE"/>
    <w:rsid w:val="00906AB3"/>
    <w:rsid w:val="00906C6E"/>
    <w:rsid w:val="0091117F"/>
    <w:rsid w:val="0091123C"/>
    <w:rsid w:val="009121E3"/>
    <w:rsid w:val="00912937"/>
    <w:rsid w:val="00914C23"/>
    <w:rsid w:val="00915519"/>
    <w:rsid w:val="009172F8"/>
    <w:rsid w:val="0091741D"/>
    <w:rsid w:val="009200B7"/>
    <w:rsid w:val="00920231"/>
    <w:rsid w:val="00925561"/>
    <w:rsid w:val="009263E8"/>
    <w:rsid w:val="00926878"/>
    <w:rsid w:val="00927C2D"/>
    <w:rsid w:val="009313B2"/>
    <w:rsid w:val="009341AE"/>
    <w:rsid w:val="009345FE"/>
    <w:rsid w:val="009404D2"/>
    <w:rsid w:val="009428E6"/>
    <w:rsid w:val="00942F70"/>
    <w:rsid w:val="0094644B"/>
    <w:rsid w:val="00946582"/>
    <w:rsid w:val="00947591"/>
    <w:rsid w:val="009510D4"/>
    <w:rsid w:val="00951810"/>
    <w:rsid w:val="00951ED5"/>
    <w:rsid w:val="00953B9F"/>
    <w:rsid w:val="0095404D"/>
    <w:rsid w:val="00955A0F"/>
    <w:rsid w:val="00957442"/>
    <w:rsid w:val="00957D4D"/>
    <w:rsid w:val="00957E6D"/>
    <w:rsid w:val="0096026B"/>
    <w:rsid w:val="0096173E"/>
    <w:rsid w:val="0096182E"/>
    <w:rsid w:val="00961C01"/>
    <w:rsid w:val="00962381"/>
    <w:rsid w:val="009644EA"/>
    <w:rsid w:val="00964D12"/>
    <w:rsid w:val="00975622"/>
    <w:rsid w:val="009762BA"/>
    <w:rsid w:val="009765B2"/>
    <w:rsid w:val="00977B6A"/>
    <w:rsid w:val="00982C36"/>
    <w:rsid w:val="009836FB"/>
    <w:rsid w:val="009857BC"/>
    <w:rsid w:val="00986253"/>
    <w:rsid w:val="009869C9"/>
    <w:rsid w:val="009910B8"/>
    <w:rsid w:val="009914CF"/>
    <w:rsid w:val="00991F09"/>
    <w:rsid w:val="00993380"/>
    <w:rsid w:val="00994FC7"/>
    <w:rsid w:val="00994FF9"/>
    <w:rsid w:val="009951A6"/>
    <w:rsid w:val="009A0E7D"/>
    <w:rsid w:val="009A15A5"/>
    <w:rsid w:val="009A15FF"/>
    <w:rsid w:val="009A234A"/>
    <w:rsid w:val="009A290C"/>
    <w:rsid w:val="009A2FF6"/>
    <w:rsid w:val="009A4AF9"/>
    <w:rsid w:val="009A6175"/>
    <w:rsid w:val="009A7A08"/>
    <w:rsid w:val="009B049E"/>
    <w:rsid w:val="009B315C"/>
    <w:rsid w:val="009B4CD2"/>
    <w:rsid w:val="009B6578"/>
    <w:rsid w:val="009B6F1F"/>
    <w:rsid w:val="009C0ABE"/>
    <w:rsid w:val="009C1B92"/>
    <w:rsid w:val="009C2902"/>
    <w:rsid w:val="009C3E87"/>
    <w:rsid w:val="009C63FC"/>
    <w:rsid w:val="009C7913"/>
    <w:rsid w:val="009C7FDF"/>
    <w:rsid w:val="009D0C4A"/>
    <w:rsid w:val="009D19D2"/>
    <w:rsid w:val="009D1D70"/>
    <w:rsid w:val="009D2BB2"/>
    <w:rsid w:val="009D345A"/>
    <w:rsid w:val="009D39BB"/>
    <w:rsid w:val="009D53F0"/>
    <w:rsid w:val="009D755A"/>
    <w:rsid w:val="009E113D"/>
    <w:rsid w:val="009E1E1E"/>
    <w:rsid w:val="009E264A"/>
    <w:rsid w:val="009E4127"/>
    <w:rsid w:val="009E469E"/>
    <w:rsid w:val="009E5D76"/>
    <w:rsid w:val="009E698C"/>
    <w:rsid w:val="009E7995"/>
    <w:rsid w:val="009F0FF6"/>
    <w:rsid w:val="009F1179"/>
    <w:rsid w:val="009F15C8"/>
    <w:rsid w:val="009F2879"/>
    <w:rsid w:val="009F49D7"/>
    <w:rsid w:val="009F77D9"/>
    <w:rsid w:val="009F7829"/>
    <w:rsid w:val="009F79CE"/>
    <w:rsid w:val="00A01732"/>
    <w:rsid w:val="00A023C3"/>
    <w:rsid w:val="00A03CC3"/>
    <w:rsid w:val="00A041D7"/>
    <w:rsid w:val="00A04FC4"/>
    <w:rsid w:val="00A1113A"/>
    <w:rsid w:val="00A128FE"/>
    <w:rsid w:val="00A25364"/>
    <w:rsid w:val="00A26BC2"/>
    <w:rsid w:val="00A316E2"/>
    <w:rsid w:val="00A316F5"/>
    <w:rsid w:val="00A32930"/>
    <w:rsid w:val="00A32DF7"/>
    <w:rsid w:val="00A33731"/>
    <w:rsid w:val="00A33C5A"/>
    <w:rsid w:val="00A33F22"/>
    <w:rsid w:val="00A34DB7"/>
    <w:rsid w:val="00A34FD4"/>
    <w:rsid w:val="00A3791E"/>
    <w:rsid w:val="00A40502"/>
    <w:rsid w:val="00A40783"/>
    <w:rsid w:val="00A40D3A"/>
    <w:rsid w:val="00A42E23"/>
    <w:rsid w:val="00A47E38"/>
    <w:rsid w:val="00A506EF"/>
    <w:rsid w:val="00A50DA2"/>
    <w:rsid w:val="00A53159"/>
    <w:rsid w:val="00A53916"/>
    <w:rsid w:val="00A53F28"/>
    <w:rsid w:val="00A545B0"/>
    <w:rsid w:val="00A54D7A"/>
    <w:rsid w:val="00A55F09"/>
    <w:rsid w:val="00A57182"/>
    <w:rsid w:val="00A575ED"/>
    <w:rsid w:val="00A60423"/>
    <w:rsid w:val="00A60700"/>
    <w:rsid w:val="00A60BA7"/>
    <w:rsid w:val="00A63475"/>
    <w:rsid w:val="00A65521"/>
    <w:rsid w:val="00A744C8"/>
    <w:rsid w:val="00A75101"/>
    <w:rsid w:val="00A77F55"/>
    <w:rsid w:val="00A80663"/>
    <w:rsid w:val="00A81172"/>
    <w:rsid w:val="00A82E8B"/>
    <w:rsid w:val="00A921FF"/>
    <w:rsid w:val="00A93723"/>
    <w:rsid w:val="00A94201"/>
    <w:rsid w:val="00A9685E"/>
    <w:rsid w:val="00A96B3A"/>
    <w:rsid w:val="00AA0A74"/>
    <w:rsid w:val="00AA3569"/>
    <w:rsid w:val="00AA4575"/>
    <w:rsid w:val="00AA6275"/>
    <w:rsid w:val="00AA668A"/>
    <w:rsid w:val="00AB31CB"/>
    <w:rsid w:val="00AB4A2A"/>
    <w:rsid w:val="00AB4FBC"/>
    <w:rsid w:val="00AB55A8"/>
    <w:rsid w:val="00AB59F0"/>
    <w:rsid w:val="00AC0805"/>
    <w:rsid w:val="00AC1B78"/>
    <w:rsid w:val="00AC2CBE"/>
    <w:rsid w:val="00AC3262"/>
    <w:rsid w:val="00AC4716"/>
    <w:rsid w:val="00AC69A3"/>
    <w:rsid w:val="00AD4495"/>
    <w:rsid w:val="00AD4C0D"/>
    <w:rsid w:val="00AD5EDD"/>
    <w:rsid w:val="00AE193A"/>
    <w:rsid w:val="00AE2170"/>
    <w:rsid w:val="00AE2895"/>
    <w:rsid w:val="00AE35E4"/>
    <w:rsid w:val="00AE43B4"/>
    <w:rsid w:val="00AE52B0"/>
    <w:rsid w:val="00AE6357"/>
    <w:rsid w:val="00AE719C"/>
    <w:rsid w:val="00AF09C0"/>
    <w:rsid w:val="00AF3F8B"/>
    <w:rsid w:val="00AF503D"/>
    <w:rsid w:val="00AF5319"/>
    <w:rsid w:val="00AF6DE9"/>
    <w:rsid w:val="00B0006E"/>
    <w:rsid w:val="00B001D8"/>
    <w:rsid w:val="00B0056A"/>
    <w:rsid w:val="00B021F2"/>
    <w:rsid w:val="00B0306D"/>
    <w:rsid w:val="00B03186"/>
    <w:rsid w:val="00B03E72"/>
    <w:rsid w:val="00B1087B"/>
    <w:rsid w:val="00B10C76"/>
    <w:rsid w:val="00B12033"/>
    <w:rsid w:val="00B121AF"/>
    <w:rsid w:val="00B137DB"/>
    <w:rsid w:val="00B13D1E"/>
    <w:rsid w:val="00B1492F"/>
    <w:rsid w:val="00B14EB9"/>
    <w:rsid w:val="00B17673"/>
    <w:rsid w:val="00B20080"/>
    <w:rsid w:val="00B20D1F"/>
    <w:rsid w:val="00B22BDC"/>
    <w:rsid w:val="00B2385B"/>
    <w:rsid w:val="00B24FCD"/>
    <w:rsid w:val="00B26BF0"/>
    <w:rsid w:val="00B33319"/>
    <w:rsid w:val="00B33786"/>
    <w:rsid w:val="00B344EC"/>
    <w:rsid w:val="00B36DE1"/>
    <w:rsid w:val="00B40917"/>
    <w:rsid w:val="00B44EE3"/>
    <w:rsid w:val="00B45A59"/>
    <w:rsid w:val="00B45E22"/>
    <w:rsid w:val="00B47372"/>
    <w:rsid w:val="00B47FA6"/>
    <w:rsid w:val="00B50F9E"/>
    <w:rsid w:val="00B50FC7"/>
    <w:rsid w:val="00B52F03"/>
    <w:rsid w:val="00B53154"/>
    <w:rsid w:val="00B56896"/>
    <w:rsid w:val="00B61F07"/>
    <w:rsid w:val="00B62078"/>
    <w:rsid w:val="00B62411"/>
    <w:rsid w:val="00B630F3"/>
    <w:rsid w:val="00B64AB9"/>
    <w:rsid w:val="00B64C6A"/>
    <w:rsid w:val="00B64C7F"/>
    <w:rsid w:val="00B64FFA"/>
    <w:rsid w:val="00B678BA"/>
    <w:rsid w:val="00B67CC4"/>
    <w:rsid w:val="00B70C83"/>
    <w:rsid w:val="00B72916"/>
    <w:rsid w:val="00B73903"/>
    <w:rsid w:val="00B7649E"/>
    <w:rsid w:val="00B817E9"/>
    <w:rsid w:val="00B82B19"/>
    <w:rsid w:val="00B82FAF"/>
    <w:rsid w:val="00B85391"/>
    <w:rsid w:val="00B855D6"/>
    <w:rsid w:val="00B92CB7"/>
    <w:rsid w:val="00B9619D"/>
    <w:rsid w:val="00B96C8B"/>
    <w:rsid w:val="00B9760F"/>
    <w:rsid w:val="00BA0622"/>
    <w:rsid w:val="00BA141E"/>
    <w:rsid w:val="00BA3A96"/>
    <w:rsid w:val="00BA3DA9"/>
    <w:rsid w:val="00BA485F"/>
    <w:rsid w:val="00BA52B4"/>
    <w:rsid w:val="00BA6403"/>
    <w:rsid w:val="00BA7155"/>
    <w:rsid w:val="00BA7E89"/>
    <w:rsid w:val="00BA7F4D"/>
    <w:rsid w:val="00BB5859"/>
    <w:rsid w:val="00BB6A21"/>
    <w:rsid w:val="00BC2B62"/>
    <w:rsid w:val="00BC4A62"/>
    <w:rsid w:val="00BC6206"/>
    <w:rsid w:val="00BC71C5"/>
    <w:rsid w:val="00BD08AC"/>
    <w:rsid w:val="00BD0C21"/>
    <w:rsid w:val="00BD6A47"/>
    <w:rsid w:val="00BD7682"/>
    <w:rsid w:val="00BE1660"/>
    <w:rsid w:val="00BE1F8D"/>
    <w:rsid w:val="00BE23BB"/>
    <w:rsid w:val="00BE3C47"/>
    <w:rsid w:val="00BE6237"/>
    <w:rsid w:val="00BE6642"/>
    <w:rsid w:val="00BE784E"/>
    <w:rsid w:val="00BE7ADB"/>
    <w:rsid w:val="00BF1395"/>
    <w:rsid w:val="00BF2C0B"/>
    <w:rsid w:val="00BF3A56"/>
    <w:rsid w:val="00BF426B"/>
    <w:rsid w:val="00BF4461"/>
    <w:rsid w:val="00BF4FAB"/>
    <w:rsid w:val="00C008BE"/>
    <w:rsid w:val="00C00EA2"/>
    <w:rsid w:val="00C048D5"/>
    <w:rsid w:val="00C04EE1"/>
    <w:rsid w:val="00C05D03"/>
    <w:rsid w:val="00C10B1E"/>
    <w:rsid w:val="00C12D82"/>
    <w:rsid w:val="00C14292"/>
    <w:rsid w:val="00C14CB8"/>
    <w:rsid w:val="00C15EAC"/>
    <w:rsid w:val="00C16B23"/>
    <w:rsid w:val="00C16BF2"/>
    <w:rsid w:val="00C21E37"/>
    <w:rsid w:val="00C21F67"/>
    <w:rsid w:val="00C22024"/>
    <w:rsid w:val="00C2415A"/>
    <w:rsid w:val="00C25AE6"/>
    <w:rsid w:val="00C3078A"/>
    <w:rsid w:val="00C3222C"/>
    <w:rsid w:val="00C353D0"/>
    <w:rsid w:val="00C35433"/>
    <w:rsid w:val="00C35664"/>
    <w:rsid w:val="00C36B5A"/>
    <w:rsid w:val="00C37D1D"/>
    <w:rsid w:val="00C40163"/>
    <w:rsid w:val="00C43506"/>
    <w:rsid w:val="00C51198"/>
    <w:rsid w:val="00C51BEE"/>
    <w:rsid w:val="00C51D62"/>
    <w:rsid w:val="00C535D3"/>
    <w:rsid w:val="00C541A2"/>
    <w:rsid w:val="00C5523E"/>
    <w:rsid w:val="00C574D2"/>
    <w:rsid w:val="00C61771"/>
    <w:rsid w:val="00C6241F"/>
    <w:rsid w:val="00C626B6"/>
    <w:rsid w:val="00C62C80"/>
    <w:rsid w:val="00C65BCA"/>
    <w:rsid w:val="00C66757"/>
    <w:rsid w:val="00C67548"/>
    <w:rsid w:val="00C71398"/>
    <w:rsid w:val="00C73021"/>
    <w:rsid w:val="00C73046"/>
    <w:rsid w:val="00C73496"/>
    <w:rsid w:val="00C74181"/>
    <w:rsid w:val="00C74E0E"/>
    <w:rsid w:val="00C863A8"/>
    <w:rsid w:val="00C90190"/>
    <w:rsid w:val="00C9075B"/>
    <w:rsid w:val="00C91198"/>
    <w:rsid w:val="00C91BD4"/>
    <w:rsid w:val="00C96054"/>
    <w:rsid w:val="00C96334"/>
    <w:rsid w:val="00CA156F"/>
    <w:rsid w:val="00CA1E26"/>
    <w:rsid w:val="00CA3A3A"/>
    <w:rsid w:val="00CA467A"/>
    <w:rsid w:val="00CA4FD5"/>
    <w:rsid w:val="00CA56E4"/>
    <w:rsid w:val="00CA7791"/>
    <w:rsid w:val="00CB0709"/>
    <w:rsid w:val="00CB0F32"/>
    <w:rsid w:val="00CB2086"/>
    <w:rsid w:val="00CB42BC"/>
    <w:rsid w:val="00CB57C1"/>
    <w:rsid w:val="00CB75DB"/>
    <w:rsid w:val="00CB7787"/>
    <w:rsid w:val="00CB7BD6"/>
    <w:rsid w:val="00CC0395"/>
    <w:rsid w:val="00CC28BB"/>
    <w:rsid w:val="00CC3B58"/>
    <w:rsid w:val="00CC61D3"/>
    <w:rsid w:val="00CC67E8"/>
    <w:rsid w:val="00CD1951"/>
    <w:rsid w:val="00CD27F2"/>
    <w:rsid w:val="00CD2C82"/>
    <w:rsid w:val="00CD35A6"/>
    <w:rsid w:val="00CD489E"/>
    <w:rsid w:val="00CD4BEA"/>
    <w:rsid w:val="00CD69F5"/>
    <w:rsid w:val="00CD6C5C"/>
    <w:rsid w:val="00CD6E0A"/>
    <w:rsid w:val="00CE0E4D"/>
    <w:rsid w:val="00CE1137"/>
    <w:rsid w:val="00CE27EB"/>
    <w:rsid w:val="00CE48EB"/>
    <w:rsid w:val="00CE5880"/>
    <w:rsid w:val="00CF1650"/>
    <w:rsid w:val="00CF1773"/>
    <w:rsid w:val="00CF20A2"/>
    <w:rsid w:val="00CF2FC3"/>
    <w:rsid w:val="00CF4B58"/>
    <w:rsid w:val="00CF5ACA"/>
    <w:rsid w:val="00CF5D3E"/>
    <w:rsid w:val="00CF6D58"/>
    <w:rsid w:val="00CF7FAF"/>
    <w:rsid w:val="00D0011F"/>
    <w:rsid w:val="00D0130E"/>
    <w:rsid w:val="00D01AA4"/>
    <w:rsid w:val="00D07CF3"/>
    <w:rsid w:val="00D12D8B"/>
    <w:rsid w:val="00D138B6"/>
    <w:rsid w:val="00D158D1"/>
    <w:rsid w:val="00D165A4"/>
    <w:rsid w:val="00D21DDA"/>
    <w:rsid w:val="00D23589"/>
    <w:rsid w:val="00D23E88"/>
    <w:rsid w:val="00D258DE"/>
    <w:rsid w:val="00D2756B"/>
    <w:rsid w:val="00D30A63"/>
    <w:rsid w:val="00D3706E"/>
    <w:rsid w:val="00D4289D"/>
    <w:rsid w:val="00D43D2F"/>
    <w:rsid w:val="00D462F9"/>
    <w:rsid w:val="00D46907"/>
    <w:rsid w:val="00D46B21"/>
    <w:rsid w:val="00D50CC7"/>
    <w:rsid w:val="00D51323"/>
    <w:rsid w:val="00D53548"/>
    <w:rsid w:val="00D5374E"/>
    <w:rsid w:val="00D555EC"/>
    <w:rsid w:val="00D56E1E"/>
    <w:rsid w:val="00D57A4D"/>
    <w:rsid w:val="00D61261"/>
    <w:rsid w:val="00D62764"/>
    <w:rsid w:val="00D627BC"/>
    <w:rsid w:val="00D630B1"/>
    <w:rsid w:val="00D63130"/>
    <w:rsid w:val="00D63C3D"/>
    <w:rsid w:val="00D64EDD"/>
    <w:rsid w:val="00D66413"/>
    <w:rsid w:val="00D66EA6"/>
    <w:rsid w:val="00D66F50"/>
    <w:rsid w:val="00D674D7"/>
    <w:rsid w:val="00D70DB5"/>
    <w:rsid w:val="00D72091"/>
    <w:rsid w:val="00D722C7"/>
    <w:rsid w:val="00D72D56"/>
    <w:rsid w:val="00D73B1C"/>
    <w:rsid w:val="00D7454B"/>
    <w:rsid w:val="00D74816"/>
    <w:rsid w:val="00D75D48"/>
    <w:rsid w:val="00D81F92"/>
    <w:rsid w:val="00D82871"/>
    <w:rsid w:val="00D82A30"/>
    <w:rsid w:val="00D83024"/>
    <w:rsid w:val="00D83A6D"/>
    <w:rsid w:val="00D85A46"/>
    <w:rsid w:val="00D85B22"/>
    <w:rsid w:val="00D86579"/>
    <w:rsid w:val="00D865EA"/>
    <w:rsid w:val="00D87982"/>
    <w:rsid w:val="00D90753"/>
    <w:rsid w:val="00D92FB7"/>
    <w:rsid w:val="00DA0207"/>
    <w:rsid w:val="00DA1A73"/>
    <w:rsid w:val="00DA21D3"/>
    <w:rsid w:val="00DA43D5"/>
    <w:rsid w:val="00DA5679"/>
    <w:rsid w:val="00DA68F2"/>
    <w:rsid w:val="00DA7137"/>
    <w:rsid w:val="00DB006D"/>
    <w:rsid w:val="00DB0C49"/>
    <w:rsid w:val="00DB1B8B"/>
    <w:rsid w:val="00DB1E1F"/>
    <w:rsid w:val="00DB2BB8"/>
    <w:rsid w:val="00DB4B79"/>
    <w:rsid w:val="00DB53FE"/>
    <w:rsid w:val="00DB607F"/>
    <w:rsid w:val="00DB65BC"/>
    <w:rsid w:val="00DC1561"/>
    <w:rsid w:val="00DC1E88"/>
    <w:rsid w:val="00DC1FC3"/>
    <w:rsid w:val="00DC3095"/>
    <w:rsid w:val="00DC3A14"/>
    <w:rsid w:val="00DC48DC"/>
    <w:rsid w:val="00DC67B3"/>
    <w:rsid w:val="00DD08A4"/>
    <w:rsid w:val="00DD4928"/>
    <w:rsid w:val="00DD4EB2"/>
    <w:rsid w:val="00DD5154"/>
    <w:rsid w:val="00DE2CFA"/>
    <w:rsid w:val="00DE38B8"/>
    <w:rsid w:val="00DE6ACA"/>
    <w:rsid w:val="00DE6D45"/>
    <w:rsid w:val="00DE7E64"/>
    <w:rsid w:val="00DF1F7F"/>
    <w:rsid w:val="00DF2E6D"/>
    <w:rsid w:val="00DF4C91"/>
    <w:rsid w:val="00E01F23"/>
    <w:rsid w:val="00E049FC"/>
    <w:rsid w:val="00E04EDD"/>
    <w:rsid w:val="00E14110"/>
    <w:rsid w:val="00E14A9C"/>
    <w:rsid w:val="00E175FE"/>
    <w:rsid w:val="00E20AE1"/>
    <w:rsid w:val="00E21153"/>
    <w:rsid w:val="00E237C8"/>
    <w:rsid w:val="00E244CD"/>
    <w:rsid w:val="00E27544"/>
    <w:rsid w:val="00E27593"/>
    <w:rsid w:val="00E33257"/>
    <w:rsid w:val="00E33952"/>
    <w:rsid w:val="00E33F2E"/>
    <w:rsid w:val="00E34153"/>
    <w:rsid w:val="00E4219A"/>
    <w:rsid w:val="00E429E4"/>
    <w:rsid w:val="00E42D31"/>
    <w:rsid w:val="00E44119"/>
    <w:rsid w:val="00E44626"/>
    <w:rsid w:val="00E45ED9"/>
    <w:rsid w:val="00E467AE"/>
    <w:rsid w:val="00E46FAE"/>
    <w:rsid w:val="00E52F87"/>
    <w:rsid w:val="00E53CC7"/>
    <w:rsid w:val="00E53D28"/>
    <w:rsid w:val="00E541AA"/>
    <w:rsid w:val="00E544A5"/>
    <w:rsid w:val="00E57438"/>
    <w:rsid w:val="00E622E0"/>
    <w:rsid w:val="00E64962"/>
    <w:rsid w:val="00E65B1C"/>
    <w:rsid w:val="00E66BF5"/>
    <w:rsid w:val="00E674A8"/>
    <w:rsid w:val="00E700CD"/>
    <w:rsid w:val="00E702B6"/>
    <w:rsid w:val="00E70751"/>
    <w:rsid w:val="00E74585"/>
    <w:rsid w:val="00E757B6"/>
    <w:rsid w:val="00E76B59"/>
    <w:rsid w:val="00E80774"/>
    <w:rsid w:val="00E80F6A"/>
    <w:rsid w:val="00E82530"/>
    <w:rsid w:val="00E83EFD"/>
    <w:rsid w:val="00E844F1"/>
    <w:rsid w:val="00E9022A"/>
    <w:rsid w:val="00E90311"/>
    <w:rsid w:val="00E90A27"/>
    <w:rsid w:val="00E9157E"/>
    <w:rsid w:val="00E95A05"/>
    <w:rsid w:val="00E97014"/>
    <w:rsid w:val="00E97C3C"/>
    <w:rsid w:val="00EA021D"/>
    <w:rsid w:val="00EA0B47"/>
    <w:rsid w:val="00EA108E"/>
    <w:rsid w:val="00EA1186"/>
    <w:rsid w:val="00EA2897"/>
    <w:rsid w:val="00EA332F"/>
    <w:rsid w:val="00EA5A9D"/>
    <w:rsid w:val="00EB0F63"/>
    <w:rsid w:val="00EB4459"/>
    <w:rsid w:val="00EB537E"/>
    <w:rsid w:val="00EC09D3"/>
    <w:rsid w:val="00EC0E5A"/>
    <w:rsid w:val="00EC327D"/>
    <w:rsid w:val="00EC4D10"/>
    <w:rsid w:val="00EC6FE1"/>
    <w:rsid w:val="00EC706D"/>
    <w:rsid w:val="00EC7C43"/>
    <w:rsid w:val="00ED037E"/>
    <w:rsid w:val="00ED3A8C"/>
    <w:rsid w:val="00ED4981"/>
    <w:rsid w:val="00ED69FD"/>
    <w:rsid w:val="00EE00C2"/>
    <w:rsid w:val="00EE1C06"/>
    <w:rsid w:val="00EE1C53"/>
    <w:rsid w:val="00EE7CD1"/>
    <w:rsid w:val="00EF0A99"/>
    <w:rsid w:val="00EF23A6"/>
    <w:rsid w:val="00EF348D"/>
    <w:rsid w:val="00EF4EC7"/>
    <w:rsid w:val="00EF6F1F"/>
    <w:rsid w:val="00F021C5"/>
    <w:rsid w:val="00F029D8"/>
    <w:rsid w:val="00F039BD"/>
    <w:rsid w:val="00F03A14"/>
    <w:rsid w:val="00F07678"/>
    <w:rsid w:val="00F10544"/>
    <w:rsid w:val="00F1106D"/>
    <w:rsid w:val="00F1107D"/>
    <w:rsid w:val="00F12FE1"/>
    <w:rsid w:val="00F1344A"/>
    <w:rsid w:val="00F144D8"/>
    <w:rsid w:val="00F16E40"/>
    <w:rsid w:val="00F21258"/>
    <w:rsid w:val="00F246F4"/>
    <w:rsid w:val="00F24D29"/>
    <w:rsid w:val="00F2521D"/>
    <w:rsid w:val="00F261F7"/>
    <w:rsid w:val="00F26EE5"/>
    <w:rsid w:val="00F34D57"/>
    <w:rsid w:val="00F351DF"/>
    <w:rsid w:val="00F367AB"/>
    <w:rsid w:val="00F368F5"/>
    <w:rsid w:val="00F40FBF"/>
    <w:rsid w:val="00F41019"/>
    <w:rsid w:val="00F44A32"/>
    <w:rsid w:val="00F4710A"/>
    <w:rsid w:val="00F47362"/>
    <w:rsid w:val="00F47961"/>
    <w:rsid w:val="00F5052B"/>
    <w:rsid w:val="00F5160E"/>
    <w:rsid w:val="00F52F73"/>
    <w:rsid w:val="00F548D4"/>
    <w:rsid w:val="00F552A8"/>
    <w:rsid w:val="00F62226"/>
    <w:rsid w:val="00F6247E"/>
    <w:rsid w:val="00F62C37"/>
    <w:rsid w:val="00F63D6B"/>
    <w:rsid w:val="00F6573F"/>
    <w:rsid w:val="00F676AA"/>
    <w:rsid w:val="00F7038D"/>
    <w:rsid w:val="00F7194D"/>
    <w:rsid w:val="00F7424A"/>
    <w:rsid w:val="00F80484"/>
    <w:rsid w:val="00F80B8B"/>
    <w:rsid w:val="00F81C93"/>
    <w:rsid w:val="00F828D3"/>
    <w:rsid w:val="00F83524"/>
    <w:rsid w:val="00F85291"/>
    <w:rsid w:val="00F8712B"/>
    <w:rsid w:val="00F90208"/>
    <w:rsid w:val="00F9302F"/>
    <w:rsid w:val="00F938C5"/>
    <w:rsid w:val="00F93936"/>
    <w:rsid w:val="00F943D9"/>
    <w:rsid w:val="00F94B4D"/>
    <w:rsid w:val="00F95E40"/>
    <w:rsid w:val="00F95EE4"/>
    <w:rsid w:val="00F968B3"/>
    <w:rsid w:val="00F979C7"/>
    <w:rsid w:val="00FA539C"/>
    <w:rsid w:val="00FA61DC"/>
    <w:rsid w:val="00FA67F2"/>
    <w:rsid w:val="00FB1878"/>
    <w:rsid w:val="00FB1B70"/>
    <w:rsid w:val="00FB232C"/>
    <w:rsid w:val="00FB2E98"/>
    <w:rsid w:val="00FB3B54"/>
    <w:rsid w:val="00FB56D8"/>
    <w:rsid w:val="00FB63A9"/>
    <w:rsid w:val="00FB75E8"/>
    <w:rsid w:val="00FC09C6"/>
    <w:rsid w:val="00FC2107"/>
    <w:rsid w:val="00FC26AF"/>
    <w:rsid w:val="00FC3D2A"/>
    <w:rsid w:val="00FC3E11"/>
    <w:rsid w:val="00FC58C8"/>
    <w:rsid w:val="00FC7054"/>
    <w:rsid w:val="00FD12F4"/>
    <w:rsid w:val="00FD17DD"/>
    <w:rsid w:val="00FD2732"/>
    <w:rsid w:val="00FD2C3E"/>
    <w:rsid w:val="00FD46B6"/>
    <w:rsid w:val="00FD4A5D"/>
    <w:rsid w:val="00FD54BF"/>
    <w:rsid w:val="00FE03AB"/>
    <w:rsid w:val="00FE3767"/>
    <w:rsid w:val="00FE5BA5"/>
    <w:rsid w:val="00FE6D77"/>
    <w:rsid w:val="00FE7127"/>
    <w:rsid w:val="00FE7EC2"/>
    <w:rsid w:val="00FF3809"/>
    <w:rsid w:val="00FF63A3"/>
    <w:rsid w:val="00FF6D30"/>
    <w:rsid w:val="00FF793D"/>
    <w:rsid w:val="00FF7AD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8D8C7F"/>
  <w15:docId w15:val="{A552631C-DDB0-4E4B-91D7-B35E385C9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4D7C"/>
  </w:style>
  <w:style w:type="paragraph" w:styleId="Ttulo1">
    <w:name w:val="heading 1"/>
    <w:basedOn w:val="Normal"/>
    <w:next w:val="Normal"/>
    <w:qFormat/>
    <w:pPr>
      <w:keepNext/>
      <w:outlineLvl w:val="0"/>
    </w:pPr>
    <w:rPr>
      <w:b/>
      <w:bCs/>
      <w:sz w:val="24"/>
    </w:rPr>
  </w:style>
  <w:style w:type="paragraph" w:styleId="Ttulo2">
    <w:name w:val="heading 2"/>
    <w:basedOn w:val="Normal"/>
    <w:next w:val="Normal"/>
    <w:qFormat/>
    <w:pPr>
      <w:keepNext/>
      <w:outlineLvl w:val="1"/>
    </w:pPr>
    <w:rPr>
      <w:i/>
      <w:iCs/>
    </w:rPr>
  </w:style>
  <w:style w:type="paragraph" w:styleId="Ttulo3">
    <w:name w:val="heading 3"/>
    <w:basedOn w:val="Normal"/>
    <w:next w:val="Normal"/>
    <w:qFormat/>
    <w:pPr>
      <w:keepNext/>
      <w:widowControl w:val="0"/>
      <w:overflowPunct w:val="0"/>
      <w:autoSpaceDE w:val="0"/>
      <w:autoSpaceDN w:val="0"/>
      <w:adjustRightInd w:val="0"/>
      <w:jc w:val="both"/>
      <w:textAlignment w:val="baseline"/>
      <w:outlineLvl w:val="2"/>
    </w:pPr>
    <w:rPr>
      <w:b/>
      <w:sz w:val="22"/>
    </w:rPr>
  </w:style>
  <w:style w:type="paragraph" w:styleId="Ttulo4">
    <w:name w:val="heading 4"/>
    <w:basedOn w:val="Normal"/>
    <w:next w:val="Normal"/>
    <w:qFormat/>
    <w:pPr>
      <w:keepNext/>
      <w:jc w:val="both"/>
      <w:outlineLvl w:val="3"/>
    </w:pPr>
    <w:rPr>
      <w:b/>
      <w:bCs/>
      <w:sz w:val="24"/>
    </w:rPr>
  </w:style>
  <w:style w:type="paragraph" w:styleId="Ttulo5">
    <w:name w:val="heading 5"/>
    <w:basedOn w:val="Normal"/>
    <w:next w:val="Normal"/>
    <w:qFormat/>
    <w:pPr>
      <w:keepNext/>
      <w:outlineLvl w:val="4"/>
    </w:pPr>
    <w:rPr>
      <w:b/>
      <w:bCs/>
      <w:sz w:val="22"/>
    </w:rPr>
  </w:style>
  <w:style w:type="paragraph" w:styleId="Ttulo6">
    <w:name w:val="heading 6"/>
    <w:basedOn w:val="Normal"/>
    <w:next w:val="Normal"/>
    <w:qFormat/>
    <w:pPr>
      <w:keepNext/>
      <w:widowControl w:val="0"/>
      <w:pBdr>
        <w:top w:val="single" w:sz="6" w:space="1" w:color="auto"/>
        <w:left w:val="single" w:sz="6" w:space="4" w:color="auto"/>
        <w:bottom w:val="single" w:sz="6" w:space="1" w:color="auto"/>
        <w:right w:val="single" w:sz="6" w:space="4" w:color="auto"/>
      </w:pBdr>
      <w:shd w:val="pct5" w:color="auto" w:fill="auto"/>
      <w:overflowPunct w:val="0"/>
      <w:autoSpaceDE w:val="0"/>
      <w:autoSpaceDN w:val="0"/>
      <w:adjustRightInd w:val="0"/>
      <w:jc w:val="center"/>
      <w:textAlignment w:val="baseline"/>
      <w:outlineLvl w:val="5"/>
    </w:pPr>
    <w:rPr>
      <w:b/>
      <w:sz w:val="24"/>
    </w:rPr>
  </w:style>
  <w:style w:type="paragraph" w:styleId="Ttulo7">
    <w:name w:val="heading 7"/>
    <w:basedOn w:val="Normal"/>
    <w:next w:val="Normal"/>
    <w:qFormat/>
    <w:pPr>
      <w:keepNext/>
      <w:overflowPunct w:val="0"/>
      <w:autoSpaceDE w:val="0"/>
      <w:autoSpaceDN w:val="0"/>
      <w:adjustRightInd w:val="0"/>
      <w:jc w:val="center"/>
      <w:textAlignment w:val="baseline"/>
      <w:outlineLvl w:val="6"/>
    </w:pPr>
    <w:rPr>
      <w:b/>
      <w:i/>
      <w:sz w:val="24"/>
      <w:lang w:val="es-ES_tradnl"/>
    </w:rPr>
  </w:style>
  <w:style w:type="paragraph" w:styleId="Ttulo8">
    <w:name w:val="heading 8"/>
    <w:basedOn w:val="Normal"/>
    <w:next w:val="Normal"/>
    <w:qFormat/>
    <w:pPr>
      <w:keepNext/>
      <w:ind w:right="-1"/>
      <w:jc w:val="both"/>
      <w:outlineLvl w:val="7"/>
    </w:pPr>
    <w:rPr>
      <w:b/>
      <w:bCs/>
      <w:color w:val="800000"/>
      <w:sz w:val="22"/>
      <w:szCs w:val="24"/>
    </w:rPr>
  </w:style>
  <w:style w:type="paragraph" w:styleId="Ttulo9">
    <w:name w:val="heading 9"/>
    <w:basedOn w:val="Normal"/>
    <w:next w:val="Normal"/>
    <w:qFormat/>
    <w:pPr>
      <w:keepNext/>
      <w:jc w:val="center"/>
      <w:outlineLvl w:val="8"/>
    </w:pPr>
    <w:rPr>
      <w:b/>
      <w:bCs/>
      <w:i/>
      <w:iCs/>
      <w:color w:val="800000"/>
      <w:sz w:val="24"/>
      <w:szCs w:val="28"/>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qFormat/>
    <w:pPr>
      <w:widowControl w:val="0"/>
      <w:pBdr>
        <w:top w:val="single" w:sz="6" w:space="1" w:color="auto"/>
        <w:left w:val="single" w:sz="6" w:space="1" w:color="auto"/>
        <w:bottom w:val="single" w:sz="6" w:space="1" w:color="auto"/>
        <w:right w:val="single" w:sz="6" w:space="1" w:color="auto"/>
      </w:pBdr>
      <w:shd w:val="pct5" w:color="auto" w:fill="auto"/>
      <w:overflowPunct w:val="0"/>
      <w:autoSpaceDE w:val="0"/>
      <w:autoSpaceDN w:val="0"/>
      <w:adjustRightInd w:val="0"/>
      <w:jc w:val="center"/>
      <w:textAlignment w:val="baseline"/>
    </w:pPr>
    <w:rPr>
      <w:b/>
      <w:sz w:val="24"/>
      <w:lang w:val="es-ES_tradnl"/>
    </w:rPr>
  </w:style>
  <w:style w:type="paragraph" w:customStyle="1" w:styleId="Textoindependiente21">
    <w:name w:val="Texto independiente 21"/>
    <w:basedOn w:val="Normal"/>
    <w:pPr>
      <w:pBdr>
        <w:top w:val="single" w:sz="6" w:space="1" w:color="auto"/>
        <w:left w:val="single" w:sz="6" w:space="4" w:color="auto"/>
        <w:bottom w:val="single" w:sz="6" w:space="1" w:color="auto"/>
        <w:right w:val="single" w:sz="6" w:space="4" w:color="auto"/>
      </w:pBdr>
      <w:overflowPunct w:val="0"/>
      <w:autoSpaceDE w:val="0"/>
      <w:autoSpaceDN w:val="0"/>
      <w:adjustRightInd w:val="0"/>
      <w:jc w:val="both"/>
      <w:textAlignment w:val="baseline"/>
    </w:pPr>
    <w:rPr>
      <w:b/>
      <w:sz w:val="28"/>
      <w:lang w:val="es-ES_tradnl"/>
    </w:rPr>
  </w:style>
  <w:style w:type="paragraph" w:styleId="Textoindependiente">
    <w:name w:val="Body Text"/>
    <w:basedOn w:val="Normal"/>
    <w:pPr>
      <w:jc w:val="both"/>
    </w:pPr>
    <w:rPr>
      <w:i/>
      <w:iCs/>
      <w:sz w:val="24"/>
    </w:rPr>
  </w:style>
  <w:style w:type="paragraph" w:styleId="Textoindependiente2">
    <w:name w:val="Body Text 2"/>
    <w:basedOn w:val="Normal"/>
    <w:rPr>
      <w:i/>
      <w:iCs/>
      <w:sz w:val="24"/>
    </w:rPr>
  </w:style>
  <w:style w:type="paragraph" w:styleId="Textoindependiente3">
    <w:name w:val="Body Text 3"/>
    <w:basedOn w:val="Normal"/>
    <w:link w:val="Textoindependiente3Car"/>
    <w:pPr>
      <w:jc w:val="both"/>
    </w:pPr>
    <w:rPr>
      <w:i/>
      <w:iCs/>
      <w:sz w:val="22"/>
      <w:lang w:val="x-none" w:eastAsia="x-none"/>
    </w:rPr>
  </w:style>
  <w:style w:type="paragraph" w:styleId="Sangradetextonormal">
    <w:name w:val="Body Text Indent"/>
    <w:basedOn w:val="Normal"/>
    <w:link w:val="SangradetextonormalCar"/>
    <w:pPr>
      <w:spacing w:after="120"/>
      <w:ind w:left="283"/>
    </w:pPr>
  </w:style>
  <w:style w:type="character" w:styleId="Hipervnculo">
    <w:name w:val="Hyperlink"/>
    <w:rPr>
      <w:color w:val="0000FF"/>
      <w:u w:val="single"/>
    </w:rPr>
  </w:style>
  <w:style w:type="paragraph" w:styleId="Encabezado">
    <w:name w:val="header"/>
    <w:basedOn w:val="Normal"/>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character" w:styleId="Nmerodepgina">
    <w:name w:val="page number"/>
    <w:basedOn w:val="Fuentedeprrafopredeter"/>
  </w:style>
  <w:style w:type="character" w:styleId="Refdecomentario">
    <w:name w:val="annotation reference"/>
    <w:semiHidden/>
    <w:rPr>
      <w:sz w:val="16"/>
      <w:szCs w:val="16"/>
    </w:rPr>
  </w:style>
  <w:style w:type="paragraph" w:styleId="Textocomentario">
    <w:name w:val="annotation text"/>
    <w:basedOn w:val="Normal"/>
    <w:semiHidden/>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rPr>
  </w:style>
  <w:style w:type="paragraph" w:customStyle="1" w:styleId="textodestacado">
    <w:name w:val="textodestacado"/>
    <w:basedOn w:val="Normal"/>
    <w:pPr>
      <w:spacing w:before="100" w:beforeAutospacing="1" w:after="100" w:afterAutospacing="1"/>
    </w:pPr>
    <w:rPr>
      <w:rFonts w:ascii="Arial" w:hAnsi="Arial" w:cs="Arial"/>
      <w:color w:val="E60200"/>
      <w:sz w:val="18"/>
      <w:szCs w:val="18"/>
    </w:rPr>
  </w:style>
  <w:style w:type="paragraph" w:customStyle="1" w:styleId="textonormalrojo">
    <w:name w:val="textonormalrojo"/>
    <w:basedOn w:val="Normal"/>
    <w:pPr>
      <w:spacing w:before="100" w:beforeAutospacing="1" w:after="100" w:afterAutospacing="1"/>
    </w:pPr>
    <w:rPr>
      <w:rFonts w:ascii="Verdana" w:hAnsi="Verdana"/>
      <w:color w:val="E60200"/>
      <w:sz w:val="15"/>
      <w:szCs w:val="15"/>
    </w:rPr>
  </w:style>
  <w:style w:type="character" w:styleId="Fuerte">
    <w:name w:val="Strong"/>
    <w:uiPriority w:val="22"/>
    <w:qFormat/>
    <w:rPr>
      <w:b/>
      <w:bCs/>
    </w:rPr>
  </w:style>
  <w:style w:type="paragraph" w:styleId="Asuntodelcomentario">
    <w:name w:val="annotation subject"/>
    <w:basedOn w:val="Textocomentario"/>
    <w:next w:val="Textocomentario"/>
    <w:semiHidden/>
    <w:rPr>
      <w:b/>
      <w:bCs/>
    </w:rPr>
  </w:style>
  <w:style w:type="paragraph" w:styleId="Textodeglobo">
    <w:name w:val="Balloon Text"/>
    <w:basedOn w:val="Normal"/>
    <w:semiHidden/>
    <w:rPr>
      <w:rFonts w:ascii="Tahoma" w:hAnsi="Tahoma" w:cs="Tahoma"/>
      <w:sz w:val="16"/>
      <w:szCs w:val="16"/>
    </w:rPr>
  </w:style>
  <w:style w:type="paragraph" w:styleId="Mapadeldocumento">
    <w:name w:val="Document Map"/>
    <w:basedOn w:val="Normal"/>
    <w:semiHidden/>
    <w:pPr>
      <w:shd w:val="clear" w:color="auto" w:fill="000080"/>
    </w:pPr>
    <w:rPr>
      <w:rFonts w:ascii="Tahoma" w:hAnsi="Tahoma" w:cs="Tahoma"/>
    </w:rPr>
  </w:style>
  <w:style w:type="paragraph" w:customStyle="1" w:styleId="Pa6">
    <w:name w:val="Pa6"/>
    <w:basedOn w:val="Normal"/>
    <w:next w:val="Normal"/>
    <w:pPr>
      <w:autoSpaceDE w:val="0"/>
      <w:autoSpaceDN w:val="0"/>
      <w:adjustRightInd w:val="0"/>
      <w:spacing w:line="201" w:lineRule="atLeast"/>
    </w:pPr>
    <w:rPr>
      <w:rFonts w:ascii="Arial" w:hAnsi="Arial"/>
      <w:sz w:val="24"/>
      <w:szCs w:val="24"/>
    </w:rPr>
  </w:style>
  <w:style w:type="paragraph" w:customStyle="1" w:styleId="Pa11">
    <w:name w:val="Pa11"/>
    <w:basedOn w:val="Normal"/>
    <w:next w:val="Normal"/>
    <w:pPr>
      <w:autoSpaceDE w:val="0"/>
      <w:autoSpaceDN w:val="0"/>
      <w:adjustRightInd w:val="0"/>
      <w:spacing w:line="201" w:lineRule="atLeast"/>
    </w:pPr>
    <w:rPr>
      <w:rFonts w:ascii="Arial" w:hAnsi="Arial"/>
      <w:sz w:val="24"/>
      <w:szCs w:val="24"/>
    </w:rPr>
  </w:style>
  <w:style w:type="paragraph" w:customStyle="1" w:styleId="Pa9">
    <w:name w:val="Pa9"/>
    <w:basedOn w:val="Normal"/>
    <w:next w:val="Normal"/>
    <w:pPr>
      <w:autoSpaceDE w:val="0"/>
      <w:autoSpaceDN w:val="0"/>
      <w:adjustRightInd w:val="0"/>
      <w:spacing w:line="201" w:lineRule="atLeast"/>
    </w:pPr>
    <w:rPr>
      <w:rFonts w:ascii="Arial" w:hAnsi="Arial"/>
      <w:sz w:val="24"/>
      <w:szCs w:val="24"/>
    </w:rPr>
  </w:style>
  <w:style w:type="character" w:customStyle="1" w:styleId="ft">
    <w:name w:val="ft"/>
    <w:basedOn w:val="Fuentedeprrafopredeter"/>
    <w:rsid w:val="00614B9E"/>
  </w:style>
  <w:style w:type="paragraph" w:styleId="Revisin">
    <w:name w:val="Revision"/>
    <w:hidden/>
    <w:semiHidden/>
  </w:style>
  <w:style w:type="character" w:customStyle="1" w:styleId="apple-style-span">
    <w:name w:val="apple-style-span"/>
    <w:basedOn w:val="Fuentedeprrafopredeter"/>
    <w:rsid w:val="001103A8"/>
  </w:style>
  <w:style w:type="paragraph" w:customStyle="1" w:styleId="Pa7">
    <w:name w:val="Pa7"/>
    <w:basedOn w:val="Normal"/>
    <w:next w:val="Normal"/>
    <w:rsid w:val="00224A80"/>
    <w:pPr>
      <w:autoSpaceDE w:val="0"/>
      <w:autoSpaceDN w:val="0"/>
      <w:adjustRightInd w:val="0"/>
      <w:spacing w:line="201" w:lineRule="atLeast"/>
    </w:pPr>
    <w:rPr>
      <w:rFonts w:ascii="Arial" w:hAnsi="Arial"/>
      <w:sz w:val="24"/>
      <w:szCs w:val="24"/>
    </w:rPr>
  </w:style>
  <w:style w:type="table" w:styleId="Tablaconcuadrcula">
    <w:name w:val="Table Grid"/>
    <w:basedOn w:val="Tablanormal"/>
    <w:rsid w:val="003576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epginaCar">
    <w:name w:val="Pie de página Car"/>
    <w:link w:val="Piedepgina"/>
    <w:uiPriority w:val="99"/>
    <w:rsid w:val="00823B20"/>
  </w:style>
  <w:style w:type="paragraph" w:styleId="Textonotapie">
    <w:name w:val="footnote text"/>
    <w:basedOn w:val="Normal"/>
    <w:link w:val="TextonotapieCar"/>
    <w:rsid w:val="00B82FAF"/>
  </w:style>
  <w:style w:type="character" w:customStyle="1" w:styleId="TextonotapieCar">
    <w:name w:val="Texto nota pie Car"/>
    <w:basedOn w:val="Fuentedeprrafopredeter"/>
    <w:link w:val="Textonotapie"/>
    <w:rsid w:val="00B82FAF"/>
  </w:style>
  <w:style w:type="character" w:styleId="Refdenotaalpie">
    <w:name w:val="footnote reference"/>
    <w:rsid w:val="00B82FAF"/>
    <w:rPr>
      <w:vertAlign w:val="superscript"/>
    </w:rPr>
  </w:style>
  <w:style w:type="paragraph" w:styleId="Prrafodelista">
    <w:name w:val="List Paragraph"/>
    <w:basedOn w:val="Normal"/>
    <w:uiPriority w:val="34"/>
    <w:qFormat/>
    <w:rsid w:val="00217E93"/>
    <w:pPr>
      <w:ind w:left="708"/>
    </w:pPr>
  </w:style>
  <w:style w:type="character" w:customStyle="1" w:styleId="apple-converted-space">
    <w:name w:val="apple-converted-space"/>
    <w:basedOn w:val="Fuentedeprrafopredeter"/>
    <w:rsid w:val="00D63130"/>
  </w:style>
  <w:style w:type="character" w:customStyle="1" w:styleId="Textoindependiente3Car">
    <w:name w:val="Texto independiente 3 Car"/>
    <w:link w:val="Textoindependiente3"/>
    <w:rsid w:val="009428E6"/>
    <w:rPr>
      <w:i/>
      <w:iCs/>
      <w:sz w:val="22"/>
    </w:rPr>
  </w:style>
  <w:style w:type="character" w:customStyle="1" w:styleId="SangradetextonormalCar">
    <w:name w:val="Sangría de texto normal Car"/>
    <w:link w:val="Sangradetextonormal"/>
    <w:rsid w:val="00690AE1"/>
  </w:style>
  <w:style w:type="paragraph" w:customStyle="1" w:styleId="parrafo2">
    <w:name w:val="parrafo_2"/>
    <w:basedOn w:val="Normal"/>
    <w:rsid w:val="009762BA"/>
    <w:pPr>
      <w:spacing w:before="100" w:beforeAutospacing="1" w:after="100" w:afterAutospacing="1"/>
    </w:pPr>
    <w:rPr>
      <w:sz w:val="24"/>
      <w:szCs w:val="24"/>
    </w:rPr>
  </w:style>
  <w:style w:type="paragraph" w:customStyle="1" w:styleId="parrafo">
    <w:name w:val="parrafo"/>
    <w:basedOn w:val="Normal"/>
    <w:rsid w:val="009762BA"/>
    <w:pPr>
      <w:spacing w:before="100" w:beforeAutospacing="1" w:after="100" w:afterAutospacing="1"/>
    </w:pPr>
    <w:rPr>
      <w:sz w:val="24"/>
      <w:szCs w:val="24"/>
    </w:rPr>
  </w:style>
  <w:style w:type="character" w:customStyle="1" w:styleId="Mencinsinresolver1">
    <w:name w:val="Mención sin resolver1"/>
    <w:uiPriority w:val="99"/>
    <w:semiHidden/>
    <w:unhideWhenUsed/>
    <w:rsid w:val="00EF0A99"/>
    <w:rPr>
      <w:color w:val="605E5C"/>
      <w:shd w:val="clear" w:color="auto" w:fill="E1DFDD"/>
    </w:rPr>
  </w:style>
  <w:style w:type="character" w:styleId="Mencinsinresolver">
    <w:name w:val="Unresolved Mention"/>
    <w:basedOn w:val="Fuentedeprrafopredeter"/>
    <w:uiPriority w:val="99"/>
    <w:semiHidden/>
    <w:unhideWhenUsed/>
    <w:rsid w:val="0096173E"/>
    <w:rPr>
      <w:color w:val="605E5C"/>
      <w:shd w:val="clear" w:color="auto" w:fill="E1DFDD"/>
    </w:rPr>
  </w:style>
  <w:style w:type="character" w:styleId="nfasis">
    <w:name w:val="Emphasis"/>
    <w:basedOn w:val="Fuentedeprrafopredeter"/>
    <w:uiPriority w:val="20"/>
    <w:qFormat/>
    <w:rsid w:val="00F1107D"/>
    <w:rPr>
      <w:i/>
      <w:iCs/>
    </w:rPr>
  </w:style>
  <w:style w:type="character" w:styleId="Hipervnculovisitado">
    <w:name w:val="FollowedHyperlink"/>
    <w:basedOn w:val="Fuentedeprrafopredeter"/>
    <w:semiHidden/>
    <w:unhideWhenUsed/>
    <w:rsid w:val="005A624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48783">
      <w:bodyDiv w:val="1"/>
      <w:marLeft w:val="0"/>
      <w:marRight w:val="0"/>
      <w:marTop w:val="0"/>
      <w:marBottom w:val="0"/>
      <w:divBdr>
        <w:top w:val="none" w:sz="0" w:space="0" w:color="auto"/>
        <w:left w:val="none" w:sz="0" w:space="0" w:color="auto"/>
        <w:bottom w:val="none" w:sz="0" w:space="0" w:color="auto"/>
        <w:right w:val="none" w:sz="0" w:space="0" w:color="auto"/>
      </w:divBdr>
    </w:div>
    <w:div w:id="45490455">
      <w:bodyDiv w:val="1"/>
      <w:marLeft w:val="0"/>
      <w:marRight w:val="0"/>
      <w:marTop w:val="0"/>
      <w:marBottom w:val="0"/>
      <w:divBdr>
        <w:top w:val="none" w:sz="0" w:space="0" w:color="auto"/>
        <w:left w:val="none" w:sz="0" w:space="0" w:color="auto"/>
        <w:bottom w:val="none" w:sz="0" w:space="0" w:color="auto"/>
        <w:right w:val="none" w:sz="0" w:space="0" w:color="auto"/>
      </w:divBdr>
    </w:div>
    <w:div w:id="53168838">
      <w:bodyDiv w:val="1"/>
      <w:marLeft w:val="0"/>
      <w:marRight w:val="0"/>
      <w:marTop w:val="0"/>
      <w:marBottom w:val="0"/>
      <w:divBdr>
        <w:top w:val="none" w:sz="0" w:space="0" w:color="auto"/>
        <w:left w:val="none" w:sz="0" w:space="0" w:color="auto"/>
        <w:bottom w:val="none" w:sz="0" w:space="0" w:color="auto"/>
        <w:right w:val="none" w:sz="0" w:space="0" w:color="auto"/>
      </w:divBdr>
    </w:div>
    <w:div w:id="70784239">
      <w:bodyDiv w:val="1"/>
      <w:marLeft w:val="0"/>
      <w:marRight w:val="0"/>
      <w:marTop w:val="0"/>
      <w:marBottom w:val="0"/>
      <w:divBdr>
        <w:top w:val="none" w:sz="0" w:space="0" w:color="auto"/>
        <w:left w:val="none" w:sz="0" w:space="0" w:color="auto"/>
        <w:bottom w:val="none" w:sz="0" w:space="0" w:color="auto"/>
        <w:right w:val="none" w:sz="0" w:space="0" w:color="auto"/>
      </w:divBdr>
    </w:div>
    <w:div w:id="97532062">
      <w:bodyDiv w:val="1"/>
      <w:marLeft w:val="0"/>
      <w:marRight w:val="0"/>
      <w:marTop w:val="0"/>
      <w:marBottom w:val="0"/>
      <w:divBdr>
        <w:top w:val="none" w:sz="0" w:space="0" w:color="auto"/>
        <w:left w:val="none" w:sz="0" w:space="0" w:color="auto"/>
        <w:bottom w:val="none" w:sz="0" w:space="0" w:color="auto"/>
        <w:right w:val="none" w:sz="0" w:space="0" w:color="auto"/>
      </w:divBdr>
    </w:div>
    <w:div w:id="99766181">
      <w:bodyDiv w:val="1"/>
      <w:marLeft w:val="0"/>
      <w:marRight w:val="0"/>
      <w:marTop w:val="0"/>
      <w:marBottom w:val="0"/>
      <w:divBdr>
        <w:top w:val="none" w:sz="0" w:space="0" w:color="auto"/>
        <w:left w:val="none" w:sz="0" w:space="0" w:color="auto"/>
        <w:bottom w:val="none" w:sz="0" w:space="0" w:color="auto"/>
        <w:right w:val="none" w:sz="0" w:space="0" w:color="auto"/>
      </w:divBdr>
    </w:div>
    <w:div w:id="105317699">
      <w:bodyDiv w:val="1"/>
      <w:marLeft w:val="0"/>
      <w:marRight w:val="0"/>
      <w:marTop w:val="0"/>
      <w:marBottom w:val="0"/>
      <w:divBdr>
        <w:top w:val="none" w:sz="0" w:space="0" w:color="auto"/>
        <w:left w:val="none" w:sz="0" w:space="0" w:color="auto"/>
        <w:bottom w:val="none" w:sz="0" w:space="0" w:color="auto"/>
        <w:right w:val="none" w:sz="0" w:space="0" w:color="auto"/>
      </w:divBdr>
    </w:div>
    <w:div w:id="127861759">
      <w:bodyDiv w:val="1"/>
      <w:marLeft w:val="0"/>
      <w:marRight w:val="0"/>
      <w:marTop w:val="0"/>
      <w:marBottom w:val="0"/>
      <w:divBdr>
        <w:top w:val="none" w:sz="0" w:space="0" w:color="auto"/>
        <w:left w:val="none" w:sz="0" w:space="0" w:color="auto"/>
        <w:bottom w:val="none" w:sz="0" w:space="0" w:color="auto"/>
        <w:right w:val="none" w:sz="0" w:space="0" w:color="auto"/>
      </w:divBdr>
    </w:div>
    <w:div w:id="135993986">
      <w:bodyDiv w:val="1"/>
      <w:marLeft w:val="0"/>
      <w:marRight w:val="0"/>
      <w:marTop w:val="0"/>
      <w:marBottom w:val="0"/>
      <w:divBdr>
        <w:top w:val="none" w:sz="0" w:space="0" w:color="auto"/>
        <w:left w:val="none" w:sz="0" w:space="0" w:color="auto"/>
        <w:bottom w:val="none" w:sz="0" w:space="0" w:color="auto"/>
        <w:right w:val="none" w:sz="0" w:space="0" w:color="auto"/>
      </w:divBdr>
    </w:div>
    <w:div w:id="140732234">
      <w:bodyDiv w:val="1"/>
      <w:marLeft w:val="0"/>
      <w:marRight w:val="0"/>
      <w:marTop w:val="0"/>
      <w:marBottom w:val="0"/>
      <w:divBdr>
        <w:top w:val="none" w:sz="0" w:space="0" w:color="auto"/>
        <w:left w:val="none" w:sz="0" w:space="0" w:color="auto"/>
        <w:bottom w:val="none" w:sz="0" w:space="0" w:color="auto"/>
        <w:right w:val="none" w:sz="0" w:space="0" w:color="auto"/>
      </w:divBdr>
    </w:div>
    <w:div w:id="158278778">
      <w:bodyDiv w:val="1"/>
      <w:marLeft w:val="0"/>
      <w:marRight w:val="0"/>
      <w:marTop w:val="0"/>
      <w:marBottom w:val="0"/>
      <w:divBdr>
        <w:top w:val="none" w:sz="0" w:space="0" w:color="auto"/>
        <w:left w:val="none" w:sz="0" w:space="0" w:color="auto"/>
        <w:bottom w:val="none" w:sz="0" w:space="0" w:color="auto"/>
        <w:right w:val="none" w:sz="0" w:space="0" w:color="auto"/>
      </w:divBdr>
    </w:div>
    <w:div w:id="165705386">
      <w:bodyDiv w:val="1"/>
      <w:marLeft w:val="0"/>
      <w:marRight w:val="0"/>
      <w:marTop w:val="0"/>
      <w:marBottom w:val="0"/>
      <w:divBdr>
        <w:top w:val="none" w:sz="0" w:space="0" w:color="auto"/>
        <w:left w:val="none" w:sz="0" w:space="0" w:color="auto"/>
        <w:bottom w:val="none" w:sz="0" w:space="0" w:color="auto"/>
        <w:right w:val="none" w:sz="0" w:space="0" w:color="auto"/>
      </w:divBdr>
    </w:div>
    <w:div w:id="188839910">
      <w:bodyDiv w:val="1"/>
      <w:marLeft w:val="0"/>
      <w:marRight w:val="0"/>
      <w:marTop w:val="0"/>
      <w:marBottom w:val="0"/>
      <w:divBdr>
        <w:top w:val="none" w:sz="0" w:space="0" w:color="auto"/>
        <w:left w:val="none" w:sz="0" w:space="0" w:color="auto"/>
        <w:bottom w:val="none" w:sz="0" w:space="0" w:color="auto"/>
        <w:right w:val="none" w:sz="0" w:space="0" w:color="auto"/>
      </w:divBdr>
    </w:div>
    <w:div w:id="219678896">
      <w:bodyDiv w:val="1"/>
      <w:marLeft w:val="0"/>
      <w:marRight w:val="0"/>
      <w:marTop w:val="0"/>
      <w:marBottom w:val="0"/>
      <w:divBdr>
        <w:top w:val="none" w:sz="0" w:space="0" w:color="auto"/>
        <w:left w:val="none" w:sz="0" w:space="0" w:color="auto"/>
        <w:bottom w:val="none" w:sz="0" w:space="0" w:color="auto"/>
        <w:right w:val="none" w:sz="0" w:space="0" w:color="auto"/>
      </w:divBdr>
      <w:divsChild>
        <w:div w:id="142159746">
          <w:marLeft w:val="0"/>
          <w:marRight w:val="0"/>
          <w:marTop w:val="150"/>
          <w:marBottom w:val="0"/>
          <w:divBdr>
            <w:top w:val="none" w:sz="0" w:space="0" w:color="auto"/>
            <w:left w:val="none" w:sz="0" w:space="0" w:color="auto"/>
            <w:bottom w:val="none" w:sz="0" w:space="0" w:color="auto"/>
            <w:right w:val="none" w:sz="0" w:space="0" w:color="auto"/>
          </w:divBdr>
          <w:divsChild>
            <w:div w:id="897285766">
              <w:marLeft w:val="480"/>
              <w:marRight w:val="480"/>
              <w:marTop w:val="480"/>
              <w:marBottom w:val="480"/>
              <w:divBdr>
                <w:top w:val="single" w:sz="6" w:space="12" w:color="7A2422"/>
                <w:left w:val="single" w:sz="6" w:space="12" w:color="7A2422"/>
                <w:bottom w:val="single" w:sz="6" w:space="12" w:color="7A2422"/>
                <w:right w:val="single" w:sz="6" w:space="12" w:color="7A2422"/>
              </w:divBdr>
            </w:div>
          </w:divsChild>
        </w:div>
        <w:div w:id="814689086">
          <w:marLeft w:val="0"/>
          <w:marRight w:val="0"/>
          <w:marTop w:val="75"/>
          <w:marBottom w:val="0"/>
          <w:divBdr>
            <w:top w:val="none" w:sz="0" w:space="0" w:color="auto"/>
            <w:left w:val="none" w:sz="0" w:space="0" w:color="auto"/>
            <w:bottom w:val="none" w:sz="0" w:space="0" w:color="auto"/>
            <w:right w:val="none" w:sz="0" w:space="0" w:color="auto"/>
          </w:divBdr>
        </w:div>
        <w:div w:id="1787966842">
          <w:marLeft w:val="0"/>
          <w:marRight w:val="0"/>
          <w:marTop w:val="375"/>
          <w:marBottom w:val="0"/>
          <w:divBdr>
            <w:top w:val="none" w:sz="0" w:space="0" w:color="auto"/>
            <w:left w:val="none" w:sz="0" w:space="0" w:color="auto"/>
            <w:bottom w:val="none" w:sz="0" w:space="0" w:color="auto"/>
            <w:right w:val="none" w:sz="0" w:space="0" w:color="auto"/>
          </w:divBdr>
        </w:div>
      </w:divsChild>
    </w:div>
    <w:div w:id="222571279">
      <w:bodyDiv w:val="1"/>
      <w:marLeft w:val="0"/>
      <w:marRight w:val="0"/>
      <w:marTop w:val="0"/>
      <w:marBottom w:val="0"/>
      <w:divBdr>
        <w:top w:val="none" w:sz="0" w:space="0" w:color="auto"/>
        <w:left w:val="none" w:sz="0" w:space="0" w:color="auto"/>
        <w:bottom w:val="none" w:sz="0" w:space="0" w:color="auto"/>
        <w:right w:val="none" w:sz="0" w:space="0" w:color="auto"/>
      </w:divBdr>
    </w:div>
    <w:div w:id="285164294">
      <w:bodyDiv w:val="1"/>
      <w:marLeft w:val="0"/>
      <w:marRight w:val="0"/>
      <w:marTop w:val="0"/>
      <w:marBottom w:val="0"/>
      <w:divBdr>
        <w:top w:val="single" w:sz="2" w:space="0" w:color="CC3640"/>
        <w:left w:val="none" w:sz="0" w:space="0" w:color="auto"/>
        <w:bottom w:val="none" w:sz="0" w:space="0" w:color="auto"/>
        <w:right w:val="none" w:sz="0" w:space="0" w:color="auto"/>
      </w:divBdr>
      <w:divsChild>
        <w:div w:id="1584024188">
          <w:marLeft w:val="0"/>
          <w:marRight w:val="0"/>
          <w:marTop w:val="0"/>
          <w:marBottom w:val="0"/>
          <w:divBdr>
            <w:top w:val="single" w:sz="2" w:space="0" w:color="FF0000"/>
            <w:left w:val="single" w:sz="2" w:space="0" w:color="FF0000"/>
            <w:bottom w:val="single" w:sz="2" w:space="0" w:color="FF0000"/>
            <w:right w:val="single" w:sz="2" w:space="0" w:color="FF0000"/>
          </w:divBdr>
          <w:divsChild>
            <w:div w:id="1119372145">
              <w:marLeft w:val="0"/>
              <w:marRight w:val="0"/>
              <w:marTop w:val="0"/>
              <w:marBottom w:val="0"/>
              <w:divBdr>
                <w:top w:val="none" w:sz="0" w:space="0" w:color="auto"/>
                <w:left w:val="single" w:sz="6" w:space="0" w:color="DDDDDD"/>
                <w:bottom w:val="none" w:sz="0" w:space="0" w:color="auto"/>
                <w:right w:val="none" w:sz="0" w:space="0" w:color="auto"/>
              </w:divBdr>
              <w:divsChild>
                <w:div w:id="1218278230">
                  <w:marLeft w:val="0"/>
                  <w:marRight w:val="0"/>
                  <w:marTop w:val="0"/>
                  <w:marBottom w:val="0"/>
                  <w:divBdr>
                    <w:top w:val="single" w:sz="2" w:space="0" w:color="008000"/>
                    <w:left w:val="single" w:sz="2" w:space="0" w:color="008000"/>
                    <w:bottom w:val="single" w:sz="2" w:space="0" w:color="008000"/>
                    <w:right w:val="single" w:sz="2" w:space="0" w:color="008000"/>
                  </w:divBdr>
                  <w:divsChild>
                    <w:div w:id="36709894">
                      <w:marLeft w:val="0"/>
                      <w:marRight w:val="0"/>
                      <w:marTop w:val="0"/>
                      <w:marBottom w:val="0"/>
                      <w:divBdr>
                        <w:top w:val="none" w:sz="0" w:space="0" w:color="auto"/>
                        <w:left w:val="none" w:sz="0" w:space="0" w:color="auto"/>
                        <w:bottom w:val="none" w:sz="0" w:space="0" w:color="auto"/>
                        <w:right w:val="none" w:sz="0" w:space="0" w:color="auto"/>
                      </w:divBdr>
                      <w:divsChild>
                        <w:div w:id="1957831799">
                          <w:marLeft w:val="0"/>
                          <w:marRight w:val="0"/>
                          <w:marTop w:val="0"/>
                          <w:marBottom w:val="0"/>
                          <w:divBdr>
                            <w:top w:val="none" w:sz="0" w:space="0" w:color="auto"/>
                            <w:left w:val="none" w:sz="0" w:space="0" w:color="auto"/>
                            <w:bottom w:val="none" w:sz="0" w:space="0" w:color="auto"/>
                            <w:right w:val="none" w:sz="0" w:space="0" w:color="auto"/>
                          </w:divBdr>
                          <w:divsChild>
                            <w:div w:id="1087461001">
                              <w:marLeft w:val="0"/>
                              <w:marRight w:val="0"/>
                              <w:marTop w:val="0"/>
                              <w:marBottom w:val="0"/>
                              <w:divBdr>
                                <w:top w:val="none" w:sz="0" w:space="0" w:color="auto"/>
                                <w:left w:val="single" w:sz="6" w:space="0" w:color="C3CDD8"/>
                                <w:bottom w:val="none" w:sz="0" w:space="0" w:color="auto"/>
                                <w:right w:val="none" w:sz="0" w:space="0" w:color="auto"/>
                              </w:divBdr>
                            </w:div>
                          </w:divsChild>
                        </w:div>
                      </w:divsChild>
                    </w:div>
                  </w:divsChild>
                </w:div>
              </w:divsChild>
            </w:div>
          </w:divsChild>
        </w:div>
      </w:divsChild>
    </w:div>
    <w:div w:id="323749647">
      <w:bodyDiv w:val="1"/>
      <w:marLeft w:val="0"/>
      <w:marRight w:val="0"/>
      <w:marTop w:val="0"/>
      <w:marBottom w:val="0"/>
      <w:divBdr>
        <w:top w:val="none" w:sz="0" w:space="0" w:color="auto"/>
        <w:left w:val="none" w:sz="0" w:space="0" w:color="auto"/>
        <w:bottom w:val="none" w:sz="0" w:space="0" w:color="auto"/>
        <w:right w:val="none" w:sz="0" w:space="0" w:color="auto"/>
      </w:divBdr>
      <w:divsChild>
        <w:div w:id="2041853775">
          <w:marLeft w:val="0"/>
          <w:marRight w:val="0"/>
          <w:marTop w:val="0"/>
          <w:marBottom w:val="0"/>
          <w:divBdr>
            <w:top w:val="none" w:sz="0" w:space="0" w:color="auto"/>
            <w:left w:val="none" w:sz="0" w:space="0" w:color="auto"/>
            <w:bottom w:val="none" w:sz="0" w:space="0" w:color="auto"/>
            <w:right w:val="none" w:sz="0" w:space="0" w:color="auto"/>
          </w:divBdr>
        </w:div>
      </w:divsChild>
    </w:div>
    <w:div w:id="358707390">
      <w:bodyDiv w:val="1"/>
      <w:marLeft w:val="0"/>
      <w:marRight w:val="0"/>
      <w:marTop w:val="0"/>
      <w:marBottom w:val="0"/>
      <w:divBdr>
        <w:top w:val="none" w:sz="0" w:space="0" w:color="auto"/>
        <w:left w:val="none" w:sz="0" w:space="0" w:color="auto"/>
        <w:bottom w:val="none" w:sz="0" w:space="0" w:color="auto"/>
        <w:right w:val="none" w:sz="0" w:space="0" w:color="auto"/>
      </w:divBdr>
    </w:div>
    <w:div w:id="402262963">
      <w:bodyDiv w:val="1"/>
      <w:marLeft w:val="0"/>
      <w:marRight w:val="0"/>
      <w:marTop w:val="0"/>
      <w:marBottom w:val="0"/>
      <w:divBdr>
        <w:top w:val="single" w:sz="2" w:space="0" w:color="CC3640"/>
        <w:left w:val="none" w:sz="0" w:space="0" w:color="auto"/>
        <w:bottom w:val="none" w:sz="0" w:space="0" w:color="auto"/>
        <w:right w:val="none" w:sz="0" w:space="0" w:color="auto"/>
      </w:divBdr>
      <w:divsChild>
        <w:div w:id="1247613687">
          <w:marLeft w:val="0"/>
          <w:marRight w:val="0"/>
          <w:marTop w:val="0"/>
          <w:marBottom w:val="0"/>
          <w:divBdr>
            <w:top w:val="single" w:sz="2" w:space="0" w:color="FF0000"/>
            <w:left w:val="single" w:sz="2" w:space="0" w:color="FF0000"/>
            <w:bottom w:val="single" w:sz="2" w:space="0" w:color="FF0000"/>
            <w:right w:val="single" w:sz="2" w:space="0" w:color="FF0000"/>
          </w:divBdr>
          <w:divsChild>
            <w:div w:id="1384256709">
              <w:marLeft w:val="0"/>
              <w:marRight w:val="0"/>
              <w:marTop w:val="0"/>
              <w:marBottom w:val="0"/>
              <w:divBdr>
                <w:top w:val="none" w:sz="0" w:space="0" w:color="auto"/>
                <w:left w:val="single" w:sz="6" w:space="0" w:color="DDDDDD"/>
                <w:bottom w:val="none" w:sz="0" w:space="0" w:color="auto"/>
                <w:right w:val="none" w:sz="0" w:space="0" w:color="auto"/>
              </w:divBdr>
              <w:divsChild>
                <w:div w:id="1806846980">
                  <w:marLeft w:val="0"/>
                  <w:marRight w:val="0"/>
                  <w:marTop w:val="0"/>
                  <w:marBottom w:val="0"/>
                  <w:divBdr>
                    <w:top w:val="single" w:sz="2" w:space="0" w:color="008000"/>
                    <w:left w:val="single" w:sz="2" w:space="0" w:color="008000"/>
                    <w:bottom w:val="single" w:sz="2" w:space="0" w:color="008000"/>
                    <w:right w:val="single" w:sz="2" w:space="0" w:color="008000"/>
                  </w:divBdr>
                  <w:divsChild>
                    <w:div w:id="1406756727">
                      <w:marLeft w:val="0"/>
                      <w:marRight w:val="0"/>
                      <w:marTop w:val="0"/>
                      <w:marBottom w:val="0"/>
                      <w:divBdr>
                        <w:top w:val="none" w:sz="0" w:space="0" w:color="auto"/>
                        <w:left w:val="none" w:sz="0" w:space="0" w:color="auto"/>
                        <w:bottom w:val="none" w:sz="0" w:space="0" w:color="auto"/>
                        <w:right w:val="none" w:sz="0" w:space="0" w:color="auto"/>
                      </w:divBdr>
                      <w:divsChild>
                        <w:div w:id="48307734">
                          <w:marLeft w:val="0"/>
                          <w:marRight w:val="0"/>
                          <w:marTop w:val="0"/>
                          <w:marBottom w:val="0"/>
                          <w:divBdr>
                            <w:top w:val="none" w:sz="0" w:space="0" w:color="auto"/>
                            <w:left w:val="none" w:sz="0" w:space="0" w:color="auto"/>
                            <w:bottom w:val="none" w:sz="0" w:space="0" w:color="auto"/>
                            <w:right w:val="none" w:sz="0" w:space="0" w:color="auto"/>
                          </w:divBdr>
                          <w:divsChild>
                            <w:div w:id="1722437888">
                              <w:marLeft w:val="0"/>
                              <w:marRight w:val="0"/>
                              <w:marTop w:val="0"/>
                              <w:marBottom w:val="0"/>
                              <w:divBdr>
                                <w:top w:val="none" w:sz="0" w:space="0" w:color="auto"/>
                                <w:left w:val="single" w:sz="6" w:space="0" w:color="C3CDD8"/>
                                <w:bottom w:val="none" w:sz="0" w:space="0" w:color="auto"/>
                                <w:right w:val="none" w:sz="0" w:space="0" w:color="auto"/>
                              </w:divBdr>
                            </w:div>
                          </w:divsChild>
                        </w:div>
                      </w:divsChild>
                    </w:div>
                  </w:divsChild>
                </w:div>
              </w:divsChild>
            </w:div>
          </w:divsChild>
        </w:div>
      </w:divsChild>
    </w:div>
    <w:div w:id="407775130">
      <w:bodyDiv w:val="1"/>
      <w:marLeft w:val="0"/>
      <w:marRight w:val="0"/>
      <w:marTop w:val="0"/>
      <w:marBottom w:val="0"/>
      <w:divBdr>
        <w:top w:val="single" w:sz="2" w:space="0" w:color="CC3640"/>
        <w:left w:val="none" w:sz="0" w:space="0" w:color="auto"/>
        <w:bottom w:val="none" w:sz="0" w:space="0" w:color="auto"/>
        <w:right w:val="none" w:sz="0" w:space="0" w:color="auto"/>
      </w:divBdr>
      <w:divsChild>
        <w:div w:id="305477216">
          <w:marLeft w:val="0"/>
          <w:marRight w:val="0"/>
          <w:marTop w:val="0"/>
          <w:marBottom w:val="0"/>
          <w:divBdr>
            <w:top w:val="single" w:sz="2" w:space="0" w:color="FF0000"/>
            <w:left w:val="single" w:sz="2" w:space="0" w:color="FF0000"/>
            <w:bottom w:val="single" w:sz="2" w:space="0" w:color="FF0000"/>
            <w:right w:val="single" w:sz="2" w:space="0" w:color="FF0000"/>
          </w:divBdr>
          <w:divsChild>
            <w:div w:id="171770567">
              <w:marLeft w:val="0"/>
              <w:marRight w:val="0"/>
              <w:marTop w:val="0"/>
              <w:marBottom w:val="0"/>
              <w:divBdr>
                <w:top w:val="none" w:sz="0" w:space="0" w:color="auto"/>
                <w:left w:val="single" w:sz="6" w:space="0" w:color="DDDDDD"/>
                <w:bottom w:val="none" w:sz="0" w:space="0" w:color="auto"/>
                <w:right w:val="none" w:sz="0" w:space="0" w:color="auto"/>
              </w:divBdr>
              <w:divsChild>
                <w:div w:id="467361105">
                  <w:marLeft w:val="0"/>
                  <w:marRight w:val="0"/>
                  <w:marTop w:val="0"/>
                  <w:marBottom w:val="0"/>
                  <w:divBdr>
                    <w:top w:val="single" w:sz="2" w:space="0" w:color="008000"/>
                    <w:left w:val="single" w:sz="2" w:space="0" w:color="008000"/>
                    <w:bottom w:val="single" w:sz="2" w:space="0" w:color="008000"/>
                    <w:right w:val="single" w:sz="2" w:space="0" w:color="008000"/>
                  </w:divBdr>
                  <w:divsChild>
                    <w:div w:id="158039787">
                      <w:marLeft w:val="0"/>
                      <w:marRight w:val="0"/>
                      <w:marTop w:val="0"/>
                      <w:marBottom w:val="0"/>
                      <w:divBdr>
                        <w:top w:val="none" w:sz="0" w:space="0" w:color="auto"/>
                        <w:left w:val="none" w:sz="0" w:space="0" w:color="auto"/>
                        <w:bottom w:val="none" w:sz="0" w:space="0" w:color="auto"/>
                        <w:right w:val="none" w:sz="0" w:space="0" w:color="auto"/>
                      </w:divBdr>
                      <w:divsChild>
                        <w:div w:id="553464262">
                          <w:marLeft w:val="0"/>
                          <w:marRight w:val="0"/>
                          <w:marTop w:val="0"/>
                          <w:marBottom w:val="0"/>
                          <w:divBdr>
                            <w:top w:val="none" w:sz="0" w:space="0" w:color="auto"/>
                            <w:left w:val="none" w:sz="0" w:space="0" w:color="auto"/>
                            <w:bottom w:val="none" w:sz="0" w:space="0" w:color="auto"/>
                            <w:right w:val="none" w:sz="0" w:space="0" w:color="auto"/>
                          </w:divBdr>
                          <w:divsChild>
                            <w:div w:id="1537546950">
                              <w:marLeft w:val="0"/>
                              <w:marRight w:val="0"/>
                              <w:marTop w:val="0"/>
                              <w:marBottom w:val="0"/>
                              <w:divBdr>
                                <w:top w:val="none" w:sz="0" w:space="0" w:color="auto"/>
                                <w:left w:val="single" w:sz="6" w:space="0" w:color="C3CDD8"/>
                                <w:bottom w:val="none" w:sz="0" w:space="0" w:color="auto"/>
                                <w:right w:val="none" w:sz="0" w:space="0" w:color="auto"/>
                              </w:divBdr>
                            </w:div>
                          </w:divsChild>
                        </w:div>
                      </w:divsChild>
                    </w:div>
                  </w:divsChild>
                </w:div>
              </w:divsChild>
            </w:div>
          </w:divsChild>
        </w:div>
      </w:divsChild>
    </w:div>
    <w:div w:id="410733557">
      <w:bodyDiv w:val="1"/>
      <w:marLeft w:val="0"/>
      <w:marRight w:val="0"/>
      <w:marTop w:val="0"/>
      <w:marBottom w:val="0"/>
      <w:divBdr>
        <w:top w:val="none" w:sz="0" w:space="0" w:color="auto"/>
        <w:left w:val="none" w:sz="0" w:space="0" w:color="auto"/>
        <w:bottom w:val="none" w:sz="0" w:space="0" w:color="auto"/>
        <w:right w:val="none" w:sz="0" w:space="0" w:color="auto"/>
      </w:divBdr>
    </w:div>
    <w:div w:id="438108904">
      <w:bodyDiv w:val="1"/>
      <w:marLeft w:val="0"/>
      <w:marRight w:val="0"/>
      <w:marTop w:val="0"/>
      <w:marBottom w:val="0"/>
      <w:divBdr>
        <w:top w:val="single" w:sz="2" w:space="0" w:color="CC3640"/>
        <w:left w:val="none" w:sz="0" w:space="0" w:color="auto"/>
        <w:bottom w:val="none" w:sz="0" w:space="0" w:color="auto"/>
        <w:right w:val="none" w:sz="0" w:space="0" w:color="auto"/>
      </w:divBdr>
      <w:divsChild>
        <w:div w:id="1034228004">
          <w:marLeft w:val="0"/>
          <w:marRight w:val="0"/>
          <w:marTop w:val="0"/>
          <w:marBottom w:val="0"/>
          <w:divBdr>
            <w:top w:val="single" w:sz="2" w:space="0" w:color="FF0000"/>
            <w:left w:val="single" w:sz="2" w:space="0" w:color="FF0000"/>
            <w:bottom w:val="single" w:sz="2" w:space="0" w:color="FF0000"/>
            <w:right w:val="single" w:sz="2" w:space="0" w:color="FF0000"/>
          </w:divBdr>
          <w:divsChild>
            <w:div w:id="93980310">
              <w:marLeft w:val="0"/>
              <w:marRight w:val="0"/>
              <w:marTop w:val="0"/>
              <w:marBottom w:val="0"/>
              <w:divBdr>
                <w:top w:val="none" w:sz="0" w:space="0" w:color="auto"/>
                <w:left w:val="single" w:sz="6" w:space="0" w:color="DDDDDD"/>
                <w:bottom w:val="none" w:sz="0" w:space="0" w:color="auto"/>
                <w:right w:val="none" w:sz="0" w:space="0" w:color="auto"/>
              </w:divBdr>
              <w:divsChild>
                <w:div w:id="647712890">
                  <w:marLeft w:val="0"/>
                  <w:marRight w:val="0"/>
                  <w:marTop w:val="0"/>
                  <w:marBottom w:val="0"/>
                  <w:divBdr>
                    <w:top w:val="single" w:sz="2" w:space="0" w:color="008000"/>
                    <w:left w:val="single" w:sz="2" w:space="0" w:color="008000"/>
                    <w:bottom w:val="single" w:sz="2" w:space="0" w:color="008000"/>
                    <w:right w:val="single" w:sz="2" w:space="0" w:color="008000"/>
                  </w:divBdr>
                  <w:divsChild>
                    <w:div w:id="653877492">
                      <w:marLeft w:val="0"/>
                      <w:marRight w:val="0"/>
                      <w:marTop w:val="0"/>
                      <w:marBottom w:val="0"/>
                      <w:divBdr>
                        <w:top w:val="none" w:sz="0" w:space="0" w:color="auto"/>
                        <w:left w:val="none" w:sz="0" w:space="0" w:color="auto"/>
                        <w:bottom w:val="none" w:sz="0" w:space="0" w:color="auto"/>
                        <w:right w:val="none" w:sz="0" w:space="0" w:color="auto"/>
                      </w:divBdr>
                      <w:divsChild>
                        <w:div w:id="427967464">
                          <w:marLeft w:val="0"/>
                          <w:marRight w:val="0"/>
                          <w:marTop w:val="0"/>
                          <w:marBottom w:val="0"/>
                          <w:divBdr>
                            <w:top w:val="none" w:sz="0" w:space="0" w:color="auto"/>
                            <w:left w:val="none" w:sz="0" w:space="0" w:color="auto"/>
                            <w:bottom w:val="none" w:sz="0" w:space="0" w:color="auto"/>
                            <w:right w:val="none" w:sz="0" w:space="0" w:color="auto"/>
                          </w:divBdr>
                          <w:divsChild>
                            <w:div w:id="2067147122">
                              <w:marLeft w:val="0"/>
                              <w:marRight w:val="0"/>
                              <w:marTop w:val="0"/>
                              <w:marBottom w:val="0"/>
                              <w:divBdr>
                                <w:top w:val="none" w:sz="0" w:space="0" w:color="auto"/>
                                <w:left w:val="single" w:sz="6" w:space="0" w:color="C3CDD8"/>
                                <w:bottom w:val="none" w:sz="0" w:space="0" w:color="auto"/>
                                <w:right w:val="none" w:sz="0" w:space="0" w:color="auto"/>
                              </w:divBdr>
                            </w:div>
                          </w:divsChild>
                        </w:div>
                      </w:divsChild>
                    </w:div>
                  </w:divsChild>
                </w:div>
              </w:divsChild>
            </w:div>
          </w:divsChild>
        </w:div>
      </w:divsChild>
    </w:div>
    <w:div w:id="480855976">
      <w:bodyDiv w:val="1"/>
      <w:marLeft w:val="0"/>
      <w:marRight w:val="0"/>
      <w:marTop w:val="0"/>
      <w:marBottom w:val="0"/>
      <w:divBdr>
        <w:top w:val="none" w:sz="0" w:space="0" w:color="auto"/>
        <w:left w:val="none" w:sz="0" w:space="0" w:color="auto"/>
        <w:bottom w:val="none" w:sz="0" w:space="0" w:color="auto"/>
        <w:right w:val="none" w:sz="0" w:space="0" w:color="auto"/>
      </w:divBdr>
    </w:div>
    <w:div w:id="484468136">
      <w:bodyDiv w:val="1"/>
      <w:marLeft w:val="0"/>
      <w:marRight w:val="0"/>
      <w:marTop w:val="0"/>
      <w:marBottom w:val="0"/>
      <w:divBdr>
        <w:top w:val="none" w:sz="0" w:space="0" w:color="auto"/>
        <w:left w:val="none" w:sz="0" w:space="0" w:color="auto"/>
        <w:bottom w:val="none" w:sz="0" w:space="0" w:color="auto"/>
        <w:right w:val="none" w:sz="0" w:space="0" w:color="auto"/>
      </w:divBdr>
    </w:div>
    <w:div w:id="486746668">
      <w:bodyDiv w:val="1"/>
      <w:marLeft w:val="0"/>
      <w:marRight w:val="0"/>
      <w:marTop w:val="0"/>
      <w:marBottom w:val="0"/>
      <w:divBdr>
        <w:top w:val="none" w:sz="0" w:space="0" w:color="auto"/>
        <w:left w:val="none" w:sz="0" w:space="0" w:color="auto"/>
        <w:bottom w:val="none" w:sz="0" w:space="0" w:color="auto"/>
        <w:right w:val="none" w:sz="0" w:space="0" w:color="auto"/>
      </w:divBdr>
    </w:div>
    <w:div w:id="541524725">
      <w:bodyDiv w:val="1"/>
      <w:marLeft w:val="0"/>
      <w:marRight w:val="0"/>
      <w:marTop w:val="0"/>
      <w:marBottom w:val="0"/>
      <w:divBdr>
        <w:top w:val="none" w:sz="0" w:space="0" w:color="auto"/>
        <w:left w:val="none" w:sz="0" w:space="0" w:color="auto"/>
        <w:bottom w:val="none" w:sz="0" w:space="0" w:color="auto"/>
        <w:right w:val="none" w:sz="0" w:space="0" w:color="auto"/>
      </w:divBdr>
    </w:div>
    <w:div w:id="572394035">
      <w:bodyDiv w:val="1"/>
      <w:marLeft w:val="0"/>
      <w:marRight w:val="0"/>
      <w:marTop w:val="0"/>
      <w:marBottom w:val="0"/>
      <w:divBdr>
        <w:top w:val="none" w:sz="0" w:space="0" w:color="auto"/>
        <w:left w:val="none" w:sz="0" w:space="0" w:color="auto"/>
        <w:bottom w:val="none" w:sz="0" w:space="0" w:color="auto"/>
        <w:right w:val="none" w:sz="0" w:space="0" w:color="auto"/>
      </w:divBdr>
    </w:div>
    <w:div w:id="576401667">
      <w:bodyDiv w:val="1"/>
      <w:marLeft w:val="0"/>
      <w:marRight w:val="0"/>
      <w:marTop w:val="0"/>
      <w:marBottom w:val="0"/>
      <w:divBdr>
        <w:top w:val="none" w:sz="0" w:space="0" w:color="auto"/>
        <w:left w:val="none" w:sz="0" w:space="0" w:color="auto"/>
        <w:bottom w:val="none" w:sz="0" w:space="0" w:color="auto"/>
        <w:right w:val="none" w:sz="0" w:space="0" w:color="auto"/>
      </w:divBdr>
    </w:div>
    <w:div w:id="589124189">
      <w:bodyDiv w:val="1"/>
      <w:marLeft w:val="0"/>
      <w:marRight w:val="0"/>
      <w:marTop w:val="0"/>
      <w:marBottom w:val="0"/>
      <w:divBdr>
        <w:top w:val="none" w:sz="0" w:space="0" w:color="auto"/>
        <w:left w:val="none" w:sz="0" w:space="0" w:color="auto"/>
        <w:bottom w:val="none" w:sz="0" w:space="0" w:color="auto"/>
        <w:right w:val="none" w:sz="0" w:space="0" w:color="auto"/>
      </w:divBdr>
    </w:div>
    <w:div w:id="628703504">
      <w:bodyDiv w:val="1"/>
      <w:marLeft w:val="0"/>
      <w:marRight w:val="0"/>
      <w:marTop w:val="0"/>
      <w:marBottom w:val="0"/>
      <w:divBdr>
        <w:top w:val="none" w:sz="0" w:space="0" w:color="auto"/>
        <w:left w:val="none" w:sz="0" w:space="0" w:color="auto"/>
        <w:bottom w:val="none" w:sz="0" w:space="0" w:color="auto"/>
        <w:right w:val="none" w:sz="0" w:space="0" w:color="auto"/>
      </w:divBdr>
    </w:div>
    <w:div w:id="680085899">
      <w:bodyDiv w:val="1"/>
      <w:marLeft w:val="0"/>
      <w:marRight w:val="0"/>
      <w:marTop w:val="0"/>
      <w:marBottom w:val="0"/>
      <w:divBdr>
        <w:top w:val="none" w:sz="0" w:space="0" w:color="auto"/>
        <w:left w:val="none" w:sz="0" w:space="0" w:color="auto"/>
        <w:bottom w:val="none" w:sz="0" w:space="0" w:color="auto"/>
        <w:right w:val="none" w:sz="0" w:space="0" w:color="auto"/>
      </w:divBdr>
    </w:div>
    <w:div w:id="680857430">
      <w:bodyDiv w:val="1"/>
      <w:marLeft w:val="0"/>
      <w:marRight w:val="0"/>
      <w:marTop w:val="0"/>
      <w:marBottom w:val="0"/>
      <w:divBdr>
        <w:top w:val="single" w:sz="2" w:space="0" w:color="CC3640"/>
        <w:left w:val="none" w:sz="0" w:space="0" w:color="auto"/>
        <w:bottom w:val="none" w:sz="0" w:space="0" w:color="auto"/>
        <w:right w:val="none" w:sz="0" w:space="0" w:color="auto"/>
      </w:divBdr>
      <w:divsChild>
        <w:div w:id="1231042174">
          <w:marLeft w:val="0"/>
          <w:marRight w:val="0"/>
          <w:marTop w:val="0"/>
          <w:marBottom w:val="0"/>
          <w:divBdr>
            <w:top w:val="single" w:sz="2" w:space="0" w:color="FF0000"/>
            <w:left w:val="single" w:sz="2" w:space="0" w:color="FF0000"/>
            <w:bottom w:val="single" w:sz="2" w:space="0" w:color="FF0000"/>
            <w:right w:val="single" w:sz="2" w:space="0" w:color="FF0000"/>
          </w:divBdr>
          <w:divsChild>
            <w:div w:id="487134818">
              <w:marLeft w:val="0"/>
              <w:marRight w:val="0"/>
              <w:marTop w:val="0"/>
              <w:marBottom w:val="0"/>
              <w:divBdr>
                <w:top w:val="none" w:sz="0" w:space="0" w:color="auto"/>
                <w:left w:val="single" w:sz="6" w:space="0" w:color="DDDDDD"/>
                <w:bottom w:val="none" w:sz="0" w:space="0" w:color="auto"/>
                <w:right w:val="none" w:sz="0" w:space="0" w:color="auto"/>
              </w:divBdr>
              <w:divsChild>
                <w:div w:id="635640991">
                  <w:marLeft w:val="0"/>
                  <w:marRight w:val="0"/>
                  <w:marTop w:val="0"/>
                  <w:marBottom w:val="0"/>
                  <w:divBdr>
                    <w:top w:val="single" w:sz="2" w:space="0" w:color="008000"/>
                    <w:left w:val="single" w:sz="2" w:space="0" w:color="008000"/>
                    <w:bottom w:val="single" w:sz="2" w:space="0" w:color="008000"/>
                    <w:right w:val="single" w:sz="2" w:space="0" w:color="008000"/>
                  </w:divBdr>
                  <w:divsChild>
                    <w:div w:id="1537309335">
                      <w:marLeft w:val="0"/>
                      <w:marRight w:val="0"/>
                      <w:marTop w:val="0"/>
                      <w:marBottom w:val="0"/>
                      <w:divBdr>
                        <w:top w:val="none" w:sz="0" w:space="0" w:color="auto"/>
                        <w:left w:val="none" w:sz="0" w:space="0" w:color="auto"/>
                        <w:bottom w:val="none" w:sz="0" w:space="0" w:color="auto"/>
                        <w:right w:val="none" w:sz="0" w:space="0" w:color="auto"/>
                      </w:divBdr>
                      <w:divsChild>
                        <w:div w:id="1028675392">
                          <w:marLeft w:val="0"/>
                          <w:marRight w:val="0"/>
                          <w:marTop w:val="0"/>
                          <w:marBottom w:val="0"/>
                          <w:divBdr>
                            <w:top w:val="none" w:sz="0" w:space="0" w:color="auto"/>
                            <w:left w:val="none" w:sz="0" w:space="0" w:color="auto"/>
                            <w:bottom w:val="none" w:sz="0" w:space="0" w:color="auto"/>
                            <w:right w:val="none" w:sz="0" w:space="0" w:color="auto"/>
                          </w:divBdr>
                          <w:divsChild>
                            <w:div w:id="2083291076">
                              <w:marLeft w:val="0"/>
                              <w:marRight w:val="0"/>
                              <w:marTop w:val="0"/>
                              <w:marBottom w:val="0"/>
                              <w:divBdr>
                                <w:top w:val="none" w:sz="0" w:space="0" w:color="auto"/>
                                <w:left w:val="single" w:sz="6" w:space="0" w:color="C3CDD8"/>
                                <w:bottom w:val="none" w:sz="0" w:space="0" w:color="auto"/>
                                <w:right w:val="none" w:sz="0" w:space="0" w:color="auto"/>
                              </w:divBdr>
                            </w:div>
                          </w:divsChild>
                        </w:div>
                      </w:divsChild>
                    </w:div>
                  </w:divsChild>
                </w:div>
              </w:divsChild>
            </w:div>
          </w:divsChild>
        </w:div>
      </w:divsChild>
    </w:div>
    <w:div w:id="686635275">
      <w:bodyDiv w:val="1"/>
      <w:marLeft w:val="0"/>
      <w:marRight w:val="0"/>
      <w:marTop w:val="0"/>
      <w:marBottom w:val="0"/>
      <w:divBdr>
        <w:top w:val="none" w:sz="0" w:space="0" w:color="auto"/>
        <w:left w:val="none" w:sz="0" w:space="0" w:color="auto"/>
        <w:bottom w:val="none" w:sz="0" w:space="0" w:color="auto"/>
        <w:right w:val="none" w:sz="0" w:space="0" w:color="auto"/>
      </w:divBdr>
    </w:div>
    <w:div w:id="747458728">
      <w:bodyDiv w:val="1"/>
      <w:marLeft w:val="0"/>
      <w:marRight w:val="0"/>
      <w:marTop w:val="0"/>
      <w:marBottom w:val="0"/>
      <w:divBdr>
        <w:top w:val="none" w:sz="0" w:space="0" w:color="auto"/>
        <w:left w:val="none" w:sz="0" w:space="0" w:color="auto"/>
        <w:bottom w:val="none" w:sz="0" w:space="0" w:color="auto"/>
        <w:right w:val="none" w:sz="0" w:space="0" w:color="auto"/>
      </w:divBdr>
    </w:div>
    <w:div w:id="765659588">
      <w:bodyDiv w:val="1"/>
      <w:marLeft w:val="0"/>
      <w:marRight w:val="0"/>
      <w:marTop w:val="0"/>
      <w:marBottom w:val="0"/>
      <w:divBdr>
        <w:top w:val="none" w:sz="0" w:space="0" w:color="auto"/>
        <w:left w:val="none" w:sz="0" w:space="0" w:color="auto"/>
        <w:bottom w:val="none" w:sz="0" w:space="0" w:color="auto"/>
        <w:right w:val="none" w:sz="0" w:space="0" w:color="auto"/>
      </w:divBdr>
    </w:div>
    <w:div w:id="830486472">
      <w:bodyDiv w:val="1"/>
      <w:marLeft w:val="0"/>
      <w:marRight w:val="0"/>
      <w:marTop w:val="0"/>
      <w:marBottom w:val="0"/>
      <w:divBdr>
        <w:top w:val="none" w:sz="0" w:space="0" w:color="auto"/>
        <w:left w:val="none" w:sz="0" w:space="0" w:color="auto"/>
        <w:bottom w:val="none" w:sz="0" w:space="0" w:color="auto"/>
        <w:right w:val="none" w:sz="0" w:space="0" w:color="auto"/>
      </w:divBdr>
      <w:divsChild>
        <w:div w:id="155072495">
          <w:marLeft w:val="0"/>
          <w:marRight w:val="0"/>
          <w:marTop w:val="0"/>
          <w:marBottom w:val="0"/>
          <w:divBdr>
            <w:top w:val="none" w:sz="0" w:space="0" w:color="auto"/>
            <w:left w:val="none" w:sz="0" w:space="0" w:color="auto"/>
            <w:bottom w:val="none" w:sz="0" w:space="0" w:color="auto"/>
            <w:right w:val="none" w:sz="0" w:space="0" w:color="auto"/>
          </w:divBdr>
        </w:div>
        <w:div w:id="776825803">
          <w:marLeft w:val="0"/>
          <w:marRight w:val="0"/>
          <w:marTop w:val="0"/>
          <w:marBottom w:val="0"/>
          <w:divBdr>
            <w:top w:val="none" w:sz="0" w:space="0" w:color="auto"/>
            <w:left w:val="none" w:sz="0" w:space="0" w:color="auto"/>
            <w:bottom w:val="none" w:sz="0" w:space="0" w:color="auto"/>
            <w:right w:val="none" w:sz="0" w:space="0" w:color="auto"/>
          </w:divBdr>
          <w:divsChild>
            <w:div w:id="1865052843">
              <w:marLeft w:val="0"/>
              <w:marRight w:val="0"/>
              <w:marTop w:val="0"/>
              <w:marBottom w:val="0"/>
              <w:divBdr>
                <w:top w:val="none" w:sz="0" w:space="0" w:color="auto"/>
                <w:left w:val="none" w:sz="0" w:space="0" w:color="auto"/>
                <w:bottom w:val="none" w:sz="0" w:space="0" w:color="auto"/>
                <w:right w:val="none" w:sz="0" w:space="0" w:color="auto"/>
              </w:divBdr>
            </w:div>
          </w:divsChild>
        </w:div>
        <w:div w:id="1310204392">
          <w:marLeft w:val="0"/>
          <w:marRight w:val="0"/>
          <w:marTop w:val="0"/>
          <w:marBottom w:val="120"/>
          <w:divBdr>
            <w:top w:val="none" w:sz="0" w:space="0" w:color="auto"/>
            <w:left w:val="none" w:sz="0" w:space="0" w:color="auto"/>
            <w:bottom w:val="none" w:sz="0" w:space="0" w:color="auto"/>
            <w:right w:val="none" w:sz="0" w:space="0" w:color="auto"/>
          </w:divBdr>
          <w:divsChild>
            <w:div w:id="1849782348">
              <w:marLeft w:val="0"/>
              <w:marRight w:val="0"/>
              <w:marTop w:val="0"/>
              <w:marBottom w:val="0"/>
              <w:divBdr>
                <w:top w:val="none" w:sz="0" w:space="0" w:color="auto"/>
                <w:left w:val="none" w:sz="0" w:space="0" w:color="auto"/>
                <w:bottom w:val="none" w:sz="0" w:space="0" w:color="auto"/>
                <w:right w:val="none" w:sz="0" w:space="0" w:color="auto"/>
              </w:divBdr>
            </w:div>
          </w:divsChild>
        </w:div>
        <w:div w:id="1632633460">
          <w:marLeft w:val="0"/>
          <w:marRight w:val="0"/>
          <w:marTop w:val="0"/>
          <w:marBottom w:val="0"/>
          <w:divBdr>
            <w:top w:val="none" w:sz="0" w:space="0" w:color="auto"/>
            <w:left w:val="none" w:sz="0" w:space="0" w:color="auto"/>
            <w:bottom w:val="none" w:sz="0" w:space="0" w:color="auto"/>
            <w:right w:val="none" w:sz="0" w:space="0" w:color="auto"/>
          </w:divBdr>
          <w:divsChild>
            <w:div w:id="2002275829">
              <w:marLeft w:val="0"/>
              <w:marRight w:val="0"/>
              <w:marTop w:val="0"/>
              <w:marBottom w:val="0"/>
              <w:divBdr>
                <w:top w:val="none" w:sz="0" w:space="0" w:color="auto"/>
                <w:left w:val="none" w:sz="0" w:space="0" w:color="auto"/>
                <w:bottom w:val="none" w:sz="0" w:space="0" w:color="auto"/>
                <w:right w:val="none" w:sz="0" w:space="0" w:color="auto"/>
              </w:divBdr>
            </w:div>
          </w:divsChild>
        </w:div>
        <w:div w:id="1673146161">
          <w:marLeft w:val="0"/>
          <w:marRight w:val="0"/>
          <w:marTop w:val="0"/>
          <w:marBottom w:val="240"/>
          <w:divBdr>
            <w:top w:val="none" w:sz="0" w:space="0" w:color="auto"/>
            <w:left w:val="none" w:sz="0" w:space="0" w:color="auto"/>
            <w:bottom w:val="none" w:sz="0" w:space="0" w:color="auto"/>
            <w:right w:val="none" w:sz="0" w:space="0" w:color="auto"/>
          </w:divBdr>
        </w:div>
      </w:divsChild>
    </w:div>
    <w:div w:id="836111603">
      <w:bodyDiv w:val="1"/>
      <w:marLeft w:val="0"/>
      <w:marRight w:val="0"/>
      <w:marTop w:val="0"/>
      <w:marBottom w:val="0"/>
      <w:divBdr>
        <w:top w:val="none" w:sz="0" w:space="0" w:color="auto"/>
        <w:left w:val="none" w:sz="0" w:space="0" w:color="auto"/>
        <w:bottom w:val="none" w:sz="0" w:space="0" w:color="auto"/>
        <w:right w:val="none" w:sz="0" w:space="0" w:color="auto"/>
      </w:divBdr>
      <w:divsChild>
        <w:div w:id="2113016821">
          <w:blockQuote w:val="1"/>
          <w:marLeft w:val="-994"/>
          <w:marRight w:val="0"/>
          <w:marTop w:val="150"/>
          <w:marBottom w:val="525"/>
          <w:divBdr>
            <w:top w:val="none" w:sz="0" w:space="0" w:color="auto"/>
            <w:left w:val="none" w:sz="0" w:space="0" w:color="auto"/>
            <w:bottom w:val="none" w:sz="0" w:space="0" w:color="auto"/>
            <w:right w:val="none" w:sz="0" w:space="0" w:color="auto"/>
          </w:divBdr>
        </w:div>
        <w:div w:id="1350715684">
          <w:marLeft w:val="0"/>
          <w:marRight w:val="0"/>
          <w:marTop w:val="0"/>
          <w:marBottom w:val="0"/>
          <w:divBdr>
            <w:top w:val="none" w:sz="0" w:space="0" w:color="auto"/>
            <w:left w:val="none" w:sz="0" w:space="0" w:color="auto"/>
            <w:bottom w:val="none" w:sz="0" w:space="0" w:color="auto"/>
            <w:right w:val="none" w:sz="0" w:space="0" w:color="auto"/>
          </w:divBdr>
          <w:divsChild>
            <w:div w:id="848181368">
              <w:marLeft w:val="0"/>
              <w:marRight w:val="0"/>
              <w:marTop w:val="0"/>
              <w:marBottom w:val="0"/>
              <w:divBdr>
                <w:top w:val="none" w:sz="0" w:space="0" w:color="auto"/>
                <w:left w:val="none" w:sz="0" w:space="0" w:color="auto"/>
                <w:bottom w:val="none" w:sz="0" w:space="0" w:color="auto"/>
                <w:right w:val="none" w:sz="0" w:space="0" w:color="auto"/>
              </w:divBdr>
            </w:div>
            <w:div w:id="2025789457">
              <w:marLeft w:val="0"/>
              <w:marRight w:val="0"/>
              <w:marTop w:val="0"/>
              <w:marBottom w:val="0"/>
              <w:divBdr>
                <w:top w:val="none" w:sz="0" w:space="0" w:color="auto"/>
                <w:left w:val="none" w:sz="0" w:space="0" w:color="auto"/>
                <w:bottom w:val="none" w:sz="0" w:space="0" w:color="auto"/>
                <w:right w:val="none" w:sz="0" w:space="0" w:color="auto"/>
              </w:divBdr>
              <w:divsChild>
                <w:div w:id="4583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633765">
          <w:blockQuote w:val="1"/>
          <w:marLeft w:val="-994"/>
          <w:marRight w:val="0"/>
          <w:marTop w:val="150"/>
          <w:marBottom w:val="525"/>
          <w:divBdr>
            <w:top w:val="none" w:sz="0" w:space="0" w:color="auto"/>
            <w:left w:val="none" w:sz="0" w:space="0" w:color="auto"/>
            <w:bottom w:val="none" w:sz="0" w:space="0" w:color="auto"/>
            <w:right w:val="none" w:sz="0" w:space="0" w:color="auto"/>
          </w:divBdr>
        </w:div>
      </w:divsChild>
    </w:div>
    <w:div w:id="855968895">
      <w:bodyDiv w:val="1"/>
      <w:marLeft w:val="0"/>
      <w:marRight w:val="0"/>
      <w:marTop w:val="0"/>
      <w:marBottom w:val="0"/>
      <w:divBdr>
        <w:top w:val="single" w:sz="2" w:space="0" w:color="CC3640"/>
        <w:left w:val="none" w:sz="0" w:space="0" w:color="auto"/>
        <w:bottom w:val="none" w:sz="0" w:space="0" w:color="auto"/>
        <w:right w:val="none" w:sz="0" w:space="0" w:color="auto"/>
      </w:divBdr>
      <w:divsChild>
        <w:div w:id="257719222">
          <w:marLeft w:val="0"/>
          <w:marRight w:val="0"/>
          <w:marTop w:val="0"/>
          <w:marBottom w:val="0"/>
          <w:divBdr>
            <w:top w:val="single" w:sz="2" w:space="0" w:color="FF0000"/>
            <w:left w:val="single" w:sz="2" w:space="0" w:color="FF0000"/>
            <w:bottom w:val="single" w:sz="2" w:space="0" w:color="FF0000"/>
            <w:right w:val="single" w:sz="2" w:space="0" w:color="FF0000"/>
          </w:divBdr>
          <w:divsChild>
            <w:div w:id="2013334599">
              <w:marLeft w:val="0"/>
              <w:marRight w:val="0"/>
              <w:marTop w:val="0"/>
              <w:marBottom w:val="0"/>
              <w:divBdr>
                <w:top w:val="none" w:sz="0" w:space="0" w:color="auto"/>
                <w:left w:val="single" w:sz="6" w:space="0" w:color="DDDDDD"/>
                <w:bottom w:val="none" w:sz="0" w:space="0" w:color="auto"/>
                <w:right w:val="none" w:sz="0" w:space="0" w:color="auto"/>
              </w:divBdr>
              <w:divsChild>
                <w:div w:id="370308117">
                  <w:marLeft w:val="0"/>
                  <w:marRight w:val="0"/>
                  <w:marTop w:val="0"/>
                  <w:marBottom w:val="0"/>
                  <w:divBdr>
                    <w:top w:val="single" w:sz="2" w:space="0" w:color="008000"/>
                    <w:left w:val="single" w:sz="2" w:space="0" w:color="008000"/>
                    <w:bottom w:val="single" w:sz="2" w:space="0" w:color="008000"/>
                    <w:right w:val="single" w:sz="2" w:space="0" w:color="008000"/>
                  </w:divBdr>
                  <w:divsChild>
                    <w:div w:id="1149907261">
                      <w:marLeft w:val="0"/>
                      <w:marRight w:val="0"/>
                      <w:marTop w:val="0"/>
                      <w:marBottom w:val="0"/>
                      <w:divBdr>
                        <w:top w:val="none" w:sz="0" w:space="0" w:color="auto"/>
                        <w:left w:val="none" w:sz="0" w:space="0" w:color="auto"/>
                        <w:bottom w:val="none" w:sz="0" w:space="0" w:color="auto"/>
                        <w:right w:val="none" w:sz="0" w:space="0" w:color="auto"/>
                      </w:divBdr>
                      <w:divsChild>
                        <w:div w:id="79103882">
                          <w:marLeft w:val="0"/>
                          <w:marRight w:val="0"/>
                          <w:marTop w:val="0"/>
                          <w:marBottom w:val="0"/>
                          <w:divBdr>
                            <w:top w:val="none" w:sz="0" w:space="0" w:color="auto"/>
                            <w:left w:val="none" w:sz="0" w:space="0" w:color="auto"/>
                            <w:bottom w:val="none" w:sz="0" w:space="0" w:color="auto"/>
                            <w:right w:val="none" w:sz="0" w:space="0" w:color="auto"/>
                          </w:divBdr>
                          <w:divsChild>
                            <w:div w:id="590165776">
                              <w:marLeft w:val="0"/>
                              <w:marRight w:val="0"/>
                              <w:marTop w:val="0"/>
                              <w:marBottom w:val="0"/>
                              <w:divBdr>
                                <w:top w:val="none" w:sz="0" w:space="0" w:color="auto"/>
                                <w:left w:val="single" w:sz="6" w:space="0" w:color="C3CDD8"/>
                                <w:bottom w:val="none" w:sz="0" w:space="0" w:color="auto"/>
                                <w:right w:val="none" w:sz="0" w:space="0" w:color="auto"/>
                              </w:divBdr>
                            </w:div>
                          </w:divsChild>
                        </w:div>
                      </w:divsChild>
                    </w:div>
                  </w:divsChild>
                </w:div>
              </w:divsChild>
            </w:div>
          </w:divsChild>
        </w:div>
      </w:divsChild>
    </w:div>
    <w:div w:id="865748590">
      <w:bodyDiv w:val="1"/>
      <w:marLeft w:val="0"/>
      <w:marRight w:val="0"/>
      <w:marTop w:val="0"/>
      <w:marBottom w:val="0"/>
      <w:divBdr>
        <w:top w:val="none" w:sz="0" w:space="0" w:color="auto"/>
        <w:left w:val="none" w:sz="0" w:space="0" w:color="auto"/>
        <w:bottom w:val="none" w:sz="0" w:space="0" w:color="auto"/>
        <w:right w:val="none" w:sz="0" w:space="0" w:color="auto"/>
      </w:divBdr>
    </w:div>
    <w:div w:id="869338574">
      <w:bodyDiv w:val="1"/>
      <w:marLeft w:val="0"/>
      <w:marRight w:val="0"/>
      <w:marTop w:val="0"/>
      <w:marBottom w:val="0"/>
      <w:divBdr>
        <w:top w:val="none" w:sz="0" w:space="0" w:color="auto"/>
        <w:left w:val="none" w:sz="0" w:space="0" w:color="auto"/>
        <w:bottom w:val="none" w:sz="0" w:space="0" w:color="auto"/>
        <w:right w:val="none" w:sz="0" w:space="0" w:color="auto"/>
      </w:divBdr>
    </w:div>
    <w:div w:id="870071503">
      <w:bodyDiv w:val="1"/>
      <w:marLeft w:val="0"/>
      <w:marRight w:val="0"/>
      <w:marTop w:val="0"/>
      <w:marBottom w:val="0"/>
      <w:divBdr>
        <w:top w:val="none" w:sz="0" w:space="0" w:color="auto"/>
        <w:left w:val="none" w:sz="0" w:space="0" w:color="auto"/>
        <w:bottom w:val="none" w:sz="0" w:space="0" w:color="auto"/>
        <w:right w:val="none" w:sz="0" w:space="0" w:color="auto"/>
      </w:divBdr>
      <w:divsChild>
        <w:div w:id="1101492163">
          <w:blockQuote w:val="1"/>
          <w:marLeft w:val="0"/>
          <w:marRight w:val="0"/>
          <w:marTop w:val="750"/>
          <w:marBottom w:val="750"/>
          <w:divBdr>
            <w:top w:val="none" w:sz="0" w:space="0" w:color="auto"/>
            <w:left w:val="none" w:sz="0" w:space="0" w:color="auto"/>
            <w:bottom w:val="none" w:sz="0" w:space="0" w:color="auto"/>
            <w:right w:val="none" w:sz="0" w:space="0" w:color="auto"/>
          </w:divBdr>
        </w:div>
      </w:divsChild>
    </w:div>
    <w:div w:id="900024750">
      <w:bodyDiv w:val="1"/>
      <w:marLeft w:val="0"/>
      <w:marRight w:val="0"/>
      <w:marTop w:val="0"/>
      <w:marBottom w:val="0"/>
      <w:divBdr>
        <w:top w:val="none" w:sz="0" w:space="0" w:color="auto"/>
        <w:left w:val="none" w:sz="0" w:space="0" w:color="auto"/>
        <w:bottom w:val="none" w:sz="0" w:space="0" w:color="auto"/>
        <w:right w:val="none" w:sz="0" w:space="0" w:color="auto"/>
      </w:divBdr>
    </w:div>
    <w:div w:id="953635696">
      <w:bodyDiv w:val="1"/>
      <w:marLeft w:val="0"/>
      <w:marRight w:val="0"/>
      <w:marTop w:val="0"/>
      <w:marBottom w:val="0"/>
      <w:divBdr>
        <w:top w:val="none" w:sz="0" w:space="0" w:color="auto"/>
        <w:left w:val="none" w:sz="0" w:space="0" w:color="auto"/>
        <w:bottom w:val="none" w:sz="0" w:space="0" w:color="auto"/>
        <w:right w:val="none" w:sz="0" w:space="0" w:color="auto"/>
      </w:divBdr>
    </w:div>
    <w:div w:id="958342605">
      <w:bodyDiv w:val="1"/>
      <w:marLeft w:val="0"/>
      <w:marRight w:val="0"/>
      <w:marTop w:val="0"/>
      <w:marBottom w:val="0"/>
      <w:divBdr>
        <w:top w:val="none" w:sz="0" w:space="0" w:color="auto"/>
        <w:left w:val="none" w:sz="0" w:space="0" w:color="auto"/>
        <w:bottom w:val="none" w:sz="0" w:space="0" w:color="auto"/>
        <w:right w:val="none" w:sz="0" w:space="0" w:color="auto"/>
      </w:divBdr>
      <w:divsChild>
        <w:div w:id="1447693196">
          <w:marLeft w:val="0"/>
          <w:marRight w:val="0"/>
          <w:marTop w:val="0"/>
          <w:marBottom w:val="0"/>
          <w:divBdr>
            <w:top w:val="single" w:sz="12" w:space="0" w:color="0092F4"/>
            <w:left w:val="none" w:sz="0" w:space="0" w:color="auto"/>
            <w:bottom w:val="none" w:sz="0" w:space="0" w:color="auto"/>
            <w:right w:val="none" w:sz="0" w:space="0" w:color="auto"/>
          </w:divBdr>
          <w:divsChild>
            <w:div w:id="1540893918">
              <w:marLeft w:val="450"/>
              <w:marRight w:val="450"/>
              <w:marTop w:val="150"/>
              <w:marBottom w:val="0"/>
              <w:divBdr>
                <w:top w:val="none" w:sz="0" w:space="0" w:color="auto"/>
                <w:left w:val="none" w:sz="0" w:space="0" w:color="auto"/>
                <w:bottom w:val="none" w:sz="0" w:space="0" w:color="auto"/>
                <w:right w:val="none" w:sz="0" w:space="0" w:color="auto"/>
              </w:divBdr>
              <w:divsChild>
                <w:div w:id="149672076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652057130">
          <w:marLeft w:val="0"/>
          <w:marRight w:val="0"/>
          <w:marTop w:val="0"/>
          <w:marBottom w:val="0"/>
          <w:divBdr>
            <w:top w:val="none" w:sz="0" w:space="0" w:color="auto"/>
            <w:left w:val="none" w:sz="0" w:space="0" w:color="auto"/>
            <w:bottom w:val="none" w:sz="0" w:space="0" w:color="auto"/>
            <w:right w:val="none" w:sz="0" w:space="0" w:color="auto"/>
          </w:divBdr>
          <w:divsChild>
            <w:div w:id="1546874193">
              <w:marLeft w:val="0"/>
              <w:marRight w:val="0"/>
              <w:marTop w:val="0"/>
              <w:marBottom w:val="0"/>
              <w:divBdr>
                <w:top w:val="none" w:sz="0" w:space="0" w:color="auto"/>
                <w:left w:val="none" w:sz="0" w:space="0" w:color="auto"/>
                <w:bottom w:val="none" w:sz="0" w:space="0" w:color="auto"/>
                <w:right w:val="none" w:sz="0" w:space="0" w:color="auto"/>
              </w:divBdr>
              <w:divsChild>
                <w:div w:id="314266605">
                  <w:marLeft w:val="0"/>
                  <w:marRight w:val="0"/>
                  <w:marTop w:val="0"/>
                  <w:marBottom w:val="0"/>
                  <w:divBdr>
                    <w:top w:val="none" w:sz="0" w:space="0" w:color="auto"/>
                    <w:left w:val="none" w:sz="0" w:space="0" w:color="auto"/>
                    <w:bottom w:val="none" w:sz="0" w:space="0" w:color="auto"/>
                    <w:right w:val="none" w:sz="0" w:space="0" w:color="auto"/>
                  </w:divBdr>
                  <w:divsChild>
                    <w:div w:id="26226539">
                      <w:marLeft w:val="0"/>
                      <w:marRight w:val="0"/>
                      <w:marTop w:val="0"/>
                      <w:marBottom w:val="0"/>
                      <w:divBdr>
                        <w:top w:val="none" w:sz="0" w:space="0" w:color="auto"/>
                        <w:left w:val="none" w:sz="0" w:space="0" w:color="auto"/>
                        <w:bottom w:val="none" w:sz="0" w:space="0" w:color="auto"/>
                        <w:right w:val="none" w:sz="0" w:space="0" w:color="auto"/>
                      </w:divBdr>
                    </w:div>
                    <w:div w:id="207185411">
                      <w:marLeft w:val="0"/>
                      <w:marRight w:val="0"/>
                      <w:marTop w:val="0"/>
                      <w:marBottom w:val="0"/>
                      <w:divBdr>
                        <w:top w:val="none" w:sz="0" w:space="0" w:color="auto"/>
                        <w:left w:val="none" w:sz="0" w:space="0" w:color="auto"/>
                        <w:bottom w:val="none" w:sz="0" w:space="0" w:color="auto"/>
                        <w:right w:val="none" w:sz="0" w:space="0" w:color="auto"/>
                      </w:divBdr>
                    </w:div>
                    <w:div w:id="219099263">
                      <w:marLeft w:val="0"/>
                      <w:marRight w:val="0"/>
                      <w:marTop w:val="0"/>
                      <w:marBottom w:val="0"/>
                      <w:divBdr>
                        <w:top w:val="none" w:sz="0" w:space="0" w:color="auto"/>
                        <w:left w:val="none" w:sz="0" w:space="0" w:color="auto"/>
                        <w:bottom w:val="none" w:sz="0" w:space="0" w:color="auto"/>
                        <w:right w:val="none" w:sz="0" w:space="0" w:color="auto"/>
                      </w:divBdr>
                    </w:div>
                    <w:div w:id="318582309">
                      <w:marLeft w:val="0"/>
                      <w:marRight w:val="0"/>
                      <w:marTop w:val="0"/>
                      <w:marBottom w:val="0"/>
                      <w:divBdr>
                        <w:top w:val="none" w:sz="0" w:space="0" w:color="auto"/>
                        <w:left w:val="none" w:sz="0" w:space="0" w:color="auto"/>
                        <w:bottom w:val="none" w:sz="0" w:space="0" w:color="auto"/>
                        <w:right w:val="none" w:sz="0" w:space="0" w:color="auto"/>
                      </w:divBdr>
                    </w:div>
                    <w:div w:id="529757067">
                      <w:marLeft w:val="0"/>
                      <w:marRight w:val="0"/>
                      <w:marTop w:val="0"/>
                      <w:marBottom w:val="0"/>
                      <w:divBdr>
                        <w:top w:val="none" w:sz="0" w:space="0" w:color="auto"/>
                        <w:left w:val="none" w:sz="0" w:space="0" w:color="auto"/>
                        <w:bottom w:val="none" w:sz="0" w:space="0" w:color="auto"/>
                        <w:right w:val="none" w:sz="0" w:space="0" w:color="auto"/>
                      </w:divBdr>
                    </w:div>
                    <w:div w:id="594633064">
                      <w:marLeft w:val="0"/>
                      <w:marRight w:val="0"/>
                      <w:marTop w:val="0"/>
                      <w:marBottom w:val="0"/>
                      <w:divBdr>
                        <w:top w:val="none" w:sz="0" w:space="0" w:color="auto"/>
                        <w:left w:val="none" w:sz="0" w:space="0" w:color="auto"/>
                        <w:bottom w:val="none" w:sz="0" w:space="0" w:color="auto"/>
                        <w:right w:val="none" w:sz="0" w:space="0" w:color="auto"/>
                      </w:divBdr>
                    </w:div>
                    <w:div w:id="646931767">
                      <w:marLeft w:val="0"/>
                      <w:marRight w:val="0"/>
                      <w:marTop w:val="0"/>
                      <w:marBottom w:val="0"/>
                      <w:divBdr>
                        <w:top w:val="none" w:sz="0" w:space="0" w:color="auto"/>
                        <w:left w:val="none" w:sz="0" w:space="0" w:color="auto"/>
                        <w:bottom w:val="none" w:sz="0" w:space="0" w:color="auto"/>
                        <w:right w:val="none" w:sz="0" w:space="0" w:color="auto"/>
                      </w:divBdr>
                    </w:div>
                    <w:div w:id="794640191">
                      <w:marLeft w:val="0"/>
                      <w:marRight w:val="0"/>
                      <w:marTop w:val="0"/>
                      <w:marBottom w:val="0"/>
                      <w:divBdr>
                        <w:top w:val="none" w:sz="0" w:space="0" w:color="auto"/>
                        <w:left w:val="none" w:sz="0" w:space="0" w:color="auto"/>
                        <w:bottom w:val="none" w:sz="0" w:space="0" w:color="auto"/>
                        <w:right w:val="none" w:sz="0" w:space="0" w:color="auto"/>
                      </w:divBdr>
                    </w:div>
                    <w:div w:id="877543192">
                      <w:marLeft w:val="0"/>
                      <w:marRight w:val="0"/>
                      <w:marTop w:val="0"/>
                      <w:marBottom w:val="0"/>
                      <w:divBdr>
                        <w:top w:val="none" w:sz="0" w:space="0" w:color="auto"/>
                        <w:left w:val="none" w:sz="0" w:space="0" w:color="auto"/>
                        <w:bottom w:val="none" w:sz="0" w:space="0" w:color="auto"/>
                        <w:right w:val="none" w:sz="0" w:space="0" w:color="auto"/>
                      </w:divBdr>
                    </w:div>
                    <w:div w:id="925068456">
                      <w:marLeft w:val="0"/>
                      <w:marRight w:val="0"/>
                      <w:marTop w:val="0"/>
                      <w:marBottom w:val="0"/>
                      <w:divBdr>
                        <w:top w:val="none" w:sz="0" w:space="0" w:color="auto"/>
                        <w:left w:val="none" w:sz="0" w:space="0" w:color="auto"/>
                        <w:bottom w:val="none" w:sz="0" w:space="0" w:color="auto"/>
                        <w:right w:val="none" w:sz="0" w:space="0" w:color="auto"/>
                      </w:divBdr>
                    </w:div>
                    <w:div w:id="1138886821">
                      <w:marLeft w:val="0"/>
                      <w:marRight w:val="0"/>
                      <w:marTop w:val="0"/>
                      <w:marBottom w:val="0"/>
                      <w:divBdr>
                        <w:top w:val="none" w:sz="0" w:space="0" w:color="auto"/>
                        <w:left w:val="none" w:sz="0" w:space="0" w:color="auto"/>
                        <w:bottom w:val="none" w:sz="0" w:space="0" w:color="auto"/>
                        <w:right w:val="none" w:sz="0" w:space="0" w:color="auto"/>
                      </w:divBdr>
                    </w:div>
                    <w:div w:id="1312097344">
                      <w:marLeft w:val="0"/>
                      <w:marRight w:val="0"/>
                      <w:marTop w:val="0"/>
                      <w:marBottom w:val="0"/>
                      <w:divBdr>
                        <w:top w:val="none" w:sz="0" w:space="0" w:color="auto"/>
                        <w:left w:val="none" w:sz="0" w:space="0" w:color="auto"/>
                        <w:bottom w:val="none" w:sz="0" w:space="0" w:color="auto"/>
                        <w:right w:val="none" w:sz="0" w:space="0" w:color="auto"/>
                      </w:divBdr>
                    </w:div>
                    <w:div w:id="1330255944">
                      <w:marLeft w:val="0"/>
                      <w:marRight w:val="0"/>
                      <w:marTop w:val="0"/>
                      <w:marBottom w:val="0"/>
                      <w:divBdr>
                        <w:top w:val="none" w:sz="0" w:space="0" w:color="auto"/>
                        <w:left w:val="none" w:sz="0" w:space="0" w:color="auto"/>
                        <w:bottom w:val="none" w:sz="0" w:space="0" w:color="auto"/>
                        <w:right w:val="none" w:sz="0" w:space="0" w:color="auto"/>
                      </w:divBdr>
                    </w:div>
                    <w:div w:id="1370376751">
                      <w:marLeft w:val="0"/>
                      <w:marRight w:val="0"/>
                      <w:marTop w:val="0"/>
                      <w:marBottom w:val="0"/>
                      <w:divBdr>
                        <w:top w:val="none" w:sz="0" w:space="0" w:color="auto"/>
                        <w:left w:val="none" w:sz="0" w:space="0" w:color="auto"/>
                        <w:bottom w:val="none" w:sz="0" w:space="0" w:color="auto"/>
                        <w:right w:val="none" w:sz="0" w:space="0" w:color="auto"/>
                      </w:divBdr>
                    </w:div>
                    <w:div w:id="1415206184">
                      <w:marLeft w:val="0"/>
                      <w:marRight w:val="0"/>
                      <w:marTop w:val="0"/>
                      <w:marBottom w:val="0"/>
                      <w:divBdr>
                        <w:top w:val="none" w:sz="0" w:space="0" w:color="auto"/>
                        <w:left w:val="none" w:sz="0" w:space="0" w:color="auto"/>
                        <w:bottom w:val="none" w:sz="0" w:space="0" w:color="auto"/>
                        <w:right w:val="none" w:sz="0" w:space="0" w:color="auto"/>
                      </w:divBdr>
                    </w:div>
                    <w:div w:id="1591306945">
                      <w:marLeft w:val="0"/>
                      <w:marRight w:val="0"/>
                      <w:marTop w:val="0"/>
                      <w:marBottom w:val="0"/>
                      <w:divBdr>
                        <w:top w:val="none" w:sz="0" w:space="0" w:color="auto"/>
                        <w:left w:val="none" w:sz="0" w:space="0" w:color="auto"/>
                        <w:bottom w:val="none" w:sz="0" w:space="0" w:color="auto"/>
                        <w:right w:val="none" w:sz="0" w:space="0" w:color="auto"/>
                      </w:divBdr>
                    </w:div>
                    <w:div w:id="1936205596">
                      <w:marLeft w:val="0"/>
                      <w:marRight w:val="0"/>
                      <w:marTop w:val="0"/>
                      <w:marBottom w:val="0"/>
                      <w:divBdr>
                        <w:top w:val="none" w:sz="0" w:space="0" w:color="auto"/>
                        <w:left w:val="none" w:sz="0" w:space="0" w:color="auto"/>
                        <w:bottom w:val="none" w:sz="0" w:space="0" w:color="auto"/>
                        <w:right w:val="none" w:sz="0" w:space="0" w:color="auto"/>
                      </w:divBdr>
                    </w:div>
                    <w:div w:id="1979719667">
                      <w:marLeft w:val="0"/>
                      <w:marRight w:val="0"/>
                      <w:marTop w:val="0"/>
                      <w:marBottom w:val="0"/>
                      <w:divBdr>
                        <w:top w:val="none" w:sz="0" w:space="0" w:color="auto"/>
                        <w:left w:val="none" w:sz="0" w:space="0" w:color="auto"/>
                        <w:bottom w:val="none" w:sz="0" w:space="0" w:color="auto"/>
                        <w:right w:val="none" w:sz="0" w:space="0" w:color="auto"/>
                      </w:divBdr>
                    </w:div>
                    <w:div w:id="2026058631">
                      <w:marLeft w:val="0"/>
                      <w:marRight w:val="0"/>
                      <w:marTop w:val="0"/>
                      <w:marBottom w:val="0"/>
                      <w:divBdr>
                        <w:top w:val="none" w:sz="0" w:space="0" w:color="auto"/>
                        <w:left w:val="none" w:sz="0" w:space="0" w:color="auto"/>
                        <w:bottom w:val="none" w:sz="0" w:space="0" w:color="auto"/>
                        <w:right w:val="none" w:sz="0" w:space="0" w:color="auto"/>
                      </w:divBdr>
                    </w:div>
                  </w:divsChild>
                </w:div>
                <w:div w:id="455373063">
                  <w:marLeft w:val="0"/>
                  <w:marRight w:val="0"/>
                  <w:marTop w:val="0"/>
                  <w:marBottom w:val="170"/>
                  <w:divBdr>
                    <w:top w:val="none" w:sz="0" w:space="0" w:color="auto"/>
                    <w:left w:val="none" w:sz="0" w:space="0" w:color="auto"/>
                    <w:bottom w:val="none" w:sz="0" w:space="0" w:color="auto"/>
                    <w:right w:val="none" w:sz="0" w:space="0" w:color="auto"/>
                  </w:divBdr>
                  <w:divsChild>
                    <w:div w:id="189270528">
                      <w:marLeft w:val="0"/>
                      <w:marRight w:val="0"/>
                      <w:marTop w:val="170"/>
                      <w:marBottom w:val="170"/>
                      <w:divBdr>
                        <w:top w:val="none" w:sz="0" w:space="0" w:color="auto"/>
                        <w:left w:val="none" w:sz="0" w:space="0" w:color="auto"/>
                        <w:bottom w:val="none" w:sz="0" w:space="0" w:color="auto"/>
                        <w:right w:val="none" w:sz="0" w:space="0" w:color="auto"/>
                      </w:divBdr>
                    </w:div>
                  </w:divsChild>
                </w:div>
              </w:divsChild>
            </w:div>
          </w:divsChild>
        </w:div>
      </w:divsChild>
    </w:div>
    <w:div w:id="977609989">
      <w:bodyDiv w:val="1"/>
      <w:marLeft w:val="0"/>
      <w:marRight w:val="0"/>
      <w:marTop w:val="0"/>
      <w:marBottom w:val="0"/>
      <w:divBdr>
        <w:top w:val="none" w:sz="0" w:space="0" w:color="auto"/>
        <w:left w:val="none" w:sz="0" w:space="0" w:color="auto"/>
        <w:bottom w:val="none" w:sz="0" w:space="0" w:color="auto"/>
        <w:right w:val="none" w:sz="0" w:space="0" w:color="auto"/>
      </w:divBdr>
    </w:div>
    <w:div w:id="994987946">
      <w:bodyDiv w:val="1"/>
      <w:marLeft w:val="0"/>
      <w:marRight w:val="0"/>
      <w:marTop w:val="0"/>
      <w:marBottom w:val="0"/>
      <w:divBdr>
        <w:top w:val="none" w:sz="0" w:space="0" w:color="auto"/>
        <w:left w:val="none" w:sz="0" w:space="0" w:color="auto"/>
        <w:bottom w:val="none" w:sz="0" w:space="0" w:color="auto"/>
        <w:right w:val="none" w:sz="0" w:space="0" w:color="auto"/>
      </w:divBdr>
    </w:div>
    <w:div w:id="1009065651">
      <w:bodyDiv w:val="1"/>
      <w:marLeft w:val="0"/>
      <w:marRight w:val="0"/>
      <w:marTop w:val="0"/>
      <w:marBottom w:val="0"/>
      <w:divBdr>
        <w:top w:val="none" w:sz="0" w:space="0" w:color="auto"/>
        <w:left w:val="none" w:sz="0" w:space="0" w:color="auto"/>
        <w:bottom w:val="none" w:sz="0" w:space="0" w:color="auto"/>
        <w:right w:val="none" w:sz="0" w:space="0" w:color="auto"/>
      </w:divBdr>
    </w:div>
    <w:div w:id="1065107420">
      <w:bodyDiv w:val="1"/>
      <w:marLeft w:val="0"/>
      <w:marRight w:val="0"/>
      <w:marTop w:val="0"/>
      <w:marBottom w:val="0"/>
      <w:divBdr>
        <w:top w:val="none" w:sz="0" w:space="0" w:color="auto"/>
        <w:left w:val="none" w:sz="0" w:space="0" w:color="auto"/>
        <w:bottom w:val="none" w:sz="0" w:space="0" w:color="auto"/>
        <w:right w:val="none" w:sz="0" w:space="0" w:color="auto"/>
      </w:divBdr>
    </w:div>
    <w:div w:id="1088308192">
      <w:bodyDiv w:val="1"/>
      <w:marLeft w:val="0"/>
      <w:marRight w:val="0"/>
      <w:marTop w:val="0"/>
      <w:marBottom w:val="0"/>
      <w:divBdr>
        <w:top w:val="none" w:sz="0" w:space="0" w:color="auto"/>
        <w:left w:val="none" w:sz="0" w:space="0" w:color="auto"/>
        <w:bottom w:val="none" w:sz="0" w:space="0" w:color="auto"/>
        <w:right w:val="none" w:sz="0" w:space="0" w:color="auto"/>
      </w:divBdr>
    </w:div>
    <w:div w:id="1095440802">
      <w:bodyDiv w:val="1"/>
      <w:marLeft w:val="0"/>
      <w:marRight w:val="0"/>
      <w:marTop w:val="0"/>
      <w:marBottom w:val="0"/>
      <w:divBdr>
        <w:top w:val="none" w:sz="0" w:space="0" w:color="auto"/>
        <w:left w:val="none" w:sz="0" w:space="0" w:color="auto"/>
        <w:bottom w:val="none" w:sz="0" w:space="0" w:color="auto"/>
        <w:right w:val="none" w:sz="0" w:space="0" w:color="auto"/>
      </w:divBdr>
    </w:div>
    <w:div w:id="1103495197">
      <w:bodyDiv w:val="1"/>
      <w:marLeft w:val="0"/>
      <w:marRight w:val="0"/>
      <w:marTop w:val="0"/>
      <w:marBottom w:val="0"/>
      <w:divBdr>
        <w:top w:val="none" w:sz="0" w:space="0" w:color="auto"/>
        <w:left w:val="none" w:sz="0" w:space="0" w:color="auto"/>
        <w:bottom w:val="none" w:sz="0" w:space="0" w:color="auto"/>
        <w:right w:val="none" w:sz="0" w:space="0" w:color="auto"/>
      </w:divBdr>
    </w:div>
    <w:div w:id="1125463388">
      <w:bodyDiv w:val="1"/>
      <w:marLeft w:val="0"/>
      <w:marRight w:val="0"/>
      <w:marTop w:val="0"/>
      <w:marBottom w:val="0"/>
      <w:divBdr>
        <w:top w:val="none" w:sz="0" w:space="0" w:color="auto"/>
        <w:left w:val="none" w:sz="0" w:space="0" w:color="auto"/>
        <w:bottom w:val="none" w:sz="0" w:space="0" w:color="auto"/>
        <w:right w:val="none" w:sz="0" w:space="0" w:color="auto"/>
      </w:divBdr>
    </w:div>
    <w:div w:id="1176190255">
      <w:bodyDiv w:val="1"/>
      <w:marLeft w:val="0"/>
      <w:marRight w:val="0"/>
      <w:marTop w:val="0"/>
      <w:marBottom w:val="0"/>
      <w:divBdr>
        <w:top w:val="single" w:sz="2" w:space="0" w:color="CC3640"/>
        <w:left w:val="none" w:sz="0" w:space="0" w:color="auto"/>
        <w:bottom w:val="none" w:sz="0" w:space="0" w:color="auto"/>
        <w:right w:val="none" w:sz="0" w:space="0" w:color="auto"/>
      </w:divBdr>
      <w:divsChild>
        <w:div w:id="256787346">
          <w:marLeft w:val="0"/>
          <w:marRight w:val="0"/>
          <w:marTop w:val="0"/>
          <w:marBottom w:val="0"/>
          <w:divBdr>
            <w:top w:val="single" w:sz="2" w:space="0" w:color="FF0000"/>
            <w:left w:val="single" w:sz="2" w:space="0" w:color="FF0000"/>
            <w:bottom w:val="single" w:sz="2" w:space="0" w:color="FF0000"/>
            <w:right w:val="single" w:sz="2" w:space="0" w:color="FF0000"/>
          </w:divBdr>
          <w:divsChild>
            <w:div w:id="1771201330">
              <w:marLeft w:val="0"/>
              <w:marRight w:val="0"/>
              <w:marTop w:val="0"/>
              <w:marBottom w:val="0"/>
              <w:divBdr>
                <w:top w:val="none" w:sz="0" w:space="0" w:color="auto"/>
                <w:left w:val="single" w:sz="6" w:space="0" w:color="DDDDDD"/>
                <w:bottom w:val="none" w:sz="0" w:space="0" w:color="auto"/>
                <w:right w:val="none" w:sz="0" w:space="0" w:color="auto"/>
              </w:divBdr>
              <w:divsChild>
                <w:div w:id="406923690">
                  <w:marLeft w:val="0"/>
                  <w:marRight w:val="0"/>
                  <w:marTop w:val="0"/>
                  <w:marBottom w:val="0"/>
                  <w:divBdr>
                    <w:top w:val="single" w:sz="2" w:space="0" w:color="008000"/>
                    <w:left w:val="single" w:sz="2" w:space="0" w:color="008000"/>
                    <w:bottom w:val="single" w:sz="2" w:space="0" w:color="008000"/>
                    <w:right w:val="single" w:sz="2" w:space="0" w:color="008000"/>
                  </w:divBdr>
                  <w:divsChild>
                    <w:div w:id="768089537">
                      <w:marLeft w:val="0"/>
                      <w:marRight w:val="0"/>
                      <w:marTop w:val="0"/>
                      <w:marBottom w:val="0"/>
                      <w:divBdr>
                        <w:top w:val="none" w:sz="0" w:space="0" w:color="auto"/>
                        <w:left w:val="none" w:sz="0" w:space="0" w:color="auto"/>
                        <w:bottom w:val="none" w:sz="0" w:space="0" w:color="auto"/>
                        <w:right w:val="none" w:sz="0" w:space="0" w:color="auto"/>
                      </w:divBdr>
                      <w:divsChild>
                        <w:div w:id="1110784032">
                          <w:marLeft w:val="0"/>
                          <w:marRight w:val="0"/>
                          <w:marTop w:val="0"/>
                          <w:marBottom w:val="0"/>
                          <w:divBdr>
                            <w:top w:val="none" w:sz="0" w:space="0" w:color="auto"/>
                            <w:left w:val="none" w:sz="0" w:space="0" w:color="auto"/>
                            <w:bottom w:val="none" w:sz="0" w:space="0" w:color="auto"/>
                            <w:right w:val="none" w:sz="0" w:space="0" w:color="auto"/>
                          </w:divBdr>
                          <w:divsChild>
                            <w:div w:id="2002419295">
                              <w:marLeft w:val="0"/>
                              <w:marRight w:val="0"/>
                              <w:marTop w:val="0"/>
                              <w:marBottom w:val="0"/>
                              <w:divBdr>
                                <w:top w:val="none" w:sz="0" w:space="0" w:color="auto"/>
                                <w:left w:val="single" w:sz="6" w:space="0" w:color="C3CDD8"/>
                                <w:bottom w:val="none" w:sz="0" w:space="0" w:color="auto"/>
                                <w:right w:val="none" w:sz="0" w:space="0" w:color="auto"/>
                              </w:divBdr>
                            </w:div>
                          </w:divsChild>
                        </w:div>
                      </w:divsChild>
                    </w:div>
                  </w:divsChild>
                </w:div>
              </w:divsChild>
            </w:div>
          </w:divsChild>
        </w:div>
      </w:divsChild>
    </w:div>
    <w:div w:id="1220169289">
      <w:bodyDiv w:val="1"/>
      <w:marLeft w:val="0"/>
      <w:marRight w:val="0"/>
      <w:marTop w:val="0"/>
      <w:marBottom w:val="0"/>
      <w:divBdr>
        <w:top w:val="none" w:sz="0" w:space="0" w:color="auto"/>
        <w:left w:val="none" w:sz="0" w:space="0" w:color="auto"/>
        <w:bottom w:val="none" w:sz="0" w:space="0" w:color="auto"/>
        <w:right w:val="none" w:sz="0" w:space="0" w:color="auto"/>
      </w:divBdr>
    </w:div>
    <w:div w:id="1220631538">
      <w:bodyDiv w:val="1"/>
      <w:marLeft w:val="0"/>
      <w:marRight w:val="0"/>
      <w:marTop w:val="0"/>
      <w:marBottom w:val="0"/>
      <w:divBdr>
        <w:top w:val="none" w:sz="0" w:space="0" w:color="auto"/>
        <w:left w:val="none" w:sz="0" w:space="0" w:color="auto"/>
        <w:bottom w:val="none" w:sz="0" w:space="0" w:color="auto"/>
        <w:right w:val="none" w:sz="0" w:space="0" w:color="auto"/>
      </w:divBdr>
    </w:div>
    <w:div w:id="1224028539">
      <w:bodyDiv w:val="1"/>
      <w:marLeft w:val="0"/>
      <w:marRight w:val="0"/>
      <w:marTop w:val="0"/>
      <w:marBottom w:val="0"/>
      <w:divBdr>
        <w:top w:val="none" w:sz="0" w:space="0" w:color="auto"/>
        <w:left w:val="none" w:sz="0" w:space="0" w:color="auto"/>
        <w:bottom w:val="none" w:sz="0" w:space="0" w:color="auto"/>
        <w:right w:val="none" w:sz="0" w:space="0" w:color="auto"/>
      </w:divBdr>
    </w:div>
    <w:div w:id="1226797282">
      <w:bodyDiv w:val="1"/>
      <w:marLeft w:val="0"/>
      <w:marRight w:val="0"/>
      <w:marTop w:val="0"/>
      <w:marBottom w:val="0"/>
      <w:divBdr>
        <w:top w:val="single" w:sz="2" w:space="0" w:color="CC3640"/>
        <w:left w:val="none" w:sz="0" w:space="0" w:color="auto"/>
        <w:bottom w:val="none" w:sz="0" w:space="0" w:color="auto"/>
        <w:right w:val="none" w:sz="0" w:space="0" w:color="auto"/>
      </w:divBdr>
      <w:divsChild>
        <w:div w:id="2143231720">
          <w:marLeft w:val="0"/>
          <w:marRight w:val="0"/>
          <w:marTop w:val="0"/>
          <w:marBottom w:val="0"/>
          <w:divBdr>
            <w:top w:val="single" w:sz="2" w:space="0" w:color="FF0000"/>
            <w:left w:val="single" w:sz="2" w:space="0" w:color="FF0000"/>
            <w:bottom w:val="single" w:sz="2" w:space="0" w:color="FF0000"/>
            <w:right w:val="single" w:sz="2" w:space="0" w:color="FF0000"/>
          </w:divBdr>
          <w:divsChild>
            <w:div w:id="1865704451">
              <w:marLeft w:val="0"/>
              <w:marRight w:val="0"/>
              <w:marTop w:val="0"/>
              <w:marBottom w:val="0"/>
              <w:divBdr>
                <w:top w:val="none" w:sz="0" w:space="0" w:color="auto"/>
                <w:left w:val="single" w:sz="6" w:space="0" w:color="DDDDDD"/>
                <w:bottom w:val="none" w:sz="0" w:space="0" w:color="auto"/>
                <w:right w:val="none" w:sz="0" w:space="0" w:color="auto"/>
              </w:divBdr>
              <w:divsChild>
                <w:div w:id="117377578">
                  <w:marLeft w:val="0"/>
                  <w:marRight w:val="0"/>
                  <w:marTop w:val="0"/>
                  <w:marBottom w:val="0"/>
                  <w:divBdr>
                    <w:top w:val="single" w:sz="2" w:space="0" w:color="008000"/>
                    <w:left w:val="single" w:sz="2" w:space="0" w:color="008000"/>
                    <w:bottom w:val="single" w:sz="2" w:space="0" w:color="008000"/>
                    <w:right w:val="single" w:sz="2" w:space="0" w:color="008000"/>
                  </w:divBdr>
                  <w:divsChild>
                    <w:div w:id="1162888117">
                      <w:marLeft w:val="0"/>
                      <w:marRight w:val="0"/>
                      <w:marTop w:val="0"/>
                      <w:marBottom w:val="0"/>
                      <w:divBdr>
                        <w:top w:val="none" w:sz="0" w:space="0" w:color="auto"/>
                        <w:left w:val="none" w:sz="0" w:space="0" w:color="auto"/>
                        <w:bottom w:val="none" w:sz="0" w:space="0" w:color="auto"/>
                        <w:right w:val="none" w:sz="0" w:space="0" w:color="auto"/>
                      </w:divBdr>
                      <w:divsChild>
                        <w:div w:id="1310941559">
                          <w:marLeft w:val="0"/>
                          <w:marRight w:val="0"/>
                          <w:marTop w:val="0"/>
                          <w:marBottom w:val="0"/>
                          <w:divBdr>
                            <w:top w:val="none" w:sz="0" w:space="0" w:color="auto"/>
                            <w:left w:val="none" w:sz="0" w:space="0" w:color="auto"/>
                            <w:bottom w:val="none" w:sz="0" w:space="0" w:color="auto"/>
                            <w:right w:val="none" w:sz="0" w:space="0" w:color="auto"/>
                          </w:divBdr>
                          <w:divsChild>
                            <w:div w:id="7098646">
                              <w:marLeft w:val="0"/>
                              <w:marRight w:val="0"/>
                              <w:marTop w:val="0"/>
                              <w:marBottom w:val="0"/>
                              <w:divBdr>
                                <w:top w:val="none" w:sz="0" w:space="0" w:color="auto"/>
                                <w:left w:val="single" w:sz="6" w:space="0" w:color="C3CDD8"/>
                                <w:bottom w:val="none" w:sz="0" w:space="0" w:color="auto"/>
                                <w:right w:val="none" w:sz="0" w:space="0" w:color="auto"/>
                              </w:divBdr>
                            </w:div>
                          </w:divsChild>
                        </w:div>
                      </w:divsChild>
                    </w:div>
                  </w:divsChild>
                </w:div>
              </w:divsChild>
            </w:div>
          </w:divsChild>
        </w:div>
      </w:divsChild>
    </w:div>
    <w:div w:id="1232236728">
      <w:bodyDiv w:val="1"/>
      <w:marLeft w:val="0"/>
      <w:marRight w:val="0"/>
      <w:marTop w:val="0"/>
      <w:marBottom w:val="0"/>
      <w:divBdr>
        <w:top w:val="single" w:sz="2" w:space="0" w:color="CC3640"/>
        <w:left w:val="none" w:sz="0" w:space="0" w:color="auto"/>
        <w:bottom w:val="none" w:sz="0" w:space="0" w:color="auto"/>
        <w:right w:val="none" w:sz="0" w:space="0" w:color="auto"/>
      </w:divBdr>
      <w:divsChild>
        <w:div w:id="1583880486">
          <w:marLeft w:val="0"/>
          <w:marRight w:val="0"/>
          <w:marTop w:val="0"/>
          <w:marBottom w:val="0"/>
          <w:divBdr>
            <w:top w:val="single" w:sz="2" w:space="0" w:color="FF0000"/>
            <w:left w:val="single" w:sz="2" w:space="0" w:color="FF0000"/>
            <w:bottom w:val="single" w:sz="2" w:space="0" w:color="FF0000"/>
            <w:right w:val="single" w:sz="2" w:space="0" w:color="FF0000"/>
          </w:divBdr>
          <w:divsChild>
            <w:div w:id="237830193">
              <w:marLeft w:val="0"/>
              <w:marRight w:val="0"/>
              <w:marTop w:val="0"/>
              <w:marBottom w:val="0"/>
              <w:divBdr>
                <w:top w:val="none" w:sz="0" w:space="0" w:color="auto"/>
                <w:left w:val="single" w:sz="6" w:space="0" w:color="DDDDDD"/>
                <w:bottom w:val="none" w:sz="0" w:space="0" w:color="auto"/>
                <w:right w:val="none" w:sz="0" w:space="0" w:color="auto"/>
              </w:divBdr>
              <w:divsChild>
                <w:div w:id="463355742">
                  <w:marLeft w:val="0"/>
                  <w:marRight w:val="0"/>
                  <w:marTop w:val="0"/>
                  <w:marBottom w:val="0"/>
                  <w:divBdr>
                    <w:top w:val="single" w:sz="2" w:space="0" w:color="008000"/>
                    <w:left w:val="single" w:sz="2" w:space="0" w:color="008000"/>
                    <w:bottom w:val="single" w:sz="2" w:space="0" w:color="008000"/>
                    <w:right w:val="single" w:sz="2" w:space="0" w:color="008000"/>
                  </w:divBdr>
                  <w:divsChild>
                    <w:div w:id="1743137025">
                      <w:marLeft w:val="0"/>
                      <w:marRight w:val="0"/>
                      <w:marTop w:val="0"/>
                      <w:marBottom w:val="0"/>
                      <w:divBdr>
                        <w:top w:val="none" w:sz="0" w:space="0" w:color="auto"/>
                        <w:left w:val="none" w:sz="0" w:space="0" w:color="auto"/>
                        <w:bottom w:val="none" w:sz="0" w:space="0" w:color="auto"/>
                        <w:right w:val="none" w:sz="0" w:space="0" w:color="auto"/>
                      </w:divBdr>
                      <w:divsChild>
                        <w:div w:id="157622277">
                          <w:marLeft w:val="0"/>
                          <w:marRight w:val="0"/>
                          <w:marTop w:val="0"/>
                          <w:marBottom w:val="0"/>
                          <w:divBdr>
                            <w:top w:val="none" w:sz="0" w:space="0" w:color="auto"/>
                            <w:left w:val="none" w:sz="0" w:space="0" w:color="auto"/>
                            <w:bottom w:val="none" w:sz="0" w:space="0" w:color="auto"/>
                            <w:right w:val="none" w:sz="0" w:space="0" w:color="auto"/>
                          </w:divBdr>
                          <w:divsChild>
                            <w:div w:id="336618026">
                              <w:marLeft w:val="0"/>
                              <w:marRight w:val="0"/>
                              <w:marTop w:val="0"/>
                              <w:marBottom w:val="0"/>
                              <w:divBdr>
                                <w:top w:val="none" w:sz="0" w:space="0" w:color="auto"/>
                                <w:left w:val="single" w:sz="6" w:space="0" w:color="C3CDD8"/>
                                <w:bottom w:val="none" w:sz="0" w:space="0" w:color="auto"/>
                                <w:right w:val="none" w:sz="0" w:space="0" w:color="auto"/>
                              </w:divBdr>
                            </w:div>
                          </w:divsChild>
                        </w:div>
                      </w:divsChild>
                    </w:div>
                  </w:divsChild>
                </w:div>
              </w:divsChild>
            </w:div>
          </w:divsChild>
        </w:div>
      </w:divsChild>
    </w:div>
    <w:div w:id="1282688180">
      <w:bodyDiv w:val="1"/>
      <w:marLeft w:val="0"/>
      <w:marRight w:val="0"/>
      <w:marTop w:val="0"/>
      <w:marBottom w:val="0"/>
      <w:divBdr>
        <w:top w:val="none" w:sz="0" w:space="0" w:color="auto"/>
        <w:left w:val="none" w:sz="0" w:space="0" w:color="auto"/>
        <w:bottom w:val="none" w:sz="0" w:space="0" w:color="auto"/>
        <w:right w:val="none" w:sz="0" w:space="0" w:color="auto"/>
      </w:divBdr>
    </w:div>
    <w:div w:id="1290470808">
      <w:bodyDiv w:val="1"/>
      <w:marLeft w:val="0"/>
      <w:marRight w:val="0"/>
      <w:marTop w:val="0"/>
      <w:marBottom w:val="0"/>
      <w:divBdr>
        <w:top w:val="single" w:sz="2" w:space="0" w:color="CC3640"/>
        <w:left w:val="none" w:sz="0" w:space="0" w:color="auto"/>
        <w:bottom w:val="none" w:sz="0" w:space="0" w:color="auto"/>
        <w:right w:val="none" w:sz="0" w:space="0" w:color="auto"/>
      </w:divBdr>
      <w:divsChild>
        <w:div w:id="905264761">
          <w:marLeft w:val="0"/>
          <w:marRight w:val="0"/>
          <w:marTop w:val="0"/>
          <w:marBottom w:val="0"/>
          <w:divBdr>
            <w:top w:val="single" w:sz="2" w:space="0" w:color="FF0000"/>
            <w:left w:val="single" w:sz="2" w:space="0" w:color="FF0000"/>
            <w:bottom w:val="single" w:sz="2" w:space="0" w:color="FF0000"/>
            <w:right w:val="single" w:sz="2" w:space="0" w:color="FF0000"/>
          </w:divBdr>
          <w:divsChild>
            <w:div w:id="1791168828">
              <w:marLeft w:val="0"/>
              <w:marRight w:val="0"/>
              <w:marTop w:val="0"/>
              <w:marBottom w:val="0"/>
              <w:divBdr>
                <w:top w:val="none" w:sz="0" w:space="0" w:color="auto"/>
                <w:left w:val="single" w:sz="6" w:space="0" w:color="DDDDDD"/>
                <w:bottom w:val="none" w:sz="0" w:space="0" w:color="auto"/>
                <w:right w:val="none" w:sz="0" w:space="0" w:color="auto"/>
              </w:divBdr>
              <w:divsChild>
                <w:div w:id="1854757086">
                  <w:marLeft w:val="0"/>
                  <w:marRight w:val="0"/>
                  <w:marTop w:val="0"/>
                  <w:marBottom w:val="0"/>
                  <w:divBdr>
                    <w:top w:val="single" w:sz="2" w:space="0" w:color="008000"/>
                    <w:left w:val="single" w:sz="2" w:space="0" w:color="008000"/>
                    <w:bottom w:val="single" w:sz="2" w:space="0" w:color="008000"/>
                    <w:right w:val="single" w:sz="2" w:space="0" w:color="008000"/>
                  </w:divBdr>
                  <w:divsChild>
                    <w:div w:id="1883710052">
                      <w:marLeft w:val="0"/>
                      <w:marRight w:val="0"/>
                      <w:marTop w:val="0"/>
                      <w:marBottom w:val="0"/>
                      <w:divBdr>
                        <w:top w:val="none" w:sz="0" w:space="0" w:color="auto"/>
                        <w:left w:val="none" w:sz="0" w:space="0" w:color="auto"/>
                        <w:bottom w:val="none" w:sz="0" w:space="0" w:color="auto"/>
                        <w:right w:val="none" w:sz="0" w:space="0" w:color="auto"/>
                      </w:divBdr>
                      <w:divsChild>
                        <w:div w:id="1118329785">
                          <w:marLeft w:val="0"/>
                          <w:marRight w:val="0"/>
                          <w:marTop w:val="0"/>
                          <w:marBottom w:val="0"/>
                          <w:divBdr>
                            <w:top w:val="none" w:sz="0" w:space="0" w:color="auto"/>
                            <w:left w:val="none" w:sz="0" w:space="0" w:color="auto"/>
                            <w:bottom w:val="none" w:sz="0" w:space="0" w:color="auto"/>
                            <w:right w:val="none" w:sz="0" w:space="0" w:color="auto"/>
                          </w:divBdr>
                          <w:divsChild>
                            <w:div w:id="1247883082">
                              <w:marLeft w:val="0"/>
                              <w:marRight w:val="0"/>
                              <w:marTop w:val="0"/>
                              <w:marBottom w:val="0"/>
                              <w:divBdr>
                                <w:top w:val="none" w:sz="0" w:space="0" w:color="auto"/>
                                <w:left w:val="single" w:sz="6" w:space="0" w:color="C3CDD8"/>
                                <w:bottom w:val="none" w:sz="0" w:space="0" w:color="auto"/>
                                <w:right w:val="none" w:sz="0" w:space="0" w:color="auto"/>
                              </w:divBdr>
                            </w:div>
                          </w:divsChild>
                        </w:div>
                      </w:divsChild>
                    </w:div>
                  </w:divsChild>
                </w:div>
              </w:divsChild>
            </w:div>
          </w:divsChild>
        </w:div>
      </w:divsChild>
    </w:div>
    <w:div w:id="1293437835">
      <w:bodyDiv w:val="1"/>
      <w:marLeft w:val="0"/>
      <w:marRight w:val="0"/>
      <w:marTop w:val="0"/>
      <w:marBottom w:val="0"/>
      <w:divBdr>
        <w:top w:val="none" w:sz="0" w:space="0" w:color="auto"/>
        <w:left w:val="none" w:sz="0" w:space="0" w:color="auto"/>
        <w:bottom w:val="none" w:sz="0" w:space="0" w:color="auto"/>
        <w:right w:val="none" w:sz="0" w:space="0" w:color="auto"/>
      </w:divBdr>
      <w:divsChild>
        <w:div w:id="386151683">
          <w:marLeft w:val="0"/>
          <w:marRight w:val="0"/>
          <w:marTop w:val="0"/>
          <w:marBottom w:val="0"/>
          <w:divBdr>
            <w:top w:val="none" w:sz="0" w:space="0" w:color="auto"/>
            <w:left w:val="none" w:sz="0" w:space="0" w:color="auto"/>
            <w:bottom w:val="none" w:sz="0" w:space="0" w:color="auto"/>
            <w:right w:val="none" w:sz="0" w:space="0" w:color="auto"/>
          </w:divBdr>
          <w:divsChild>
            <w:div w:id="866990495">
              <w:marLeft w:val="0"/>
              <w:marRight w:val="0"/>
              <w:marTop w:val="0"/>
              <w:marBottom w:val="0"/>
              <w:divBdr>
                <w:top w:val="none" w:sz="0" w:space="0" w:color="auto"/>
                <w:left w:val="none" w:sz="0" w:space="0" w:color="auto"/>
                <w:bottom w:val="none" w:sz="0" w:space="0" w:color="auto"/>
                <w:right w:val="none" w:sz="0" w:space="0" w:color="auto"/>
              </w:divBdr>
            </w:div>
          </w:divsChild>
        </w:div>
        <w:div w:id="753356334">
          <w:marLeft w:val="0"/>
          <w:marRight w:val="0"/>
          <w:marTop w:val="0"/>
          <w:marBottom w:val="120"/>
          <w:divBdr>
            <w:top w:val="none" w:sz="0" w:space="0" w:color="auto"/>
            <w:left w:val="none" w:sz="0" w:space="0" w:color="auto"/>
            <w:bottom w:val="none" w:sz="0" w:space="0" w:color="auto"/>
            <w:right w:val="none" w:sz="0" w:space="0" w:color="auto"/>
          </w:divBdr>
          <w:divsChild>
            <w:div w:id="2039623928">
              <w:marLeft w:val="0"/>
              <w:marRight w:val="0"/>
              <w:marTop w:val="0"/>
              <w:marBottom w:val="0"/>
              <w:divBdr>
                <w:top w:val="none" w:sz="0" w:space="0" w:color="auto"/>
                <w:left w:val="none" w:sz="0" w:space="0" w:color="auto"/>
                <w:bottom w:val="none" w:sz="0" w:space="0" w:color="auto"/>
                <w:right w:val="none" w:sz="0" w:space="0" w:color="auto"/>
              </w:divBdr>
            </w:div>
          </w:divsChild>
        </w:div>
        <w:div w:id="1077484778">
          <w:marLeft w:val="0"/>
          <w:marRight w:val="0"/>
          <w:marTop w:val="0"/>
          <w:marBottom w:val="0"/>
          <w:divBdr>
            <w:top w:val="none" w:sz="0" w:space="0" w:color="auto"/>
            <w:left w:val="none" w:sz="0" w:space="0" w:color="auto"/>
            <w:bottom w:val="none" w:sz="0" w:space="0" w:color="auto"/>
            <w:right w:val="none" w:sz="0" w:space="0" w:color="auto"/>
          </w:divBdr>
          <w:divsChild>
            <w:div w:id="670715157">
              <w:marLeft w:val="0"/>
              <w:marRight w:val="0"/>
              <w:marTop w:val="0"/>
              <w:marBottom w:val="0"/>
              <w:divBdr>
                <w:top w:val="none" w:sz="0" w:space="0" w:color="auto"/>
                <w:left w:val="none" w:sz="0" w:space="0" w:color="auto"/>
                <w:bottom w:val="none" w:sz="0" w:space="0" w:color="auto"/>
                <w:right w:val="none" w:sz="0" w:space="0" w:color="auto"/>
              </w:divBdr>
            </w:div>
          </w:divsChild>
        </w:div>
        <w:div w:id="1650357574">
          <w:marLeft w:val="0"/>
          <w:marRight w:val="0"/>
          <w:marTop w:val="0"/>
          <w:marBottom w:val="240"/>
          <w:divBdr>
            <w:top w:val="none" w:sz="0" w:space="0" w:color="auto"/>
            <w:left w:val="none" w:sz="0" w:space="0" w:color="auto"/>
            <w:bottom w:val="none" w:sz="0" w:space="0" w:color="auto"/>
            <w:right w:val="none" w:sz="0" w:space="0" w:color="auto"/>
          </w:divBdr>
        </w:div>
        <w:div w:id="1936286697">
          <w:marLeft w:val="0"/>
          <w:marRight w:val="0"/>
          <w:marTop w:val="0"/>
          <w:marBottom w:val="0"/>
          <w:divBdr>
            <w:top w:val="none" w:sz="0" w:space="0" w:color="auto"/>
            <w:left w:val="none" w:sz="0" w:space="0" w:color="auto"/>
            <w:bottom w:val="none" w:sz="0" w:space="0" w:color="auto"/>
            <w:right w:val="none" w:sz="0" w:space="0" w:color="auto"/>
          </w:divBdr>
        </w:div>
      </w:divsChild>
    </w:div>
    <w:div w:id="1327054126">
      <w:bodyDiv w:val="1"/>
      <w:marLeft w:val="0"/>
      <w:marRight w:val="0"/>
      <w:marTop w:val="0"/>
      <w:marBottom w:val="0"/>
      <w:divBdr>
        <w:top w:val="single" w:sz="2" w:space="0" w:color="CC3640"/>
        <w:left w:val="none" w:sz="0" w:space="0" w:color="auto"/>
        <w:bottom w:val="none" w:sz="0" w:space="0" w:color="auto"/>
        <w:right w:val="none" w:sz="0" w:space="0" w:color="auto"/>
      </w:divBdr>
      <w:divsChild>
        <w:div w:id="520046899">
          <w:marLeft w:val="0"/>
          <w:marRight w:val="0"/>
          <w:marTop w:val="0"/>
          <w:marBottom w:val="0"/>
          <w:divBdr>
            <w:top w:val="single" w:sz="2" w:space="0" w:color="FF0000"/>
            <w:left w:val="single" w:sz="2" w:space="0" w:color="FF0000"/>
            <w:bottom w:val="single" w:sz="2" w:space="0" w:color="FF0000"/>
            <w:right w:val="single" w:sz="2" w:space="0" w:color="FF0000"/>
          </w:divBdr>
          <w:divsChild>
            <w:div w:id="340160781">
              <w:marLeft w:val="0"/>
              <w:marRight w:val="0"/>
              <w:marTop w:val="0"/>
              <w:marBottom w:val="0"/>
              <w:divBdr>
                <w:top w:val="none" w:sz="0" w:space="0" w:color="auto"/>
                <w:left w:val="single" w:sz="6" w:space="0" w:color="DDDDDD"/>
                <w:bottom w:val="none" w:sz="0" w:space="0" w:color="auto"/>
                <w:right w:val="none" w:sz="0" w:space="0" w:color="auto"/>
              </w:divBdr>
              <w:divsChild>
                <w:div w:id="818762728">
                  <w:marLeft w:val="0"/>
                  <w:marRight w:val="0"/>
                  <w:marTop w:val="0"/>
                  <w:marBottom w:val="0"/>
                  <w:divBdr>
                    <w:top w:val="single" w:sz="2" w:space="0" w:color="008000"/>
                    <w:left w:val="single" w:sz="2" w:space="0" w:color="008000"/>
                    <w:bottom w:val="single" w:sz="2" w:space="0" w:color="008000"/>
                    <w:right w:val="single" w:sz="2" w:space="0" w:color="008000"/>
                  </w:divBdr>
                  <w:divsChild>
                    <w:div w:id="1909530457">
                      <w:marLeft w:val="0"/>
                      <w:marRight w:val="0"/>
                      <w:marTop w:val="0"/>
                      <w:marBottom w:val="0"/>
                      <w:divBdr>
                        <w:top w:val="none" w:sz="0" w:space="0" w:color="auto"/>
                        <w:left w:val="none" w:sz="0" w:space="0" w:color="auto"/>
                        <w:bottom w:val="none" w:sz="0" w:space="0" w:color="auto"/>
                        <w:right w:val="none" w:sz="0" w:space="0" w:color="auto"/>
                      </w:divBdr>
                      <w:divsChild>
                        <w:div w:id="1315375895">
                          <w:marLeft w:val="0"/>
                          <w:marRight w:val="0"/>
                          <w:marTop w:val="0"/>
                          <w:marBottom w:val="0"/>
                          <w:divBdr>
                            <w:top w:val="none" w:sz="0" w:space="0" w:color="auto"/>
                            <w:left w:val="none" w:sz="0" w:space="0" w:color="auto"/>
                            <w:bottom w:val="none" w:sz="0" w:space="0" w:color="auto"/>
                            <w:right w:val="none" w:sz="0" w:space="0" w:color="auto"/>
                          </w:divBdr>
                          <w:divsChild>
                            <w:div w:id="643970991">
                              <w:marLeft w:val="0"/>
                              <w:marRight w:val="0"/>
                              <w:marTop w:val="0"/>
                              <w:marBottom w:val="0"/>
                              <w:divBdr>
                                <w:top w:val="none" w:sz="0" w:space="0" w:color="auto"/>
                                <w:left w:val="single" w:sz="6" w:space="0" w:color="C3CDD8"/>
                                <w:bottom w:val="none" w:sz="0" w:space="0" w:color="auto"/>
                                <w:right w:val="none" w:sz="0" w:space="0" w:color="auto"/>
                              </w:divBdr>
                            </w:div>
                          </w:divsChild>
                        </w:div>
                      </w:divsChild>
                    </w:div>
                  </w:divsChild>
                </w:div>
              </w:divsChild>
            </w:div>
          </w:divsChild>
        </w:div>
      </w:divsChild>
    </w:div>
    <w:div w:id="1343431011">
      <w:bodyDiv w:val="1"/>
      <w:marLeft w:val="0"/>
      <w:marRight w:val="0"/>
      <w:marTop w:val="0"/>
      <w:marBottom w:val="0"/>
      <w:divBdr>
        <w:top w:val="none" w:sz="0" w:space="0" w:color="auto"/>
        <w:left w:val="none" w:sz="0" w:space="0" w:color="auto"/>
        <w:bottom w:val="none" w:sz="0" w:space="0" w:color="auto"/>
        <w:right w:val="none" w:sz="0" w:space="0" w:color="auto"/>
      </w:divBdr>
      <w:divsChild>
        <w:div w:id="842669627">
          <w:marLeft w:val="0"/>
          <w:marRight w:val="0"/>
          <w:marTop w:val="0"/>
          <w:marBottom w:val="0"/>
          <w:divBdr>
            <w:top w:val="none" w:sz="0" w:space="0" w:color="auto"/>
            <w:left w:val="none" w:sz="0" w:space="0" w:color="auto"/>
            <w:bottom w:val="none" w:sz="0" w:space="0" w:color="auto"/>
            <w:right w:val="none" w:sz="0" w:space="0" w:color="auto"/>
          </w:divBdr>
        </w:div>
      </w:divsChild>
    </w:div>
    <w:div w:id="1349018939">
      <w:bodyDiv w:val="1"/>
      <w:marLeft w:val="0"/>
      <w:marRight w:val="0"/>
      <w:marTop w:val="0"/>
      <w:marBottom w:val="0"/>
      <w:divBdr>
        <w:top w:val="none" w:sz="0" w:space="0" w:color="auto"/>
        <w:left w:val="none" w:sz="0" w:space="0" w:color="auto"/>
        <w:bottom w:val="none" w:sz="0" w:space="0" w:color="auto"/>
        <w:right w:val="none" w:sz="0" w:space="0" w:color="auto"/>
      </w:divBdr>
    </w:div>
    <w:div w:id="1368599372">
      <w:bodyDiv w:val="1"/>
      <w:marLeft w:val="0"/>
      <w:marRight w:val="0"/>
      <w:marTop w:val="0"/>
      <w:marBottom w:val="0"/>
      <w:divBdr>
        <w:top w:val="single" w:sz="2" w:space="0" w:color="CC3640"/>
        <w:left w:val="none" w:sz="0" w:space="0" w:color="auto"/>
        <w:bottom w:val="none" w:sz="0" w:space="0" w:color="auto"/>
        <w:right w:val="none" w:sz="0" w:space="0" w:color="auto"/>
      </w:divBdr>
      <w:divsChild>
        <w:div w:id="528491638">
          <w:marLeft w:val="0"/>
          <w:marRight w:val="0"/>
          <w:marTop w:val="0"/>
          <w:marBottom w:val="0"/>
          <w:divBdr>
            <w:top w:val="single" w:sz="2" w:space="0" w:color="FF0000"/>
            <w:left w:val="single" w:sz="2" w:space="0" w:color="FF0000"/>
            <w:bottom w:val="single" w:sz="2" w:space="0" w:color="FF0000"/>
            <w:right w:val="single" w:sz="2" w:space="0" w:color="FF0000"/>
          </w:divBdr>
          <w:divsChild>
            <w:div w:id="993681259">
              <w:marLeft w:val="0"/>
              <w:marRight w:val="0"/>
              <w:marTop w:val="0"/>
              <w:marBottom w:val="0"/>
              <w:divBdr>
                <w:top w:val="none" w:sz="0" w:space="0" w:color="auto"/>
                <w:left w:val="single" w:sz="6" w:space="0" w:color="DDDDDD"/>
                <w:bottom w:val="none" w:sz="0" w:space="0" w:color="auto"/>
                <w:right w:val="none" w:sz="0" w:space="0" w:color="auto"/>
              </w:divBdr>
              <w:divsChild>
                <w:div w:id="1082918187">
                  <w:marLeft w:val="0"/>
                  <w:marRight w:val="0"/>
                  <w:marTop w:val="0"/>
                  <w:marBottom w:val="0"/>
                  <w:divBdr>
                    <w:top w:val="single" w:sz="2" w:space="0" w:color="008000"/>
                    <w:left w:val="single" w:sz="2" w:space="0" w:color="008000"/>
                    <w:bottom w:val="single" w:sz="2" w:space="0" w:color="008000"/>
                    <w:right w:val="single" w:sz="2" w:space="0" w:color="008000"/>
                  </w:divBdr>
                  <w:divsChild>
                    <w:div w:id="594557531">
                      <w:marLeft w:val="0"/>
                      <w:marRight w:val="0"/>
                      <w:marTop w:val="0"/>
                      <w:marBottom w:val="0"/>
                      <w:divBdr>
                        <w:top w:val="none" w:sz="0" w:space="0" w:color="auto"/>
                        <w:left w:val="none" w:sz="0" w:space="0" w:color="auto"/>
                        <w:bottom w:val="none" w:sz="0" w:space="0" w:color="auto"/>
                        <w:right w:val="none" w:sz="0" w:space="0" w:color="auto"/>
                      </w:divBdr>
                      <w:divsChild>
                        <w:div w:id="865212151">
                          <w:marLeft w:val="0"/>
                          <w:marRight w:val="0"/>
                          <w:marTop w:val="0"/>
                          <w:marBottom w:val="0"/>
                          <w:divBdr>
                            <w:top w:val="none" w:sz="0" w:space="0" w:color="auto"/>
                            <w:left w:val="none" w:sz="0" w:space="0" w:color="auto"/>
                            <w:bottom w:val="none" w:sz="0" w:space="0" w:color="auto"/>
                            <w:right w:val="none" w:sz="0" w:space="0" w:color="auto"/>
                          </w:divBdr>
                          <w:divsChild>
                            <w:div w:id="1584483732">
                              <w:marLeft w:val="0"/>
                              <w:marRight w:val="0"/>
                              <w:marTop w:val="0"/>
                              <w:marBottom w:val="0"/>
                              <w:divBdr>
                                <w:top w:val="none" w:sz="0" w:space="0" w:color="auto"/>
                                <w:left w:val="single" w:sz="6" w:space="0" w:color="C3CDD8"/>
                                <w:bottom w:val="none" w:sz="0" w:space="0" w:color="auto"/>
                                <w:right w:val="none" w:sz="0" w:space="0" w:color="auto"/>
                              </w:divBdr>
                            </w:div>
                          </w:divsChild>
                        </w:div>
                      </w:divsChild>
                    </w:div>
                  </w:divsChild>
                </w:div>
              </w:divsChild>
            </w:div>
          </w:divsChild>
        </w:div>
      </w:divsChild>
    </w:div>
    <w:div w:id="1369262971">
      <w:bodyDiv w:val="1"/>
      <w:marLeft w:val="0"/>
      <w:marRight w:val="0"/>
      <w:marTop w:val="0"/>
      <w:marBottom w:val="0"/>
      <w:divBdr>
        <w:top w:val="none" w:sz="0" w:space="0" w:color="auto"/>
        <w:left w:val="none" w:sz="0" w:space="0" w:color="auto"/>
        <w:bottom w:val="none" w:sz="0" w:space="0" w:color="auto"/>
        <w:right w:val="none" w:sz="0" w:space="0" w:color="auto"/>
      </w:divBdr>
    </w:div>
    <w:div w:id="1380129178">
      <w:bodyDiv w:val="1"/>
      <w:marLeft w:val="0"/>
      <w:marRight w:val="0"/>
      <w:marTop w:val="0"/>
      <w:marBottom w:val="0"/>
      <w:divBdr>
        <w:top w:val="none" w:sz="0" w:space="0" w:color="auto"/>
        <w:left w:val="none" w:sz="0" w:space="0" w:color="auto"/>
        <w:bottom w:val="none" w:sz="0" w:space="0" w:color="auto"/>
        <w:right w:val="none" w:sz="0" w:space="0" w:color="auto"/>
      </w:divBdr>
    </w:div>
    <w:div w:id="1395466473">
      <w:bodyDiv w:val="1"/>
      <w:marLeft w:val="0"/>
      <w:marRight w:val="0"/>
      <w:marTop w:val="0"/>
      <w:marBottom w:val="0"/>
      <w:divBdr>
        <w:top w:val="none" w:sz="0" w:space="0" w:color="auto"/>
        <w:left w:val="none" w:sz="0" w:space="0" w:color="auto"/>
        <w:bottom w:val="none" w:sz="0" w:space="0" w:color="auto"/>
        <w:right w:val="none" w:sz="0" w:space="0" w:color="auto"/>
      </w:divBdr>
    </w:div>
    <w:div w:id="1399593616">
      <w:bodyDiv w:val="1"/>
      <w:marLeft w:val="0"/>
      <w:marRight w:val="0"/>
      <w:marTop w:val="0"/>
      <w:marBottom w:val="0"/>
      <w:divBdr>
        <w:top w:val="none" w:sz="0" w:space="0" w:color="auto"/>
        <w:left w:val="none" w:sz="0" w:space="0" w:color="auto"/>
        <w:bottom w:val="none" w:sz="0" w:space="0" w:color="auto"/>
        <w:right w:val="none" w:sz="0" w:space="0" w:color="auto"/>
      </w:divBdr>
    </w:div>
    <w:div w:id="1399668280">
      <w:bodyDiv w:val="1"/>
      <w:marLeft w:val="0"/>
      <w:marRight w:val="0"/>
      <w:marTop w:val="0"/>
      <w:marBottom w:val="0"/>
      <w:divBdr>
        <w:top w:val="none" w:sz="0" w:space="0" w:color="auto"/>
        <w:left w:val="none" w:sz="0" w:space="0" w:color="auto"/>
        <w:bottom w:val="none" w:sz="0" w:space="0" w:color="auto"/>
        <w:right w:val="none" w:sz="0" w:space="0" w:color="auto"/>
      </w:divBdr>
    </w:div>
    <w:div w:id="1428888228">
      <w:bodyDiv w:val="1"/>
      <w:marLeft w:val="0"/>
      <w:marRight w:val="0"/>
      <w:marTop w:val="0"/>
      <w:marBottom w:val="0"/>
      <w:divBdr>
        <w:top w:val="none" w:sz="0" w:space="0" w:color="auto"/>
        <w:left w:val="none" w:sz="0" w:space="0" w:color="auto"/>
        <w:bottom w:val="none" w:sz="0" w:space="0" w:color="auto"/>
        <w:right w:val="none" w:sz="0" w:space="0" w:color="auto"/>
      </w:divBdr>
    </w:div>
    <w:div w:id="1438327914">
      <w:bodyDiv w:val="1"/>
      <w:marLeft w:val="0"/>
      <w:marRight w:val="0"/>
      <w:marTop w:val="0"/>
      <w:marBottom w:val="0"/>
      <w:divBdr>
        <w:top w:val="none" w:sz="0" w:space="0" w:color="auto"/>
        <w:left w:val="none" w:sz="0" w:space="0" w:color="auto"/>
        <w:bottom w:val="none" w:sz="0" w:space="0" w:color="auto"/>
        <w:right w:val="none" w:sz="0" w:space="0" w:color="auto"/>
      </w:divBdr>
    </w:div>
    <w:div w:id="1445536846">
      <w:bodyDiv w:val="1"/>
      <w:marLeft w:val="0"/>
      <w:marRight w:val="0"/>
      <w:marTop w:val="0"/>
      <w:marBottom w:val="0"/>
      <w:divBdr>
        <w:top w:val="single" w:sz="2" w:space="0" w:color="CC3640"/>
        <w:left w:val="none" w:sz="0" w:space="0" w:color="auto"/>
        <w:bottom w:val="none" w:sz="0" w:space="0" w:color="auto"/>
        <w:right w:val="none" w:sz="0" w:space="0" w:color="auto"/>
      </w:divBdr>
      <w:divsChild>
        <w:div w:id="944387528">
          <w:marLeft w:val="0"/>
          <w:marRight w:val="0"/>
          <w:marTop w:val="0"/>
          <w:marBottom w:val="0"/>
          <w:divBdr>
            <w:top w:val="single" w:sz="2" w:space="0" w:color="FF0000"/>
            <w:left w:val="single" w:sz="2" w:space="0" w:color="FF0000"/>
            <w:bottom w:val="single" w:sz="2" w:space="0" w:color="FF0000"/>
            <w:right w:val="single" w:sz="2" w:space="0" w:color="FF0000"/>
          </w:divBdr>
          <w:divsChild>
            <w:div w:id="978270660">
              <w:marLeft w:val="0"/>
              <w:marRight w:val="0"/>
              <w:marTop w:val="0"/>
              <w:marBottom w:val="0"/>
              <w:divBdr>
                <w:top w:val="none" w:sz="0" w:space="0" w:color="auto"/>
                <w:left w:val="single" w:sz="6" w:space="0" w:color="DDDDDD"/>
                <w:bottom w:val="none" w:sz="0" w:space="0" w:color="auto"/>
                <w:right w:val="none" w:sz="0" w:space="0" w:color="auto"/>
              </w:divBdr>
              <w:divsChild>
                <w:div w:id="1038973565">
                  <w:marLeft w:val="0"/>
                  <w:marRight w:val="0"/>
                  <w:marTop w:val="0"/>
                  <w:marBottom w:val="0"/>
                  <w:divBdr>
                    <w:top w:val="single" w:sz="2" w:space="0" w:color="008000"/>
                    <w:left w:val="single" w:sz="2" w:space="0" w:color="008000"/>
                    <w:bottom w:val="single" w:sz="2" w:space="0" w:color="008000"/>
                    <w:right w:val="single" w:sz="2" w:space="0" w:color="008000"/>
                  </w:divBdr>
                  <w:divsChild>
                    <w:div w:id="1681620492">
                      <w:marLeft w:val="0"/>
                      <w:marRight w:val="0"/>
                      <w:marTop w:val="0"/>
                      <w:marBottom w:val="0"/>
                      <w:divBdr>
                        <w:top w:val="none" w:sz="0" w:space="0" w:color="auto"/>
                        <w:left w:val="none" w:sz="0" w:space="0" w:color="auto"/>
                        <w:bottom w:val="none" w:sz="0" w:space="0" w:color="auto"/>
                        <w:right w:val="none" w:sz="0" w:space="0" w:color="auto"/>
                      </w:divBdr>
                      <w:divsChild>
                        <w:div w:id="1327128075">
                          <w:marLeft w:val="0"/>
                          <w:marRight w:val="0"/>
                          <w:marTop w:val="0"/>
                          <w:marBottom w:val="0"/>
                          <w:divBdr>
                            <w:top w:val="none" w:sz="0" w:space="0" w:color="auto"/>
                            <w:left w:val="none" w:sz="0" w:space="0" w:color="auto"/>
                            <w:bottom w:val="none" w:sz="0" w:space="0" w:color="auto"/>
                            <w:right w:val="none" w:sz="0" w:space="0" w:color="auto"/>
                          </w:divBdr>
                          <w:divsChild>
                            <w:div w:id="1246039970">
                              <w:marLeft w:val="0"/>
                              <w:marRight w:val="0"/>
                              <w:marTop w:val="0"/>
                              <w:marBottom w:val="0"/>
                              <w:divBdr>
                                <w:top w:val="none" w:sz="0" w:space="0" w:color="auto"/>
                                <w:left w:val="single" w:sz="6" w:space="0" w:color="C3CDD8"/>
                                <w:bottom w:val="none" w:sz="0" w:space="0" w:color="auto"/>
                                <w:right w:val="none" w:sz="0" w:space="0" w:color="auto"/>
                              </w:divBdr>
                            </w:div>
                          </w:divsChild>
                        </w:div>
                      </w:divsChild>
                    </w:div>
                  </w:divsChild>
                </w:div>
              </w:divsChild>
            </w:div>
          </w:divsChild>
        </w:div>
      </w:divsChild>
    </w:div>
    <w:div w:id="1461849458">
      <w:bodyDiv w:val="1"/>
      <w:marLeft w:val="0"/>
      <w:marRight w:val="0"/>
      <w:marTop w:val="0"/>
      <w:marBottom w:val="0"/>
      <w:divBdr>
        <w:top w:val="single" w:sz="2" w:space="0" w:color="CC3640"/>
        <w:left w:val="none" w:sz="0" w:space="0" w:color="auto"/>
        <w:bottom w:val="none" w:sz="0" w:space="0" w:color="auto"/>
        <w:right w:val="none" w:sz="0" w:space="0" w:color="auto"/>
      </w:divBdr>
      <w:divsChild>
        <w:div w:id="628366951">
          <w:marLeft w:val="0"/>
          <w:marRight w:val="0"/>
          <w:marTop w:val="0"/>
          <w:marBottom w:val="0"/>
          <w:divBdr>
            <w:top w:val="single" w:sz="2" w:space="0" w:color="FF0000"/>
            <w:left w:val="single" w:sz="2" w:space="0" w:color="FF0000"/>
            <w:bottom w:val="single" w:sz="2" w:space="0" w:color="FF0000"/>
            <w:right w:val="single" w:sz="2" w:space="0" w:color="FF0000"/>
          </w:divBdr>
          <w:divsChild>
            <w:div w:id="2034185848">
              <w:marLeft w:val="0"/>
              <w:marRight w:val="0"/>
              <w:marTop w:val="0"/>
              <w:marBottom w:val="0"/>
              <w:divBdr>
                <w:top w:val="none" w:sz="0" w:space="0" w:color="auto"/>
                <w:left w:val="single" w:sz="6" w:space="0" w:color="DDDDDD"/>
                <w:bottom w:val="none" w:sz="0" w:space="0" w:color="auto"/>
                <w:right w:val="none" w:sz="0" w:space="0" w:color="auto"/>
              </w:divBdr>
              <w:divsChild>
                <w:div w:id="1475944950">
                  <w:marLeft w:val="0"/>
                  <w:marRight w:val="0"/>
                  <w:marTop w:val="0"/>
                  <w:marBottom w:val="0"/>
                  <w:divBdr>
                    <w:top w:val="single" w:sz="2" w:space="0" w:color="008000"/>
                    <w:left w:val="single" w:sz="2" w:space="0" w:color="008000"/>
                    <w:bottom w:val="single" w:sz="2" w:space="0" w:color="008000"/>
                    <w:right w:val="single" w:sz="2" w:space="0" w:color="008000"/>
                  </w:divBdr>
                  <w:divsChild>
                    <w:div w:id="1400976627">
                      <w:marLeft w:val="0"/>
                      <w:marRight w:val="0"/>
                      <w:marTop w:val="0"/>
                      <w:marBottom w:val="0"/>
                      <w:divBdr>
                        <w:top w:val="none" w:sz="0" w:space="0" w:color="auto"/>
                        <w:left w:val="none" w:sz="0" w:space="0" w:color="auto"/>
                        <w:bottom w:val="none" w:sz="0" w:space="0" w:color="auto"/>
                        <w:right w:val="none" w:sz="0" w:space="0" w:color="auto"/>
                      </w:divBdr>
                      <w:divsChild>
                        <w:div w:id="1592811028">
                          <w:marLeft w:val="0"/>
                          <w:marRight w:val="0"/>
                          <w:marTop w:val="0"/>
                          <w:marBottom w:val="0"/>
                          <w:divBdr>
                            <w:top w:val="none" w:sz="0" w:space="0" w:color="auto"/>
                            <w:left w:val="none" w:sz="0" w:space="0" w:color="auto"/>
                            <w:bottom w:val="none" w:sz="0" w:space="0" w:color="auto"/>
                            <w:right w:val="none" w:sz="0" w:space="0" w:color="auto"/>
                          </w:divBdr>
                          <w:divsChild>
                            <w:div w:id="927352592">
                              <w:marLeft w:val="0"/>
                              <w:marRight w:val="0"/>
                              <w:marTop w:val="0"/>
                              <w:marBottom w:val="0"/>
                              <w:divBdr>
                                <w:top w:val="none" w:sz="0" w:space="0" w:color="auto"/>
                                <w:left w:val="single" w:sz="6" w:space="0" w:color="C3CDD8"/>
                                <w:bottom w:val="none" w:sz="0" w:space="0" w:color="auto"/>
                                <w:right w:val="none" w:sz="0" w:space="0" w:color="auto"/>
                              </w:divBdr>
                            </w:div>
                          </w:divsChild>
                        </w:div>
                      </w:divsChild>
                    </w:div>
                  </w:divsChild>
                </w:div>
              </w:divsChild>
            </w:div>
          </w:divsChild>
        </w:div>
      </w:divsChild>
    </w:div>
    <w:div w:id="1509519125">
      <w:bodyDiv w:val="1"/>
      <w:marLeft w:val="0"/>
      <w:marRight w:val="0"/>
      <w:marTop w:val="0"/>
      <w:marBottom w:val="0"/>
      <w:divBdr>
        <w:top w:val="none" w:sz="0" w:space="0" w:color="auto"/>
        <w:left w:val="none" w:sz="0" w:space="0" w:color="auto"/>
        <w:bottom w:val="none" w:sz="0" w:space="0" w:color="auto"/>
        <w:right w:val="none" w:sz="0" w:space="0" w:color="auto"/>
      </w:divBdr>
    </w:div>
    <w:div w:id="1568032378">
      <w:bodyDiv w:val="1"/>
      <w:marLeft w:val="0"/>
      <w:marRight w:val="0"/>
      <w:marTop w:val="0"/>
      <w:marBottom w:val="0"/>
      <w:divBdr>
        <w:top w:val="none" w:sz="0" w:space="0" w:color="auto"/>
        <w:left w:val="none" w:sz="0" w:space="0" w:color="auto"/>
        <w:bottom w:val="none" w:sz="0" w:space="0" w:color="auto"/>
        <w:right w:val="none" w:sz="0" w:space="0" w:color="auto"/>
      </w:divBdr>
    </w:div>
    <w:div w:id="1572816184">
      <w:bodyDiv w:val="1"/>
      <w:marLeft w:val="0"/>
      <w:marRight w:val="0"/>
      <w:marTop w:val="0"/>
      <w:marBottom w:val="0"/>
      <w:divBdr>
        <w:top w:val="none" w:sz="0" w:space="0" w:color="auto"/>
        <w:left w:val="none" w:sz="0" w:space="0" w:color="auto"/>
        <w:bottom w:val="none" w:sz="0" w:space="0" w:color="auto"/>
        <w:right w:val="none" w:sz="0" w:space="0" w:color="auto"/>
      </w:divBdr>
    </w:div>
    <w:div w:id="1580140918">
      <w:bodyDiv w:val="1"/>
      <w:marLeft w:val="0"/>
      <w:marRight w:val="0"/>
      <w:marTop w:val="0"/>
      <w:marBottom w:val="0"/>
      <w:divBdr>
        <w:top w:val="none" w:sz="0" w:space="0" w:color="auto"/>
        <w:left w:val="none" w:sz="0" w:space="0" w:color="auto"/>
        <w:bottom w:val="none" w:sz="0" w:space="0" w:color="auto"/>
        <w:right w:val="none" w:sz="0" w:space="0" w:color="auto"/>
      </w:divBdr>
    </w:div>
    <w:div w:id="1607813793">
      <w:bodyDiv w:val="1"/>
      <w:marLeft w:val="0"/>
      <w:marRight w:val="0"/>
      <w:marTop w:val="0"/>
      <w:marBottom w:val="0"/>
      <w:divBdr>
        <w:top w:val="none" w:sz="0" w:space="0" w:color="auto"/>
        <w:left w:val="none" w:sz="0" w:space="0" w:color="auto"/>
        <w:bottom w:val="none" w:sz="0" w:space="0" w:color="auto"/>
        <w:right w:val="none" w:sz="0" w:space="0" w:color="auto"/>
      </w:divBdr>
    </w:div>
    <w:div w:id="1612862185">
      <w:bodyDiv w:val="1"/>
      <w:marLeft w:val="0"/>
      <w:marRight w:val="0"/>
      <w:marTop w:val="0"/>
      <w:marBottom w:val="0"/>
      <w:divBdr>
        <w:top w:val="none" w:sz="0" w:space="0" w:color="auto"/>
        <w:left w:val="none" w:sz="0" w:space="0" w:color="auto"/>
        <w:bottom w:val="none" w:sz="0" w:space="0" w:color="auto"/>
        <w:right w:val="none" w:sz="0" w:space="0" w:color="auto"/>
      </w:divBdr>
    </w:div>
    <w:div w:id="1635527091">
      <w:bodyDiv w:val="1"/>
      <w:marLeft w:val="0"/>
      <w:marRight w:val="0"/>
      <w:marTop w:val="0"/>
      <w:marBottom w:val="0"/>
      <w:divBdr>
        <w:top w:val="none" w:sz="0" w:space="0" w:color="auto"/>
        <w:left w:val="none" w:sz="0" w:space="0" w:color="auto"/>
        <w:bottom w:val="none" w:sz="0" w:space="0" w:color="auto"/>
        <w:right w:val="none" w:sz="0" w:space="0" w:color="auto"/>
      </w:divBdr>
    </w:div>
    <w:div w:id="1639339567">
      <w:bodyDiv w:val="1"/>
      <w:marLeft w:val="0"/>
      <w:marRight w:val="0"/>
      <w:marTop w:val="0"/>
      <w:marBottom w:val="0"/>
      <w:divBdr>
        <w:top w:val="none" w:sz="0" w:space="0" w:color="auto"/>
        <w:left w:val="none" w:sz="0" w:space="0" w:color="auto"/>
        <w:bottom w:val="none" w:sz="0" w:space="0" w:color="auto"/>
        <w:right w:val="none" w:sz="0" w:space="0" w:color="auto"/>
      </w:divBdr>
    </w:div>
    <w:div w:id="1653563533">
      <w:bodyDiv w:val="1"/>
      <w:marLeft w:val="0"/>
      <w:marRight w:val="0"/>
      <w:marTop w:val="0"/>
      <w:marBottom w:val="0"/>
      <w:divBdr>
        <w:top w:val="none" w:sz="0" w:space="0" w:color="auto"/>
        <w:left w:val="none" w:sz="0" w:space="0" w:color="auto"/>
        <w:bottom w:val="none" w:sz="0" w:space="0" w:color="auto"/>
        <w:right w:val="none" w:sz="0" w:space="0" w:color="auto"/>
      </w:divBdr>
      <w:divsChild>
        <w:div w:id="1821844635">
          <w:marLeft w:val="0"/>
          <w:marRight w:val="0"/>
          <w:marTop w:val="0"/>
          <w:marBottom w:val="0"/>
          <w:divBdr>
            <w:top w:val="none" w:sz="0" w:space="0" w:color="auto"/>
            <w:left w:val="none" w:sz="0" w:space="0" w:color="auto"/>
            <w:bottom w:val="none" w:sz="0" w:space="0" w:color="auto"/>
            <w:right w:val="none" w:sz="0" w:space="0" w:color="auto"/>
          </w:divBdr>
          <w:divsChild>
            <w:div w:id="471018925">
              <w:marLeft w:val="0"/>
              <w:marRight w:val="0"/>
              <w:marTop w:val="0"/>
              <w:marBottom w:val="360"/>
              <w:divBdr>
                <w:top w:val="none" w:sz="0" w:space="0" w:color="auto"/>
                <w:left w:val="none" w:sz="0" w:space="0" w:color="auto"/>
                <w:bottom w:val="none" w:sz="0" w:space="0" w:color="auto"/>
                <w:right w:val="none" w:sz="0" w:space="0" w:color="auto"/>
              </w:divBdr>
              <w:divsChild>
                <w:div w:id="1217398128">
                  <w:marLeft w:val="0"/>
                  <w:marRight w:val="0"/>
                  <w:marTop w:val="0"/>
                  <w:marBottom w:val="0"/>
                  <w:divBdr>
                    <w:top w:val="none" w:sz="0" w:space="0" w:color="auto"/>
                    <w:left w:val="none" w:sz="0" w:space="0" w:color="auto"/>
                    <w:bottom w:val="none" w:sz="0" w:space="0" w:color="auto"/>
                    <w:right w:val="none" w:sz="0" w:space="0" w:color="auto"/>
                  </w:divBdr>
                  <w:divsChild>
                    <w:div w:id="916135796">
                      <w:marLeft w:val="0"/>
                      <w:marRight w:val="0"/>
                      <w:marTop w:val="0"/>
                      <w:marBottom w:val="0"/>
                      <w:divBdr>
                        <w:top w:val="none" w:sz="0" w:space="0" w:color="auto"/>
                        <w:left w:val="none" w:sz="0" w:space="0" w:color="auto"/>
                        <w:bottom w:val="none" w:sz="0" w:space="0" w:color="auto"/>
                        <w:right w:val="none" w:sz="0" w:space="0" w:color="auto"/>
                      </w:divBdr>
                      <w:divsChild>
                        <w:div w:id="309137797">
                          <w:marLeft w:val="0"/>
                          <w:marRight w:val="0"/>
                          <w:marTop w:val="0"/>
                          <w:marBottom w:val="0"/>
                          <w:divBdr>
                            <w:top w:val="none" w:sz="0" w:space="0" w:color="auto"/>
                            <w:left w:val="none" w:sz="0" w:space="0" w:color="auto"/>
                            <w:bottom w:val="none" w:sz="0" w:space="0" w:color="auto"/>
                            <w:right w:val="none" w:sz="0" w:space="0" w:color="auto"/>
                          </w:divBdr>
                          <w:divsChild>
                            <w:div w:id="1262953011">
                              <w:marLeft w:val="0"/>
                              <w:marRight w:val="0"/>
                              <w:marTop w:val="0"/>
                              <w:marBottom w:val="0"/>
                              <w:divBdr>
                                <w:top w:val="none" w:sz="0" w:space="0" w:color="auto"/>
                                <w:left w:val="none" w:sz="0" w:space="0" w:color="auto"/>
                                <w:bottom w:val="none" w:sz="0" w:space="0" w:color="auto"/>
                                <w:right w:val="none" w:sz="0" w:space="0" w:color="auto"/>
                              </w:divBdr>
                              <w:divsChild>
                                <w:div w:id="22815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5626834">
      <w:bodyDiv w:val="1"/>
      <w:marLeft w:val="0"/>
      <w:marRight w:val="0"/>
      <w:marTop w:val="0"/>
      <w:marBottom w:val="0"/>
      <w:divBdr>
        <w:top w:val="none" w:sz="0" w:space="0" w:color="auto"/>
        <w:left w:val="none" w:sz="0" w:space="0" w:color="auto"/>
        <w:bottom w:val="none" w:sz="0" w:space="0" w:color="auto"/>
        <w:right w:val="none" w:sz="0" w:space="0" w:color="auto"/>
      </w:divBdr>
    </w:div>
    <w:div w:id="1683126452">
      <w:bodyDiv w:val="1"/>
      <w:marLeft w:val="0"/>
      <w:marRight w:val="0"/>
      <w:marTop w:val="0"/>
      <w:marBottom w:val="0"/>
      <w:divBdr>
        <w:top w:val="single" w:sz="2" w:space="0" w:color="CC3640"/>
        <w:left w:val="none" w:sz="0" w:space="0" w:color="auto"/>
        <w:bottom w:val="none" w:sz="0" w:space="0" w:color="auto"/>
        <w:right w:val="none" w:sz="0" w:space="0" w:color="auto"/>
      </w:divBdr>
      <w:divsChild>
        <w:div w:id="1818958215">
          <w:marLeft w:val="0"/>
          <w:marRight w:val="0"/>
          <w:marTop w:val="0"/>
          <w:marBottom w:val="0"/>
          <w:divBdr>
            <w:top w:val="single" w:sz="2" w:space="0" w:color="FF0000"/>
            <w:left w:val="single" w:sz="2" w:space="0" w:color="FF0000"/>
            <w:bottom w:val="single" w:sz="2" w:space="0" w:color="FF0000"/>
            <w:right w:val="single" w:sz="2" w:space="0" w:color="FF0000"/>
          </w:divBdr>
          <w:divsChild>
            <w:div w:id="1286697614">
              <w:marLeft w:val="0"/>
              <w:marRight w:val="0"/>
              <w:marTop w:val="0"/>
              <w:marBottom w:val="0"/>
              <w:divBdr>
                <w:top w:val="none" w:sz="0" w:space="0" w:color="auto"/>
                <w:left w:val="single" w:sz="6" w:space="0" w:color="DDDDDD"/>
                <w:bottom w:val="none" w:sz="0" w:space="0" w:color="auto"/>
                <w:right w:val="none" w:sz="0" w:space="0" w:color="auto"/>
              </w:divBdr>
              <w:divsChild>
                <w:div w:id="1041586534">
                  <w:marLeft w:val="0"/>
                  <w:marRight w:val="0"/>
                  <w:marTop w:val="0"/>
                  <w:marBottom w:val="0"/>
                  <w:divBdr>
                    <w:top w:val="single" w:sz="2" w:space="0" w:color="008000"/>
                    <w:left w:val="single" w:sz="2" w:space="0" w:color="008000"/>
                    <w:bottom w:val="single" w:sz="2" w:space="0" w:color="008000"/>
                    <w:right w:val="single" w:sz="2" w:space="0" w:color="008000"/>
                  </w:divBdr>
                  <w:divsChild>
                    <w:div w:id="1833788538">
                      <w:marLeft w:val="0"/>
                      <w:marRight w:val="0"/>
                      <w:marTop w:val="0"/>
                      <w:marBottom w:val="0"/>
                      <w:divBdr>
                        <w:top w:val="none" w:sz="0" w:space="0" w:color="auto"/>
                        <w:left w:val="none" w:sz="0" w:space="0" w:color="auto"/>
                        <w:bottom w:val="none" w:sz="0" w:space="0" w:color="auto"/>
                        <w:right w:val="none" w:sz="0" w:space="0" w:color="auto"/>
                      </w:divBdr>
                      <w:divsChild>
                        <w:div w:id="1229733592">
                          <w:marLeft w:val="0"/>
                          <w:marRight w:val="0"/>
                          <w:marTop w:val="0"/>
                          <w:marBottom w:val="0"/>
                          <w:divBdr>
                            <w:top w:val="none" w:sz="0" w:space="0" w:color="auto"/>
                            <w:left w:val="none" w:sz="0" w:space="0" w:color="auto"/>
                            <w:bottom w:val="none" w:sz="0" w:space="0" w:color="auto"/>
                            <w:right w:val="none" w:sz="0" w:space="0" w:color="auto"/>
                          </w:divBdr>
                          <w:divsChild>
                            <w:div w:id="1906724668">
                              <w:marLeft w:val="0"/>
                              <w:marRight w:val="0"/>
                              <w:marTop w:val="0"/>
                              <w:marBottom w:val="0"/>
                              <w:divBdr>
                                <w:top w:val="none" w:sz="0" w:space="0" w:color="auto"/>
                                <w:left w:val="single" w:sz="6" w:space="0" w:color="C3CDD8"/>
                                <w:bottom w:val="none" w:sz="0" w:space="0" w:color="auto"/>
                                <w:right w:val="none" w:sz="0" w:space="0" w:color="auto"/>
                              </w:divBdr>
                            </w:div>
                          </w:divsChild>
                        </w:div>
                      </w:divsChild>
                    </w:div>
                  </w:divsChild>
                </w:div>
              </w:divsChild>
            </w:div>
          </w:divsChild>
        </w:div>
      </w:divsChild>
    </w:div>
    <w:div w:id="1745638310">
      <w:bodyDiv w:val="1"/>
      <w:marLeft w:val="0"/>
      <w:marRight w:val="0"/>
      <w:marTop w:val="0"/>
      <w:marBottom w:val="0"/>
      <w:divBdr>
        <w:top w:val="none" w:sz="0" w:space="0" w:color="auto"/>
        <w:left w:val="none" w:sz="0" w:space="0" w:color="auto"/>
        <w:bottom w:val="none" w:sz="0" w:space="0" w:color="auto"/>
        <w:right w:val="none" w:sz="0" w:space="0" w:color="auto"/>
      </w:divBdr>
    </w:div>
    <w:div w:id="1752462613">
      <w:bodyDiv w:val="1"/>
      <w:marLeft w:val="0"/>
      <w:marRight w:val="0"/>
      <w:marTop w:val="0"/>
      <w:marBottom w:val="0"/>
      <w:divBdr>
        <w:top w:val="none" w:sz="0" w:space="0" w:color="auto"/>
        <w:left w:val="none" w:sz="0" w:space="0" w:color="auto"/>
        <w:bottom w:val="none" w:sz="0" w:space="0" w:color="auto"/>
        <w:right w:val="none" w:sz="0" w:space="0" w:color="auto"/>
      </w:divBdr>
    </w:div>
    <w:div w:id="1766879534">
      <w:bodyDiv w:val="1"/>
      <w:marLeft w:val="0"/>
      <w:marRight w:val="0"/>
      <w:marTop w:val="0"/>
      <w:marBottom w:val="0"/>
      <w:divBdr>
        <w:top w:val="none" w:sz="0" w:space="0" w:color="auto"/>
        <w:left w:val="none" w:sz="0" w:space="0" w:color="auto"/>
        <w:bottom w:val="none" w:sz="0" w:space="0" w:color="auto"/>
        <w:right w:val="none" w:sz="0" w:space="0" w:color="auto"/>
      </w:divBdr>
      <w:divsChild>
        <w:div w:id="1857771015">
          <w:marLeft w:val="0"/>
          <w:marRight w:val="0"/>
          <w:marTop w:val="0"/>
          <w:marBottom w:val="0"/>
          <w:divBdr>
            <w:top w:val="none" w:sz="0" w:space="0" w:color="auto"/>
            <w:left w:val="none" w:sz="0" w:space="0" w:color="auto"/>
            <w:bottom w:val="none" w:sz="0" w:space="0" w:color="auto"/>
            <w:right w:val="none" w:sz="0" w:space="0" w:color="auto"/>
          </w:divBdr>
          <w:divsChild>
            <w:div w:id="280303640">
              <w:marLeft w:val="0"/>
              <w:marRight w:val="0"/>
              <w:marTop w:val="0"/>
              <w:marBottom w:val="0"/>
              <w:divBdr>
                <w:top w:val="none" w:sz="0" w:space="0" w:color="auto"/>
                <w:left w:val="none" w:sz="0" w:space="0" w:color="auto"/>
                <w:bottom w:val="none" w:sz="0" w:space="0" w:color="auto"/>
                <w:right w:val="none" w:sz="0" w:space="0" w:color="auto"/>
              </w:divBdr>
              <w:divsChild>
                <w:div w:id="46959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345533">
          <w:marLeft w:val="0"/>
          <w:marRight w:val="0"/>
          <w:marTop w:val="0"/>
          <w:marBottom w:val="0"/>
          <w:divBdr>
            <w:top w:val="none" w:sz="0" w:space="0" w:color="auto"/>
            <w:left w:val="none" w:sz="0" w:space="0" w:color="auto"/>
            <w:bottom w:val="none" w:sz="0" w:space="0" w:color="auto"/>
            <w:right w:val="none" w:sz="0" w:space="0" w:color="auto"/>
          </w:divBdr>
          <w:divsChild>
            <w:div w:id="1340424993">
              <w:marLeft w:val="0"/>
              <w:marRight w:val="0"/>
              <w:marTop w:val="0"/>
              <w:marBottom w:val="0"/>
              <w:divBdr>
                <w:top w:val="none" w:sz="0" w:space="0" w:color="auto"/>
                <w:left w:val="none" w:sz="0" w:space="0" w:color="auto"/>
                <w:bottom w:val="none" w:sz="0" w:space="0" w:color="auto"/>
                <w:right w:val="none" w:sz="0" w:space="0" w:color="auto"/>
              </w:divBdr>
              <w:divsChild>
                <w:div w:id="748649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907904">
      <w:bodyDiv w:val="1"/>
      <w:marLeft w:val="0"/>
      <w:marRight w:val="0"/>
      <w:marTop w:val="0"/>
      <w:marBottom w:val="0"/>
      <w:divBdr>
        <w:top w:val="none" w:sz="0" w:space="0" w:color="auto"/>
        <w:left w:val="none" w:sz="0" w:space="0" w:color="auto"/>
        <w:bottom w:val="none" w:sz="0" w:space="0" w:color="auto"/>
        <w:right w:val="none" w:sz="0" w:space="0" w:color="auto"/>
      </w:divBdr>
    </w:div>
    <w:div w:id="1785342163">
      <w:bodyDiv w:val="1"/>
      <w:marLeft w:val="0"/>
      <w:marRight w:val="0"/>
      <w:marTop w:val="0"/>
      <w:marBottom w:val="0"/>
      <w:divBdr>
        <w:top w:val="none" w:sz="0" w:space="0" w:color="auto"/>
        <w:left w:val="none" w:sz="0" w:space="0" w:color="auto"/>
        <w:bottom w:val="none" w:sz="0" w:space="0" w:color="auto"/>
        <w:right w:val="none" w:sz="0" w:space="0" w:color="auto"/>
      </w:divBdr>
      <w:divsChild>
        <w:div w:id="1122266796">
          <w:marLeft w:val="0"/>
          <w:marRight w:val="0"/>
          <w:marTop w:val="0"/>
          <w:marBottom w:val="0"/>
          <w:divBdr>
            <w:top w:val="none" w:sz="0" w:space="0" w:color="auto"/>
            <w:left w:val="none" w:sz="0" w:space="0" w:color="auto"/>
            <w:bottom w:val="none" w:sz="0" w:space="0" w:color="auto"/>
            <w:right w:val="none" w:sz="0" w:space="0" w:color="auto"/>
          </w:divBdr>
          <w:divsChild>
            <w:div w:id="269627210">
              <w:marLeft w:val="0"/>
              <w:marRight w:val="0"/>
              <w:marTop w:val="0"/>
              <w:marBottom w:val="0"/>
              <w:divBdr>
                <w:top w:val="none" w:sz="0" w:space="0" w:color="auto"/>
                <w:left w:val="none" w:sz="0" w:space="0" w:color="auto"/>
                <w:bottom w:val="none" w:sz="0" w:space="0" w:color="auto"/>
                <w:right w:val="none" w:sz="0" w:space="0" w:color="auto"/>
              </w:divBdr>
            </w:div>
            <w:div w:id="1311638380">
              <w:marLeft w:val="0"/>
              <w:marRight w:val="0"/>
              <w:marTop w:val="0"/>
              <w:marBottom w:val="0"/>
              <w:divBdr>
                <w:top w:val="none" w:sz="0" w:space="0" w:color="auto"/>
                <w:left w:val="none" w:sz="0" w:space="0" w:color="auto"/>
                <w:bottom w:val="none" w:sz="0" w:space="0" w:color="auto"/>
                <w:right w:val="none" w:sz="0" w:space="0" w:color="auto"/>
              </w:divBdr>
            </w:div>
            <w:div w:id="1580362016">
              <w:marLeft w:val="0"/>
              <w:marRight w:val="0"/>
              <w:marTop w:val="0"/>
              <w:marBottom w:val="0"/>
              <w:divBdr>
                <w:top w:val="none" w:sz="0" w:space="0" w:color="auto"/>
                <w:left w:val="none" w:sz="0" w:space="0" w:color="auto"/>
                <w:bottom w:val="none" w:sz="0" w:space="0" w:color="auto"/>
                <w:right w:val="none" w:sz="0" w:space="0" w:color="auto"/>
              </w:divBdr>
            </w:div>
          </w:divsChild>
        </w:div>
        <w:div w:id="1703243205">
          <w:marLeft w:val="0"/>
          <w:marRight w:val="0"/>
          <w:marTop w:val="0"/>
          <w:marBottom w:val="0"/>
          <w:divBdr>
            <w:top w:val="none" w:sz="0" w:space="0" w:color="auto"/>
            <w:left w:val="none" w:sz="0" w:space="0" w:color="auto"/>
            <w:bottom w:val="none" w:sz="0" w:space="0" w:color="auto"/>
            <w:right w:val="none" w:sz="0" w:space="0" w:color="auto"/>
          </w:divBdr>
        </w:div>
        <w:div w:id="1869947799">
          <w:marLeft w:val="0"/>
          <w:marRight w:val="0"/>
          <w:marTop w:val="0"/>
          <w:marBottom w:val="170"/>
          <w:divBdr>
            <w:top w:val="none" w:sz="0" w:space="0" w:color="auto"/>
            <w:left w:val="none" w:sz="0" w:space="0" w:color="auto"/>
            <w:bottom w:val="none" w:sz="0" w:space="0" w:color="auto"/>
            <w:right w:val="none" w:sz="0" w:space="0" w:color="auto"/>
          </w:divBdr>
          <w:divsChild>
            <w:div w:id="1774471059">
              <w:marLeft w:val="0"/>
              <w:marRight w:val="0"/>
              <w:marTop w:val="170"/>
              <w:marBottom w:val="170"/>
              <w:divBdr>
                <w:top w:val="none" w:sz="0" w:space="0" w:color="auto"/>
                <w:left w:val="none" w:sz="0" w:space="0" w:color="auto"/>
                <w:bottom w:val="none" w:sz="0" w:space="0" w:color="auto"/>
                <w:right w:val="none" w:sz="0" w:space="0" w:color="auto"/>
              </w:divBdr>
            </w:div>
          </w:divsChild>
        </w:div>
        <w:div w:id="2001496337">
          <w:marLeft w:val="0"/>
          <w:marRight w:val="0"/>
          <w:marTop w:val="0"/>
          <w:marBottom w:val="0"/>
          <w:divBdr>
            <w:top w:val="none" w:sz="0" w:space="0" w:color="auto"/>
            <w:left w:val="none" w:sz="0" w:space="0" w:color="auto"/>
            <w:bottom w:val="none" w:sz="0" w:space="0" w:color="auto"/>
            <w:right w:val="none" w:sz="0" w:space="0" w:color="auto"/>
          </w:divBdr>
        </w:div>
      </w:divsChild>
    </w:div>
    <w:div w:id="1793593554">
      <w:bodyDiv w:val="1"/>
      <w:marLeft w:val="0"/>
      <w:marRight w:val="0"/>
      <w:marTop w:val="0"/>
      <w:marBottom w:val="0"/>
      <w:divBdr>
        <w:top w:val="single" w:sz="2" w:space="0" w:color="CC3640"/>
        <w:left w:val="none" w:sz="0" w:space="0" w:color="auto"/>
        <w:bottom w:val="none" w:sz="0" w:space="0" w:color="auto"/>
        <w:right w:val="none" w:sz="0" w:space="0" w:color="auto"/>
      </w:divBdr>
      <w:divsChild>
        <w:div w:id="966660807">
          <w:marLeft w:val="0"/>
          <w:marRight w:val="0"/>
          <w:marTop w:val="0"/>
          <w:marBottom w:val="0"/>
          <w:divBdr>
            <w:top w:val="single" w:sz="2" w:space="0" w:color="FF0000"/>
            <w:left w:val="single" w:sz="2" w:space="0" w:color="FF0000"/>
            <w:bottom w:val="single" w:sz="2" w:space="0" w:color="FF0000"/>
            <w:right w:val="single" w:sz="2" w:space="0" w:color="FF0000"/>
          </w:divBdr>
          <w:divsChild>
            <w:div w:id="1783918768">
              <w:marLeft w:val="0"/>
              <w:marRight w:val="0"/>
              <w:marTop w:val="0"/>
              <w:marBottom w:val="0"/>
              <w:divBdr>
                <w:top w:val="none" w:sz="0" w:space="0" w:color="auto"/>
                <w:left w:val="single" w:sz="6" w:space="0" w:color="DDDDDD"/>
                <w:bottom w:val="none" w:sz="0" w:space="0" w:color="auto"/>
                <w:right w:val="none" w:sz="0" w:space="0" w:color="auto"/>
              </w:divBdr>
              <w:divsChild>
                <w:div w:id="1740397670">
                  <w:marLeft w:val="0"/>
                  <w:marRight w:val="0"/>
                  <w:marTop w:val="0"/>
                  <w:marBottom w:val="0"/>
                  <w:divBdr>
                    <w:top w:val="single" w:sz="2" w:space="0" w:color="008000"/>
                    <w:left w:val="single" w:sz="2" w:space="0" w:color="008000"/>
                    <w:bottom w:val="single" w:sz="2" w:space="0" w:color="008000"/>
                    <w:right w:val="single" w:sz="2" w:space="0" w:color="008000"/>
                  </w:divBdr>
                  <w:divsChild>
                    <w:div w:id="595863057">
                      <w:marLeft w:val="0"/>
                      <w:marRight w:val="0"/>
                      <w:marTop w:val="0"/>
                      <w:marBottom w:val="0"/>
                      <w:divBdr>
                        <w:top w:val="none" w:sz="0" w:space="0" w:color="auto"/>
                        <w:left w:val="none" w:sz="0" w:space="0" w:color="auto"/>
                        <w:bottom w:val="none" w:sz="0" w:space="0" w:color="auto"/>
                        <w:right w:val="none" w:sz="0" w:space="0" w:color="auto"/>
                      </w:divBdr>
                      <w:divsChild>
                        <w:div w:id="1635986983">
                          <w:marLeft w:val="0"/>
                          <w:marRight w:val="0"/>
                          <w:marTop w:val="0"/>
                          <w:marBottom w:val="0"/>
                          <w:divBdr>
                            <w:top w:val="none" w:sz="0" w:space="0" w:color="auto"/>
                            <w:left w:val="none" w:sz="0" w:space="0" w:color="auto"/>
                            <w:bottom w:val="none" w:sz="0" w:space="0" w:color="auto"/>
                            <w:right w:val="none" w:sz="0" w:space="0" w:color="auto"/>
                          </w:divBdr>
                          <w:divsChild>
                            <w:div w:id="43988798">
                              <w:marLeft w:val="0"/>
                              <w:marRight w:val="0"/>
                              <w:marTop w:val="0"/>
                              <w:marBottom w:val="0"/>
                              <w:divBdr>
                                <w:top w:val="none" w:sz="0" w:space="0" w:color="auto"/>
                                <w:left w:val="single" w:sz="6" w:space="0" w:color="C3CDD8"/>
                                <w:bottom w:val="none" w:sz="0" w:space="0" w:color="auto"/>
                                <w:right w:val="none" w:sz="0" w:space="0" w:color="auto"/>
                              </w:divBdr>
                            </w:div>
                          </w:divsChild>
                        </w:div>
                      </w:divsChild>
                    </w:div>
                  </w:divsChild>
                </w:div>
              </w:divsChild>
            </w:div>
          </w:divsChild>
        </w:div>
      </w:divsChild>
    </w:div>
    <w:div w:id="1812484092">
      <w:bodyDiv w:val="1"/>
      <w:marLeft w:val="0"/>
      <w:marRight w:val="0"/>
      <w:marTop w:val="0"/>
      <w:marBottom w:val="0"/>
      <w:divBdr>
        <w:top w:val="single" w:sz="2" w:space="0" w:color="CC3640"/>
        <w:left w:val="none" w:sz="0" w:space="0" w:color="auto"/>
        <w:bottom w:val="none" w:sz="0" w:space="0" w:color="auto"/>
        <w:right w:val="none" w:sz="0" w:space="0" w:color="auto"/>
      </w:divBdr>
      <w:divsChild>
        <w:div w:id="994333071">
          <w:marLeft w:val="0"/>
          <w:marRight w:val="0"/>
          <w:marTop w:val="0"/>
          <w:marBottom w:val="0"/>
          <w:divBdr>
            <w:top w:val="single" w:sz="2" w:space="0" w:color="FF0000"/>
            <w:left w:val="single" w:sz="2" w:space="0" w:color="FF0000"/>
            <w:bottom w:val="single" w:sz="2" w:space="0" w:color="FF0000"/>
            <w:right w:val="single" w:sz="2" w:space="0" w:color="FF0000"/>
          </w:divBdr>
          <w:divsChild>
            <w:div w:id="1218667855">
              <w:marLeft w:val="0"/>
              <w:marRight w:val="0"/>
              <w:marTop w:val="0"/>
              <w:marBottom w:val="0"/>
              <w:divBdr>
                <w:top w:val="none" w:sz="0" w:space="0" w:color="auto"/>
                <w:left w:val="single" w:sz="6" w:space="0" w:color="DDDDDD"/>
                <w:bottom w:val="none" w:sz="0" w:space="0" w:color="auto"/>
                <w:right w:val="none" w:sz="0" w:space="0" w:color="auto"/>
              </w:divBdr>
              <w:divsChild>
                <w:div w:id="1703553579">
                  <w:marLeft w:val="0"/>
                  <w:marRight w:val="0"/>
                  <w:marTop w:val="0"/>
                  <w:marBottom w:val="0"/>
                  <w:divBdr>
                    <w:top w:val="single" w:sz="2" w:space="0" w:color="008000"/>
                    <w:left w:val="single" w:sz="2" w:space="0" w:color="008000"/>
                    <w:bottom w:val="single" w:sz="2" w:space="0" w:color="008000"/>
                    <w:right w:val="single" w:sz="2" w:space="0" w:color="008000"/>
                  </w:divBdr>
                  <w:divsChild>
                    <w:div w:id="640892311">
                      <w:marLeft w:val="0"/>
                      <w:marRight w:val="0"/>
                      <w:marTop w:val="0"/>
                      <w:marBottom w:val="0"/>
                      <w:divBdr>
                        <w:top w:val="none" w:sz="0" w:space="0" w:color="auto"/>
                        <w:left w:val="none" w:sz="0" w:space="0" w:color="auto"/>
                        <w:bottom w:val="none" w:sz="0" w:space="0" w:color="auto"/>
                        <w:right w:val="none" w:sz="0" w:space="0" w:color="auto"/>
                      </w:divBdr>
                      <w:divsChild>
                        <w:div w:id="225914334">
                          <w:marLeft w:val="0"/>
                          <w:marRight w:val="0"/>
                          <w:marTop w:val="0"/>
                          <w:marBottom w:val="0"/>
                          <w:divBdr>
                            <w:top w:val="none" w:sz="0" w:space="0" w:color="auto"/>
                            <w:left w:val="none" w:sz="0" w:space="0" w:color="auto"/>
                            <w:bottom w:val="none" w:sz="0" w:space="0" w:color="auto"/>
                            <w:right w:val="none" w:sz="0" w:space="0" w:color="auto"/>
                          </w:divBdr>
                          <w:divsChild>
                            <w:div w:id="2065903139">
                              <w:marLeft w:val="0"/>
                              <w:marRight w:val="0"/>
                              <w:marTop w:val="0"/>
                              <w:marBottom w:val="0"/>
                              <w:divBdr>
                                <w:top w:val="none" w:sz="0" w:space="0" w:color="auto"/>
                                <w:left w:val="single" w:sz="6" w:space="0" w:color="C3CDD8"/>
                                <w:bottom w:val="none" w:sz="0" w:space="0" w:color="auto"/>
                                <w:right w:val="none" w:sz="0" w:space="0" w:color="auto"/>
                              </w:divBdr>
                            </w:div>
                          </w:divsChild>
                        </w:div>
                      </w:divsChild>
                    </w:div>
                  </w:divsChild>
                </w:div>
              </w:divsChild>
            </w:div>
          </w:divsChild>
        </w:div>
      </w:divsChild>
    </w:div>
    <w:div w:id="1833763136">
      <w:bodyDiv w:val="1"/>
      <w:marLeft w:val="0"/>
      <w:marRight w:val="0"/>
      <w:marTop w:val="0"/>
      <w:marBottom w:val="0"/>
      <w:divBdr>
        <w:top w:val="none" w:sz="0" w:space="0" w:color="auto"/>
        <w:left w:val="none" w:sz="0" w:space="0" w:color="auto"/>
        <w:bottom w:val="none" w:sz="0" w:space="0" w:color="auto"/>
        <w:right w:val="none" w:sz="0" w:space="0" w:color="auto"/>
      </w:divBdr>
    </w:div>
    <w:div w:id="1851135789">
      <w:bodyDiv w:val="1"/>
      <w:marLeft w:val="0"/>
      <w:marRight w:val="0"/>
      <w:marTop w:val="0"/>
      <w:marBottom w:val="0"/>
      <w:divBdr>
        <w:top w:val="none" w:sz="0" w:space="0" w:color="auto"/>
        <w:left w:val="none" w:sz="0" w:space="0" w:color="auto"/>
        <w:bottom w:val="none" w:sz="0" w:space="0" w:color="auto"/>
        <w:right w:val="none" w:sz="0" w:space="0" w:color="auto"/>
      </w:divBdr>
    </w:div>
    <w:div w:id="1852600281">
      <w:bodyDiv w:val="1"/>
      <w:marLeft w:val="0"/>
      <w:marRight w:val="0"/>
      <w:marTop w:val="0"/>
      <w:marBottom w:val="0"/>
      <w:divBdr>
        <w:top w:val="none" w:sz="0" w:space="0" w:color="auto"/>
        <w:left w:val="none" w:sz="0" w:space="0" w:color="auto"/>
        <w:bottom w:val="none" w:sz="0" w:space="0" w:color="auto"/>
        <w:right w:val="none" w:sz="0" w:space="0" w:color="auto"/>
      </w:divBdr>
    </w:div>
    <w:div w:id="1924954174">
      <w:bodyDiv w:val="1"/>
      <w:marLeft w:val="0"/>
      <w:marRight w:val="0"/>
      <w:marTop w:val="0"/>
      <w:marBottom w:val="0"/>
      <w:divBdr>
        <w:top w:val="none" w:sz="0" w:space="0" w:color="auto"/>
        <w:left w:val="none" w:sz="0" w:space="0" w:color="auto"/>
        <w:bottom w:val="none" w:sz="0" w:space="0" w:color="auto"/>
        <w:right w:val="none" w:sz="0" w:space="0" w:color="auto"/>
      </w:divBdr>
    </w:div>
    <w:div w:id="1925258741">
      <w:bodyDiv w:val="1"/>
      <w:marLeft w:val="0"/>
      <w:marRight w:val="0"/>
      <w:marTop w:val="0"/>
      <w:marBottom w:val="0"/>
      <w:divBdr>
        <w:top w:val="single" w:sz="2" w:space="0" w:color="CC3640"/>
        <w:left w:val="none" w:sz="0" w:space="0" w:color="auto"/>
        <w:bottom w:val="none" w:sz="0" w:space="0" w:color="auto"/>
        <w:right w:val="none" w:sz="0" w:space="0" w:color="auto"/>
      </w:divBdr>
      <w:divsChild>
        <w:div w:id="493567667">
          <w:marLeft w:val="0"/>
          <w:marRight w:val="0"/>
          <w:marTop w:val="0"/>
          <w:marBottom w:val="0"/>
          <w:divBdr>
            <w:top w:val="single" w:sz="2" w:space="0" w:color="FF0000"/>
            <w:left w:val="single" w:sz="2" w:space="0" w:color="FF0000"/>
            <w:bottom w:val="single" w:sz="2" w:space="0" w:color="FF0000"/>
            <w:right w:val="single" w:sz="2" w:space="0" w:color="FF0000"/>
          </w:divBdr>
          <w:divsChild>
            <w:div w:id="1055542732">
              <w:marLeft w:val="0"/>
              <w:marRight w:val="0"/>
              <w:marTop w:val="0"/>
              <w:marBottom w:val="0"/>
              <w:divBdr>
                <w:top w:val="none" w:sz="0" w:space="0" w:color="auto"/>
                <w:left w:val="single" w:sz="6" w:space="0" w:color="DDDDDD"/>
                <w:bottom w:val="none" w:sz="0" w:space="0" w:color="auto"/>
                <w:right w:val="none" w:sz="0" w:space="0" w:color="auto"/>
              </w:divBdr>
              <w:divsChild>
                <w:div w:id="1142773995">
                  <w:marLeft w:val="0"/>
                  <w:marRight w:val="0"/>
                  <w:marTop w:val="0"/>
                  <w:marBottom w:val="0"/>
                  <w:divBdr>
                    <w:top w:val="single" w:sz="2" w:space="0" w:color="008000"/>
                    <w:left w:val="single" w:sz="2" w:space="0" w:color="008000"/>
                    <w:bottom w:val="single" w:sz="2" w:space="0" w:color="008000"/>
                    <w:right w:val="single" w:sz="2" w:space="0" w:color="008000"/>
                  </w:divBdr>
                  <w:divsChild>
                    <w:div w:id="9570860">
                      <w:marLeft w:val="0"/>
                      <w:marRight w:val="0"/>
                      <w:marTop w:val="0"/>
                      <w:marBottom w:val="0"/>
                      <w:divBdr>
                        <w:top w:val="none" w:sz="0" w:space="0" w:color="auto"/>
                        <w:left w:val="none" w:sz="0" w:space="0" w:color="auto"/>
                        <w:bottom w:val="none" w:sz="0" w:space="0" w:color="auto"/>
                        <w:right w:val="none" w:sz="0" w:space="0" w:color="auto"/>
                      </w:divBdr>
                      <w:divsChild>
                        <w:div w:id="2047370891">
                          <w:marLeft w:val="0"/>
                          <w:marRight w:val="0"/>
                          <w:marTop w:val="0"/>
                          <w:marBottom w:val="0"/>
                          <w:divBdr>
                            <w:top w:val="none" w:sz="0" w:space="0" w:color="auto"/>
                            <w:left w:val="none" w:sz="0" w:space="0" w:color="auto"/>
                            <w:bottom w:val="none" w:sz="0" w:space="0" w:color="auto"/>
                            <w:right w:val="none" w:sz="0" w:space="0" w:color="auto"/>
                          </w:divBdr>
                          <w:divsChild>
                            <w:div w:id="1147361499">
                              <w:marLeft w:val="0"/>
                              <w:marRight w:val="0"/>
                              <w:marTop w:val="0"/>
                              <w:marBottom w:val="0"/>
                              <w:divBdr>
                                <w:top w:val="none" w:sz="0" w:space="0" w:color="auto"/>
                                <w:left w:val="single" w:sz="6" w:space="0" w:color="C3CDD8"/>
                                <w:bottom w:val="none" w:sz="0" w:space="0" w:color="auto"/>
                                <w:right w:val="none" w:sz="0" w:space="0" w:color="auto"/>
                              </w:divBdr>
                            </w:div>
                          </w:divsChild>
                        </w:div>
                      </w:divsChild>
                    </w:div>
                  </w:divsChild>
                </w:div>
              </w:divsChild>
            </w:div>
          </w:divsChild>
        </w:div>
      </w:divsChild>
    </w:div>
    <w:div w:id="1966156598">
      <w:bodyDiv w:val="1"/>
      <w:marLeft w:val="0"/>
      <w:marRight w:val="0"/>
      <w:marTop w:val="0"/>
      <w:marBottom w:val="0"/>
      <w:divBdr>
        <w:top w:val="none" w:sz="0" w:space="0" w:color="auto"/>
        <w:left w:val="none" w:sz="0" w:space="0" w:color="auto"/>
        <w:bottom w:val="none" w:sz="0" w:space="0" w:color="auto"/>
        <w:right w:val="none" w:sz="0" w:space="0" w:color="auto"/>
      </w:divBdr>
    </w:div>
    <w:div w:id="1978098911">
      <w:bodyDiv w:val="1"/>
      <w:marLeft w:val="0"/>
      <w:marRight w:val="0"/>
      <w:marTop w:val="0"/>
      <w:marBottom w:val="0"/>
      <w:divBdr>
        <w:top w:val="none" w:sz="0" w:space="0" w:color="auto"/>
        <w:left w:val="none" w:sz="0" w:space="0" w:color="auto"/>
        <w:bottom w:val="none" w:sz="0" w:space="0" w:color="auto"/>
        <w:right w:val="none" w:sz="0" w:space="0" w:color="auto"/>
      </w:divBdr>
      <w:divsChild>
        <w:div w:id="1504541123">
          <w:marLeft w:val="0"/>
          <w:marRight w:val="0"/>
          <w:marTop w:val="120"/>
          <w:marBottom w:val="120"/>
          <w:divBdr>
            <w:top w:val="none" w:sz="0" w:space="0" w:color="auto"/>
            <w:left w:val="none" w:sz="0" w:space="0" w:color="auto"/>
            <w:bottom w:val="none" w:sz="0" w:space="0" w:color="auto"/>
            <w:right w:val="none" w:sz="0" w:space="0" w:color="auto"/>
          </w:divBdr>
        </w:div>
      </w:divsChild>
    </w:div>
    <w:div w:id="1987511835">
      <w:bodyDiv w:val="1"/>
      <w:marLeft w:val="0"/>
      <w:marRight w:val="0"/>
      <w:marTop w:val="0"/>
      <w:marBottom w:val="0"/>
      <w:divBdr>
        <w:top w:val="none" w:sz="0" w:space="0" w:color="auto"/>
        <w:left w:val="none" w:sz="0" w:space="0" w:color="auto"/>
        <w:bottom w:val="none" w:sz="0" w:space="0" w:color="auto"/>
        <w:right w:val="none" w:sz="0" w:space="0" w:color="auto"/>
      </w:divBdr>
    </w:div>
    <w:div w:id="2001342795">
      <w:bodyDiv w:val="1"/>
      <w:marLeft w:val="0"/>
      <w:marRight w:val="0"/>
      <w:marTop w:val="0"/>
      <w:marBottom w:val="0"/>
      <w:divBdr>
        <w:top w:val="none" w:sz="0" w:space="0" w:color="auto"/>
        <w:left w:val="none" w:sz="0" w:space="0" w:color="auto"/>
        <w:bottom w:val="none" w:sz="0" w:space="0" w:color="auto"/>
        <w:right w:val="none" w:sz="0" w:space="0" w:color="auto"/>
      </w:divBdr>
    </w:div>
    <w:div w:id="2024435196">
      <w:bodyDiv w:val="1"/>
      <w:marLeft w:val="0"/>
      <w:marRight w:val="0"/>
      <w:marTop w:val="0"/>
      <w:marBottom w:val="0"/>
      <w:divBdr>
        <w:top w:val="none" w:sz="0" w:space="0" w:color="auto"/>
        <w:left w:val="none" w:sz="0" w:space="0" w:color="auto"/>
        <w:bottom w:val="none" w:sz="0" w:space="0" w:color="auto"/>
        <w:right w:val="none" w:sz="0" w:space="0" w:color="auto"/>
      </w:divBdr>
    </w:div>
    <w:div w:id="2043626269">
      <w:bodyDiv w:val="1"/>
      <w:marLeft w:val="0"/>
      <w:marRight w:val="0"/>
      <w:marTop w:val="0"/>
      <w:marBottom w:val="0"/>
      <w:divBdr>
        <w:top w:val="none" w:sz="0" w:space="0" w:color="auto"/>
        <w:left w:val="none" w:sz="0" w:space="0" w:color="auto"/>
        <w:bottom w:val="none" w:sz="0" w:space="0" w:color="auto"/>
        <w:right w:val="none" w:sz="0" w:space="0" w:color="auto"/>
      </w:divBdr>
    </w:div>
    <w:div w:id="2077318481">
      <w:bodyDiv w:val="1"/>
      <w:marLeft w:val="0"/>
      <w:marRight w:val="0"/>
      <w:marTop w:val="0"/>
      <w:marBottom w:val="0"/>
      <w:divBdr>
        <w:top w:val="none" w:sz="0" w:space="0" w:color="auto"/>
        <w:left w:val="none" w:sz="0" w:space="0" w:color="auto"/>
        <w:bottom w:val="none" w:sz="0" w:space="0" w:color="auto"/>
        <w:right w:val="none" w:sz="0" w:space="0" w:color="auto"/>
      </w:divBdr>
    </w:div>
    <w:div w:id="2078505781">
      <w:bodyDiv w:val="1"/>
      <w:marLeft w:val="0"/>
      <w:marRight w:val="0"/>
      <w:marTop w:val="0"/>
      <w:marBottom w:val="0"/>
      <w:divBdr>
        <w:top w:val="single" w:sz="2" w:space="0" w:color="CC3640"/>
        <w:left w:val="none" w:sz="0" w:space="0" w:color="auto"/>
        <w:bottom w:val="none" w:sz="0" w:space="0" w:color="auto"/>
        <w:right w:val="none" w:sz="0" w:space="0" w:color="auto"/>
      </w:divBdr>
      <w:divsChild>
        <w:div w:id="2079472227">
          <w:marLeft w:val="0"/>
          <w:marRight w:val="0"/>
          <w:marTop w:val="0"/>
          <w:marBottom w:val="0"/>
          <w:divBdr>
            <w:top w:val="single" w:sz="2" w:space="0" w:color="FF0000"/>
            <w:left w:val="single" w:sz="2" w:space="0" w:color="FF0000"/>
            <w:bottom w:val="single" w:sz="2" w:space="0" w:color="FF0000"/>
            <w:right w:val="single" w:sz="2" w:space="0" w:color="FF0000"/>
          </w:divBdr>
          <w:divsChild>
            <w:div w:id="552892544">
              <w:marLeft w:val="0"/>
              <w:marRight w:val="0"/>
              <w:marTop w:val="0"/>
              <w:marBottom w:val="0"/>
              <w:divBdr>
                <w:top w:val="none" w:sz="0" w:space="0" w:color="auto"/>
                <w:left w:val="single" w:sz="6" w:space="0" w:color="DDDDDD"/>
                <w:bottom w:val="none" w:sz="0" w:space="0" w:color="auto"/>
                <w:right w:val="none" w:sz="0" w:space="0" w:color="auto"/>
              </w:divBdr>
              <w:divsChild>
                <w:div w:id="528418821">
                  <w:marLeft w:val="0"/>
                  <w:marRight w:val="0"/>
                  <w:marTop w:val="0"/>
                  <w:marBottom w:val="0"/>
                  <w:divBdr>
                    <w:top w:val="single" w:sz="2" w:space="0" w:color="008000"/>
                    <w:left w:val="single" w:sz="2" w:space="0" w:color="008000"/>
                    <w:bottom w:val="single" w:sz="2" w:space="0" w:color="008000"/>
                    <w:right w:val="single" w:sz="2" w:space="0" w:color="008000"/>
                  </w:divBdr>
                  <w:divsChild>
                    <w:div w:id="1492797723">
                      <w:marLeft w:val="0"/>
                      <w:marRight w:val="0"/>
                      <w:marTop w:val="0"/>
                      <w:marBottom w:val="0"/>
                      <w:divBdr>
                        <w:top w:val="none" w:sz="0" w:space="0" w:color="auto"/>
                        <w:left w:val="none" w:sz="0" w:space="0" w:color="auto"/>
                        <w:bottom w:val="none" w:sz="0" w:space="0" w:color="auto"/>
                        <w:right w:val="none" w:sz="0" w:space="0" w:color="auto"/>
                      </w:divBdr>
                      <w:divsChild>
                        <w:div w:id="918100349">
                          <w:marLeft w:val="0"/>
                          <w:marRight w:val="0"/>
                          <w:marTop w:val="0"/>
                          <w:marBottom w:val="0"/>
                          <w:divBdr>
                            <w:top w:val="none" w:sz="0" w:space="0" w:color="auto"/>
                            <w:left w:val="none" w:sz="0" w:space="0" w:color="auto"/>
                            <w:bottom w:val="none" w:sz="0" w:space="0" w:color="auto"/>
                            <w:right w:val="none" w:sz="0" w:space="0" w:color="auto"/>
                          </w:divBdr>
                          <w:divsChild>
                            <w:div w:id="7290352">
                              <w:marLeft w:val="0"/>
                              <w:marRight w:val="0"/>
                              <w:marTop w:val="0"/>
                              <w:marBottom w:val="0"/>
                              <w:divBdr>
                                <w:top w:val="none" w:sz="0" w:space="0" w:color="auto"/>
                                <w:left w:val="single" w:sz="6" w:space="0" w:color="C3CDD8"/>
                                <w:bottom w:val="none" w:sz="0" w:space="0" w:color="auto"/>
                                <w:right w:val="none" w:sz="0" w:space="0" w:color="auto"/>
                              </w:divBdr>
                            </w:div>
                          </w:divsChild>
                        </w:div>
                      </w:divsChild>
                    </w:div>
                  </w:divsChild>
                </w:div>
              </w:divsChild>
            </w:div>
          </w:divsChild>
        </w:div>
      </w:divsChild>
    </w:div>
    <w:div w:id="2088183885">
      <w:bodyDiv w:val="1"/>
      <w:marLeft w:val="0"/>
      <w:marRight w:val="0"/>
      <w:marTop w:val="0"/>
      <w:marBottom w:val="0"/>
      <w:divBdr>
        <w:top w:val="none" w:sz="0" w:space="0" w:color="auto"/>
        <w:left w:val="none" w:sz="0" w:space="0" w:color="auto"/>
        <w:bottom w:val="none" w:sz="0" w:space="0" w:color="auto"/>
        <w:right w:val="none" w:sz="0" w:space="0" w:color="auto"/>
      </w:divBdr>
    </w:div>
    <w:div w:id="2088459981">
      <w:bodyDiv w:val="1"/>
      <w:marLeft w:val="0"/>
      <w:marRight w:val="0"/>
      <w:marTop w:val="0"/>
      <w:marBottom w:val="0"/>
      <w:divBdr>
        <w:top w:val="none" w:sz="0" w:space="0" w:color="auto"/>
        <w:left w:val="none" w:sz="0" w:space="0" w:color="auto"/>
        <w:bottom w:val="none" w:sz="0" w:space="0" w:color="auto"/>
        <w:right w:val="none" w:sz="0" w:space="0" w:color="auto"/>
      </w:divBdr>
    </w:div>
    <w:div w:id="2126266454">
      <w:bodyDiv w:val="1"/>
      <w:marLeft w:val="0"/>
      <w:marRight w:val="0"/>
      <w:marTop w:val="0"/>
      <w:marBottom w:val="0"/>
      <w:divBdr>
        <w:top w:val="none" w:sz="0" w:space="0" w:color="auto"/>
        <w:left w:val="none" w:sz="0" w:space="0" w:color="auto"/>
        <w:bottom w:val="none" w:sz="0" w:space="0" w:color="auto"/>
        <w:right w:val="none" w:sz="0" w:space="0" w:color="auto"/>
      </w:divBdr>
    </w:div>
    <w:div w:id="214481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rviciostelematicosext.hacienda.gob.es/TEAC/DYCTEA/criterio.aspx?id=00/50042/2025/00/0/1&amp;q=s%3d1%26rs%3d%26rn%3d%26ra%3d%26fd%3d%26fh%3d%26u%3d%26n%3d%26p%3d%26c1%3d%26c2%3d%26c3%3d%26tc%3d1%26tr%3d%26tp%3d%26tf%3d%26c%3d2%26pg%3d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9173E6-9BF2-4865-93C1-F00C5D340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TotalTime>
  <Pages>16</Pages>
  <Words>7450</Words>
  <Characters>42766</Characters>
  <Application>Microsoft Office Word</Application>
  <DocSecurity>0</DocSecurity>
  <Lines>806</Lines>
  <Paragraphs>321</Paragraphs>
  <ScaleCrop>false</ScaleCrop>
  <HeadingPairs>
    <vt:vector size="2" baseType="variant">
      <vt:variant>
        <vt:lpstr>Título</vt:lpstr>
      </vt:variant>
      <vt:variant>
        <vt:i4>1</vt:i4>
      </vt:variant>
    </vt:vector>
  </HeadingPairs>
  <TitlesOfParts>
    <vt:vector size="1" baseType="lpstr">
      <vt:lpstr>APUNTES SOBRE LA ACTUALIDAD FISCAL</vt:lpstr>
    </vt:vector>
  </TitlesOfParts>
  <Company>Atlantis Hotels</Company>
  <LinksUpToDate>false</LinksUpToDate>
  <CharactersWithSpaces>49895</CharactersWithSpaces>
  <SharedDoc>false</SharedDoc>
  <HLinks>
    <vt:vector size="6" baseType="variant">
      <vt:variant>
        <vt:i4>1310790</vt:i4>
      </vt:variant>
      <vt:variant>
        <vt:i4>0</vt:i4>
      </vt:variant>
      <vt:variant>
        <vt:i4>0</vt:i4>
      </vt:variant>
      <vt:variant>
        <vt:i4>5</vt:i4>
      </vt:variant>
      <vt:variant>
        <vt:lpwstr>http://www.poderjudicial.es/cgpj/es/Poder-Judicial/Noticias-Judiciales/El-Tribunal-Supremo-determina-el-alcance-de-la-sentencia-del-Constitucional-sobre-la-plusvalia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APUNTES SOBRE LA ACTUALIDAD FISCAL</dc:title>
  <dc:creator>JOAN LORENTE MONTAÑES</dc:creator>
  <cp:lastModifiedBy>Jose Luis Chico Bersabe</cp:lastModifiedBy>
  <cp:revision>14</cp:revision>
  <dcterms:created xsi:type="dcterms:W3CDTF">2026-08-24T16:02:00Z</dcterms:created>
  <dcterms:modified xsi:type="dcterms:W3CDTF">2026-08-31T10:31:00Z</dcterms:modified>
</cp:coreProperties>
</file>