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800000"/>
        <w:tblCellMar>
          <w:left w:w="70" w:type="dxa"/>
          <w:right w:w="70" w:type="dxa"/>
        </w:tblCellMar>
        <w:tblLook w:val="0000" w:firstRow="0" w:lastRow="0" w:firstColumn="0" w:lastColumn="0" w:noHBand="0" w:noVBand="0"/>
      </w:tblPr>
      <w:tblGrid>
        <w:gridCol w:w="1583"/>
        <w:gridCol w:w="7061"/>
      </w:tblGrid>
      <w:tr w:rsidR="002B55F1" w:rsidRPr="00176A58" w14:paraId="79E02EBB" w14:textId="77777777">
        <w:trPr>
          <w:trHeight w:val="889"/>
        </w:trPr>
        <w:tc>
          <w:tcPr>
            <w:tcW w:w="1583" w:type="dxa"/>
            <w:shd w:val="clear" w:color="auto" w:fill="000000"/>
            <w:vAlign w:val="center"/>
          </w:tcPr>
          <w:p w14:paraId="1FCB55E1" w14:textId="77777777" w:rsidR="002B55F1" w:rsidRPr="008A56BA" w:rsidRDefault="002B55F1" w:rsidP="00086408">
            <w:pPr>
              <w:jc w:val="center"/>
              <w:rPr>
                <w:rFonts w:ascii="Verdana" w:hAnsi="Verdana"/>
                <w:b/>
                <w:bCs/>
              </w:rPr>
            </w:pPr>
            <w:r w:rsidRPr="008A56BA">
              <w:rPr>
                <w:rFonts w:ascii="Verdana" w:hAnsi="Verdana"/>
                <w:b/>
                <w:bCs/>
              </w:rPr>
              <w:t>SEPTIEMBRE</w:t>
            </w:r>
          </w:p>
          <w:p w14:paraId="56AA5607" w14:textId="08C60D9D" w:rsidR="002B55F1" w:rsidRPr="00176A58" w:rsidRDefault="00DF1F7F" w:rsidP="003F6E49">
            <w:pPr>
              <w:jc w:val="center"/>
              <w:rPr>
                <w:rFonts w:ascii="Verdana" w:hAnsi="Verdana"/>
                <w:b/>
                <w:bCs/>
                <w:sz w:val="22"/>
                <w:szCs w:val="22"/>
              </w:rPr>
            </w:pPr>
            <w:r>
              <w:rPr>
                <w:rFonts w:ascii="Verdana" w:hAnsi="Verdana"/>
                <w:b/>
                <w:bCs/>
              </w:rPr>
              <w:t>20</w:t>
            </w:r>
            <w:r w:rsidR="00504680">
              <w:rPr>
                <w:rFonts w:ascii="Verdana" w:hAnsi="Verdana"/>
                <w:b/>
                <w:bCs/>
              </w:rPr>
              <w:t>2</w:t>
            </w:r>
            <w:r w:rsidR="00F40FBF">
              <w:rPr>
                <w:rFonts w:ascii="Verdana" w:hAnsi="Verdana"/>
                <w:b/>
                <w:bCs/>
              </w:rPr>
              <w:t>5</w:t>
            </w:r>
          </w:p>
        </w:tc>
        <w:tc>
          <w:tcPr>
            <w:tcW w:w="7061" w:type="dxa"/>
            <w:shd w:val="clear" w:color="auto" w:fill="993300"/>
            <w:vAlign w:val="center"/>
          </w:tcPr>
          <w:p w14:paraId="5FB33AB6" w14:textId="77777777" w:rsidR="002B55F1" w:rsidRPr="00C25AE6" w:rsidRDefault="002B55F1">
            <w:pPr>
              <w:jc w:val="center"/>
              <w:rPr>
                <w:rFonts w:ascii="Verdana" w:hAnsi="Verdana"/>
                <w:b/>
                <w:bCs/>
                <w:color w:val="FFFFFF"/>
                <w:sz w:val="24"/>
                <w:szCs w:val="24"/>
              </w:rPr>
            </w:pPr>
            <w:r w:rsidRPr="00C25AE6">
              <w:rPr>
                <w:rFonts w:ascii="Verdana" w:hAnsi="Verdana"/>
                <w:b/>
                <w:bCs/>
                <w:color w:val="FFFFFF"/>
                <w:sz w:val="24"/>
                <w:szCs w:val="24"/>
              </w:rPr>
              <w:t>APUNTES SOBRE LA ACTUALIDAD FISCAL</w:t>
            </w:r>
          </w:p>
        </w:tc>
      </w:tr>
    </w:tbl>
    <w:p w14:paraId="286DBB3D" w14:textId="77777777" w:rsidR="002B55F1" w:rsidRPr="00823B20" w:rsidRDefault="002B55F1">
      <w:pPr>
        <w:jc w:val="both"/>
        <w:rPr>
          <w:rFonts w:ascii="Verdana" w:hAnsi="Verdana"/>
          <w:b/>
        </w:rPr>
      </w:pPr>
    </w:p>
    <w:p w14:paraId="14B4DE04" w14:textId="77777777" w:rsidR="002B55F1" w:rsidRPr="00823B20" w:rsidRDefault="002B55F1">
      <w:pPr>
        <w:jc w:val="both"/>
        <w:rPr>
          <w:rFonts w:ascii="Verdana" w:hAnsi="Verdana"/>
          <w:b/>
          <w:lang w:val="es-ES_tradnl"/>
        </w:rPr>
      </w:pPr>
      <w:r w:rsidRPr="00823B20">
        <w:rPr>
          <w:rFonts w:ascii="Verdana" w:hAnsi="Verdana"/>
          <w:b/>
          <w:lang w:val="es-ES_tradnl"/>
        </w:rPr>
        <w:t xml:space="preserve">        </w:t>
      </w:r>
    </w:p>
    <w:p w14:paraId="79B60489" w14:textId="77777777" w:rsidR="002B55F1" w:rsidRPr="00C37D1D" w:rsidRDefault="002B55F1">
      <w:pPr>
        <w:pStyle w:val="Ttulo9"/>
        <w:rPr>
          <w:rFonts w:ascii="Verdana" w:hAnsi="Verdana"/>
          <w:sz w:val="20"/>
          <w:szCs w:val="20"/>
        </w:rPr>
      </w:pPr>
      <w:r w:rsidRPr="00C37D1D">
        <w:rPr>
          <w:rFonts w:ascii="Verdana" w:hAnsi="Verdana"/>
          <w:sz w:val="20"/>
          <w:szCs w:val="20"/>
        </w:rPr>
        <w:t>SUMARIO</w:t>
      </w:r>
    </w:p>
    <w:p w14:paraId="56D8E7BD" w14:textId="77777777" w:rsidR="002B55F1" w:rsidRDefault="002B55F1">
      <w:pPr>
        <w:jc w:val="center"/>
        <w:rPr>
          <w:rFonts w:ascii="Verdana" w:hAnsi="Verdana"/>
          <w:b/>
          <w:bCs/>
          <w:i/>
          <w:iCs/>
          <w:color w:val="800000"/>
          <w:sz w:val="18"/>
          <w:szCs w:val="18"/>
          <w:u w:val="single"/>
        </w:rPr>
      </w:pPr>
    </w:p>
    <w:p w14:paraId="0735C5F1" w14:textId="53241313" w:rsidR="00CD6C5C" w:rsidRPr="00CD6C5C" w:rsidRDefault="00CD6C5C">
      <w:pPr>
        <w:pStyle w:val="Prrafodelista"/>
        <w:numPr>
          <w:ilvl w:val="0"/>
          <w:numId w:val="2"/>
        </w:numPr>
        <w:ind w:left="284" w:hanging="284"/>
        <w:jc w:val="both"/>
        <w:rPr>
          <w:rFonts w:ascii="Verdana" w:hAnsi="Verdana"/>
          <w:b/>
          <w:bCs/>
          <w:i/>
          <w:color w:val="800000"/>
          <w:sz w:val="18"/>
          <w:szCs w:val="18"/>
        </w:rPr>
      </w:pPr>
      <w:r w:rsidRPr="00CD6C5C">
        <w:rPr>
          <w:rFonts w:ascii="Verdana" w:hAnsi="Verdana"/>
          <w:b/>
          <w:bCs/>
          <w:i/>
          <w:color w:val="800000"/>
          <w:sz w:val="18"/>
          <w:szCs w:val="18"/>
        </w:rPr>
        <w:t>EL TRIBUNAL CONSTITUCIONAL HA ADMITIDO A TRÁMITE LA CUESTIÓN DE INCONSTITUCIONALIDAD CONTRA EL VALOR DE REFERENCIA DE</w:t>
      </w:r>
      <w:r w:rsidR="00D90753">
        <w:rPr>
          <w:rFonts w:ascii="Verdana" w:hAnsi="Verdana"/>
          <w:b/>
          <w:bCs/>
          <w:i/>
          <w:color w:val="800000"/>
          <w:sz w:val="18"/>
          <w:szCs w:val="18"/>
        </w:rPr>
        <w:t>L</w:t>
      </w:r>
      <w:r w:rsidRPr="00CD6C5C">
        <w:rPr>
          <w:rFonts w:ascii="Verdana" w:hAnsi="Verdana"/>
          <w:b/>
          <w:bCs/>
          <w:i/>
          <w:color w:val="800000"/>
          <w:sz w:val="18"/>
          <w:szCs w:val="18"/>
        </w:rPr>
        <w:t xml:space="preserve"> CATASTRO QUE SIRVE COMO BASE IMPONIBLE EN EL ITP Y AJD, ISD E IP</w:t>
      </w:r>
    </w:p>
    <w:p w14:paraId="6F339234" w14:textId="73D239CD" w:rsidR="00CD6C5C" w:rsidRPr="00CD6C5C" w:rsidRDefault="00CD6C5C" w:rsidP="00CD6C5C">
      <w:pPr>
        <w:ind w:left="284"/>
        <w:jc w:val="both"/>
        <w:rPr>
          <w:rFonts w:ascii="Verdana" w:hAnsi="Verdana"/>
          <w:b/>
          <w:bCs/>
          <w:i/>
          <w:iCs/>
          <w:color w:val="800000"/>
          <w:sz w:val="18"/>
          <w:szCs w:val="18"/>
        </w:rPr>
      </w:pPr>
      <w:r w:rsidRPr="00CD6C5C">
        <w:rPr>
          <w:rFonts w:ascii="Verdana" w:hAnsi="Verdana"/>
          <w:b/>
          <w:bCs/>
          <w:i/>
          <w:iCs/>
          <w:color w:val="800000"/>
          <w:sz w:val="18"/>
          <w:szCs w:val="18"/>
        </w:rPr>
        <w:t>El TC tendrá que determinar la validez del método legal consistente en determinar la base imponible de estos impuestos patrimoniales mediante la imposición del valor de referencia de</w:t>
      </w:r>
      <w:r w:rsidR="00D90753">
        <w:rPr>
          <w:rFonts w:ascii="Verdana" w:hAnsi="Verdana"/>
          <w:b/>
          <w:bCs/>
          <w:i/>
          <w:iCs/>
          <w:color w:val="800000"/>
          <w:sz w:val="18"/>
          <w:szCs w:val="18"/>
        </w:rPr>
        <w:t>l</w:t>
      </w:r>
      <w:r w:rsidRPr="00CD6C5C">
        <w:rPr>
          <w:rFonts w:ascii="Verdana" w:hAnsi="Verdana"/>
          <w:b/>
          <w:bCs/>
          <w:i/>
          <w:iCs/>
          <w:color w:val="800000"/>
          <w:sz w:val="18"/>
          <w:szCs w:val="18"/>
        </w:rPr>
        <w:t xml:space="preserve"> Catastro, prescindiendo de la valoración singularizada de los inmuebles, </w:t>
      </w:r>
      <w:r w:rsidR="00D90753">
        <w:rPr>
          <w:rFonts w:ascii="Verdana" w:hAnsi="Verdana"/>
          <w:b/>
          <w:bCs/>
          <w:i/>
          <w:iCs/>
          <w:color w:val="800000"/>
          <w:sz w:val="18"/>
          <w:szCs w:val="18"/>
        </w:rPr>
        <w:t xml:space="preserve"> ya que </w:t>
      </w:r>
      <w:r w:rsidRPr="00CD6C5C">
        <w:rPr>
          <w:rFonts w:ascii="Verdana" w:hAnsi="Verdana"/>
          <w:b/>
          <w:bCs/>
          <w:i/>
          <w:iCs/>
          <w:color w:val="800000"/>
          <w:sz w:val="18"/>
          <w:szCs w:val="18"/>
        </w:rPr>
        <w:t>vulnera el principio de capacidad económica.</w:t>
      </w:r>
    </w:p>
    <w:p w14:paraId="3B372C4E" w14:textId="77777777" w:rsidR="00CD6C5C" w:rsidRDefault="00CD6C5C">
      <w:pPr>
        <w:jc w:val="center"/>
        <w:rPr>
          <w:rFonts w:ascii="Verdana" w:hAnsi="Verdana"/>
          <w:b/>
          <w:bCs/>
          <w:i/>
          <w:iCs/>
          <w:color w:val="800000"/>
          <w:sz w:val="18"/>
          <w:szCs w:val="18"/>
          <w:u w:val="single"/>
        </w:rPr>
      </w:pPr>
    </w:p>
    <w:p w14:paraId="070CC1C9" w14:textId="002678B6" w:rsidR="00832A14" w:rsidRDefault="008D5990">
      <w:pPr>
        <w:pStyle w:val="Prrafodelista"/>
        <w:numPr>
          <w:ilvl w:val="0"/>
          <w:numId w:val="2"/>
        </w:numPr>
        <w:tabs>
          <w:tab w:val="left" w:pos="284"/>
        </w:tabs>
        <w:ind w:left="284" w:hanging="284"/>
        <w:jc w:val="both"/>
        <w:rPr>
          <w:rFonts w:ascii="Verdana" w:hAnsi="Verdana"/>
          <w:b/>
          <w:bCs/>
          <w:i/>
          <w:color w:val="800000"/>
          <w:sz w:val="18"/>
          <w:szCs w:val="18"/>
        </w:rPr>
      </w:pPr>
      <w:r>
        <w:rPr>
          <w:rFonts w:ascii="Verdana" w:hAnsi="Verdana"/>
          <w:b/>
          <w:bCs/>
          <w:i/>
          <w:color w:val="800000"/>
          <w:sz w:val="18"/>
          <w:szCs w:val="18"/>
        </w:rPr>
        <w:t>IRPF.-</w:t>
      </w:r>
      <w:r w:rsidR="0003466A">
        <w:rPr>
          <w:rFonts w:ascii="Verdana" w:hAnsi="Verdana"/>
          <w:b/>
          <w:bCs/>
          <w:i/>
          <w:color w:val="800000"/>
          <w:sz w:val="18"/>
          <w:szCs w:val="18"/>
        </w:rPr>
        <w:t xml:space="preserve"> </w:t>
      </w:r>
      <w:r w:rsidR="001F6DAC" w:rsidRPr="001F6DAC">
        <w:rPr>
          <w:rFonts w:ascii="Verdana" w:hAnsi="Verdana"/>
          <w:b/>
          <w:bCs/>
          <w:i/>
          <w:color w:val="800000"/>
          <w:sz w:val="18"/>
          <w:szCs w:val="18"/>
        </w:rPr>
        <w:t>APLICACIÓN DE LA REDUCCIÓN DEL 50% EN IRPF EN ARRENDAMIENTOS DE HABITACIONES</w:t>
      </w:r>
    </w:p>
    <w:p w14:paraId="48494213" w14:textId="1F4BFC53" w:rsidR="00832A14" w:rsidRDefault="001F6DAC" w:rsidP="003A65F1">
      <w:pPr>
        <w:ind w:left="284"/>
        <w:jc w:val="both"/>
        <w:rPr>
          <w:rFonts w:ascii="Verdana" w:hAnsi="Verdana"/>
          <w:b/>
          <w:bCs/>
          <w:i/>
          <w:color w:val="800000"/>
          <w:sz w:val="18"/>
          <w:szCs w:val="18"/>
        </w:rPr>
      </w:pPr>
      <w:r>
        <w:rPr>
          <w:rFonts w:ascii="Verdana" w:hAnsi="Verdana"/>
          <w:b/>
          <w:bCs/>
          <w:i/>
          <w:color w:val="800000"/>
          <w:sz w:val="18"/>
          <w:szCs w:val="18"/>
        </w:rPr>
        <w:t>E</w:t>
      </w:r>
      <w:r w:rsidRPr="001F6DAC">
        <w:rPr>
          <w:rFonts w:ascii="Verdana" w:hAnsi="Verdana"/>
          <w:b/>
          <w:bCs/>
          <w:i/>
          <w:color w:val="800000"/>
          <w:sz w:val="18"/>
          <w:szCs w:val="18"/>
        </w:rPr>
        <w:t>s posible aplicar la reducción del 5</w:t>
      </w:r>
      <w:r w:rsidR="00D90753">
        <w:rPr>
          <w:rFonts w:ascii="Verdana" w:hAnsi="Verdana"/>
          <w:b/>
          <w:bCs/>
          <w:i/>
          <w:color w:val="800000"/>
          <w:sz w:val="18"/>
          <w:szCs w:val="18"/>
        </w:rPr>
        <w:t>0</w:t>
      </w:r>
      <w:r w:rsidRPr="001F6DAC">
        <w:rPr>
          <w:rFonts w:ascii="Verdana" w:hAnsi="Verdana"/>
          <w:b/>
          <w:bCs/>
          <w:i/>
          <w:color w:val="800000"/>
          <w:sz w:val="18"/>
          <w:szCs w:val="18"/>
        </w:rPr>
        <w:t xml:space="preserve"> % en el IRPF sobre los rendimientos netos obtenidos por el arrendamiento de habitaciones</w:t>
      </w:r>
      <w:r w:rsidR="00206422">
        <w:rPr>
          <w:rFonts w:ascii="Verdana" w:hAnsi="Verdana"/>
          <w:b/>
          <w:bCs/>
          <w:i/>
          <w:color w:val="800000"/>
          <w:sz w:val="18"/>
          <w:szCs w:val="18"/>
        </w:rPr>
        <w:t>.</w:t>
      </w:r>
    </w:p>
    <w:p w14:paraId="3FB52ED9" w14:textId="77777777" w:rsidR="0095404D" w:rsidRDefault="0095404D" w:rsidP="003A65F1">
      <w:pPr>
        <w:ind w:left="284"/>
        <w:jc w:val="both"/>
        <w:rPr>
          <w:rFonts w:ascii="Verdana" w:hAnsi="Verdana"/>
          <w:b/>
          <w:bCs/>
          <w:i/>
          <w:color w:val="800000"/>
          <w:sz w:val="18"/>
          <w:szCs w:val="18"/>
        </w:rPr>
      </w:pPr>
    </w:p>
    <w:p w14:paraId="727F9589" w14:textId="5EF19616" w:rsidR="0095404D" w:rsidRPr="008D5990" w:rsidRDefault="0095404D" w:rsidP="0095404D">
      <w:pPr>
        <w:pStyle w:val="Prrafodelista"/>
        <w:numPr>
          <w:ilvl w:val="0"/>
          <w:numId w:val="2"/>
        </w:numPr>
        <w:ind w:left="284" w:hanging="284"/>
        <w:jc w:val="both"/>
        <w:rPr>
          <w:rFonts w:ascii="Verdana" w:hAnsi="Verdana"/>
          <w:b/>
          <w:bCs/>
          <w:i/>
          <w:color w:val="800000"/>
          <w:sz w:val="18"/>
          <w:szCs w:val="18"/>
        </w:rPr>
      </w:pPr>
      <w:r w:rsidRPr="008D5990">
        <w:rPr>
          <w:rFonts w:ascii="Verdana" w:hAnsi="Verdana"/>
          <w:b/>
          <w:bCs/>
          <w:i/>
          <w:color w:val="800000"/>
          <w:sz w:val="18"/>
          <w:szCs w:val="18"/>
        </w:rPr>
        <w:t>IRPF.-  LA FACULTAD DE CALIFICACIÓN PERMITE A LA ADMINISTRACIÓN TRIBUTARIA RECALIFICAR RENDIMIENTOS DEL TRABAJO COMO RENDIMIENTOS DE ACTIVIDADES ECONÓMICAS CUANDO NO SE APRECIA LA AJENIDAD Y DEPENDENCIA PROPIAS DE UNA RELACIÓN LABORAL</w:t>
      </w:r>
    </w:p>
    <w:p w14:paraId="4F79AB6B" w14:textId="23988ED3" w:rsidR="0095404D" w:rsidRDefault="0095404D" w:rsidP="0095404D">
      <w:pPr>
        <w:ind w:left="284"/>
        <w:jc w:val="both"/>
        <w:rPr>
          <w:rFonts w:ascii="Verdana" w:hAnsi="Verdana"/>
          <w:b/>
          <w:bCs/>
          <w:i/>
          <w:color w:val="800000"/>
          <w:sz w:val="18"/>
          <w:szCs w:val="18"/>
        </w:rPr>
      </w:pPr>
      <w:r w:rsidRPr="0095404D">
        <w:rPr>
          <w:rFonts w:ascii="Verdana" w:hAnsi="Verdana"/>
          <w:b/>
          <w:bCs/>
          <w:i/>
          <w:color w:val="800000"/>
          <w:sz w:val="18"/>
          <w:szCs w:val="18"/>
        </w:rPr>
        <w:t>El Tribunal Supremo confirma que la potestad del artículo 13 de la Ley General Tributaria es formal y materialmente suficiente para recalificar los rendimientos que una sociedad paga a su socio mayoritario como rendimientos de actividades económicas sujetos a IVA</w:t>
      </w:r>
      <w:r>
        <w:rPr>
          <w:rFonts w:ascii="Verdana" w:hAnsi="Verdana"/>
          <w:b/>
          <w:bCs/>
          <w:i/>
          <w:color w:val="800000"/>
          <w:sz w:val="18"/>
          <w:szCs w:val="18"/>
        </w:rPr>
        <w:t>.</w:t>
      </w:r>
    </w:p>
    <w:p w14:paraId="57F7F024" w14:textId="77777777" w:rsidR="00206422" w:rsidRDefault="00206422" w:rsidP="003A65F1">
      <w:pPr>
        <w:ind w:left="284"/>
        <w:jc w:val="both"/>
        <w:rPr>
          <w:rFonts w:ascii="Verdana" w:hAnsi="Verdana"/>
          <w:b/>
          <w:bCs/>
          <w:i/>
          <w:color w:val="800000"/>
          <w:sz w:val="18"/>
          <w:szCs w:val="18"/>
        </w:rPr>
      </w:pPr>
    </w:p>
    <w:p w14:paraId="20D3CB27" w14:textId="7517BE21" w:rsidR="00D4289D" w:rsidRPr="00D4289D" w:rsidRDefault="00D4289D" w:rsidP="00D4289D">
      <w:pPr>
        <w:pStyle w:val="Prrafodelista"/>
        <w:numPr>
          <w:ilvl w:val="0"/>
          <w:numId w:val="2"/>
        </w:numPr>
        <w:ind w:left="284" w:hanging="284"/>
        <w:jc w:val="both"/>
        <w:rPr>
          <w:rFonts w:ascii="Verdana" w:hAnsi="Verdana"/>
          <w:b/>
          <w:bCs/>
          <w:i/>
          <w:color w:val="800000"/>
          <w:sz w:val="18"/>
          <w:szCs w:val="18"/>
        </w:rPr>
      </w:pPr>
      <w:r>
        <w:rPr>
          <w:rFonts w:ascii="Verdana" w:hAnsi="Verdana"/>
          <w:b/>
          <w:bCs/>
          <w:i/>
          <w:color w:val="800000"/>
          <w:sz w:val="18"/>
          <w:szCs w:val="18"/>
        </w:rPr>
        <w:t xml:space="preserve">IRPF.- </w:t>
      </w:r>
      <w:r w:rsidRPr="00D4289D">
        <w:rPr>
          <w:rFonts w:ascii="Verdana" w:hAnsi="Verdana"/>
          <w:b/>
          <w:bCs/>
          <w:i/>
          <w:color w:val="800000"/>
          <w:sz w:val="18"/>
          <w:szCs w:val="18"/>
        </w:rPr>
        <w:t xml:space="preserve">TIENEN ACCESO A LA EXENCIÓN DEL IRPF LAS INDEMNIZACIONES POR DESPIDO DE ALTOS DIRECTIVOS QUE TAMBIÉN SON CONSEJEROS </w:t>
      </w:r>
    </w:p>
    <w:p w14:paraId="44F304AB" w14:textId="272B39E2" w:rsidR="00D4289D" w:rsidRDefault="00D4289D" w:rsidP="00D4289D">
      <w:pPr>
        <w:pStyle w:val="Prrafodelista"/>
        <w:ind w:left="284"/>
        <w:jc w:val="both"/>
        <w:rPr>
          <w:rFonts w:ascii="Verdana" w:hAnsi="Verdana"/>
          <w:b/>
          <w:bCs/>
          <w:i/>
          <w:color w:val="800000"/>
          <w:sz w:val="18"/>
          <w:szCs w:val="18"/>
        </w:rPr>
      </w:pPr>
      <w:r w:rsidRPr="00D4289D">
        <w:rPr>
          <w:rFonts w:ascii="Verdana" w:hAnsi="Verdana"/>
          <w:b/>
          <w:bCs/>
          <w:i/>
          <w:color w:val="800000"/>
          <w:sz w:val="18"/>
          <w:szCs w:val="18"/>
        </w:rPr>
        <w:t>El Tribunal Supremo confirma la posibilidad de aplicar la exención en el Impuesto sobre la Renta de las Personas Físicas a la indemnización por despido percibida por un miembro del consejo de administración que tiene contrato de alta dirección con la empresa, hasta el límite de siete días de salario por año de trabajo, con un máximo de seis mensualidades.</w:t>
      </w:r>
    </w:p>
    <w:p w14:paraId="4850A532" w14:textId="77777777" w:rsidR="00C16B23" w:rsidRDefault="00C16B23" w:rsidP="00D4289D">
      <w:pPr>
        <w:pStyle w:val="Prrafodelista"/>
        <w:ind w:left="284"/>
        <w:jc w:val="both"/>
        <w:rPr>
          <w:rFonts w:ascii="Verdana" w:hAnsi="Verdana"/>
          <w:b/>
          <w:bCs/>
          <w:i/>
          <w:color w:val="800000"/>
          <w:sz w:val="18"/>
          <w:szCs w:val="18"/>
        </w:rPr>
      </w:pPr>
    </w:p>
    <w:p w14:paraId="64CE4413" w14:textId="2AE5F50C" w:rsidR="00C16B23" w:rsidRDefault="00C16B23" w:rsidP="00C16B23">
      <w:pPr>
        <w:pStyle w:val="Prrafodelista"/>
        <w:numPr>
          <w:ilvl w:val="0"/>
          <w:numId w:val="2"/>
        </w:numPr>
        <w:ind w:left="284" w:hanging="284"/>
        <w:jc w:val="both"/>
        <w:rPr>
          <w:rFonts w:ascii="Verdana" w:hAnsi="Verdana"/>
          <w:b/>
          <w:bCs/>
          <w:i/>
          <w:color w:val="800000"/>
          <w:sz w:val="18"/>
          <w:szCs w:val="18"/>
        </w:rPr>
      </w:pPr>
      <w:r>
        <w:rPr>
          <w:rFonts w:ascii="Verdana" w:hAnsi="Verdana"/>
          <w:b/>
          <w:bCs/>
          <w:i/>
          <w:color w:val="800000"/>
          <w:sz w:val="18"/>
          <w:szCs w:val="18"/>
        </w:rPr>
        <w:t>I</w:t>
      </w:r>
      <w:r w:rsidR="00D90753">
        <w:rPr>
          <w:rFonts w:ascii="Verdana" w:hAnsi="Verdana"/>
          <w:b/>
          <w:bCs/>
          <w:i/>
          <w:color w:val="800000"/>
          <w:sz w:val="18"/>
          <w:szCs w:val="18"/>
        </w:rPr>
        <w:t>R</w:t>
      </w:r>
      <w:r>
        <w:rPr>
          <w:rFonts w:ascii="Verdana" w:hAnsi="Verdana"/>
          <w:b/>
          <w:bCs/>
          <w:i/>
          <w:color w:val="800000"/>
          <w:sz w:val="18"/>
          <w:szCs w:val="18"/>
        </w:rPr>
        <w:t xml:space="preserve">PF.- </w:t>
      </w:r>
      <w:r w:rsidRPr="00C16B23">
        <w:rPr>
          <w:rFonts w:ascii="Verdana" w:hAnsi="Verdana"/>
          <w:b/>
          <w:bCs/>
          <w:i/>
          <w:color w:val="800000"/>
          <w:sz w:val="18"/>
          <w:szCs w:val="18"/>
        </w:rPr>
        <w:t>RÉGIMEN PARA DETERMINAR LA PROCEDENCIA Y</w:t>
      </w:r>
      <w:r>
        <w:rPr>
          <w:rFonts w:ascii="Verdana" w:hAnsi="Verdana"/>
          <w:b/>
          <w:bCs/>
          <w:i/>
          <w:color w:val="800000"/>
          <w:sz w:val="18"/>
          <w:szCs w:val="18"/>
        </w:rPr>
        <w:t xml:space="preserve"> </w:t>
      </w:r>
      <w:r w:rsidRPr="00C16B23">
        <w:rPr>
          <w:rFonts w:ascii="Verdana" w:hAnsi="Verdana"/>
          <w:b/>
          <w:bCs/>
          <w:i/>
          <w:color w:val="800000"/>
          <w:sz w:val="18"/>
          <w:szCs w:val="18"/>
        </w:rPr>
        <w:t>PRACTICAR LAS DEVOLUCIONES EN EL IRPF A LOS MUTUALISTAS</w:t>
      </w:r>
      <w:r w:rsidR="006758F1">
        <w:rPr>
          <w:rFonts w:ascii="Verdana" w:hAnsi="Verdana"/>
          <w:b/>
          <w:bCs/>
          <w:i/>
          <w:color w:val="800000"/>
          <w:sz w:val="18"/>
          <w:szCs w:val="18"/>
        </w:rPr>
        <w:t>,</w:t>
      </w:r>
      <w:r w:rsidRPr="00C16B23">
        <w:rPr>
          <w:rFonts w:ascii="Verdana" w:hAnsi="Verdana"/>
          <w:b/>
          <w:bCs/>
          <w:i/>
          <w:color w:val="800000"/>
          <w:sz w:val="18"/>
          <w:szCs w:val="18"/>
        </w:rPr>
        <w:t xml:space="preserve"> DERIVADAS DE LA JURISPRUDENCIA DEL TS, RESPECTO A PERÍODOS IMPOSITIVOS 2019 Y ANTERIORES NO PRESCRITOS, ASÍ COMO</w:t>
      </w:r>
      <w:r>
        <w:rPr>
          <w:rFonts w:ascii="Verdana" w:hAnsi="Verdana"/>
          <w:b/>
          <w:bCs/>
          <w:i/>
          <w:color w:val="800000"/>
          <w:sz w:val="18"/>
          <w:szCs w:val="18"/>
        </w:rPr>
        <w:t xml:space="preserve"> DE</w:t>
      </w:r>
      <w:r w:rsidRPr="00C16B23">
        <w:rPr>
          <w:rFonts w:ascii="Verdana" w:hAnsi="Verdana"/>
          <w:b/>
          <w:bCs/>
          <w:i/>
          <w:color w:val="800000"/>
          <w:sz w:val="18"/>
          <w:szCs w:val="18"/>
        </w:rPr>
        <w:t xml:space="preserve"> 2020 A 2022</w:t>
      </w:r>
    </w:p>
    <w:p w14:paraId="19A27282" w14:textId="721C272F" w:rsidR="00C16B23" w:rsidRDefault="00C16B23" w:rsidP="00C16B23">
      <w:pPr>
        <w:pStyle w:val="Prrafodelista"/>
        <w:ind w:left="284"/>
        <w:jc w:val="both"/>
        <w:rPr>
          <w:rFonts w:ascii="Verdana" w:hAnsi="Verdana"/>
          <w:b/>
          <w:bCs/>
          <w:i/>
          <w:iCs/>
          <w:color w:val="800000"/>
          <w:sz w:val="18"/>
          <w:szCs w:val="18"/>
        </w:rPr>
      </w:pPr>
      <w:r w:rsidRPr="00C16B23">
        <w:rPr>
          <w:rFonts w:ascii="Verdana" w:hAnsi="Verdana"/>
          <w:b/>
          <w:bCs/>
          <w:i/>
          <w:iCs/>
          <w:color w:val="800000"/>
          <w:sz w:val="18"/>
          <w:szCs w:val="18"/>
        </w:rPr>
        <w:t>La Ley 5/2025 que modifica entre otras, la Ley sobre responsabilidad civil y seguro en la circulación de vehículos a motor, determina el régimen de devolución de las aportaciones a las mutualidades de previsión social derivadas de la jurisprudencia del TS</w:t>
      </w:r>
      <w:r>
        <w:rPr>
          <w:rFonts w:ascii="Verdana" w:hAnsi="Verdana"/>
          <w:b/>
          <w:bCs/>
          <w:i/>
          <w:iCs/>
          <w:color w:val="800000"/>
          <w:sz w:val="18"/>
          <w:szCs w:val="18"/>
        </w:rPr>
        <w:t>.</w:t>
      </w:r>
    </w:p>
    <w:p w14:paraId="5CF732C0" w14:textId="77777777" w:rsidR="00FD2C3E" w:rsidRDefault="00FD2C3E" w:rsidP="00C16B23">
      <w:pPr>
        <w:pStyle w:val="Prrafodelista"/>
        <w:ind w:left="284"/>
        <w:jc w:val="both"/>
        <w:rPr>
          <w:rFonts w:ascii="Verdana" w:hAnsi="Verdana"/>
          <w:b/>
          <w:bCs/>
          <w:i/>
          <w:iCs/>
          <w:color w:val="800000"/>
          <w:sz w:val="18"/>
          <w:szCs w:val="18"/>
        </w:rPr>
      </w:pPr>
    </w:p>
    <w:p w14:paraId="740D29D1" w14:textId="52F686FA" w:rsidR="00FD2C3E" w:rsidRDefault="00FD2C3E" w:rsidP="00FD2C3E">
      <w:pPr>
        <w:pStyle w:val="Prrafodelista"/>
        <w:numPr>
          <w:ilvl w:val="0"/>
          <w:numId w:val="2"/>
        </w:numPr>
        <w:ind w:left="284" w:hanging="284"/>
        <w:jc w:val="both"/>
        <w:rPr>
          <w:rFonts w:ascii="Verdana" w:hAnsi="Verdana"/>
          <w:b/>
          <w:bCs/>
          <w:i/>
          <w:color w:val="800000"/>
          <w:sz w:val="18"/>
          <w:szCs w:val="18"/>
        </w:rPr>
      </w:pPr>
      <w:r>
        <w:rPr>
          <w:rFonts w:ascii="Verdana" w:hAnsi="Verdana"/>
          <w:b/>
          <w:bCs/>
          <w:i/>
          <w:color w:val="800000"/>
          <w:sz w:val="18"/>
          <w:szCs w:val="18"/>
        </w:rPr>
        <w:t xml:space="preserve">IRPF.- </w:t>
      </w:r>
      <w:r w:rsidRPr="00FD2C3E">
        <w:rPr>
          <w:rFonts w:ascii="Verdana" w:hAnsi="Verdana"/>
          <w:b/>
          <w:bCs/>
          <w:i/>
          <w:color w:val="800000"/>
          <w:sz w:val="18"/>
          <w:szCs w:val="18"/>
        </w:rPr>
        <w:t>NUEVA DEDUCCIÓN POR OBTENCIÓN DE RENDIMIENTOS DEL TRABAJO</w:t>
      </w:r>
    </w:p>
    <w:p w14:paraId="56918FFE" w14:textId="495DAEDA" w:rsidR="00D4289D" w:rsidRDefault="00A744C8" w:rsidP="00D4289D">
      <w:pPr>
        <w:pStyle w:val="Prrafodelista"/>
        <w:ind w:left="284"/>
        <w:jc w:val="both"/>
        <w:rPr>
          <w:rFonts w:ascii="Verdana" w:hAnsi="Verdana"/>
          <w:b/>
          <w:bCs/>
          <w:i/>
          <w:color w:val="800000"/>
          <w:sz w:val="18"/>
          <w:szCs w:val="18"/>
        </w:rPr>
      </w:pPr>
      <w:r w:rsidRPr="00A744C8">
        <w:rPr>
          <w:rFonts w:ascii="Verdana" w:hAnsi="Verdana"/>
          <w:b/>
          <w:bCs/>
          <w:i/>
          <w:color w:val="800000"/>
          <w:sz w:val="18"/>
          <w:szCs w:val="18"/>
        </w:rPr>
        <w:t xml:space="preserve">La Ley </w:t>
      </w:r>
      <w:r w:rsidR="00D90753">
        <w:rPr>
          <w:rFonts w:ascii="Verdana" w:hAnsi="Verdana"/>
          <w:b/>
          <w:bCs/>
          <w:i/>
          <w:color w:val="800000"/>
          <w:sz w:val="18"/>
          <w:szCs w:val="18"/>
        </w:rPr>
        <w:t xml:space="preserve">5/2025 </w:t>
      </w:r>
      <w:r w:rsidRPr="00A744C8">
        <w:rPr>
          <w:rFonts w:ascii="Verdana" w:hAnsi="Verdana"/>
          <w:b/>
          <w:bCs/>
          <w:i/>
          <w:color w:val="800000"/>
          <w:sz w:val="18"/>
          <w:szCs w:val="18"/>
        </w:rPr>
        <w:t xml:space="preserve"> su disposición final 3ª, publicada en el BOE del día 25 de julio, establece desde 1 de enero de 2025,</w:t>
      </w:r>
      <w:r>
        <w:rPr>
          <w:rFonts w:ascii="Verdana" w:hAnsi="Verdana"/>
          <w:b/>
          <w:bCs/>
          <w:i/>
          <w:color w:val="800000"/>
          <w:sz w:val="18"/>
          <w:szCs w:val="18"/>
        </w:rPr>
        <w:t xml:space="preserve"> </w:t>
      </w:r>
      <w:r w:rsidR="00B50F9E">
        <w:rPr>
          <w:rFonts w:ascii="Verdana" w:hAnsi="Verdana"/>
          <w:b/>
          <w:bCs/>
          <w:i/>
          <w:color w:val="800000"/>
          <w:sz w:val="18"/>
          <w:szCs w:val="18"/>
        </w:rPr>
        <w:t xml:space="preserve">una deducción en el IRPF para </w:t>
      </w:r>
      <w:r w:rsidRPr="00A744C8">
        <w:rPr>
          <w:rFonts w:ascii="Verdana" w:hAnsi="Verdana"/>
          <w:b/>
          <w:bCs/>
          <w:i/>
          <w:color w:val="800000"/>
          <w:sz w:val="18"/>
          <w:szCs w:val="18"/>
        </w:rPr>
        <w:t>los contribuyentes con rendimientos íntegros del trabajo inferiores a 18.276 euros anuales</w:t>
      </w:r>
      <w:r w:rsidR="00D258DE">
        <w:rPr>
          <w:rFonts w:ascii="Verdana" w:hAnsi="Verdana"/>
          <w:b/>
          <w:bCs/>
          <w:i/>
          <w:color w:val="800000"/>
          <w:sz w:val="18"/>
          <w:szCs w:val="18"/>
        </w:rPr>
        <w:t>.</w:t>
      </w:r>
    </w:p>
    <w:p w14:paraId="4A63D173" w14:textId="77777777" w:rsidR="00086408" w:rsidRDefault="00086408" w:rsidP="00D4289D">
      <w:pPr>
        <w:pStyle w:val="Prrafodelista"/>
        <w:ind w:left="284"/>
        <w:jc w:val="both"/>
        <w:rPr>
          <w:rFonts w:ascii="Verdana" w:hAnsi="Verdana"/>
          <w:b/>
          <w:bCs/>
          <w:i/>
          <w:color w:val="800000"/>
          <w:sz w:val="18"/>
          <w:szCs w:val="18"/>
        </w:rPr>
      </w:pPr>
    </w:p>
    <w:p w14:paraId="56F2FBDB" w14:textId="5078A068" w:rsidR="008D5990" w:rsidRPr="008D5990" w:rsidRDefault="008D5990" w:rsidP="008D5990">
      <w:pPr>
        <w:pStyle w:val="Prrafodelista"/>
        <w:numPr>
          <w:ilvl w:val="0"/>
          <w:numId w:val="2"/>
        </w:numPr>
        <w:ind w:left="284" w:hanging="284"/>
        <w:jc w:val="both"/>
        <w:rPr>
          <w:rFonts w:ascii="Verdana" w:hAnsi="Verdana"/>
          <w:b/>
          <w:bCs/>
          <w:i/>
          <w:color w:val="800000"/>
          <w:sz w:val="18"/>
          <w:szCs w:val="18"/>
        </w:rPr>
      </w:pPr>
      <w:r w:rsidRPr="008D5990">
        <w:rPr>
          <w:rFonts w:ascii="Verdana" w:hAnsi="Verdana"/>
          <w:b/>
          <w:bCs/>
          <w:i/>
          <w:color w:val="800000"/>
          <w:sz w:val="18"/>
          <w:szCs w:val="18"/>
        </w:rPr>
        <w:t>IP</w:t>
      </w:r>
      <w:r w:rsidR="00D90753">
        <w:rPr>
          <w:rFonts w:ascii="Verdana" w:hAnsi="Verdana"/>
          <w:b/>
          <w:bCs/>
          <w:i/>
          <w:color w:val="800000"/>
          <w:sz w:val="18"/>
          <w:szCs w:val="18"/>
        </w:rPr>
        <w:t>.</w:t>
      </w:r>
      <w:r w:rsidR="00086408">
        <w:rPr>
          <w:rFonts w:ascii="Verdana" w:hAnsi="Verdana"/>
          <w:b/>
          <w:bCs/>
          <w:i/>
          <w:color w:val="800000"/>
          <w:sz w:val="18"/>
          <w:szCs w:val="18"/>
        </w:rPr>
        <w:t>-</w:t>
      </w:r>
      <w:r w:rsidR="00D90753">
        <w:rPr>
          <w:rFonts w:ascii="Arial" w:hAnsi="Arial" w:cs="Arial"/>
          <w:i/>
          <w:color w:val="002855"/>
          <w:sz w:val="39"/>
          <w:szCs w:val="39"/>
        </w:rPr>
        <w:t xml:space="preserve"> </w:t>
      </w:r>
      <w:r w:rsidRPr="008D5990">
        <w:rPr>
          <w:rFonts w:ascii="Verdana" w:hAnsi="Verdana"/>
          <w:b/>
          <w:bCs/>
          <w:i/>
          <w:color w:val="800000"/>
          <w:sz w:val="18"/>
          <w:szCs w:val="18"/>
        </w:rPr>
        <w:t>ACLARACIONES SOBRE LA REGLA DE EMPLEADO CONTRATADO A JORNADA COMPLETA A EFECTOS DE APLICAR LOS INCENTIVOS A UNA EMPRESA FAMILIAR DE ARRENDAMIENTO INMOBILIARIO</w:t>
      </w:r>
    </w:p>
    <w:p w14:paraId="24F9A949" w14:textId="623F83B9" w:rsidR="001F6DAC" w:rsidRDefault="008D5990" w:rsidP="003A65F1">
      <w:pPr>
        <w:ind w:left="284"/>
        <w:jc w:val="both"/>
        <w:rPr>
          <w:rFonts w:ascii="Verdana" w:hAnsi="Verdana"/>
          <w:b/>
          <w:bCs/>
          <w:i/>
          <w:iCs/>
          <w:color w:val="800000"/>
          <w:sz w:val="18"/>
          <w:szCs w:val="18"/>
        </w:rPr>
      </w:pPr>
      <w:r w:rsidRPr="008D5990">
        <w:rPr>
          <w:rFonts w:ascii="Verdana" w:hAnsi="Verdana"/>
          <w:b/>
          <w:bCs/>
          <w:i/>
          <w:iCs/>
          <w:color w:val="800000"/>
          <w:sz w:val="18"/>
          <w:szCs w:val="18"/>
        </w:rPr>
        <w:t>El Tribunal Supremo rechaza la interpretación administrativa que calificaba el requisito de empleado con contrato laboral y a jornada completa como condición necesaria pero no suficiente para admitir el carácter empresarial del arrendamiento inmobiliario</w:t>
      </w:r>
      <w:r w:rsidR="00206422" w:rsidRPr="00206422">
        <w:rPr>
          <w:rFonts w:ascii="Verdana" w:hAnsi="Verdana"/>
          <w:b/>
          <w:bCs/>
          <w:i/>
          <w:iCs/>
          <w:color w:val="800000"/>
          <w:sz w:val="18"/>
          <w:szCs w:val="18"/>
        </w:rPr>
        <w:t>.</w:t>
      </w:r>
    </w:p>
    <w:p w14:paraId="05EF8943" w14:textId="77777777" w:rsidR="00FF3809" w:rsidRDefault="00FF3809" w:rsidP="003A65F1">
      <w:pPr>
        <w:ind w:left="284"/>
        <w:jc w:val="both"/>
        <w:rPr>
          <w:rFonts w:ascii="Verdana" w:hAnsi="Verdana"/>
          <w:b/>
          <w:bCs/>
          <w:i/>
          <w:iCs/>
          <w:color w:val="800000"/>
          <w:sz w:val="18"/>
          <w:szCs w:val="18"/>
        </w:rPr>
      </w:pPr>
    </w:p>
    <w:p w14:paraId="0B1EB8D1" w14:textId="333004B0" w:rsidR="00FF3809" w:rsidRPr="00FF3809" w:rsidRDefault="00FF3809" w:rsidP="00FF3809">
      <w:pPr>
        <w:pStyle w:val="Prrafodelista"/>
        <w:numPr>
          <w:ilvl w:val="0"/>
          <w:numId w:val="2"/>
        </w:numPr>
        <w:ind w:left="284" w:hanging="284"/>
        <w:jc w:val="both"/>
        <w:rPr>
          <w:rFonts w:ascii="Verdana" w:hAnsi="Verdana"/>
          <w:b/>
          <w:bCs/>
          <w:i/>
          <w:iCs/>
          <w:color w:val="800000"/>
          <w:sz w:val="18"/>
          <w:szCs w:val="18"/>
        </w:rPr>
      </w:pPr>
      <w:r w:rsidRPr="00FF3809">
        <w:rPr>
          <w:rFonts w:ascii="Verdana" w:hAnsi="Verdana"/>
          <w:b/>
          <w:bCs/>
          <w:i/>
          <w:iCs/>
          <w:color w:val="800000"/>
          <w:sz w:val="18"/>
          <w:szCs w:val="18"/>
        </w:rPr>
        <w:t xml:space="preserve">EL </w:t>
      </w:r>
      <w:r>
        <w:rPr>
          <w:rFonts w:ascii="Verdana" w:hAnsi="Verdana"/>
          <w:b/>
          <w:bCs/>
          <w:i/>
          <w:iCs/>
          <w:color w:val="800000"/>
          <w:sz w:val="18"/>
          <w:szCs w:val="18"/>
        </w:rPr>
        <w:t>TRIBUNAL SUPR</w:t>
      </w:r>
      <w:r w:rsidR="00D90753">
        <w:rPr>
          <w:rFonts w:ascii="Verdana" w:hAnsi="Verdana"/>
          <w:b/>
          <w:bCs/>
          <w:i/>
          <w:iCs/>
          <w:color w:val="800000"/>
          <w:sz w:val="18"/>
          <w:szCs w:val="18"/>
        </w:rPr>
        <w:t>E</w:t>
      </w:r>
      <w:r>
        <w:rPr>
          <w:rFonts w:ascii="Verdana" w:hAnsi="Verdana"/>
          <w:b/>
          <w:bCs/>
          <w:i/>
          <w:iCs/>
          <w:color w:val="800000"/>
          <w:sz w:val="18"/>
          <w:szCs w:val="18"/>
        </w:rPr>
        <w:t xml:space="preserve">MO </w:t>
      </w:r>
      <w:r w:rsidRPr="00FF3809">
        <w:rPr>
          <w:rFonts w:ascii="Verdana" w:hAnsi="Verdana"/>
          <w:b/>
          <w:bCs/>
          <w:i/>
          <w:iCs/>
          <w:color w:val="800000"/>
          <w:sz w:val="18"/>
          <w:szCs w:val="18"/>
        </w:rPr>
        <w:t>REITERA QUE NO BASTA CON LA MERA INSCRIPCIÓN O LA CONSTANCIA DE LA CONDICIÓN DE ADMINISTRADOR DE LA SOCIEDAD PARA DERIVAR LA RESPONSABILIDAD SUBSIDIARIA DEL ART. 43.1.A) LGT SINO QUE SE REQUIERE MAYOR MOTIVACIÓN</w:t>
      </w:r>
    </w:p>
    <w:p w14:paraId="52F26083" w14:textId="18AF5F18" w:rsidR="0003466A" w:rsidRDefault="00FF3809" w:rsidP="003A65F1">
      <w:pPr>
        <w:ind w:left="284"/>
        <w:jc w:val="both"/>
        <w:rPr>
          <w:rFonts w:ascii="Verdana" w:hAnsi="Verdana"/>
          <w:b/>
          <w:bCs/>
          <w:i/>
          <w:iCs/>
          <w:color w:val="800000"/>
          <w:sz w:val="18"/>
          <w:szCs w:val="18"/>
        </w:rPr>
      </w:pPr>
      <w:r w:rsidRPr="00FF3809">
        <w:rPr>
          <w:rFonts w:ascii="Verdana" w:hAnsi="Verdana"/>
          <w:b/>
          <w:bCs/>
          <w:i/>
          <w:iCs/>
          <w:color w:val="800000"/>
          <w:sz w:val="18"/>
          <w:szCs w:val="18"/>
        </w:rPr>
        <w:t xml:space="preserve">El TS reitera que la condición de administrador de la sociedad es necesaria para que proceda la derivación de la responsabilidad subsidiaria del art.43.1 LGT, pero no es suficiente. </w:t>
      </w:r>
    </w:p>
    <w:p w14:paraId="7BC92091" w14:textId="46D84944" w:rsidR="0003466A" w:rsidRPr="0003466A" w:rsidRDefault="0003466A" w:rsidP="0003466A">
      <w:pPr>
        <w:pStyle w:val="Prrafodelista"/>
        <w:ind w:left="284"/>
        <w:jc w:val="both"/>
        <w:rPr>
          <w:rFonts w:ascii="Verdana" w:hAnsi="Verdana"/>
          <w:b/>
          <w:bCs/>
          <w:i/>
          <w:color w:val="800000"/>
          <w:sz w:val="18"/>
          <w:szCs w:val="18"/>
        </w:rPr>
      </w:pPr>
    </w:p>
    <w:p w14:paraId="49E83C72" w14:textId="77777777" w:rsidR="001F6DAC" w:rsidRDefault="001F6DAC" w:rsidP="003A65F1">
      <w:pPr>
        <w:ind w:left="284"/>
        <w:jc w:val="both"/>
        <w:rPr>
          <w:rFonts w:ascii="Verdana" w:hAnsi="Verdana"/>
          <w:b/>
          <w:bCs/>
          <w:i/>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CD6C5C" w:rsidRPr="00CD6C5C" w14:paraId="7E275A05" w14:textId="77777777" w:rsidTr="00434129">
        <w:tc>
          <w:tcPr>
            <w:tcW w:w="180" w:type="dxa"/>
            <w:shd w:val="clear" w:color="auto" w:fill="FF6600"/>
          </w:tcPr>
          <w:p w14:paraId="4647DA0C" w14:textId="77777777" w:rsidR="00CD6C5C" w:rsidRPr="00CD6C5C" w:rsidRDefault="00CD6C5C" w:rsidP="00434129">
            <w:pPr>
              <w:rPr>
                <w:rFonts w:ascii="Verdana" w:hAnsi="Verdana"/>
                <w:b/>
                <w:bCs/>
                <w:iCs/>
                <w:color w:val="800000"/>
                <w:sz w:val="18"/>
                <w:szCs w:val="18"/>
              </w:rPr>
            </w:pPr>
          </w:p>
        </w:tc>
        <w:tc>
          <w:tcPr>
            <w:tcW w:w="8460" w:type="dxa"/>
          </w:tcPr>
          <w:p w14:paraId="4D84E3E3" w14:textId="5430AD07" w:rsidR="00CD6C5C" w:rsidRPr="00CD6C5C" w:rsidRDefault="00CD6C5C">
            <w:pPr>
              <w:numPr>
                <w:ilvl w:val="0"/>
                <w:numId w:val="1"/>
              </w:numPr>
              <w:tabs>
                <w:tab w:val="clear" w:pos="720"/>
                <w:tab w:val="num" w:pos="317"/>
              </w:tabs>
              <w:ind w:left="317" w:hanging="283"/>
              <w:jc w:val="both"/>
              <w:rPr>
                <w:rFonts w:ascii="Verdana" w:hAnsi="Verdana"/>
                <w:b/>
                <w:bCs/>
                <w:iCs/>
                <w:color w:val="800000"/>
                <w:spacing w:val="-8"/>
                <w:sz w:val="18"/>
                <w:szCs w:val="18"/>
              </w:rPr>
            </w:pPr>
            <w:r w:rsidRPr="00CD6C5C">
              <w:rPr>
                <w:rFonts w:ascii="Verdana" w:hAnsi="Verdana"/>
                <w:b/>
                <w:bCs/>
                <w:iCs/>
                <w:color w:val="800000"/>
                <w:sz w:val="18"/>
                <w:szCs w:val="18"/>
              </w:rPr>
              <w:t>EL TRIBUNAL CONSTITUCIONAL HA ADMITIDO A TRÁMITE LA CUESTIÓN DE INCONSTITUCIONALIDAD CONTRA EL VALOR DE REFERENCIA DE</w:t>
            </w:r>
            <w:r w:rsidR="00D90753">
              <w:rPr>
                <w:rFonts w:ascii="Verdana" w:hAnsi="Verdana"/>
                <w:b/>
                <w:bCs/>
                <w:iCs/>
                <w:color w:val="800000"/>
                <w:sz w:val="18"/>
                <w:szCs w:val="18"/>
              </w:rPr>
              <w:t>L</w:t>
            </w:r>
            <w:r w:rsidRPr="00CD6C5C">
              <w:rPr>
                <w:rFonts w:ascii="Verdana" w:hAnsi="Verdana"/>
                <w:b/>
                <w:bCs/>
                <w:iCs/>
                <w:color w:val="800000"/>
                <w:sz w:val="18"/>
                <w:szCs w:val="18"/>
              </w:rPr>
              <w:t xml:space="preserve"> CATASTRO QUE SIRVE COMO BASE IMPONIBLE EN EL ITP Y AJD, ISD E IP</w:t>
            </w:r>
          </w:p>
        </w:tc>
      </w:tr>
    </w:tbl>
    <w:p w14:paraId="453DE872" w14:textId="77777777" w:rsidR="001F6DAC" w:rsidRDefault="001F6DAC" w:rsidP="003A65F1">
      <w:pPr>
        <w:ind w:left="284"/>
        <w:jc w:val="both"/>
        <w:rPr>
          <w:rFonts w:ascii="Verdana" w:hAnsi="Verdana"/>
          <w:b/>
          <w:bCs/>
          <w:i/>
          <w:color w:val="800000"/>
          <w:sz w:val="18"/>
          <w:szCs w:val="18"/>
        </w:rPr>
      </w:pPr>
    </w:p>
    <w:p w14:paraId="14F22932" w14:textId="4928368F" w:rsidR="00CD6C5C" w:rsidRPr="00CD6C5C" w:rsidRDefault="00CD6C5C" w:rsidP="00CD6C5C">
      <w:pPr>
        <w:ind w:left="284"/>
        <w:jc w:val="both"/>
        <w:rPr>
          <w:rFonts w:ascii="Verdana" w:hAnsi="Verdana"/>
          <w:color w:val="000000"/>
          <w:sz w:val="18"/>
          <w:szCs w:val="18"/>
        </w:rPr>
      </w:pPr>
      <w:r w:rsidRPr="00CD6C5C">
        <w:rPr>
          <w:rFonts w:ascii="Verdana" w:hAnsi="Verdana"/>
          <w:color w:val="000000"/>
          <w:sz w:val="18"/>
          <w:szCs w:val="18"/>
        </w:rPr>
        <w:t>En el BOE del día 14 de julio de 2025, se ha publicado la admisión a trámite de la cuestión de inconstitucionalidad n.º 3631-2025, en relación con el art. 10.2, 3 y 4, y art. 46.1 del Texto Refundido de la Ley del Impuesto sobre Transmisiones Patrimoniales y Actos Jurídicos Documentados, aprobado por Real Decreto Legislativo 1/1993, de 24 de septiembre, y disposición final tercera del Texto Refundido de la Ley del Catastro Inmobiliario, aprobado por Real Decreto Legislativo 1/2004, de 5 de marzo.</w:t>
      </w:r>
    </w:p>
    <w:p w14:paraId="292316A5" w14:textId="77777777" w:rsidR="00CD6C5C" w:rsidRPr="00CD6C5C" w:rsidRDefault="00CD6C5C" w:rsidP="00CD6C5C">
      <w:pPr>
        <w:ind w:left="284"/>
        <w:jc w:val="both"/>
        <w:rPr>
          <w:rFonts w:ascii="Verdana" w:hAnsi="Verdana"/>
          <w:color w:val="000000"/>
          <w:sz w:val="18"/>
          <w:szCs w:val="18"/>
        </w:rPr>
      </w:pPr>
    </w:p>
    <w:p w14:paraId="783FAD02" w14:textId="70EDF675" w:rsidR="001F6DAC" w:rsidRPr="00CD6C5C" w:rsidRDefault="00CD6C5C" w:rsidP="00CD6C5C">
      <w:pPr>
        <w:ind w:left="284"/>
        <w:jc w:val="both"/>
        <w:rPr>
          <w:rFonts w:ascii="Verdana" w:hAnsi="Verdana"/>
          <w:color w:val="000000"/>
          <w:sz w:val="18"/>
          <w:szCs w:val="18"/>
        </w:rPr>
      </w:pPr>
      <w:r w:rsidRPr="00CD6C5C">
        <w:rPr>
          <w:rFonts w:ascii="Verdana" w:hAnsi="Verdana"/>
          <w:b/>
          <w:bCs/>
          <w:color w:val="000000"/>
          <w:sz w:val="18"/>
          <w:szCs w:val="18"/>
        </w:rPr>
        <w:t>El TC tendrá que determinar la validez del método legal consistente en determinar la base imponible de estos impuestos patrimoniales mediante la imposición del valor de referencia de</w:t>
      </w:r>
      <w:r w:rsidR="00D90753">
        <w:rPr>
          <w:rFonts w:ascii="Verdana" w:hAnsi="Verdana"/>
          <w:b/>
          <w:bCs/>
          <w:color w:val="000000"/>
          <w:sz w:val="18"/>
          <w:szCs w:val="18"/>
        </w:rPr>
        <w:t>l</w:t>
      </w:r>
      <w:r w:rsidRPr="00CD6C5C">
        <w:rPr>
          <w:rFonts w:ascii="Verdana" w:hAnsi="Verdana"/>
          <w:b/>
          <w:bCs/>
          <w:color w:val="000000"/>
          <w:sz w:val="18"/>
          <w:szCs w:val="18"/>
        </w:rPr>
        <w:t xml:space="preserve"> Catastro, prescindiendo de la valoración singularizada de los inmuebles</w:t>
      </w:r>
      <w:r w:rsidRPr="00CD6C5C">
        <w:rPr>
          <w:rFonts w:ascii="Verdana" w:hAnsi="Verdana"/>
          <w:color w:val="000000"/>
          <w:sz w:val="18"/>
          <w:szCs w:val="18"/>
        </w:rPr>
        <w:t>, ya que dicho método puede provocar el gravamen de magnitudes fictici</w:t>
      </w:r>
      <w:r w:rsidR="00D90753">
        <w:rPr>
          <w:rFonts w:ascii="Verdana" w:hAnsi="Verdana"/>
          <w:color w:val="000000"/>
          <w:sz w:val="18"/>
          <w:szCs w:val="18"/>
        </w:rPr>
        <w:t>a</w:t>
      </w:r>
      <w:r w:rsidRPr="00CD6C5C">
        <w:rPr>
          <w:rFonts w:ascii="Verdana" w:hAnsi="Verdana"/>
          <w:color w:val="000000"/>
          <w:sz w:val="18"/>
          <w:szCs w:val="18"/>
        </w:rPr>
        <w:t>s, lo que vulneraría el principio de capacidad económica recogido en el art. 31.1 CE, entre los principios de justicia tributaria.</w:t>
      </w:r>
    </w:p>
    <w:p w14:paraId="1789D102" w14:textId="77777777" w:rsidR="001F6DAC" w:rsidRDefault="001F6DAC" w:rsidP="003A65F1">
      <w:pPr>
        <w:ind w:left="284"/>
        <w:jc w:val="both"/>
        <w:rPr>
          <w:rFonts w:ascii="Verdana" w:hAnsi="Verdana"/>
          <w:b/>
          <w:bCs/>
          <w:i/>
          <w:color w:val="800000"/>
          <w:sz w:val="18"/>
          <w:szCs w:val="18"/>
        </w:rPr>
      </w:pPr>
    </w:p>
    <w:p w14:paraId="131FEC93" w14:textId="77777777" w:rsidR="001F6DAC" w:rsidRPr="001105DE" w:rsidRDefault="001F6DAC" w:rsidP="003A65F1">
      <w:pPr>
        <w:ind w:left="284"/>
        <w:jc w:val="both"/>
        <w:rPr>
          <w:rFonts w:ascii="Verdana" w:hAnsi="Verdana"/>
          <w:b/>
          <w:bCs/>
          <w:i/>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1103A8" w:rsidRPr="001F6DAC" w14:paraId="0AFAC9D5" w14:textId="77777777">
        <w:tc>
          <w:tcPr>
            <w:tcW w:w="180" w:type="dxa"/>
            <w:shd w:val="clear" w:color="auto" w:fill="FF6600"/>
          </w:tcPr>
          <w:p w14:paraId="71A7A0D7" w14:textId="77777777" w:rsidR="001103A8" w:rsidRPr="001F6DAC" w:rsidRDefault="001103A8" w:rsidP="00C00EA2">
            <w:pPr>
              <w:rPr>
                <w:rFonts w:ascii="Verdana" w:hAnsi="Verdana"/>
                <w:b/>
                <w:bCs/>
                <w:iCs/>
                <w:color w:val="800000"/>
                <w:sz w:val="18"/>
                <w:szCs w:val="18"/>
              </w:rPr>
            </w:pPr>
            <w:bookmarkStart w:id="0" w:name="_Hlk46750036"/>
          </w:p>
        </w:tc>
        <w:tc>
          <w:tcPr>
            <w:tcW w:w="8460" w:type="dxa"/>
          </w:tcPr>
          <w:p w14:paraId="46D24055" w14:textId="6598FBF0" w:rsidR="001103A8" w:rsidRPr="001F6DAC" w:rsidRDefault="001F6DAC">
            <w:pPr>
              <w:numPr>
                <w:ilvl w:val="0"/>
                <w:numId w:val="1"/>
              </w:numPr>
              <w:tabs>
                <w:tab w:val="clear" w:pos="720"/>
                <w:tab w:val="num" w:pos="317"/>
              </w:tabs>
              <w:ind w:left="317" w:hanging="283"/>
              <w:jc w:val="both"/>
              <w:rPr>
                <w:rFonts w:ascii="Verdana" w:hAnsi="Verdana"/>
                <w:b/>
                <w:bCs/>
                <w:iCs/>
                <w:color w:val="800000"/>
                <w:spacing w:val="-8"/>
                <w:sz w:val="18"/>
                <w:szCs w:val="18"/>
              </w:rPr>
            </w:pPr>
            <w:r w:rsidRPr="001F6DAC">
              <w:rPr>
                <w:rFonts w:ascii="Verdana" w:hAnsi="Verdana"/>
                <w:b/>
                <w:bCs/>
                <w:iCs/>
                <w:color w:val="800000"/>
                <w:sz w:val="18"/>
                <w:szCs w:val="18"/>
              </w:rPr>
              <w:t>APLICACIÓN DE LA REDUCCIÓN DEL 50% EN IRPF EN ARRENDAMIENTOS DE HABITACIONES</w:t>
            </w:r>
          </w:p>
        </w:tc>
      </w:tr>
      <w:bookmarkEnd w:id="0"/>
    </w:tbl>
    <w:p w14:paraId="521DB8C2" w14:textId="77777777" w:rsidR="002B55F1" w:rsidRDefault="002B55F1">
      <w:pPr>
        <w:tabs>
          <w:tab w:val="left" w:pos="360"/>
        </w:tabs>
        <w:jc w:val="both"/>
        <w:rPr>
          <w:rFonts w:ascii="Verdana" w:hAnsi="Verdana"/>
          <w:b/>
          <w:bCs/>
          <w:i/>
          <w:iCs/>
          <w:color w:val="800000"/>
          <w:sz w:val="18"/>
          <w:szCs w:val="18"/>
        </w:rPr>
      </w:pPr>
    </w:p>
    <w:p w14:paraId="166A6A57" w14:textId="3F0CABE0" w:rsidR="001F6DAC" w:rsidRDefault="001F6DAC" w:rsidP="00174599">
      <w:pPr>
        <w:ind w:left="284"/>
        <w:jc w:val="both"/>
        <w:rPr>
          <w:rFonts w:ascii="Verdana" w:hAnsi="Verdana"/>
          <w:color w:val="000000"/>
          <w:sz w:val="18"/>
          <w:szCs w:val="18"/>
        </w:rPr>
      </w:pPr>
      <w:r>
        <w:rPr>
          <w:rFonts w:ascii="Verdana" w:hAnsi="Verdana"/>
          <w:color w:val="000000"/>
          <w:sz w:val="18"/>
          <w:szCs w:val="18"/>
        </w:rPr>
        <w:t>A través de la consulta vinculante V0412 del pasado 20 de marzo, el consultante se cuestiona</w:t>
      </w:r>
      <w:r w:rsidRPr="001F6DAC">
        <w:rPr>
          <w:rFonts w:ascii="Verdana" w:hAnsi="Verdana"/>
          <w:color w:val="000000"/>
          <w:sz w:val="18"/>
          <w:szCs w:val="18"/>
        </w:rPr>
        <w:t xml:space="preserve"> si puede beneficiarse de la </w:t>
      </w:r>
      <w:r w:rsidRPr="001F6DAC">
        <w:rPr>
          <w:rFonts w:ascii="Verdana" w:hAnsi="Verdana"/>
          <w:b/>
          <w:bCs/>
          <w:color w:val="000000"/>
          <w:sz w:val="18"/>
          <w:szCs w:val="18"/>
        </w:rPr>
        <w:t>reducción del 50%</w:t>
      </w:r>
      <w:r w:rsidRPr="001F6DAC">
        <w:rPr>
          <w:rFonts w:ascii="Verdana" w:hAnsi="Verdana"/>
          <w:color w:val="000000"/>
          <w:sz w:val="18"/>
          <w:szCs w:val="18"/>
        </w:rPr>
        <w:t> prevista en el </w:t>
      </w:r>
      <w:r w:rsidRPr="001F6DAC">
        <w:rPr>
          <w:rFonts w:ascii="Verdana" w:hAnsi="Verdana"/>
          <w:b/>
          <w:bCs/>
          <w:color w:val="000000"/>
          <w:sz w:val="18"/>
          <w:szCs w:val="18"/>
        </w:rPr>
        <w:t>art. 23.2 de la Ley 35/2006 (Ley IRPF)</w:t>
      </w:r>
      <w:r w:rsidRPr="001F6DAC">
        <w:rPr>
          <w:rFonts w:ascii="Verdana" w:hAnsi="Verdana"/>
          <w:color w:val="000000"/>
          <w:sz w:val="18"/>
          <w:szCs w:val="18"/>
        </w:rPr>
        <w:t> por los rendimientos obtenidos del arrendamiento</w:t>
      </w:r>
      <w:r w:rsidR="00B50F9E">
        <w:rPr>
          <w:rFonts w:ascii="Verdana" w:hAnsi="Verdana"/>
          <w:color w:val="000000"/>
          <w:sz w:val="18"/>
          <w:szCs w:val="18"/>
        </w:rPr>
        <w:t xml:space="preserve"> </w:t>
      </w:r>
      <w:r w:rsidRPr="001F6DAC">
        <w:rPr>
          <w:rFonts w:ascii="Verdana" w:hAnsi="Verdana"/>
          <w:color w:val="000000"/>
          <w:sz w:val="18"/>
          <w:szCs w:val="18"/>
        </w:rPr>
        <w:t>de </w:t>
      </w:r>
      <w:r w:rsidRPr="001F6DAC">
        <w:rPr>
          <w:rFonts w:ascii="Verdana" w:hAnsi="Verdana"/>
          <w:b/>
          <w:bCs/>
          <w:color w:val="000000"/>
          <w:sz w:val="18"/>
          <w:szCs w:val="18"/>
        </w:rPr>
        <w:t>habitaciones individuales</w:t>
      </w:r>
      <w:r w:rsidRPr="001F6DAC">
        <w:rPr>
          <w:rFonts w:ascii="Verdana" w:hAnsi="Verdana"/>
          <w:color w:val="000000"/>
          <w:sz w:val="18"/>
          <w:szCs w:val="18"/>
        </w:rPr>
        <w:t> dentro de una vivienda de su propiedad, que constituye su domicilio habitual.</w:t>
      </w:r>
    </w:p>
    <w:p w14:paraId="689CEDFB" w14:textId="77777777" w:rsidR="001F6DAC" w:rsidRPr="001F6DAC" w:rsidRDefault="001F6DAC" w:rsidP="00174599">
      <w:pPr>
        <w:ind w:left="284"/>
        <w:jc w:val="both"/>
        <w:rPr>
          <w:rFonts w:ascii="Verdana" w:hAnsi="Verdana"/>
          <w:color w:val="000000"/>
          <w:sz w:val="18"/>
          <w:szCs w:val="18"/>
        </w:rPr>
      </w:pPr>
    </w:p>
    <w:p w14:paraId="0B7E44B4" w14:textId="77777777" w:rsidR="001F6DAC" w:rsidRDefault="001F6DAC" w:rsidP="00174599">
      <w:pPr>
        <w:ind w:left="284"/>
        <w:jc w:val="both"/>
        <w:rPr>
          <w:rFonts w:ascii="Verdana" w:hAnsi="Verdana"/>
          <w:color w:val="000000"/>
          <w:sz w:val="18"/>
          <w:szCs w:val="18"/>
        </w:rPr>
      </w:pPr>
      <w:r w:rsidRPr="001F6DAC">
        <w:rPr>
          <w:rFonts w:ascii="Verdana" w:hAnsi="Verdana"/>
          <w:color w:val="000000"/>
          <w:sz w:val="18"/>
          <w:szCs w:val="18"/>
        </w:rPr>
        <w:t>El arrendador indica que los contratos suscritos con los inquilinos tienen como objeto el uso de dichas habitaciones como </w:t>
      </w:r>
      <w:r w:rsidRPr="001F6DAC">
        <w:rPr>
          <w:rFonts w:ascii="Verdana" w:hAnsi="Verdana"/>
          <w:b/>
          <w:bCs/>
          <w:color w:val="000000"/>
          <w:sz w:val="18"/>
          <w:szCs w:val="18"/>
        </w:rPr>
        <w:t>vivienda habitual</w:t>
      </w:r>
      <w:r w:rsidRPr="001F6DAC">
        <w:rPr>
          <w:rFonts w:ascii="Verdana" w:hAnsi="Verdana"/>
          <w:color w:val="000000"/>
          <w:sz w:val="18"/>
          <w:szCs w:val="18"/>
        </w:rPr>
        <w:t> de estos últimos.</w:t>
      </w:r>
    </w:p>
    <w:p w14:paraId="5107451E" w14:textId="77777777" w:rsidR="001F6DAC" w:rsidRPr="001F6DAC" w:rsidRDefault="001F6DAC" w:rsidP="00174599">
      <w:pPr>
        <w:ind w:left="284"/>
        <w:jc w:val="both"/>
        <w:rPr>
          <w:rFonts w:ascii="Verdana" w:hAnsi="Verdana"/>
          <w:color w:val="000000"/>
          <w:sz w:val="18"/>
          <w:szCs w:val="18"/>
        </w:rPr>
      </w:pPr>
    </w:p>
    <w:p w14:paraId="061E709B" w14:textId="77777777" w:rsidR="001F6DAC" w:rsidRDefault="001F6DAC" w:rsidP="00174599">
      <w:pPr>
        <w:ind w:left="284"/>
        <w:jc w:val="both"/>
        <w:rPr>
          <w:rFonts w:ascii="Verdana" w:hAnsi="Verdana"/>
          <w:color w:val="000000"/>
          <w:sz w:val="18"/>
          <w:szCs w:val="18"/>
        </w:rPr>
      </w:pPr>
      <w:r w:rsidRPr="001F6DAC">
        <w:rPr>
          <w:rFonts w:ascii="Verdana" w:hAnsi="Verdana"/>
          <w:color w:val="000000"/>
          <w:sz w:val="18"/>
          <w:szCs w:val="18"/>
        </w:rPr>
        <w:t>La DGT aclara que los ingresos derivados del arrendamiento de habitaciones en una vivienda deben calificarse como </w:t>
      </w:r>
      <w:r w:rsidRPr="001F6DAC">
        <w:rPr>
          <w:rFonts w:ascii="Verdana" w:hAnsi="Verdana"/>
          <w:b/>
          <w:bCs/>
          <w:color w:val="000000"/>
          <w:sz w:val="18"/>
          <w:szCs w:val="18"/>
        </w:rPr>
        <w:t>rendimientos del capital inmobiliario</w:t>
      </w:r>
      <w:r w:rsidRPr="001F6DAC">
        <w:rPr>
          <w:rFonts w:ascii="Verdana" w:hAnsi="Verdana"/>
          <w:color w:val="000000"/>
          <w:sz w:val="18"/>
          <w:szCs w:val="18"/>
        </w:rPr>
        <w:t>.</w:t>
      </w:r>
    </w:p>
    <w:p w14:paraId="7E626457" w14:textId="77777777" w:rsidR="001F6DAC" w:rsidRPr="001F6DAC" w:rsidRDefault="001F6DAC" w:rsidP="00174599">
      <w:pPr>
        <w:ind w:left="284"/>
        <w:jc w:val="both"/>
        <w:rPr>
          <w:rFonts w:ascii="Verdana" w:hAnsi="Verdana"/>
          <w:color w:val="000000"/>
          <w:sz w:val="18"/>
          <w:szCs w:val="18"/>
        </w:rPr>
      </w:pPr>
    </w:p>
    <w:p w14:paraId="58D29B29" w14:textId="77777777" w:rsidR="001F6DAC" w:rsidRPr="001F6DAC" w:rsidRDefault="001F6DAC" w:rsidP="00174599">
      <w:pPr>
        <w:ind w:left="284"/>
        <w:jc w:val="both"/>
        <w:rPr>
          <w:rFonts w:ascii="Verdana" w:hAnsi="Verdana"/>
          <w:color w:val="000000"/>
          <w:sz w:val="18"/>
          <w:szCs w:val="18"/>
        </w:rPr>
      </w:pPr>
      <w:r w:rsidRPr="001F6DAC">
        <w:rPr>
          <w:rFonts w:ascii="Verdana" w:hAnsi="Verdana"/>
          <w:b/>
          <w:bCs/>
          <w:color w:val="000000"/>
          <w:sz w:val="18"/>
          <w:szCs w:val="18"/>
        </w:rPr>
        <w:t>1. Aplicación de la reducción del 50%</w:t>
      </w:r>
    </w:p>
    <w:p w14:paraId="22975E38" w14:textId="77777777" w:rsidR="001F6DAC" w:rsidRDefault="001F6DAC" w:rsidP="00174599">
      <w:pPr>
        <w:ind w:left="284"/>
        <w:jc w:val="both"/>
        <w:rPr>
          <w:rFonts w:ascii="Verdana" w:hAnsi="Verdana"/>
          <w:color w:val="000000"/>
          <w:sz w:val="18"/>
          <w:szCs w:val="18"/>
        </w:rPr>
      </w:pPr>
      <w:r w:rsidRPr="001F6DAC">
        <w:rPr>
          <w:rFonts w:ascii="Verdana" w:hAnsi="Verdana"/>
          <w:color w:val="000000"/>
          <w:sz w:val="18"/>
          <w:szCs w:val="18"/>
        </w:rPr>
        <w:t>El artículo 23.2 de la Ley IRPF establece que, en los supuestos de arrendamiento de inmuebles destinados a vivienda, se aplicará una reducción del 50% sobre el rendimiento neto positivo, siempre que este se haya calculado correctamente (es decir, declarando íntegramente los ingresos y computando únicamente los gastos deducibles legalmente establecidos).</w:t>
      </w:r>
    </w:p>
    <w:p w14:paraId="4D928E5B" w14:textId="77777777" w:rsidR="001F6DAC" w:rsidRPr="001F6DAC" w:rsidRDefault="001F6DAC" w:rsidP="00174599">
      <w:pPr>
        <w:ind w:left="284"/>
        <w:jc w:val="both"/>
        <w:rPr>
          <w:rFonts w:ascii="Verdana" w:hAnsi="Verdana"/>
          <w:color w:val="000000"/>
          <w:sz w:val="18"/>
          <w:szCs w:val="18"/>
        </w:rPr>
      </w:pPr>
    </w:p>
    <w:p w14:paraId="24065A85" w14:textId="77777777" w:rsidR="001F6DAC" w:rsidRPr="001F6DAC" w:rsidRDefault="001F6DAC" w:rsidP="00174599">
      <w:pPr>
        <w:ind w:left="284"/>
        <w:jc w:val="both"/>
        <w:rPr>
          <w:rFonts w:ascii="Verdana" w:hAnsi="Verdana"/>
          <w:color w:val="000000"/>
          <w:sz w:val="18"/>
          <w:szCs w:val="18"/>
        </w:rPr>
      </w:pPr>
      <w:r w:rsidRPr="001F6DAC">
        <w:rPr>
          <w:rFonts w:ascii="Verdana" w:hAnsi="Verdana"/>
          <w:color w:val="000000"/>
          <w:sz w:val="18"/>
          <w:szCs w:val="18"/>
        </w:rPr>
        <w:t>La DGT considera que esta </w:t>
      </w:r>
      <w:r w:rsidRPr="001F6DAC">
        <w:rPr>
          <w:rFonts w:ascii="Verdana" w:hAnsi="Verdana"/>
          <w:b/>
          <w:bCs/>
          <w:color w:val="000000"/>
          <w:sz w:val="18"/>
          <w:szCs w:val="18"/>
        </w:rPr>
        <w:t>reducción sí resulta aplicable a los arrendamientos parciales de una vivienda (alquiler de habitaciones)</w:t>
      </w:r>
      <w:r w:rsidRPr="001F6DAC">
        <w:rPr>
          <w:rFonts w:ascii="Verdana" w:hAnsi="Verdana"/>
          <w:color w:val="000000"/>
          <w:sz w:val="18"/>
          <w:szCs w:val="18"/>
        </w:rPr>
        <w:t>, siempre que se cumplan las siguientes condiciones:</w:t>
      </w:r>
    </w:p>
    <w:p w14:paraId="22CB616E" w14:textId="77777777" w:rsidR="001F6DAC" w:rsidRPr="001F6DAC" w:rsidRDefault="001F6DAC">
      <w:pPr>
        <w:numPr>
          <w:ilvl w:val="0"/>
          <w:numId w:val="15"/>
        </w:numPr>
        <w:ind w:left="284" w:firstLine="0"/>
        <w:jc w:val="both"/>
        <w:rPr>
          <w:rFonts w:ascii="Verdana" w:hAnsi="Verdana"/>
          <w:color w:val="000000"/>
          <w:sz w:val="18"/>
          <w:szCs w:val="18"/>
        </w:rPr>
      </w:pPr>
      <w:r w:rsidRPr="001F6DAC">
        <w:rPr>
          <w:rFonts w:ascii="Verdana" w:hAnsi="Verdana"/>
          <w:color w:val="000000"/>
          <w:sz w:val="18"/>
          <w:szCs w:val="18"/>
        </w:rPr>
        <w:t>Que el </w:t>
      </w:r>
      <w:r w:rsidRPr="001F6DAC">
        <w:rPr>
          <w:rFonts w:ascii="Verdana" w:hAnsi="Verdana"/>
          <w:b/>
          <w:bCs/>
          <w:color w:val="000000"/>
          <w:sz w:val="18"/>
          <w:szCs w:val="18"/>
        </w:rPr>
        <w:t>destino efectivo</w:t>
      </w:r>
      <w:r w:rsidRPr="001F6DAC">
        <w:rPr>
          <w:rFonts w:ascii="Verdana" w:hAnsi="Verdana"/>
          <w:color w:val="000000"/>
          <w:sz w:val="18"/>
          <w:szCs w:val="18"/>
        </w:rPr>
        <w:t> del arrendamiento sea el de vivienda habitual del arrendatario.</w:t>
      </w:r>
    </w:p>
    <w:p w14:paraId="6F658CE1" w14:textId="77777777" w:rsidR="001F6DAC" w:rsidRPr="001F6DAC" w:rsidRDefault="001F6DAC" w:rsidP="00B50F9E">
      <w:pPr>
        <w:numPr>
          <w:ilvl w:val="0"/>
          <w:numId w:val="15"/>
        </w:numPr>
        <w:ind w:left="709" w:hanging="425"/>
        <w:jc w:val="both"/>
        <w:rPr>
          <w:rFonts w:ascii="Verdana" w:hAnsi="Verdana"/>
          <w:color w:val="000000"/>
          <w:sz w:val="18"/>
          <w:szCs w:val="18"/>
        </w:rPr>
      </w:pPr>
      <w:r w:rsidRPr="001F6DAC">
        <w:rPr>
          <w:rFonts w:ascii="Verdana" w:hAnsi="Verdana"/>
          <w:color w:val="000000"/>
          <w:sz w:val="18"/>
          <w:szCs w:val="18"/>
        </w:rPr>
        <w:t>Que el uso como vivienda habitual pueda </w:t>
      </w:r>
      <w:r w:rsidRPr="001F6DAC">
        <w:rPr>
          <w:rFonts w:ascii="Verdana" w:hAnsi="Verdana"/>
          <w:b/>
          <w:bCs/>
          <w:color w:val="000000"/>
          <w:sz w:val="18"/>
          <w:szCs w:val="18"/>
        </w:rPr>
        <w:t>acreditarse mediante prueba válida en Derecho</w:t>
      </w:r>
      <w:r w:rsidRPr="001F6DAC">
        <w:rPr>
          <w:rFonts w:ascii="Verdana" w:hAnsi="Verdana"/>
          <w:color w:val="000000"/>
          <w:sz w:val="18"/>
          <w:szCs w:val="18"/>
        </w:rPr>
        <w:t>.</w:t>
      </w:r>
    </w:p>
    <w:p w14:paraId="25DA7E5D" w14:textId="77777777" w:rsidR="001F6DAC" w:rsidRDefault="001F6DAC" w:rsidP="00D90753">
      <w:pPr>
        <w:numPr>
          <w:ilvl w:val="0"/>
          <w:numId w:val="15"/>
        </w:numPr>
        <w:ind w:left="709" w:hanging="425"/>
        <w:jc w:val="both"/>
        <w:rPr>
          <w:rFonts w:ascii="Verdana" w:hAnsi="Verdana"/>
          <w:color w:val="000000"/>
          <w:sz w:val="18"/>
          <w:szCs w:val="18"/>
        </w:rPr>
      </w:pPr>
      <w:r w:rsidRPr="001F6DAC">
        <w:rPr>
          <w:rFonts w:ascii="Verdana" w:hAnsi="Verdana"/>
          <w:color w:val="000000"/>
          <w:sz w:val="18"/>
          <w:szCs w:val="18"/>
        </w:rPr>
        <w:t>Que se trate de un </w:t>
      </w:r>
      <w:r w:rsidRPr="001F6DAC">
        <w:rPr>
          <w:rFonts w:ascii="Verdana" w:hAnsi="Verdana"/>
          <w:b/>
          <w:bCs/>
          <w:color w:val="000000"/>
          <w:sz w:val="18"/>
          <w:szCs w:val="18"/>
        </w:rPr>
        <w:t>contrato sujeto a la LAU</w:t>
      </w:r>
      <w:r w:rsidRPr="001F6DAC">
        <w:rPr>
          <w:rFonts w:ascii="Verdana" w:hAnsi="Verdana"/>
          <w:color w:val="000000"/>
          <w:sz w:val="18"/>
          <w:szCs w:val="18"/>
        </w:rPr>
        <w:t>, en su modalidad de arrendamiento para uso de vivienda (no para uso turístico, vacacional o de temporada).</w:t>
      </w:r>
    </w:p>
    <w:p w14:paraId="7256CE1B" w14:textId="77777777" w:rsidR="001F6DAC" w:rsidRPr="001F6DAC" w:rsidRDefault="001F6DAC" w:rsidP="00174599">
      <w:pPr>
        <w:ind w:left="284"/>
        <w:jc w:val="both"/>
        <w:rPr>
          <w:rFonts w:ascii="Verdana" w:hAnsi="Verdana"/>
          <w:color w:val="000000"/>
          <w:sz w:val="18"/>
          <w:szCs w:val="18"/>
        </w:rPr>
      </w:pPr>
    </w:p>
    <w:p w14:paraId="74466174" w14:textId="06F37DCE" w:rsidR="001F6DAC" w:rsidRPr="001F6DAC" w:rsidRDefault="001F6DAC" w:rsidP="00174599">
      <w:pPr>
        <w:ind w:left="284"/>
        <w:jc w:val="both"/>
        <w:rPr>
          <w:rFonts w:ascii="Verdana" w:hAnsi="Verdana"/>
          <w:color w:val="000000"/>
          <w:sz w:val="18"/>
          <w:szCs w:val="18"/>
        </w:rPr>
      </w:pPr>
      <w:r w:rsidRPr="001F6DAC">
        <w:rPr>
          <w:rFonts w:ascii="Verdana" w:hAnsi="Verdana"/>
          <w:color w:val="000000"/>
          <w:sz w:val="18"/>
          <w:szCs w:val="18"/>
        </w:rPr>
        <w:lastRenderedPageBreak/>
        <w:t>La </w:t>
      </w:r>
      <w:r w:rsidRPr="001F6DAC">
        <w:rPr>
          <w:rFonts w:ascii="Verdana" w:hAnsi="Verdana"/>
          <w:b/>
          <w:bCs/>
          <w:color w:val="000000"/>
          <w:sz w:val="18"/>
          <w:szCs w:val="18"/>
        </w:rPr>
        <w:t>carga de la prueba</w:t>
      </w:r>
      <w:r>
        <w:rPr>
          <w:rFonts w:ascii="Verdana" w:hAnsi="Verdana"/>
          <w:b/>
          <w:bCs/>
          <w:color w:val="000000"/>
          <w:sz w:val="18"/>
          <w:szCs w:val="18"/>
        </w:rPr>
        <w:t xml:space="preserve"> en la acreditación del uso como vivienda habitual, </w:t>
      </w:r>
      <w:r w:rsidRPr="001F6DAC">
        <w:rPr>
          <w:rFonts w:ascii="Verdana" w:hAnsi="Verdana"/>
          <w:color w:val="000000"/>
          <w:sz w:val="18"/>
          <w:szCs w:val="18"/>
        </w:rPr>
        <w:t>recae en el arrendador</w:t>
      </w:r>
      <w:r>
        <w:rPr>
          <w:rFonts w:ascii="Verdana" w:hAnsi="Verdana"/>
          <w:color w:val="000000"/>
          <w:sz w:val="18"/>
          <w:szCs w:val="18"/>
        </w:rPr>
        <w:t xml:space="preserve"> y se</w:t>
      </w:r>
      <w:r w:rsidRPr="001F6DAC">
        <w:rPr>
          <w:rFonts w:ascii="Verdana" w:hAnsi="Verdana"/>
          <w:color w:val="000000"/>
          <w:sz w:val="18"/>
          <w:szCs w:val="18"/>
        </w:rPr>
        <w:t>rá este quien deba demostrar que el arrendatario efectivamente utilizó la habitación arrendada como su residencia habitual.</w:t>
      </w:r>
    </w:p>
    <w:p w14:paraId="4B1596CD" w14:textId="77777777" w:rsidR="001F6DAC" w:rsidRDefault="001F6DAC" w:rsidP="00174599">
      <w:pPr>
        <w:ind w:left="284"/>
        <w:jc w:val="both"/>
        <w:rPr>
          <w:rFonts w:ascii="Verdana" w:hAnsi="Verdana"/>
          <w:color w:val="000000"/>
          <w:sz w:val="18"/>
          <w:szCs w:val="18"/>
        </w:rPr>
      </w:pPr>
      <w:r w:rsidRPr="001F6DAC">
        <w:rPr>
          <w:rFonts w:ascii="Verdana" w:hAnsi="Verdana"/>
          <w:color w:val="000000"/>
          <w:sz w:val="18"/>
          <w:szCs w:val="18"/>
        </w:rPr>
        <w:t>Dicha acreditación será objeto de valoración por parte de la </w:t>
      </w:r>
      <w:r w:rsidRPr="001F6DAC">
        <w:rPr>
          <w:rFonts w:ascii="Verdana" w:hAnsi="Verdana"/>
          <w:b/>
          <w:bCs/>
          <w:color w:val="000000"/>
          <w:sz w:val="18"/>
          <w:szCs w:val="18"/>
        </w:rPr>
        <w:t>Administración tributaria</w:t>
      </w:r>
      <w:r w:rsidRPr="001F6DAC">
        <w:rPr>
          <w:rFonts w:ascii="Verdana" w:hAnsi="Verdana"/>
          <w:color w:val="000000"/>
          <w:sz w:val="18"/>
          <w:szCs w:val="18"/>
        </w:rPr>
        <w:t>, en el marco de un eventual procedimiento de comprobación o inspección.</w:t>
      </w:r>
    </w:p>
    <w:p w14:paraId="6CD2A073" w14:textId="77777777" w:rsidR="001F6DAC" w:rsidRPr="001F6DAC" w:rsidRDefault="001F6DAC" w:rsidP="00174599">
      <w:pPr>
        <w:ind w:left="284"/>
        <w:jc w:val="both"/>
        <w:rPr>
          <w:rFonts w:ascii="Verdana" w:hAnsi="Verdana"/>
          <w:color w:val="000000"/>
          <w:sz w:val="18"/>
          <w:szCs w:val="18"/>
        </w:rPr>
      </w:pPr>
    </w:p>
    <w:p w14:paraId="3FC2594E" w14:textId="77777777" w:rsidR="001F6DAC" w:rsidRPr="001F6DAC" w:rsidRDefault="001F6DAC" w:rsidP="00174599">
      <w:pPr>
        <w:ind w:left="284"/>
        <w:jc w:val="both"/>
        <w:rPr>
          <w:rFonts w:ascii="Verdana" w:hAnsi="Verdana"/>
          <w:color w:val="000000"/>
          <w:sz w:val="18"/>
          <w:szCs w:val="18"/>
        </w:rPr>
      </w:pPr>
      <w:r w:rsidRPr="001F6DAC">
        <w:rPr>
          <w:rFonts w:ascii="Verdana" w:hAnsi="Verdana"/>
          <w:color w:val="000000"/>
          <w:sz w:val="18"/>
          <w:szCs w:val="18"/>
        </w:rPr>
        <w:t>La reducción </w:t>
      </w:r>
      <w:r w:rsidRPr="001F6DAC">
        <w:rPr>
          <w:rFonts w:ascii="Verdana" w:hAnsi="Verdana"/>
          <w:b/>
          <w:bCs/>
          <w:color w:val="000000"/>
          <w:sz w:val="18"/>
          <w:szCs w:val="18"/>
        </w:rPr>
        <w:t>no podrá aplicarse</w:t>
      </w:r>
      <w:r w:rsidRPr="001F6DAC">
        <w:rPr>
          <w:rFonts w:ascii="Verdana" w:hAnsi="Verdana"/>
          <w:color w:val="000000"/>
          <w:sz w:val="18"/>
          <w:szCs w:val="18"/>
        </w:rPr>
        <w:t> si, durante un procedimiento de comprobación administrativa, se detecta:</w:t>
      </w:r>
    </w:p>
    <w:p w14:paraId="1DE8CB19" w14:textId="77777777" w:rsidR="001F6DAC" w:rsidRPr="001F6DAC" w:rsidRDefault="001F6DAC">
      <w:pPr>
        <w:numPr>
          <w:ilvl w:val="0"/>
          <w:numId w:val="16"/>
        </w:numPr>
        <w:ind w:left="284" w:firstLine="0"/>
        <w:jc w:val="both"/>
        <w:rPr>
          <w:rFonts w:ascii="Verdana" w:hAnsi="Verdana"/>
          <w:color w:val="000000"/>
          <w:sz w:val="18"/>
          <w:szCs w:val="18"/>
        </w:rPr>
      </w:pPr>
      <w:r w:rsidRPr="001F6DAC">
        <w:rPr>
          <w:rFonts w:ascii="Verdana" w:hAnsi="Verdana"/>
          <w:color w:val="000000"/>
          <w:sz w:val="18"/>
          <w:szCs w:val="18"/>
        </w:rPr>
        <w:t>La existencia de </w:t>
      </w:r>
      <w:r w:rsidRPr="001F6DAC">
        <w:rPr>
          <w:rFonts w:ascii="Verdana" w:hAnsi="Verdana"/>
          <w:b/>
          <w:bCs/>
          <w:color w:val="000000"/>
          <w:sz w:val="18"/>
          <w:szCs w:val="18"/>
        </w:rPr>
        <w:t>rendimientos no declarados</w:t>
      </w:r>
      <w:r w:rsidRPr="001F6DAC">
        <w:rPr>
          <w:rFonts w:ascii="Verdana" w:hAnsi="Verdana"/>
          <w:color w:val="000000"/>
          <w:sz w:val="18"/>
          <w:szCs w:val="18"/>
        </w:rPr>
        <w:t>.</w:t>
      </w:r>
    </w:p>
    <w:p w14:paraId="06C435AF" w14:textId="77777777" w:rsidR="001F6DAC" w:rsidRDefault="001F6DAC">
      <w:pPr>
        <w:numPr>
          <w:ilvl w:val="0"/>
          <w:numId w:val="16"/>
        </w:numPr>
        <w:ind w:left="284" w:firstLine="0"/>
        <w:jc w:val="both"/>
        <w:rPr>
          <w:rFonts w:ascii="Verdana" w:hAnsi="Verdana"/>
          <w:color w:val="000000"/>
          <w:sz w:val="18"/>
          <w:szCs w:val="18"/>
        </w:rPr>
      </w:pPr>
      <w:r w:rsidRPr="001F6DAC">
        <w:rPr>
          <w:rFonts w:ascii="Verdana" w:hAnsi="Verdana"/>
          <w:color w:val="000000"/>
          <w:sz w:val="18"/>
          <w:szCs w:val="18"/>
        </w:rPr>
        <w:t>La inclusión de </w:t>
      </w:r>
      <w:r w:rsidRPr="001F6DAC">
        <w:rPr>
          <w:rFonts w:ascii="Verdana" w:hAnsi="Verdana"/>
          <w:b/>
          <w:bCs/>
          <w:color w:val="000000"/>
          <w:sz w:val="18"/>
          <w:szCs w:val="18"/>
        </w:rPr>
        <w:t>gastos no deducibles</w:t>
      </w:r>
      <w:r w:rsidRPr="001F6DAC">
        <w:rPr>
          <w:rFonts w:ascii="Verdana" w:hAnsi="Verdana"/>
          <w:color w:val="000000"/>
          <w:sz w:val="18"/>
          <w:szCs w:val="18"/>
        </w:rPr>
        <w:t>.</w:t>
      </w:r>
    </w:p>
    <w:p w14:paraId="3F20C4B4" w14:textId="77777777" w:rsidR="00D90753" w:rsidRPr="001F6DAC" w:rsidRDefault="00D90753" w:rsidP="00D90753">
      <w:pPr>
        <w:ind w:left="284"/>
        <w:jc w:val="both"/>
        <w:rPr>
          <w:rFonts w:ascii="Verdana" w:hAnsi="Verdana"/>
          <w:color w:val="000000"/>
          <w:sz w:val="18"/>
          <w:szCs w:val="18"/>
        </w:rPr>
      </w:pPr>
    </w:p>
    <w:p w14:paraId="304C2582" w14:textId="77777777" w:rsidR="001F6DAC" w:rsidRPr="001F6DAC" w:rsidRDefault="001F6DAC" w:rsidP="00174599">
      <w:pPr>
        <w:ind w:left="284"/>
        <w:jc w:val="both"/>
        <w:rPr>
          <w:rFonts w:ascii="Verdana" w:hAnsi="Verdana"/>
          <w:color w:val="000000"/>
          <w:sz w:val="18"/>
          <w:szCs w:val="18"/>
        </w:rPr>
      </w:pPr>
      <w:r w:rsidRPr="001F6DAC">
        <w:rPr>
          <w:rFonts w:ascii="Verdana" w:hAnsi="Verdana"/>
          <w:color w:val="000000"/>
          <w:sz w:val="18"/>
          <w:szCs w:val="18"/>
        </w:rPr>
        <w:t>En tales casos, la reducción del 50% se pierde, conforme a lo previsto en el </w:t>
      </w:r>
      <w:r w:rsidRPr="001F6DAC">
        <w:rPr>
          <w:rFonts w:ascii="Verdana" w:hAnsi="Verdana"/>
          <w:b/>
          <w:bCs/>
          <w:color w:val="000000"/>
          <w:sz w:val="18"/>
          <w:szCs w:val="18"/>
        </w:rPr>
        <w:t>artículo 23.2, letra d) de la Ley IRPF</w:t>
      </w:r>
      <w:r w:rsidRPr="001F6DAC">
        <w:rPr>
          <w:rFonts w:ascii="Verdana" w:hAnsi="Verdana"/>
          <w:color w:val="000000"/>
          <w:sz w:val="18"/>
          <w:szCs w:val="18"/>
        </w:rPr>
        <w:t>.</w:t>
      </w:r>
    </w:p>
    <w:p w14:paraId="3F170FE8" w14:textId="77777777" w:rsidR="001F6DAC" w:rsidRPr="001F6DAC" w:rsidRDefault="001F6DAC" w:rsidP="00174599">
      <w:pPr>
        <w:ind w:left="284"/>
        <w:jc w:val="both"/>
        <w:rPr>
          <w:rFonts w:ascii="Verdana" w:hAnsi="Verdana"/>
          <w:color w:val="000000"/>
          <w:sz w:val="18"/>
          <w:szCs w:val="18"/>
        </w:rPr>
      </w:pPr>
    </w:p>
    <w:p w14:paraId="00FC268D" w14:textId="1002DE20" w:rsidR="001F6DAC" w:rsidRDefault="001F6DAC" w:rsidP="00174599">
      <w:pPr>
        <w:ind w:left="284"/>
        <w:jc w:val="both"/>
        <w:rPr>
          <w:rFonts w:ascii="Verdana" w:hAnsi="Verdana"/>
          <w:color w:val="000000"/>
          <w:sz w:val="18"/>
          <w:szCs w:val="18"/>
        </w:rPr>
      </w:pPr>
      <w:r w:rsidRPr="001F6DAC">
        <w:rPr>
          <w:rFonts w:ascii="Verdana" w:hAnsi="Verdana"/>
          <w:color w:val="000000"/>
          <w:sz w:val="18"/>
          <w:szCs w:val="18"/>
        </w:rPr>
        <w:t>La DGT concluye que </w:t>
      </w:r>
      <w:r w:rsidRPr="001F6DAC">
        <w:rPr>
          <w:rFonts w:ascii="Verdana" w:hAnsi="Verdana"/>
          <w:b/>
          <w:bCs/>
          <w:color w:val="000000"/>
          <w:sz w:val="18"/>
          <w:szCs w:val="18"/>
        </w:rPr>
        <w:t>sí es posible aplicar la reducción del 50% en el IRPF sobre los rendimientos netos obtenidos por el arrendamiento de habitaciones</w:t>
      </w:r>
      <w:r w:rsidRPr="001F6DAC">
        <w:rPr>
          <w:rFonts w:ascii="Verdana" w:hAnsi="Verdana"/>
          <w:color w:val="000000"/>
          <w:sz w:val="18"/>
          <w:szCs w:val="18"/>
        </w:rPr>
        <w:t>, siempre que se acredite que dicho alquiler tiene como finalidad el uso de vivienda habitual por parte del arrendatario.</w:t>
      </w:r>
    </w:p>
    <w:p w14:paraId="163F7148" w14:textId="77777777" w:rsidR="0095404D" w:rsidRDefault="0095404D" w:rsidP="00174599">
      <w:pPr>
        <w:ind w:left="284"/>
        <w:jc w:val="both"/>
        <w:rPr>
          <w:rFonts w:ascii="Verdana" w:hAnsi="Verdana"/>
          <w:color w:val="0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95404D" w:rsidRPr="0095404D" w14:paraId="5FFB8B02" w14:textId="77777777" w:rsidTr="00A07375">
        <w:tc>
          <w:tcPr>
            <w:tcW w:w="180" w:type="dxa"/>
            <w:shd w:val="clear" w:color="auto" w:fill="FF6600"/>
          </w:tcPr>
          <w:p w14:paraId="6160F74B" w14:textId="77777777" w:rsidR="0095404D" w:rsidRPr="0095404D" w:rsidRDefault="0095404D" w:rsidP="00A07375">
            <w:pPr>
              <w:rPr>
                <w:rFonts w:ascii="Verdana" w:hAnsi="Verdana"/>
                <w:b/>
                <w:bCs/>
                <w:color w:val="800000"/>
                <w:sz w:val="18"/>
                <w:szCs w:val="18"/>
              </w:rPr>
            </w:pPr>
            <w:bookmarkStart w:id="1" w:name="_Hlk205465208"/>
          </w:p>
        </w:tc>
        <w:tc>
          <w:tcPr>
            <w:tcW w:w="8460" w:type="dxa"/>
          </w:tcPr>
          <w:p w14:paraId="5FFBF53A" w14:textId="6ECA6B2E" w:rsidR="0095404D" w:rsidRPr="0095404D" w:rsidRDefault="0095404D" w:rsidP="00A07375">
            <w:pPr>
              <w:numPr>
                <w:ilvl w:val="0"/>
                <w:numId w:val="1"/>
              </w:numPr>
              <w:tabs>
                <w:tab w:val="clear" w:pos="720"/>
                <w:tab w:val="num" w:pos="317"/>
              </w:tabs>
              <w:ind w:left="317" w:hanging="283"/>
              <w:jc w:val="both"/>
              <w:rPr>
                <w:rFonts w:ascii="Verdana" w:hAnsi="Verdana"/>
                <w:b/>
                <w:bCs/>
                <w:color w:val="800000"/>
                <w:spacing w:val="-8"/>
                <w:sz w:val="18"/>
                <w:szCs w:val="18"/>
              </w:rPr>
            </w:pPr>
            <w:r w:rsidRPr="0095404D">
              <w:rPr>
                <w:rFonts w:ascii="Verdana" w:hAnsi="Verdana"/>
                <w:b/>
                <w:bCs/>
                <w:color w:val="800000"/>
                <w:sz w:val="18"/>
                <w:szCs w:val="18"/>
              </w:rPr>
              <w:t>IRPF. -  LA FACULTAD DE CALIFICACIÓN PERMITE A LA ADMINISTRACIÓN TRIBUTARIA RECALIFICAR RENDIMIENTOS DEL TRABAJO COMO RENDIMIENTOS DE ACTIVIDADES ECONÓMICAS CUANDO NO SE APRECIA LA AJENIDAD Y DEPENDENCIA PROPIAS DE UNA RELACIÓN LABORAL</w:t>
            </w:r>
          </w:p>
        </w:tc>
      </w:tr>
      <w:bookmarkEnd w:id="1"/>
    </w:tbl>
    <w:p w14:paraId="0CE5759D" w14:textId="77777777" w:rsidR="0095404D" w:rsidRDefault="0095404D" w:rsidP="00174599">
      <w:pPr>
        <w:ind w:left="284"/>
        <w:jc w:val="both"/>
        <w:rPr>
          <w:rFonts w:ascii="Verdana" w:hAnsi="Verdana"/>
          <w:color w:val="000000"/>
          <w:sz w:val="18"/>
          <w:szCs w:val="18"/>
        </w:rPr>
      </w:pPr>
    </w:p>
    <w:p w14:paraId="1158FBC4" w14:textId="19BB6E7F" w:rsidR="0095404D" w:rsidRPr="0095404D" w:rsidRDefault="0095404D" w:rsidP="0095404D">
      <w:pPr>
        <w:ind w:left="284"/>
        <w:jc w:val="both"/>
        <w:rPr>
          <w:rFonts w:ascii="Verdana" w:hAnsi="Verdana"/>
          <w:color w:val="000000"/>
          <w:sz w:val="18"/>
          <w:szCs w:val="18"/>
        </w:rPr>
      </w:pPr>
      <w:r>
        <w:rPr>
          <w:rFonts w:ascii="Verdana" w:hAnsi="Verdana"/>
          <w:color w:val="000000"/>
          <w:sz w:val="18"/>
          <w:szCs w:val="18"/>
        </w:rPr>
        <w:t>En sendas s</w:t>
      </w:r>
      <w:r w:rsidRPr="0095404D">
        <w:rPr>
          <w:rFonts w:ascii="Verdana" w:hAnsi="Verdana"/>
          <w:color w:val="000000"/>
          <w:sz w:val="18"/>
          <w:szCs w:val="18"/>
        </w:rPr>
        <w:t>entencias del Tribunal Supremo, Sala de lo Contencioso, de 26 de mayo y 4 de junio de 2025 (Rec. 3842/2023 y 3517/2023)</w:t>
      </w:r>
      <w:r>
        <w:rPr>
          <w:rFonts w:ascii="Verdana" w:hAnsi="Verdana"/>
          <w:color w:val="000000"/>
          <w:sz w:val="18"/>
          <w:szCs w:val="18"/>
        </w:rPr>
        <w:t xml:space="preserve">, </w:t>
      </w:r>
      <w:r w:rsidRPr="0095404D">
        <w:rPr>
          <w:rFonts w:ascii="Verdana" w:hAnsi="Verdana"/>
          <w:color w:val="000000"/>
          <w:sz w:val="18"/>
          <w:szCs w:val="18"/>
        </w:rPr>
        <w:t xml:space="preserve">confirma que la potestad del artículo 13 de la Ley General Tributaria es formal y materialmente suficiente </w:t>
      </w:r>
      <w:r w:rsidRPr="0095404D">
        <w:rPr>
          <w:rFonts w:ascii="Verdana" w:hAnsi="Verdana"/>
          <w:b/>
          <w:bCs/>
          <w:color w:val="000000"/>
          <w:sz w:val="18"/>
          <w:szCs w:val="18"/>
        </w:rPr>
        <w:t>para recalificar los rendimientos que una sociedad paga a su socio mayoritario como rendimientos de actividades económicas sujetos a IVA</w:t>
      </w:r>
      <w:r w:rsidRPr="0095404D">
        <w:rPr>
          <w:rFonts w:ascii="Verdana" w:hAnsi="Verdana"/>
          <w:color w:val="000000"/>
          <w:sz w:val="18"/>
          <w:szCs w:val="18"/>
        </w:rPr>
        <w:t>, toda vez que no se discute la realidad o materialidad de la sociedad pagadora y que se aprecia una ordenación de medios personales y materiales por cuenta propia del contribuyente. Se suman así dos sentencias más a la jurisprudencia reciente sobre la delimitación del ámbito de aplicación de los artículos 13, 15 y 16 LGT.</w:t>
      </w:r>
    </w:p>
    <w:p w14:paraId="1DBF559D" w14:textId="77777777" w:rsidR="0095404D" w:rsidRPr="0095404D" w:rsidRDefault="0095404D" w:rsidP="0095404D">
      <w:pPr>
        <w:ind w:left="284"/>
        <w:jc w:val="both"/>
        <w:rPr>
          <w:rFonts w:ascii="Verdana" w:hAnsi="Verdana"/>
          <w:color w:val="000000"/>
          <w:sz w:val="18"/>
          <w:szCs w:val="18"/>
        </w:rPr>
      </w:pPr>
    </w:p>
    <w:p w14:paraId="50441F7B" w14:textId="77777777" w:rsidR="0095404D" w:rsidRPr="0095404D" w:rsidRDefault="0095404D" w:rsidP="0095404D">
      <w:pPr>
        <w:ind w:left="284"/>
        <w:jc w:val="both"/>
        <w:rPr>
          <w:rFonts w:ascii="Verdana" w:hAnsi="Verdana"/>
          <w:color w:val="000000"/>
          <w:sz w:val="18"/>
          <w:szCs w:val="18"/>
        </w:rPr>
      </w:pPr>
      <w:r w:rsidRPr="0095404D">
        <w:rPr>
          <w:rFonts w:ascii="Verdana" w:hAnsi="Verdana"/>
          <w:color w:val="000000"/>
          <w:sz w:val="18"/>
          <w:szCs w:val="18"/>
        </w:rPr>
        <w:t>Estos dos procedimientos —</w:t>
      </w:r>
      <w:r w:rsidRPr="0095404D">
        <w:rPr>
          <w:rFonts w:ascii="Verdana" w:hAnsi="Verdana"/>
          <w:b/>
          <w:bCs/>
          <w:color w:val="000000"/>
          <w:sz w:val="18"/>
          <w:szCs w:val="18"/>
        </w:rPr>
        <w:t>uno en materia de IRPF, el otro en materia de IVA</w:t>
      </w:r>
      <w:r w:rsidRPr="0095404D">
        <w:rPr>
          <w:rFonts w:ascii="Verdana" w:hAnsi="Verdana"/>
          <w:color w:val="000000"/>
          <w:sz w:val="18"/>
          <w:szCs w:val="18"/>
        </w:rPr>
        <w:t xml:space="preserve">— traen causa de una misma regularización a un contribuyente que había declarado como rendimientos del trabajo los importes procedentes de una sociedad en la que mantenía una participación mayoritaria y ejercía como administrador único, pero que, según la Inspección, </w:t>
      </w:r>
      <w:r w:rsidRPr="0095404D">
        <w:rPr>
          <w:rFonts w:ascii="Verdana" w:hAnsi="Verdana"/>
          <w:b/>
          <w:bCs/>
          <w:color w:val="000000"/>
          <w:sz w:val="18"/>
          <w:szCs w:val="18"/>
        </w:rPr>
        <w:t>carecía de medios materiales y personales suficientes para desarrollar su actividad</w:t>
      </w:r>
      <w:r w:rsidRPr="0095404D">
        <w:rPr>
          <w:rFonts w:ascii="Verdana" w:hAnsi="Verdana"/>
          <w:color w:val="000000"/>
          <w:sz w:val="18"/>
          <w:szCs w:val="18"/>
        </w:rPr>
        <w:t>, de forma que existía confusión entre la sociedad y su socio en la verdadera identidad del prestador de servicios.</w:t>
      </w:r>
    </w:p>
    <w:p w14:paraId="60789B68" w14:textId="77777777" w:rsidR="0095404D" w:rsidRPr="0095404D" w:rsidRDefault="0095404D" w:rsidP="0095404D">
      <w:pPr>
        <w:ind w:left="284"/>
        <w:jc w:val="both"/>
        <w:rPr>
          <w:rFonts w:ascii="Verdana" w:hAnsi="Verdana"/>
          <w:color w:val="000000"/>
          <w:sz w:val="18"/>
          <w:szCs w:val="18"/>
        </w:rPr>
      </w:pPr>
    </w:p>
    <w:p w14:paraId="0DEEC9F0" w14:textId="77777777" w:rsidR="0095404D" w:rsidRPr="0095404D" w:rsidRDefault="0095404D" w:rsidP="0095404D">
      <w:pPr>
        <w:ind w:left="284"/>
        <w:jc w:val="both"/>
        <w:rPr>
          <w:rFonts w:ascii="Verdana" w:hAnsi="Verdana"/>
          <w:color w:val="000000"/>
          <w:sz w:val="18"/>
          <w:szCs w:val="18"/>
        </w:rPr>
      </w:pPr>
      <w:r w:rsidRPr="0095404D">
        <w:rPr>
          <w:rFonts w:ascii="Verdana" w:hAnsi="Verdana"/>
          <w:color w:val="000000"/>
          <w:sz w:val="18"/>
          <w:szCs w:val="18"/>
        </w:rPr>
        <w:t xml:space="preserve">La regularización se fundamentó principalmente en la </w:t>
      </w:r>
      <w:r w:rsidRPr="0095404D">
        <w:rPr>
          <w:rFonts w:ascii="Verdana" w:hAnsi="Verdana"/>
          <w:b/>
          <w:bCs/>
          <w:color w:val="000000"/>
          <w:sz w:val="18"/>
          <w:szCs w:val="18"/>
        </w:rPr>
        <w:t>inexistencia de las notas de ajenidad y dependencia propias de una relación laboral en la relación entre el contribuyente y la entidad</w:t>
      </w:r>
      <w:r w:rsidRPr="0095404D">
        <w:rPr>
          <w:rFonts w:ascii="Verdana" w:hAnsi="Verdana"/>
          <w:color w:val="000000"/>
          <w:sz w:val="18"/>
          <w:szCs w:val="18"/>
        </w:rPr>
        <w:t>, y en que las supuestas remuneraciones salariales respondían, en realidad, a la ordenación de medios personales y materiales por cuenta propia del contribuyente, pues la sociedad no disponía de empleados ajenos ni de infraestructura propia y su domicilio fiscal coincidía con el del socio.</w:t>
      </w:r>
    </w:p>
    <w:p w14:paraId="1CC5B7E8" w14:textId="77777777" w:rsidR="0095404D" w:rsidRPr="0095404D" w:rsidRDefault="0095404D" w:rsidP="0095404D">
      <w:pPr>
        <w:ind w:left="284"/>
        <w:jc w:val="both"/>
        <w:rPr>
          <w:rFonts w:ascii="Verdana" w:hAnsi="Verdana"/>
          <w:color w:val="000000"/>
          <w:sz w:val="18"/>
          <w:szCs w:val="18"/>
        </w:rPr>
      </w:pPr>
    </w:p>
    <w:p w14:paraId="682D1034" w14:textId="77777777" w:rsidR="0095404D" w:rsidRPr="0095404D" w:rsidRDefault="0095404D" w:rsidP="0095404D">
      <w:pPr>
        <w:ind w:left="284"/>
        <w:jc w:val="both"/>
        <w:rPr>
          <w:rFonts w:ascii="Verdana" w:hAnsi="Verdana"/>
          <w:color w:val="000000"/>
          <w:sz w:val="18"/>
          <w:szCs w:val="18"/>
        </w:rPr>
      </w:pPr>
      <w:r w:rsidRPr="0095404D">
        <w:rPr>
          <w:rFonts w:ascii="Verdana" w:hAnsi="Verdana"/>
          <w:color w:val="000000"/>
          <w:sz w:val="18"/>
          <w:szCs w:val="18"/>
        </w:rPr>
        <w:t>Aunque en el curso de la misma regularización la Administración aplicó el artículo 16 de la Ley General Tributaria (relativo a la simulación) para regularizar aquellos períodos en los que se consideró que había existido una división artificial de la actividad entre el contribuyente y su cónyuge a fin de prolongar el régimen de estimación objetiva, para recalificar los rendimientos del trabajo en rendimientos de actividades económicas a efectos del IRPF y del IVA se acudió a la facultad de calificación (art. 13 LGT).</w:t>
      </w:r>
    </w:p>
    <w:p w14:paraId="23D37B53" w14:textId="77777777" w:rsidR="0095404D" w:rsidRPr="0095404D" w:rsidRDefault="0095404D" w:rsidP="0095404D">
      <w:pPr>
        <w:ind w:left="284"/>
        <w:jc w:val="both"/>
        <w:rPr>
          <w:rFonts w:ascii="Verdana" w:hAnsi="Verdana"/>
          <w:color w:val="000000"/>
          <w:sz w:val="18"/>
          <w:szCs w:val="18"/>
        </w:rPr>
      </w:pPr>
    </w:p>
    <w:p w14:paraId="29E56879" w14:textId="032EF03B" w:rsidR="0095404D" w:rsidRDefault="0095404D" w:rsidP="0095404D">
      <w:pPr>
        <w:ind w:left="284"/>
        <w:jc w:val="both"/>
        <w:rPr>
          <w:rFonts w:ascii="Verdana" w:hAnsi="Verdana"/>
          <w:color w:val="000000"/>
          <w:sz w:val="18"/>
          <w:szCs w:val="18"/>
        </w:rPr>
      </w:pPr>
      <w:r w:rsidRPr="0095404D">
        <w:rPr>
          <w:rFonts w:ascii="Verdana" w:hAnsi="Verdana"/>
          <w:color w:val="000000"/>
          <w:sz w:val="18"/>
          <w:szCs w:val="18"/>
        </w:rPr>
        <w:t xml:space="preserve">El Tribunal Supremo concluye que, en las circunstancias del caso, el empleo de esa facultad es correcto y acorde a su propia jurisprudencia. Se toma en cuenta, en particular, que la posición inspectora no era la de considerar que hubiera habido una interposición ficticia de la sociedad en la prestación de servicios, </w:t>
      </w:r>
      <w:r w:rsidRPr="0095404D">
        <w:rPr>
          <w:rFonts w:ascii="Verdana" w:hAnsi="Verdana"/>
          <w:b/>
          <w:bCs/>
          <w:color w:val="000000"/>
          <w:sz w:val="18"/>
          <w:szCs w:val="18"/>
        </w:rPr>
        <w:t>sino únicamente que la relación con su socio no debería calificarse como laboral</w:t>
      </w:r>
      <w:r w:rsidRPr="0095404D">
        <w:rPr>
          <w:rFonts w:ascii="Verdana" w:hAnsi="Verdana"/>
          <w:color w:val="000000"/>
          <w:sz w:val="18"/>
          <w:szCs w:val="18"/>
        </w:rPr>
        <w:t>.</w:t>
      </w:r>
    </w:p>
    <w:p w14:paraId="32D3AB9F" w14:textId="77777777" w:rsidR="00D4289D" w:rsidRDefault="00D4289D" w:rsidP="0095404D">
      <w:pPr>
        <w:ind w:left="284"/>
        <w:jc w:val="both"/>
        <w:rPr>
          <w:rFonts w:ascii="Verdana" w:hAnsi="Verdana"/>
          <w:color w:val="000000"/>
          <w:sz w:val="18"/>
          <w:szCs w:val="18"/>
        </w:rPr>
      </w:pPr>
    </w:p>
    <w:p w14:paraId="278FEFEB" w14:textId="77777777" w:rsidR="00D4289D" w:rsidRDefault="00D4289D" w:rsidP="0095404D">
      <w:pPr>
        <w:ind w:left="284"/>
        <w:jc w:val="both"/>
        <w:rPr>
          <w:rFonts w:ascii="Verdana" w:hAnsi="Verdana"/>
          <w:color w:val="0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D4289D" w:rsidRPr="005A6246" w14:paraId="2B566E8F" w14:textId="77777777" w:rsidTr="00E7071D">
        <w:tc>
          <w:tcPr>
            <w:tcW w:w="180" w:type="dxa"/>
            <w:shd w:val="clear" w:color="auto" w:fill="FF6600"/>
          </w:tcPr>
          <w:p w14:paraId="38FE5F12" w14:textId="77777777" w:rsidR="00D4289D" w:rsidRPr="005A6246" w:rsidRDefault="00D4289D" w:rsidP="00E7071D">
            <w:pPr>
              <w:rPr>
                <w:rFonts w:ascii="Verdana" w:hAnsi="Verdana"/>
                <w:b/>
                <w:bCs/>
                <w:iCs/>
                <w:color w:val="800000"/>
                <w:sz w:val="18"/>
                <w:szCs w:val="18"/>
              </w:rPr>
            </w:pPr>
          </w:p>
        </w:tc>
        <w:tc>
          <w:tcPr>
            <w:tcW w:w="8460" w:type="dxa"/>
          </w:tcPr>
          <w:p w14:paraId="11920F02" w14:textId="24FCA4C3" w:rsidR="00D4289D" w:rsidRPr="005A6246" w:rsidRDefault="005A6246" w:rsidP="005A6246">
            <w:pPr>
              <w:pStyle w:val="Prrafodelista"/>
              <w:numPr>
                <w:ilvl w:val="0"/>
                <w:numId w:val="1"/>
              </w:numPr>
              <w:tabs>
                <w:tab w:val="clear" w:pos="720"/>
                <w:tab w:val="num" w:pos="384"/>
              </w:tabs>
              <w:ind w:left="384" w:hanging="283"/>
              <w:jc w:val="both"/>
              <w:rPr>
                <w:rFonts w:ascii="Verdana" w:hAnsi="Verdana"/>
                <w:b/>
                <w:bCs/>
                <w:iCs/>
                <w:color w:val="800000"/>
                <w:sz w:val="18"/>
                <w:szCs w:val="18"/>
              </w:rPr>
            </w:pPr>
            <w:r w:rsidRPr="005A6246">
              <w:rPr>
                <w:rFonts w:ascii="Verdana" w:hAnsi="Verdana"/>
                <w:b/>
                <w:bCs/>
                <w:iCs/>
                <w:color w:val="800000"/>
                <w:sz w:val="18"/>
                <w:szCs w:val="18"/>
              </w:rPr>
              <w:t>IRPF. - TIENEN ACCESO A LA EXENCIÓN DEL IRPF LAS INDEMNIZACIONES POR DESPIDO DE ALTOS DIRECTIVOS QUE TAMBIÉN SON CONSEJEROS</w:t>
            </w:r>
          </w:p>
        </w:tc>
      </w:tr>
    </w:tbl>
    <w:p w14:paraId="3F566205" w14:textId="77777777" w:rsidR="00D4289D" w:rsidRDefault="00D4289D" w:rsidP="0095404D">
      <w:pPr>
        <w:ind w:left="284"/>
        <w:jc w:val="both"/>
        <w:rPr>
          <w:rFonts w:ascii="Verdana" w:hAnsi="Verdana"/>
          <w:color w:val="000000"/>
          <w:sz w:val="18"/>
          <w:szCs w:val="18"/>
        </w:rPr>
      </w:pPr>
    </w:p>
    <w:p w14:paraId="6D83486A" w14:textId="55789EB2" w:rsidR="005A6246" w:rsidRPr="005A6246" w:rsidRDefault="005A6246" w:rsidP="005A6246">
      <w:pPr>
        <w:ind w:left="284"/>
        <w:jc w:val="both"/>
        <w:rPr>
          <w:rFonts w:ascii="Verdana" w:hAnsi="Verdana"/>
          <w:color w:val="000000"/>
          <w:sz w:val="18"/>
          <w:szCs w:val="18"/>
        </w:rPr>
      </w:pPr>
      <w:r w:rsidRPr="005A6246">
        <w:rPr>
          <w:rFonts w:ascii="Verdana" w:hAnsi="Verdana"/>
          <w:color w:val="000000"/>
          <w:sz w:val="18"/>
          <w:szCs w:val="18"/>
        </w:rPr>
        <w:t>El Tribunal Supremo</w:t>
      </w:r>
      <w:r>
        <w:rPr>
          <w:rFonts w:ascii="Verdana" w:hAnsi="Verdana"/>
          <w:color w:val="000000"/>
          <w:sz w:val="18"/>
          <w:szCs w:val="18"/>
        </w:rPr>
        <w:t xml:space="preserve"> en su sentencia </w:t>
      </w:r>
      <w:r w:rsidR="00CB0F32">
        <w:rPr>
          <w:rFonts w:ascii="Verdana" w:hAnsi="Verdana"/>
          <w:color w:val="000000"/>
          <w:sz w:val="18"/>
          <w:szCs w:val="18"/>
        </w:rPr>
        <w:t>de la</w:t>
      </w:r>
      <w:r>
        <w:rPr>
          <w:rFonts w:ascii="Verdana" w:hAnsi="Verdana"/>
          <w:color w:val="000000"/>
          <w:sz w:val="18"/>
          <w:szCs w:val="18"/>
        </w:rPr>
        <w:t xml:space="preserve"> Sala de lo Contencioso, de 24 de junio de 2024 </w:t>
      </w:r>
      <w:r w:rsidRPr="005A6246">
        <w:rPr>
          <w:rFonts w:ascii="Verdana" w:hAnsi="Verdana"/>
          <w:color w:val="000000"/>
          <w:sz w:val="18"/>
          <w:szCs w:val="18"/>
        </w:rPr>
        <w:t>(Rec. 4736/2023)</w:t>
      </w:r>
      <w:r>
        <w:rPr>
          <w:rFonts w:ascii="Verdana" w:hAnsi="Verdana"/>
          <w:color w:val="000000"/>
          <w:sz w:val="18"/>
          <w:szCs w:val="18"/>
        </w:rPr>
        <w:t>,</w:t>
      </w:r>
      <w:r w:rsidRPr="005A6246">
        <w:rPr>
          <w:rFonts w:ascii="Verdana" w:hAnsi="Verdana"/>
          <w:color w:val="000000"/>
          <w:sz w:val="18"/>
          <w:szCs w:val="18"/>
        </w:rPr>
        <w:t xml:space="preserve"> </w:t>
      </w:r>
      <w:r w:rsidRPr="00CB0F32">
        <w:rPr>
          <w:rFonts w:ascii="Verdana" w:hAnsi="Verdana"/>
          <w:b/>
          <w:bCs/>
          <w:color w:val="000000"/>
          <w:sz w:val="18"/>
          <w:szCs w:val="18"/>
        </w:rPr>
        <w:t>confirma la posibilidad de aplicar la exención en el Impuesto sobre la Renta de las Personas Físicas a la indemnización por despido percibida por un miembro del consejo de administración que tiene contrato de alta dirección</w:t>
      </w:r>
      <w:r w:rsidRPr="005A6246">
        <w:rPr>
          <w:rFonts w:ascii="Verdana" w:hAnsi="Verdana"/>
          <w:color w:val="000000"/>
          <w:sz w:val="18"/>
          <w:szCs w:val="18"/>
        </w:rPr>
        <w:t xml:space="preserve"> con la empresa, hasta el límite de siete días de salario por año de trabajo, con un máximo de seis mensualidades.</w:t>
      </w:r>
    </w:p>
    <w:p w14:paraId="607DF49B" w14:textId="77777777" w:rsidR="005A6246" w:rsidRPr="005A6246" w:rsidRDefault="005A6246" w:rsidP="005A6246">
      <w:pPr>
        <w:ind w:left="284"/>
        <w:jc w:val="both"/>
        <w:rPr>
          <w:rFonts w:ascii="Verdana" w:hAnsi="Verdana"/>
          <w:color w:val="000000"/>
          <w:sz w:val="18"/>
          <w:szCs w:val="18"/>
        </w:rPr>
      </w:pPr>
    </w:p>
    <w:p w14:paraId="5B1DBFF0" w14:textId="77777777" w:rsidR="005A6246" w:rsidRPr="005A6246" w:rsidRDefault="005A6246" w:rsidP="005A6246">
      <w:pPr>
        <w:ind w:left="284"/>
        <w:jc w:val="both"/>
        <w:rPr>
          <w:rFonts w:ascii="Verdana" w:hAnsi="Verdana"/>
          <w:color w:val="000000"/>
          <w:sz w:val="18"/>
          <w:szCs w:val="18"/>
        </w:rPr>
      </w:pPr>
      <w:r w:rsidRPr="00CB0F32">
        <w:rPr>
          <w:rFonts w:ascii="Verdana" w:hAnsi="Verdana"/>
          <w:b/>
          <w:bCs/>
          <w:color w:val="000000"/>
          <w:sz w:val="18"/>
          <w:szCs w:val="18"/>
        </w:rPr>
        <w:t>La Administración tributaria</w:t>
      </w:r>
      <w:r w:rsidRPr="005A6246">
        <w:rPr>
          <w:rFonts w:ascii="Verdana" w:hAnsi="Verdana"/>
          <w:color w:val="000000"/>
          <w:sz w:val="18"/>
          <w:szCs w:val="18"/>
        </w:rPr>
        <w:t xml:space="preserve">, en aplicación de la doctrina del vínculo —esto es, en el entendimiento de que la naturaleza mercantil de la relación como consejero absorbe la relación laboral especial de alta dirección—, </w:t>
      </w:r>
      <w:r w:rsidRPr="00D258DE">
        <w:rPr>
          <w:rFonts w:ascii="Verdana" w:hAnsi="Verdana"/>
          <w:b/>
          <w:bCs/>
          <w:color w:val="000000"/>
          <w:sz w:val="18"/>
          <w:szCs w:val="18"/>
        </w:rPr>
        <w:t>n</w:t>
      </w:r>
      <w:r w:rsidRPr="00CB0F32">
        <w:rPr>
          <w:rFonts w:ascii="Verdana" w:hAnsi="Verdana"/>
          <w:b/>
          <w:bCs/>
          <w:color w:val="000000"/>
          <w:sz w:val="18"/>
          <w:szCs w:val="18"/>
        </w:rPr>
        <w:t>egaba la posibilidad de aplicar la exención</w:t>
      </w:r>
      <w:r w:rsidRPr="005A6246">
        <w:rPr>
          <w:rFonts w:ascii="Verdana" w:hAnsi="Verdana"/>
          <w:color w:val="000000"/>
          <w:sz w:val="18"/>
          <w:szCs w:val="18"/>
        </w:rPr>
        <w:t xml:space="preserve"> del artículo 7.e) de la Ley del IRPF, prevista para las “indemnizaciones por despido o ceso del trabajador”, a la indemnización pagada a un consejero que también había firmado un contrato de alta dirección. La regularización administrativa fue respaldada inicialmente tanto por el TEAC como por la Audiencia Nacional.</w:t>
      </w:r>
    </w:p>
    <w:p w14:paraId="1F594E07" w14:textId="77777777" w:rsidR="005A6246" w:rsidRPr="005A6246" w:rsidRDefault="005A6246" w:rsidP="005A6246">
      <w:pPr>
        <w:ind w:left="284"/>
        <w:jc w:val="both"/>
        <w:rPr>
          <w:rFonts w:ascii="Verdana" w:hAnsi="Verdana"/>
          <w:color w:val="000000"/>
          <w:sz w:val="18"/>
          <w:szCs w:val="18"/>
        </w:rPr>
      </w:pPr>
    </w:p>
    <w:p w14:paraId="64AA336D" w14:textId="60F95E06" w:rsidR="0095404D" w:rsidRDefault="005A6246" w:rsidP="005A6246">
      <w:pPr>
        <w:ind w:left="284"/>
        <w:jc w:val="both"/>
        <w:rPr>
          <w:rFonts w:ascii="Verdana" w:hAnsi="Verdana"/>
          <w:color w:val="000000"/>
          <w:sz w:val="18"/>
          <w:szCs w:val="18"/>
        </w:rPr>
      </w:pPr>
      <w:r w:rsidRPr="005A6246">
        <w:rPr>
          <w:rFonts w:ascii="Verdana" w:hAnsi="Verdana"/>
          <w:color w:val="000000"/>
          <w:sz w:val="18"/>
          <w:szCs w:val="18"/>
        </w:rPr>
        <w:t xml:space="preserve">En casación, </w:t>
      </w:r>
      <w:r w:rsidRPr="00CB0F32">
        <w:rPr>
          <w:rFonts w:ascii="Verdana" w:hAnsi="Verdana"/>
          <w:b/>
          <w:bCs/>
          <w:color w:val="000000"/>
          <w:sz w:val="18"/>
          <w:szCs w:val="18"/>
        </w:rPr>
        <w:t>el Tribunal Supremo vuelve a limitar los efectos fiscales de la doctrina del vínculo</w:t>
      </w:r>
      <w:r w:rsidRPr="005A6246">
        <w:rPr>
          <w:rFonts w:ascii="Verdana" w:hAnsi="Verdana"/>
          <w:color w:val="000000"/>
          <w:sz w:val="18"/>
          <w:szCs w:val="18"/>
        </w:rPr>
        <w:t xml:space="preserve">, con lo que reconduce la cuestión a determinar cuál es la cuantía que con carácter obligatorio debe abonarse en el caso de despido a personal de alta dirección. Como la Sala de lo Social, en su pronunciamiento de 22 de abril de 2014, </w:t>
      </w:r>
      <w:r w:rsidRPr="00CB0F32">
        <w:rPr>
          <w:rFonts w:ascii="Verdana" w:hAnsi="Verdana"/>
          <w:b/>
          <w:bCs/>
          <w:color w:val="000000"/>
          <w:sz w:val="18"/>
          <w:szCs w:val="18"/>
        </w:rPr>
        <w:t>concluye que en estos casos existe el derecho a una indemnización mínima de siete días de salario por año de trabajo, con el límite de seis mensualidades</w:t>
      </w:r>
      <w:r w:rsidRPr="005A6246">
        <w:rPr>
          <w:rFonts w:ascii="Verdana" w:hAnsi="Verdana"/>
          <w:color w:val="000000"/>
          <w:sz w:val="18"/>
          <w:szCs w:val="18"/>
        </w:rPr>
        <w:t xml:space="preserve">, la Sala </w:t>
      </w:r>
      <w:r w:rsidR="00D90753">
        <w:rPr>
          <w:rFonts w:ascii="Verdana" w:hAnsi="Verdana"/>
          <w:color w:val="000000"/>
          <w:sz w:val="18"/>
          <w:szCs w:val="18"/>
        </w:rPr>
        <w:t>Tercera</w:t>
      </w:r>
      <w:r w:rsidRPr="005A6246">
        <w:rPr>
          <w:rFonts w:ascii="Verdana" w:hAnsi="Verdana"/>
          <w:color w:val="000000"/>
          <w:sz w:val="18"/>
          <w:szCs w:val="18"/>
        </w:rPr>
        <w:t xml:space="preserve"> en esta nueva sentencia, concluye que esa es la cuantía que debe quedar exenta de tributación en el Impuesto sobre la Renta de las Personas Física, al amparo del artículo 7.e) de su ley reguladora.</w:t>
      </w:r>
    </w:p>
    <w:p w14:paraId="0BBFA759" w14:textId="77777777" w:rsidR="00C16B23" w:rsidRDefault="00C16B23" w:rsidP="005A6246">
      <w:pPr>
        <w:ind w:left="284"/>
        <w:jc w:val="both"/>
        <w:rPr>
          <w:rFonts w:ascii="Verdana" w:hAnsi="Verdana"/>
          <w:color w:val="000000"/>
          <w:sz w:val="18"/>
          <w:szCs w:val="18"/>
        </w:rPr>
      </w:pPr>
    </w:p>
    <w:p w14:paraId="240C603B" w14:textId="77777777" w:rsidR="00C16B23" w:rsidRDefault="00C16B23" w:rsidP="005A6246">
      <w:pPr>
        <w:ind w:left="284"/>
        <w:jc w:val="both"/>
        <w:rPr>
          <w:rFonts w:ascii="Verdana" w:hAnsi="Verdana"/>
          <w:color w:val="0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C16B23" w:rsidRPr="00C16B23" w14:paraId="6FDA29F9" w14:textId="77777777" w:rsidTr="00551CAE">
        <w:tc>
          <w:tcPr>
            <w:tcW w:w="180" w:type="dxa"/>
            <w:shd w:val="clear" w:color="auto" w:fill="FF6600"/>
          </w:tcPr>
          <w:p w14:paraId="18829002" w14:textId="77777777" w:rsidR="00C16B23" w:rsidRPr="00C16B23" w:rsidRDefault="00C16B23" w:rsidP="00551CAE">
            <w:pPr>
              <w:rPr>
                <w:rFonts w:ascii="Verdana" w:hAnsi="Verdana"/>
                <w:b/>
                <w:bCs/>
                <w:iCs/>
                <w:color w:val="800000"/>
                <w:sz w:val="18"/>
                <w:szCs w:val="18"/>
              </w:rPr>
            </w:pPr>
            <w:bookmarkStart w:id="2" w:name="_Hlk205915547"/>
          </w:p>
        </w:tc>
        <w:tc>
          <w:tcPr>
            <w:tcW w:w="8460" w:type="dxa"/>
          </w:tcPr>
          <w:p w14:paraId="63DB51B3" w14:textId="5A419706" w:rsidR="00C16B23" w:rsidRPr="00C16B23" w:rsidRDefault="00D90753" w:rsidP="00C16B23">
            <w:pPr>
              <w:pStyle w:val="Prrafodelista"/>
              <w:numPr>
                <w:ilvl w:val="0"/>
                <w:numId w:val="19"/>
              </w:numPr>
              <w:ind w:left="389" w:hanging="389"/>
              <w:jc w:val="both"/>
              <w:rPr>
                <w:rFonts w:ascii="Verdana" w:hAnsi="Verdana"/>
                <w:b/>
                <w:bCs/>
                <w:iCs/>
                <w:color w:val="800000"/>
                <w:sz w:val="18"/>
                <w:szCs w:val="18"/>
              </w:rPr>
            </w:pPr>
            <w:r>
              <w:rPr>
                <w:rFonts w:ascii="Verdana" w:hAnsi="Verdana"/>
                <w:b/>
                <w:bCs/>
                <w:iCs/>
                <w:color w:val="800000"/>
                <w:sz w:val="18"/>
                <w:szCs w:val="18"/>
              </w:rPr>
              <w:t>IRPF. -</w:t>
            </w:r>
            <w:r w:rsidR="00C16B23" w:rsidRPr="00C16B23">
              <w:rPr>
                <w:rFonts w:ascii="Verdana" w:hAnsi="Verdana"/>
                <w:b/>
                <w:bCs/>
                <w:iCs/>
                <w:color w:val="800000"/>
                <w:sz w:val="18"/>
                <w:szCs w:val="18"/>
              </w:rPr>
              <w:t xml:space="preserve"> - RÉGIMEN PARA DETERMINAR LA PROCEDENCIA Y PRACTICAR LAS DEVOLUCIONES EN EL IRPF A LOS MUTUALISTAS</w:t>
            </w:r>
            <w:r w:rsidR="006758F1">
              <w:rPr>
                <w:rFonts w:ascii="Verdana" w:hAnsi="Verdana"/>
                <w:b/>
                <w:bCs/>
                <w:iCs/>
                <w:color w:val="800000"/>
                <w:sz w:val="18"/>
                <w:szCs w:val="18"/>
              </w:rPr>
              <w:t>,</w:t>
            </w:r>
            <w:r w:rsidR="00C16B23" w:rsidRPr="00C16B23">
              <w:rPr>
                <w:rFonts w:ascii="Verdana" w:hAnsi="Verdana"/>
                <w:b/>
                <w:bCs/>
                <w:iCs/>
                <w:color w:val="800000"/>
                <w:sz w:val="18"/>
                <w:szCs w:val="18"/>
              </w:rPr>
              <w:t xml:space="preserve"> DERIVADAS DE LA JURISPRUDENCIA DEL TS, RESPECTO A PERÍODOS IMPOSITIVOS 2019 Y ANTERIORES NO PRESCRITOS, ASÍ COMO DE 2020 A 202</w:t>
            </w:r>
            <w:r>
              <w:rPr>
                <w:rFonts w:ascii="Verdana" w:hAnsi="Verdana"/>
                <w:b/>
                <w:bCs/>
                <w:iCs/>
                <w:color w:val="800000"/>
                <w:sz w:val="18"/>
                <w:szCs w:val="18"/>
              </w:rPr>
              <w:t>2</w:t>
            </w:r>
          </w:p>
        </w:tc>
      </w:tr>
      <w:bookmarkEnd w:id="2"/>
    </w:tbl>
    <w:p w14:paraId="3A07056A" w14:textId="77777777" w:rsidR="00C16B23" w:rsidRDefault="00C16B23" w:rsidP="005A6246">
      <w:pPr>
        <w:ind w:left="284"/>
        <w:jc w:val="both"/>
        <w:rPr>
          <w:rFonts w:ascii="Verdana" w:hAnsi="Verdana"/>
          <w:color w:val="000000"/>
          <w:sz w:val="18"/>
          <w:szCs w:val="18"/>
        </w:rPr>
      </w:pPr>
    </w:p>
    <w:p w14:paraId="65BCA627" w14:textId="2A09D004" w:rsidR="00C16B23" w:rsidRDefault="00C16B23" w:rsidP="00C16B23">
      <w:pPr>
        <w:ind w:left="284"/>
        <w:jc w:val="both"/>
        <w:rPr>
          <w:rFonts w:ascii="Verdana" w:hAnsi="Verdana"/>
          <w:color w:val="000000"/>
          <w:sz w:val="18"/>
          <w:szCs w:val="18"/>
        </w:rPr>
      </w:pPr>
      <w:r w:rsidRPr="00C16B23">
        <w:rPr>
          <w:rFonts w:ascii="Verdana" w:hAnsi="Verdana"/>
          <w:color w:val="000000"/>
          <w:sz w:val="18"/>
          <w:szCs w:val="18"/>
        </w:rPr>
        <w:t>En el BOE de 25 de julio de 2025 se publicó la</w:t>
      </w:r>
      <w:r>
        <w:rPr>
          <w:rFonts w:ascii="Verdana" w:hAnsi="Verdana"/>
          <w:color w:val="000000"/>
          <w:sz w:val="18"/>
          <w:szCs w:val="18"/>
        </w:rPr>
        <w:t xml:space="preserve"> Ley 5/2025</w:t>
      </w:r>
      <w:r w:rsidRPr="00C16B23">
        <w:rPr>
          <w:rFonts w:ascii="Verdana" w:hAnsi="Verdana"/>
          <w:color w:val="000000"/>
          <w:sz w:val="18"/>
          <w:szCs w:val="18"/>
        </w:rPr>
        <w:t>, de 24 de julio, por la que se modifica el texto refundido de la </w:t>
      </w:r>
      <w:r w:rsidRPr="00C16B23">
        <w:rPr>
          <w:rFonts w:ascii="Verdana" w:hAnsi="Verdana"/>
          <w:b/>
          <w:bCs/>
          <w:color w:val="000000"/>
          <w:sz w:val="18"/>
          <w:szCs w:val="18"/>
        </w:rPr>
        <w:t>Ley sobre responsabilidad civil y seguro en la circulación de vehículos a motor</w:t>
      </w:r>
      <w:r w:rsidRPr="00C16B23">
        <w:rPr>
          <w:rFonts w:ascii="Verdana" w:hAnsi="Verdana"/>
          <w:color w:val="000000"/>
          <w:sz w:val="18"/>
          <w:szCs w:val="18"/>
        </w:rPr>
        <w:t>, aprobado por el Real Decreto Legislativo 8/2004, de 29 de octubre, y la Ley 20/2015, de 14 de julio, </w:t>
      </w:r>
      <w:r w:rsidRPr="00C16B23">
        <w:rPr>
          <w:rFonts w:ascii="Verdana" w:hAnsi="Verdana"/>
          <w:b/>
          <w:bCs/>
          <w:color w:val="000000"/>
          <w:sz w:val="18"/>
          <w:szCs w:val="18"/>
        </w:rPr>
        <w:t>de ordenación, supervisión y solvencia de las entidades aseguradoras y reaseguradoras</w:t>
      </w:r>
      <w:r w:rsidRPr="00C16B23">
        <w:rPr>
          <w:rFonts w:ascii="Verdana" w:hAnsi="Verdana"/>
          <w:color w:val="000000"/>
          <w:sz w:val="18"/>
          <w:szCs w:val="18"/>
        </w:rPr>
        <w:t>, cuyo objetivo es la transposición de la nueva Directiva del seguro de automóviles y mejorar el sistema de protección de los terceros perjudicados en accidentes de circulación.</w:t>
      </w:r>
    </w:p>
    <w:p w14:paraId="0ED362DC" w14:textId="77777777" w:rsidR="00C16B23" w:rsidRPr="00C16B23" w:rsidRDefault="00C16B23" w:rsidP="00C16B23">
      <w:pPr>
        <w:ind w:left="284"/>
        <w:jc w:val="both"/>
        <w:rPr>
          <w:rFonts w:ascii="Verdana" w:hAnsi="Verdana"/>
          <w:color w:val="000000"/>
          <w:sz w:val="18"/>
          <w:szCs w:val="18"/>
        </w:rPr>
      </w:pPr>
    </w:p>
    <w:p w14:paraId="113F1DAF" w14:textId="287D68B1" w:rsidR="00C16B23" w:rsidRPr="00C16B23" w:rsidRDefault="00C16B23" w:rsidP="00C16B23">
      <w:pPr>
        <w:ind w:left="284"/>
        <w:jc w:val="both"/>
        <w:rPr>
          <w:rFonts w:ascii="Verdana" w:hAnsi="Verdana"/>
          <w:color w:val="000000"/>
          <w:sz w:val="18"/>
          <w:szCs w:val="18"/>
        </w:rPr>
      </w:pPr>
      <w:r w:rsidRPr="00C16B23">
        <w:rPr>
          <w:rFonts w:ascii="Verdana" w:hAnsi="Verdana"/>
          <w:color w:val="000000"/>
          <w:sz w:val="18"/>
          <w:szCs w:val="18"/>
        </w:rPr>
        <w:t>Esta norma </w:t>
      </w:r>
      <w:r w:rsidRPr="00C16B23">
        <w:rPr>
          <w:rFonts w:ascii="Verdana" w:hAnsi="Verdana"/>
          <w:b/>
          <w:bCs/>
          <w:color w:val="000000"/>
          <w:sz w:val="18"/>
          <w:szCs w:val="18"/>
        </w:rPr>
        <w:t>modifica el régimen específico previsto en la disposición final déc</w:t>
      </w:r>
      <w:r w:rsidR="00B50F9E">
        <w:rPr>
          <w:rFonts w:ascii="Verdana" w:hAnsi="Verdana"/>
          <w:b/>
          <w:bCs/>
          <w:color w:val="000000"/>
          <w:sz w:val="18"/>
          <w:szCs w:val="18"/>
        </w:rPr>
        <w:t>imo</w:t>
      </w:r>
      <w:r w:rsidRPr="00C16B23">
        <w:rPr>
          <w:rFonts w:ascii="Verdana" w:hAnsi="Verdana"/>
          <w:b/>
          <w:bCs/>
          <w:color w:val="000000"/>
          <w:sz w:val="18"/>
          <w:szCs w:val="18"/>
        </w:rPr>
        <w:t xml:space="preserve"> sexta de la Ley 7/2024</w:t>
      </w:r>
      <w:r w:rsidRPr="00C16B23">
        <w:rPr>
          <w:rFonts w:ascii="Verdana" w:hAnsi="Verdana"/>
          <w:color w:val="000000"/>
          <w:sz w:val="18"/>
          <w:szCs w:val="18"/>
        </w:rPr>
        <w:t>, de 20 de diciembre, relativo a la tramitación a seguir por la Agencia Tributaria para determinar la procedencia y, en su caso, practicar las </w:t>
      </w:r>
      <w:r w:rsidRPr="00C16B23">
        <w:rPr>
          <w:rFonts w:ascii="Verdana" w:hAnsi="Verdana"/>
          <w:b/>
          <w:bCs/>
          <w:color w:val="000000"/>
          <w:sz w:val="18"/>
          <w:szCs w:val="18"/>
        </w:rPr>
        <w:t>devoluciones a pensionistas que realizaron aportaciones a mutualidades derivadas de la jurisprudencia establecida por el Tribunal Supremo en relación a la disp. trans segunda de la Ley 35/2006 (IRPF), en relación con los períodos impositivos 2019 y anteriores no prescritos así como 2020 a 2022</w:t>
      </w:r>
      <w:r w:rsidRPr="00C16B23">
        <w:rPr>
          <w:rFonts w:ascii="Verdana" w:hAnsi="Verdana"/>
          <w:color w:val="000000"/>
          <w:sz w:val="18"/>
          <w:szCs w:val="18"/>
        </w:rPr>
        <w:t>. Así, se establece que </w:t>
      </w:r>
      <w:r w:rsidRPr="00C16B23">
        <w:rPr>
          <w:rFonts w:ascii="Verdana" w:hAnsi="Verdana"/>
          <w:b/>
          <w:bCs/>
          <w:color w:val="000000"/>
          <w:sz w:val="18"/>
          <w:szCs w:val="18"/>
        </w:rPr>
        <w:t>el formulario habilitado para los períodos impositivos 2019 y anteriores no prescritos servirá también para iniciar el correspondiente procedimiento de rectificación de autoliquidación, o de devolución iniciado mediante autoliquidación, respecto de todos los períodos impositivos afectados por el régimen específico citado, esto es, períodos 2020 a 2022</w:t>
      </w:r>
      <w:r w:rsidRPr="00C16B23">
        <w:rPr>
          <w:rFonts w:ascii="Verdana" w:hAnsi="Verdana"/>
          <w:color w:val="000000"/>
          <w:sz w:val="18"/>
          <w:szCs w:val="18"/>
        </w:rPr>
        <w:t>.</w:t>
      </w:r>
    </w:p>
    <w:p w14:paraId="484D385E" w14:textId="77777777" w:rsidR="00C16B23" w:rsidRDefault="00C16B23" w:rsidP="005A6246">
      <w:pPr>
        <w:ind w:left="284"/>
        <w:jc w:val="both"/>
        <w:rPr>
          <w:rFonts w:ascii="Verdana" w:hAnsi="Verdana"/>
          <w:color w:val="000000"/>
          <w:sz w:val="18"/>
          <w:szCs w:val="18"/>
        </w:rPr>
      </w:pPr>
    </w:p>
    <w:p w14:paraId="68E0123A" w14:textId="77777777" w:rsidR="00174599" w:rsidRDefault="00174599">
      <w:pPr>
        <w:rPr>
          <w:rFonts w:ascii="Verdana" w:hAnsi="Verdana"/>
          <w:b/>
          <w:bCs/>
          <w:color w:val="800000"/>
          <w:sz w:val="22"/>
          <w:szCs w:val="22"/>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FD2C3E" w:rsidRPr="00FD2C3E" w14:paraId="0423FDCC" w14:textId="77777777" w:rsidTr="005731D1">
        <w:tc>
          <w:tcPr>
            <w:tcW w:w="180" w:type="dxa"/>
            <w:shd w:val="clear" w:color="auto" w:fill="FF6600"/>
          </w:tcPr>
          <w:p w14:paraId="28E57ECF" w14:textId="77777777" w:rsidR="00FD2C3E" w:rsidRPr="00FD2C3E" w:rsidRDefault="00FD2C3E" w:rsidP="005731D1">
            <w:pPr>
              <w:rPr>
                <w:rFonts w:ascii="Verdana" w:hAnsi="Verdana"/>
                <w:b/>
                <w:bCs/>
                <w:iCs/>
                <w:color w:val="800000"/>
                <w:sz w:val="18"/>
                <w:szCs w:val="18"/>
              </w:rPr>
            </w:pPr>
          </w:p>
        </w:tc>
        <w:tc>
          <w:tcPr>
            <w:tcW w:w="8460" w:type="dxa"/>
          </w:tcPr>
          <w:p w14:paraId="073E8293" w14:textId="55E54FD1" w:rsidR="00FD2C3E" w:rsidRPr="00FD2C3E" w:rsidRDefault="00FD2C3E" w:rsidP="005731D1">
            <w:pPr>
              <w:pStyle w:val="Prrafodelista"/>
              <w:numPr>
                <w:ilvl w:val="0"/>
                <w:numId w:val="19"/>
              </w:numPr>
              <w:ind w:left="389" w:hanging="389"/>
              <w:jc w:val="both"/>
              <w:rPr>
                <w:rFonts w:ascii="Verdana" w:hAnsi="Verdana"/>
                <w:b/>
                <w:bCs/>
                <w:iCs/>
                <w:color w:val="800000"/>
                <w:sz w:val="18"/>
                <w:szCs w:val="18"/>
              </w:rPr>
            </w:pPr>
            <w:r w:rsidRPr="00FD2C3E">
              <w:rPr>
                <w:rFonts w:ascii="Verdana" w:hAnsi="Verdana"/>
                <w:b/>
                <w:bCs/>
                <w:iCs/>
                <w:color w:val="800000"/>
                <w:sz w:val="18"/>
                <w:szCs w:val="18"/>
              </w:rPr>
              <w:t>IRPF. - NUEVA DEDUCCIÓN POR OBTENCIÓN DE RENDIMIENTOS DEL TRABAJO</w:t>
            </w:r>
          </w:p>
        </w:tc>
      </w:tr>
    </w:tbl>
    <w:p w14:paraId="7BBCDEC2" w14:textId="77777777" w:rsidR="00FD2C3E" w:rsidRDefault="00FD2C3E" w:rsidP="00FD2C3E">
      <w:pPr>
        <w:shd w:val="clear" w:color="auto" w:fill="FFFFFF"/>
        <w:ind w:left="284"/>
        <w:jc w:val="both"/>
        <w:rPr>
          <w:rFonts w:ascii="Arial" w:hAnsi="Arial" w:cs="Arial"/>
          <w:color w:val="333333"/>
          <w:sz w:val="21"/>
          <w:szCs w:val="21"/>
        </w:rPr>
      </w:pPr>
    </w:p>
    <w:p w14:paraId="4AE6857A" w14:textId="0AF48E21" w:rsidR="00FD2C3E" w:rsidRPr="00086408" w:rsidRDefault="00FD2C3E" w:rsidP="00FD2C3E">
      <w:pPr>
        <w:shd w:val="clear" w:color="auto" w:fill="FFFFFF"/>
        <w:ind w:left="284"/>
        <w:jc w:val="both"/>
        <w:rPr>
          <w:rFonts w:ascii="Verdana" w:hAnsi="Verdana" w:cs="Arial"/>
          <w:color w:val="333333"/>
          <w:sz w:val="18"/>
          <w:szCs w:val="18"/>
        </w:rPr>
      </w:pPr>
      <w:r w:rsidRPr="00086408">
        <w:rPr>
          <w:rFonts w:ascii="Verdana" w:hAnsi="Verdana" w:cs="Arial"/>
          <w:color w:val="333333"/>
          <w:sz w:val="18"/>
          <w:szCs w:val="18"/>
        </w:rPr>
        <w:t>La Ley</w:t>
      </w:r>
      <w:r w:rsidR="00D90753" w:rsidRPr="00086408">
        <w:rPr>
          <w:rFonts w:ascii="Verdana" w:hAnsi="Verdana" w:cs="Arial"/>
          <w:color w:val="333333"/>
          <w:sz w:val="18"/>
          <w:szCs w:val="18"/>
        </w:rPr>
        <w:t xml:space="preserve"> 5/2025</w:t>
      </w:r>
      <w:r w:rsidRPr="00086408">
        <w:rPr>
          <w:rFonts w:ascii="Verdana" w:hAnsi="Verdana" w:cs="Arial"/>
          <w:color w:val="333333"/>
          <w:sz w:val="18"/>
          <w:szCs w:val="18"/>
        </w:rPr>
        <w:t xml:space="preserve"> en su disposición final 3ª, publicada en el BOE del día 25 de </w:t>
      </w:r>
      <w:r w:rsidR="00B50F9E" w:rsidRPr="00086408">
        <w:rPr>
          <w:rFonts w:ascii="Verdana" w:hAnsi="Verdana" w:cs="Arial"/>
          <w:color w:val="333333"/>
          <w:sz w:val="18"/>
          <w:szCs w:val="18"/>
        </w:rPr>
        <w:t>julio,</w:t>
      </w:r>
      <w:r w:rsidRPr="00086408">
        <w:rPr>
          <w:rFonts w:ascii="Verdana" w:hAnsi="Verdana" w:cs="Arial"/>
          <w:color w:val="333333"/>
          <w:sz w:val="18"/>
          <w:szCs w:val="18"/>
        </w:rPr>
        <w:t xml:space="preserve"> establece </w:t>
      </w:r>
      <w:r w:rsidR="00086408" w:rsidRPr="00086408">
        <w:rPr>
          <w:rFonts w:ascii="Verdana" w:hAnsi="Verdana" w:cs="Arial"/>
          <w:color w:val="333333"/>
          <w:sz w:val="18"/>
          <w:szCs w:val="18"/>
        </w:rPr>
        <w:t>que,</w:t>
      </w:r>
      <w:r w:rsidRPr="00086408">
        <w:rPr>
          <w:rFonts w:ascii="Verdana" w:hAnsi="Verdana" w:cs="Arial"/>
          <w:color w:val="333333"/>
          <w:sz w:val="18"/>
          <w:szCs w:val="18"/>
        </w:rPr>
        <w:t xml:space="preserve"> desde 1 de enero de 2025, los contribuyentes con rendimientos íntegros del trabajo, derivados de la prestación efectiva de servicios correspondientes a una relación laboral o estatutaria, </w:t>
      </w:r>
      <w:r w:rsidRPr="00086408">
        <w:rPr>
          <w:rFonts w:ascii="Verdana" w:hAnsi="Verdana" w:cs="Arial"/>
          <w:b/>
          <w:bCs/>
          <w:color w:val="333333"/>
          <w:sz w:val="18"/>
          <w:szCs w:val="18"/>
        </w:rPr>
        <w:t>inferiores a 18.276 euros anuales, siempre que no tengan rentas, excluidas las exentas, distintas de las del trabajo</w:t>
      </w:r>
      <w:r w:rsidRPr="00086408">
        <w:rPr>
          <w:rFonts w:ascii="Verdana" w:hAnsi="Verdana" w:cs="Arial"/>
          <w:color w:val="333333"/>
          <w:sz w:val="18"/>
          <w:szCs w:val="18"/>
        </w:rPr>
        <w:t xml:space="preserve"> antes referidas, superiores a 6.500 euros, pueden aplicar la siguiente deducción:</w:t>
      </w:r>
      <w:bookmarkStart w:id="3" w:name="F10"/>
      <w:bookmarkEnd w:id="3"/>
    </w:p>
    <w:p w14:paraId="6DE1E445" w14:textId="77777777" w:rsidR="00FD2C3E" w:rsidRPr="00FD2C3E" w:rsidRDefault="00FD2C3E" w:rsidP="00FD2C3E">
      <w:pPr>
        <w:shd w:val="clear" w:color="auto" w:fill="FFFFFF"/>
        <w:ind w:left="284"/>
        <w:jc w:val="both"/>
        <w:rPr>
          <w:rFonts w:ascii="Arial" w:hAnsi="Arial" w:cs="Arial"/>
          <w:color w:val="333333"/>
          <w:sz w:val="21"/>
          <w:szCs w:val="21"/>
        </w:rPr>
      </w:pPr>
    </w:p>
    <w:tbl>
      <w:tblPr>
        <w:tblStyle w:val="Tabladelista3-nfasis2"/>
        <w:tblW w:w="4515" w:type="pct"/>
        <w:tblInd w:w="562" w:type="dxa"/>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ook w:val="04A0" w:firstRow="1" w:lastRow="0" w:firstColumn="1" w:lastColumn="0" w:noHBand="0" w:noVBand="1"/>
      </w:tblPr>
      <w:tblGrid>
        <w:gridCol w:w="3686"/>
        <w:gridCol w:w="4111"/>
      </w:tblGrid>
      <w:tr w:rsidR="00086408" w:rsidRPr="00086408" w14:paraId="5D6A96AC" w14:textId="77777777" w:rsidTr="00086408">
        <w:trPr>
          <w:cnfStyle w:val="100000000000" w:firstRow="1" w:lastRow="0" w:firstColumn="0" w:lastColumn="0" w:oddVBand="0" w:evenVBand="0" w:oddHBand="0" w:evenHBand="0" w:firstRowFirstColumn="0" w:firstRowLastColumn="0" w:lastRowFirstColumn="0" w:lastRowLastColumn="0"/>
          <w:trHeight w:val="860"/>
        </w:trPr>
        <w:tc>
          <w:tcPr>
            <w:cnfStyle w:val="001000000100" w:firstRow="0" w:lastRow="0" w:firstColumn="1" w:lastColumn="0" w:oddVBand="0" w:evenVBand="0" w:oddHBand="0" w:evenHBand="0" w:firstRowFirstColumn="1" w:firstRowLastColumn="0" w:lastRowFirstColumn="0" w:lastRowLastColumn="0"/>
            <w:tcW w:w="2364" w:type="pct"/>
            <w:shd w:val="clear" w:color="auto" w:fill="990000"/>
            <w:hideMark/>
          </w:tcPr>
          <w:p w14:paraId="089B70B1" w14:textId="77777777" w:rsidR="00FD2C3E" w:rsidRPr="00086408" w:rsidRDefault="00FD2C3E" w:rsidP="00FD2C3E">
            <w:pPr>
              <w:spacing w:before="300" w:after="300"/>
              <w:ind w:left="284"/>
              <w:rPr>
                <w:sz w:val="24"/>
                <w:szCs w:val="24"/>
              </w:rPr>
            </w:pPr>
            <w:bookmarkStart w:id="4" w:name="F11"/>
            <w:bookmarkEnd w:id="4"/>
            <w:r w:rsidRPr="00086408">
              <w:rPr>
                <w:sz w:val="24"/>
                <w:szCs w:val="24"/>
              </w:rPr>
              <w:t>Cuantía rendimiento íntegro del trabajo</w:t>
            </w:r>
            <w:bookmarkStart w:id="5" w:name="F12"/>
            <w:bookmarkEnd w:id="5"/>
          </w:p>
        </w:tc>
        <w:tc>
          <w:tcPr>
            <w:tcW w:w="2636" w:type="pct"/>
            <w:shd w:val="clear" w:color="auto" w:fill="990000"/>
            <w:hideMark/>
          </w:tcPr>
          <w:p w14:paraId="4E3EE1D5" w14:textId="77777777" w:rsidR="00FD2C3E" w:rsidRPr="00086408" w:rsidRDefault="00FD2C3E" w:rsidP="00FD2C3E">
            <w:pPr>
              <w:spacing w:before="300" w:after="300"/>
              <w:ind w:left="284"/>
              <w:cnfStyle w:val="100000000000" w:firstRow="1" w:lastRow="0" w:firstColumn="0" w:lastColumn="0" w:oddVBand="0" w:evenVBand="0" w:oddHBand="0" w:evenHBand="0" w:firstRowFirstColumn="0" w:firstRowLastColumn="0" w:lastRowFirstColumn="0" w:lastRowLastColumn="0"/>
              <w:rPr>
                <w:sz w:val="24"/>
                <w:szCs w:val="24"/>
              </w:rPr>
            </w:pPr>
            <w:bookmarkStart w:id="6" w:name="F13"/>
            <w:bookmarkEnd w:id="6"/>
            <w:r w:rsidRPr="00086408">
              <w:rPr>
                <w:sz w:val="24"/>
                <w:szCs w:val="24"/>
              </w:rPr>
              <w:t>Deducción (euros anuales)</w:t>
            </w:r>
            <w:bookmarkStart w:id="7" w:name="F14"/>
            <w:bookmarkEnd w:id="7"/>
          </w:p>
        </w:tc>
      </w:tr>
      <w:tr w:rsidR="00FD2C3E" w:rsidRPr="00FD2C3E" w14:paraId="57870E0C" w14:textId="77777777" w:rsidTr="00086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pct"/>
            <w:tcBorders>
              <w:top w:val="none" w:sz="0" w:space="0" w:color="auto"/>
              <w:bottom w:val="none" w:sz="0" w:space="0" w:color="auto"/>
              <w:right w:val="none" w:sz="0" w:space="0" w:color="auto"/>
            </w:tcBorders>
            <w:hideMark/>
          </w:tcPr>
          <w:p w14:paraId="5D232CB5" w14:textId="77777777" w:rsidR="00FD2C3E" w:rsidRPr="00FD2C3E" w:rsidRDefault="00FD2C3E" w:rsidP="00FD2C3E">
            <w:pPr>
              <w:spacing w:before="300" w:after="300"/>
              <w:ind w:left="284"/>
              <w:rPr>
                <w:sz w:val="24"/>
                <w:szCs w:val="24"/>
              </w:rPr>
            </w:pPr>
            <w:bookmarkStart w:id="8" w:name="F15"/>
            <w:bookmarkEnd w:id="8"/>
            <w:r w:rsidRPr="00FD2C3E">
              <w:rPr>
                <w:sz w:val="24"/>
                <w:szCs w:val="24"/>
              </w:rPr>
              <w:t>Igual o inferior a 16.576 euros</w:t>
            </w:r>
            <w:bookmarkStart w:id="9" w:name="F16"/>
            <w:bookmarkEnd w:id="9"/>
          </w:p>
        </w:tc>
        <w:tc>
          <w:tcPr>
            <w:tcW w:w="2636" w:type="pct"/>
            <w:tcBorders>
              <w:top w:val="none" w:sz="0" w:space="0" w:color="auto"/>
              <w:bottom w:val="none" w:sz="0" w:space="0" w:color="auto"/>
            </w:tcBorders>
            <w:hideMark/>
          </w:tcPr>
          <w:p w14:paraId="29770EFF" w14:textId="77777777" w:rsidR="00FD2C3E" w:rsidRPr="00FD2C3E" w:rsidRDefault="00FD2C3E" w:rsidP="00FD2C3E">
            <w:pPr>
              <w:spacing w:before="300" w:after="300"/>
              <w:ind w:left="284"/>
              <w:cnfStyle w:val="000000100000" w:firstRow="0" w:lastRow="0" w:firstColumn="0" w:lastColumn="0" w:oddVBand="0" w:evenVBand="0" w:oddHBand="1" w:evenHBand="0" w:firstRowFirstColumn="0" w:firstRowLastColumn="0" w:lastRowFirstColumn="0" w:lastRowLastColumn="0"/>
              <w:rPr>
                <w:sz w:val="24"/>
                <w:szCs w:val="24"/>
              </w:rPr>
            </w:pPr>
            <w:bookmarkStart w:id="10" w:name="F17"/>
            <w:bookmarkEnd w:id="10"/>
            <w:r w:rsidRPr="00FD2C3E">
              <w:rPr>
                <w:sz w:val="24"/>
                <w:szCs w:val="24"/>
              </w:rPr>
              <w:t>340</w:t>
            </w:r>
            <w:bookmarkStart w:id="11" w:name="F18"/>
            <w:bookmarkEnd w:id="11"/>
          </w:p>
        </w:tc>
      </w:tr>
      <w:tr w:rsidR="00FD2C3E" w:rsidRPr="00FD2C3E" w14:paraId="5D4029F4" w14:textId="77777777" w:rsidTr="00086408">
        <w:trPr>
          <w:trHeight w:val="881"/>
        </w:trPr>
        <w:tc>
          <w:tcPr>
            <w:cnfStyle w:val="001000000000" w:firstRow="0" w:lastRow="0" w:firstColumn="1" w:lastColumn="0" w:oddVBand="0" w:evenVBand="0" w:oddHBand="0" w:evenHBand="0" w:firstRowFirstColumn="0" w:firstRowLastColumn="0" w:lastRowFirstColumn="0" w:lastRowLastColumn="0"/>
            <w:tcW w:w="2364" w:type="pct"/>
            <w:tcBorders>
              <w:right w:val="none" w:sz="0" w:space="0" w:color="auto"/>
            </w:tcBorders>
            <w:hideMark/>
          </w:tcPr>
          <w:p w14:paraId="7332D226" w14:textId="77777777" w:rsidR="00FD2C3E" w:rsidRPr="00FD2C3E" w:rsidRDefault="00FD2C3E" w:rsidP="00FD2C3E">
            <w:pPr>
              <w:spacing w:before="300" w:after="300"/>
              <w:ind w:left="284"/>
              <w:rPr>
                <w:sz w:val="24"/>
                <w:szCs w:val="24"/>
              </w:rPr>
            </w:pPr>
            <w:bookmarkStart w:id="12" w:name="F19"/>
            <w:bookmarkEnd w:id="12"/>
            <w:r w:rsidRPr="00FD2C3E">
              <w:rPr>
                <w:sz w:val="24"/>
                <w:szCs w:val="24"/>
              </w:rPr>
              <w:t>Entre 16.576 y 18.276 euros</w:t>
            </w:r>
            <w:bookmarkStart w:id="13" w:name="F20"/>
            <w:bookmarkEnd w:id="13"/>
          </w:p>
        </w:tc>
        <w:tc>
          <w:tcPr>
            <w:tcW w:w="2636" w:type="pct"/>
            <w:hideMark/>
          </w:tcPr>
          <w:p w14:paraId="7FB4FC4E" w14:textId="77777777" w:rsidR="00FD2C3E" w:rsidRPr="00FD2C3E" w:rsidRDefault="00FD2C3E" w:rsidP="00FD2C3E">
            <w:pPr>
              <w:spacing w:before="300" w:after="300"/>
              <w:ind w:left="284"/>
              <w:cnfStyle w:val="000000000000" w:firstRow="0" w:lastRow="0" w:firstColumn="0" w:lastColumn="0" w:oddVBand="0" w:evenVBand="0" w:oddHBand="0" w:evenHBand="0" w:firstRowFirstColumn="0" w:firstRowLastColumn="0" w:lastRowFirstColumn="0" w:lastRowLastColumn="0"/>
              <w:rPr>
                <w:sz w:val="24"/>
                <w:szCs w:val="24"/>
              </w:rPr>
            </w:pPr>
            <w:bookmarkStart w:id="14" w:name="F21"/>
            <w:bookmarkEnd w:id="14"/>
            <w:r w:rsidRPr="00FD2C3E">
              <w:rPr>
                <w:sz w:val="24"/>
                <w:szCs w:val="24"/>
              </w:rPr>
              <w:t>340 - [(rendimiento íntegro del trabajo - 16.576) x 0,2]</w:t>
            </w:r>
            <w:bookmarkStart w:id="15" w:name="F22"/>
            <w:bookmarkEnd w:id="15"/>
          </w:p>
        </w:tc>
      </w:tr>
    </w:tbl>
    <w:p w14:paraId="01966BF5" w14:textId="77777777" w:rsidR="00FD2C3E" w:rsidRPr="00FD2C3E" w:rsidRDefault="00FD2C3E" w:rsidP="00FD2C3E">
      <w:pPr>
        <w:shd w:val="clear" w:color="auto" w:fill="FFFFFF"/>
        <w:ind w:left="284"/>
        <w:rPr>
          <w:rFonts w:ascii="Arial" w:hAnsi="Arial" w:cs="Arial"/>
          <w:color w:val="333333"/>
          <w:sz w:val="21"/>
          <w:szCs w:val="21"/>
        </w:rPr>
      </w:pPr>
    </w:p>
    <w:p w14:paraId="02B84237" w14:textId="77777777" w:rsidR="00FD2C3E" w:rsidRPr="00086408" w:rsidRDefault="00FD2C3E" w:rsidP="00FD2C3E">
      <w:pPr>
        <w:shd w:val="clear" w:color="auto" w:fill="FFFFFF"/>
        <w:ind w:left="284"/>
        <w:jc w:val="both"/>
        <w:rPr>
          <w:rFonts w:ascii="Verdana" w:hAnsi="Verdana" w:cs="Arial"/>
          <w:color w:val="333333"/>
          <w:sz w:val="18"/>
          <w:szCs w:val="18"/>
        </w:rPr>
      </w:pPr>
      <w:bookmarkStart w:id="16" w:name="F23"/>
      <w:bookmarkEnd w:id="16"/>
      <w:r w:rsidRPr="00086408">
        <w:rPr>
          <w:rFonts w:ascii="Verdana" w:hAnsi="Verdana" w:cs="Arial"/>
          <w:color w:val="333333"/>
          <w:sz w:val="18"/>
          <w:szCs w:val="18"/>
        </w:rPr>
        <w:t>La deducción tiene como </w:t>
      </w:r>
      <w:r w:rsidRPr="00086408">
        <w:rPr>
          <w:rFonts w:ascii="Verdana" w:hAnsi="Verdana" w:cs="Arial"/>
          <w:b/>
          <w:bCs/>
          <w:color w:val="606060"/>
          <w:sz w:val="18"/>
          <w:szCs w:val="18"/>
        </w:rPr>
        <w:t>límite</w:t>
      </w:r>
      <w:r w:rsidRPr="00086408">
        <w:rPr>
          <w:rFonts w:ascii="Verdana" w:hAnsi="Verdana" w:cs="Arial"/>
          <w:color w:val="333333"/>
          <w:sz w:val="18"/>
          <w:szCs w:val="18"/>
        </w:rPr>
        <w:t> la parte de la suma de las cuotas íntegras estatal y autonómica que proporcionalmente corresponda a estos rendimientos netos del trabajo computados para la determinación de las bases liquidables.</w:t>
      </w:r>
      <w:bookmarkStart w:id="17" w:name="F24"/>
      <w:bookmarkEnd w:id="17"/>
    </w:p>
    <w:p w14:paraId="2A68A27A" w14:textId="77777777" w:rsidR="00FD2C3E" w:rsidRPr="00086408" w:rsidRDefault="00FD2C3E" w:rsidP="00FD2C3E">
      <w:pPr>
        <w:shd w:val="clear" w:color="auto" w:fill="FFFFFF"/>
        <w:ind w:left="284"/>
        <w:jc w:val="both"/>
        <w:rPr>
          <w:rFonts w:ascii="Verdana" w:hAnsi="Verdana" w:cs="Arial"/>
          <w:color w:val="333333"/>
          <w:sz w:val="18"/>
          <w:szCs w:val="18"/>
        </w:rPr>
      </w:pPr>
    </w:p>
    <w:p w14:paraId="71D0F1E6" w14:textId="77777777" w:rsidR="00FD2C3E" w:rsidRPr="00086408" w:rsidRDefault="00FD2C3E" w:rsidP="00FD2C3E">
      <w:pPr>
        <w:shd w:val="clear" w:color="auto" w:fill="FFFFFF"/>
        <w:ind w:left="284"/>
        <w:jc w:val="both"/>
        <w:rPr>
          <w:rFonts w:ascii="Verdana" w:hAnsi="Verdana" w:cs="Arial"/>
          <w:color w:val="333333"/>
          <w:sz w:val="18"/>
          <w:szCs w:val="18"/>
        </w:rPr>
      </w:pPr>
      <w:bookmarkStart w:id="18" w:name="F25"/>
      <w:bookmarkEnd w:id="18"/>
      <w:r w:rsidRPr="00086408">
        <w:rPr>
          <w:rFonts w:ascii="Verdana" w:hAnsi="Verdana" w:cs="Arial"/>
          <w:color w:val="333333"/>
          <w:sz w:val="18"/>
          <w:szCs w:val="18"/>
        </w:rPr>
        <w:t>Esta deducción se resta de la </w:t>
      </w:r>
      <w:r w:rsidRPr="00086408">
        <w:rPr>
          <w:rFonts w:ascii="Verdana" w:hAnsi="Verdana" w:cs="Arial"/>
          <w:b/>
          <w:bCs/>
          <w:color w:val="606060"/>
          <w:sz w:val="18"/>
          <w:szCs w:val="18"/>
        </w:rPr>
        <w:t>cuota líquida total </w:t>
      </w:r>
      <w:r w:rsidRPr="00086408">
        <w:rPr>
          <w:rFonts w:ascii="Verdana" w:hAnsi="Verdana" w:cs="Arial"/>
          <w:color w:val="333333"/>
          <w:sz w:val="18"/>
          <w:szCs w:val="18"/>
        </w:rPr>
        <w:t>del impuesto una vez practicada la deducción por doble imposición internacional.</w:t>
      </w:r>
    </w:p>
    <w:p w14:paraId="4978557E" w14:textId="77777777" w:rsidR="00FD2C3E" w:rsidRDefault="00FD2C3E">
      <w:pPr>
        <w:rPr>
          <w:rFonts w:ascii="Verdana" w:hAnsi="Verdana"/>
          <w:b/>
          <w:bCs/>
          <w:color w:val="800000"/>
          <w:sz w:val="18"/>
          <w:szCs w:val="18"/>
        </w:rPr>
      </w:pPr>
    </w:p>
    <w:p w14:paraId="34D513AA" w14:textId="77777777" w:rsidR="00086408" w:rsidRDefault="00086408">
      <w:pPr>
        <w:rPr>
          <w:rFonts w:ascii="Verdana" w:hAnsi="Verdana"/>
          <w:b/>
          <w:bCs/>
          <w:color w:val="800000"/>
          <w:sz w:val="18"/>
          <w:szCs w:val="18"/>
        </w:rPr>
      </w:pPr>
    </w:p>
    <w:p w14:paraId="001D80C0" w14:textId="77777777" w:rsidR="00086408" w:rsidRPr="00086408" w:rsidRDefault="00086408">
      <w:pPr>
        <w:rPr>
          <w:rFonts w:ascii="Verdana" w:hAnsi="Verdana"/>
          <w:b/>
          <w:b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174599" w:rsidRPr="004E5E16" w14:paraId="3C8C5497" w14:textId="77777777" w:rsidTr="00C74CF6">
        <w:tc>
          <w:tcPr>
            <w:tcW w:w="180" w:type="dxa"/>
            <w:shd w:val="clear" w:color="auto" w:fill="FF6600"/>
          </w:tcPr>
          <w:p w14:paraId="1FAD0E0F" w14:textId="77777777" w:rsidR="00174599" w:rsidRPr="004E5E16" w:rsidRDefault="00174599" w:rsidP="00C74CF6">
            <w:pPr>
              <w:rPr>
                <w:rFonts w:ascii="Verdana" w:hAnsi="Verdana"/>
                <w:b/>
                <w:bCs/>
                <w:iCs/>
                <w:color w:val="800000"/>
                <w:sz w:val="18"/>
                <w:szCs w:val="18"/>
              </w:rPr>
            </w:pPr>
            <w:bookmarkStart w:id="19" w:name="_Hlk205481294"/>
            <w:bookmarkStart w:id="20" w:name="_Hlk203583670"/>
          </w:p>
        </w:tc>
        <w:tc>
          <w:tcPr>
            <w:tcW w:w="8460" w:type="dxa"/>
          </w:tcPr>
          <w:p w14:paraId="4D010E3F" w14:textId="00F24F8A" w:rsidR="00174599" w:rsidRPr="004E5E16" w:rsidRDefault="00434600" w:rsidP="00B7649E">
            <w:pPr>
              <w:numPr>
                <w:ilvl w:val="0"/>
                <w:numId w:val="19"/>
              </w:numPr>
              <w:ind w:left="389" w:hanging="389"/>
              <w:jc w:val="both"/>
              <w:rPr>
                <w:rFonts w:ascii="Verdana" w:hAnsi="Verdana"/>
                <w:b/>
                <w:bCs/>
                <w:iCs/>
                <w:color w:val="800000"/>
                <w:spacing w:val="-8"/>
                <w:sz w:val="18"/>
                <w:szCs w:val="18"/>
              </w:rPr>
            </w:pPr>
            <w:r w:rsidRPr="004E5E16">
              <w:rPr>
                <w:rFonts w:ascii="Verdana" w:hAnsi="Verdana"/>
                <w:b/>
                <w:bCs/>
                <w:iCs/>
                <w:color w:val="800000"/>
                <w:sz w:val="18"/>
                <w:szCs w:val="18"/>
              </w:rPr>
              <w:t>IP</w:t>
            </w:r>
            <w:r>
              <w:rPr>
                <w:rFonts w:ascii="Verdana" w:hAnsi="Verdana"/>
                <w:b/>
                <w:bCs/>
                <w:iCs/>
                <w:color w:val="800000"/>
                <w:sz w:val="18"/>
                <w:szCs w:val="18"/>
              </w:rPr>
              <w:t>.</w:t>
            </w:r>
            <w:r w:rsidR="00086408">
              <w:rPr>
                <w:rFonts w:ascii="Verdana" w:hAnsi="Verdana"/>
                <w:b/>
                <w:bCs/>
                <w:iCs/>
                <w:color w:val="800000"/>
                <w:sz w:val="18"/>
                <w:szCs w:val="18"/>
              </w:rPr>
              <w:t>-</w:t>
            </w:r>
            <w:r>
              <w:rPr>
                <w:rFonts w:ascii="Arial" w:hAnsi="Arial" w:cs="Arial"/>
                <w:iCs/>
                <w:color w:val="002855"/>
                <w:sz w:val="39"/>
                <w:szCs w:val="39"/>
              </w:rPr>
              <w:t xml:space="preserve"> </w:t>
            </w:r>
            <w:r w:rsidR="004E5E16" w:rsidRPr="004E5E16">
              <w:rPr>
                <w:rFonts w:ascii="Verdana" w:hAnsi="Verdana"/>
                <w:b/>
                <w:bCs/>
                <w:iCs/>
                <w:color w:val="800000"/>
                <w:sz w:val="18"/>
                <w:szCs w:val="18"/>
              </w:rPr>
              <w:t>ACLARACIONES SOBRE LA REGLA DE EMPLEADO CONTRATADO A JORNADA COMPLETA A EFECTOS DE APLICAR LOS INCENTIVOS A UNA EMPRESA FAMILIAR DE ARRENDAMIENTO INMOBILIARIO</w:t>
            </w:r>
          </w:p>
        </w:tc>
      </w:tr>
      <w:bookmarkEnd w:id="19"/>
    </w:tbl>
    <w:p w14:paraId="5ABF1D66" w14:textId="6B497A59" w:rsidR="00174599" w:rsidRDefault="00174599" w:rsidP="00174599">
      <w:pPr>
        <w:jc w:val="both"/>
        <w:rPr>
          <w:rFonts w:ascii="Verdana" w:hAnsi="Verdana"/>
          <w:b/>
          <w:bCs/>
          <w:color w:val="800000"/>
          <w:sz w:val="22"/>
          <w:szCs w:val="22"/>
        </w:rPr>
      </w:pPr>
    </w:p>
    <w:p w14:paraId="10881377" w14:textId="5C48DD53" w:rsidR="004E5E16" w:rsidRPr="004E5E16" w:rsidRDefault="004E5E16" w:rsidP="004E5E16">
      <w:pPr>
        <w:ind w:left="284"/>
        <w:jc w:val="both"/>
        <w:rPr>
          <w:rFonts w:ascii="Verdana" w:hAnsi="Verdana"/>
          <w:color w:val="000000"/>
          <w:sz w:val="18"/>
          <w:szCs w:val="18"/>
        </w:rPr>
      </w:pPr>
      <w:r w:rsidRPr="004E5E16">
        <w:rPr>
          <w:rFonts w:ascii="Verdana" w:hAnsi="Verdana"/>
          <w:color w:val="000000"/>
          <w:sz w:val="18"/>
          <w:szCs w:val="18"/>
        </w:rPr>
        <w:t xml:space="preserve">El Tribunal Supremo </w:t>
      </w:r>
      <w:r w:rsidR="00CB0F32">
        <w:rPr>
          <w:rFonts w:ascii="Verdana" w:hAnsi="Verdana"/>
          <w:color w:val="000000"/>
          <w:sz w:val="18"/>
          <w:szCs w:val="18"/>
        </w:rPr>
        <w:t xml:space="preserve">en sus </w:t>
      </w:r>
      <w:r w:rsidR="00CB0F32" w:rsidRPr="00CB0F32">
        <w:rPr>
          <w:rFonts w:ascii="Verdana" w:hAnsi="Verdana"/>
          <w:color w:val="000000"/>
          <w:sz w:val="18"/>
          <w:szCs w:val="18"/>
        </w:rPr>
        <w:t xml:space="preserve">Sentencias </w:t>
      </w:r>
      <w:r w:rsidR="00CB0F32">
        <w:rPr>
          <w:rFonts w:ascii="Verdana" w:hAnsi="Verdana"/>
          <w:color w:val="000000"/>
          <w:sz w:val="18"/>
          <w:szCs w:val="18"/>
        </w:rPr>
        <w:t>de la</w:t>
      </w:r>
      <w:r w:rsidR="00CB0F32" w:rsidRPr="00CB0F32">
        <w:rPr>
          <w:rFonts w:ascii="Verdana" w:hAnsi="Verdana"/>
          <w:color w:val="000000"/>
          <w:sz w:val="18"/>
          <w:szCs w:val="18"/>
        </w:rPr>
        <w:t xml:space="preserve"> Sala de lo Contencioso, de 14 de julio de 2025 (Rec. 2197/2023 y 4148/2023)</w:t>
      </w:r>
      <w:r w:rsidR="00CB0F32">
        <w:rPr>
          <w:rFonts w:ascii="Verdana" w:hAnsi="Verdana"/>
          <w:color w:val="000000"/>
          <w:sz w:val="18"/>
          <w:szCs w:val="18"/>
        </w:rPr>
        <w:t xml:space="preserve"> </w:t>
      </w:r>
      <w:r w:rsidRPr="004E5E16">
        <w:rPr>
          <w:rFonts w:ascii="Verdana" w:hAnsi="Verdana"/>
          <w:color w:val="000000"/>
          <w:sz w:val="18"/>
          <w:szCs w:val="18"/>
        </w:rPr>
        <w:t>rechaza la interpretación administrativa que calificaba el requisito de empleado co</w:t>
      </w:r>
      <w:r w:rsidR="00D258DE">
        <w:rPr>
          <w:rFonts w:ascii="Verdana" w:hAnsi="Verdana"/>
          <w:color w:val="000000"/>
          <w:sz w:val="18"/>
          <w:szCs w:val="18"/>
        </w:rPr>
        <w:t>n</w:t>
      </w:r>
      <w:r w:rsidRPr="004E5E16">
        <w:rPr>
          <w:rFonts w:ascii="Verdana" w:hAnsi="Verdana"/>
          <w:color w:val="000000"/>
          <w:sz w:val="18"/>
          <w:szCs w:val="18"/>
        </w:rPr>
        <w:t xml:space="preserve"> contrato laboral y a jornada completa </w:t>
      </w:r>
      <w:r w:rsidRPr="00CB0F32">
        <w:rPr>
          <w:rFonts w:ascii="Verdana" w:hAnsi="Verdana"/>
          <w:b/>
          <w:bCs/>
          <w:color w:val="000000"/>
          <w:sz w:val="18"/>
          <w:szCs w:val="18"/>
        </w:rPr>
        <w:t>como condición necesaria pero no suficiente para admitir el carácter empresarial del arrendamiento inmobiliario en atención al número de inmuebles arrendados</w:t>
      </w:r>
      <w:r w:rsidRPr="004E5E16">
        <w:rPr>
          <w:rFonts w:ascii="Verdana" w:hAnsi="Verdana"/>
          <w:color w:val="000000"/>
          <w:sz w:val="18"/>
          <w:szCs w:val="18"/>
        </w:rPr>
        <w:t xml:space="preserve">, se concluía que la carga de trabajo no era suficiente para justificar su contratación. </w:t>
      </w:r>
      <w:r w:rsidRPr="00B50F9E">
        <w:rPr>
          <w:rFonts w:ascii="Verdana" w:hAnsi="Verdana"/>
          <w:b/>
          <w:bCs/>
          <w:color w:val="000000"/>
          <w:sz w:val="18"/>
          <w:szCs w:val="18"/>
        </w:rPr>
        <w:t>También rechaza que deba excluirse el cumplimiento de la regla por el hecho de que quien da el cumplimiento al requisito sea partícipe de la comunidad de bienes que desarrolla la actividad</w:t>
      </w:r>
      <w:r w:rsidRPr="004E5E16">
        <w:rPr>
          <w:rFonts w:ascii="Verdana" w:hAnsi="Verdana"/>
          <w:color w:val="000000"/>
          <w:sz w:val="18"/>
          <w:szCs w:val="18"/>
        </w:rPr>
        <w:t>.</w:t>
      </w:r>
    </w:p>
    <w:p w14:paraId="4F5F7DB8" w14:textId="77777777" w:rsidR="004E5E16" w:rsidRPr="004E5E16" w:rsidRDefault="004E5E16" w:rsidP="004E5E16">
      <w:pPr>
        <w:ind w:left="284"/>
        <w:jc w:val="both"/>
        <w:rPr>
          <w:rFonts w:ascii="Verdana" w:hAnsi="Verdana"/>
          <w:color w:val="000000"/>
          <w:sz w:val="18"/>
          <w:szCs w:val="18"/>
        </w:rPr>
      </w:pPr>
    </w:p>
    <w:p w14:paraId="1D66CC3F" w14:textId="77777777" w:rsidR="004E5E16" w:rsidRPr="004E5E16" w:rsidRDefault="004E5E16" w:rsidP="004E5E16">
      <w:pPr>
        <w:ind w:left="284"/>
        <w:jc w:val="both"/>
        <w:rPr>
          <w:rFonts w:ascii="Verdana" w:hAnsi="Verdana"/>
          <w:color w:val="000000"/>
          <w:sz w:val="18"/>
          <w:szCs w:val="18"/>
        </w:rPr>
      </w:pPr>
      <w:r w:rsidRPr="004E5E16">
        <w:rPr>
          <w:rFonts w:ascii="Verdana" w:hAnsi="Verdana"/>
          <w:color w:val="000000"/>
          <w:sz w:val="18"/>
          <w:szCs w:val="18"/>
        </w:rPr>
        <w:t xml:space="preserve">A los efectos de aplicar la reducción en la base imponible del Impuesto sobre Sucesiones del valor de las participaciones en la empresa familiar dedicada al arrendamiento de bienes inmuebles, el Tribunal Supremo ha dictado varios pronunciamientos en los que interpreta la norma legal (art. 27 LIRPF) que condiciona el carácter empresarial de la actividad a que en su ejercicio </w:t>
      </w:r>
      <w:r w:rsidRPr="00CB0F32">
        <w:rPr>
          <w:rFonts w:ascii="Verdana" w:hAnsi="Verdana"/>
          <w:b/>
          <w:bCs/>
          <w:color w:val="000000"/>
          <w:sz w:val="18"/>
          <w:szCs w:val="18"/>
        </w:rPr>
        <w:t>se utilice “al menos, una persona empleada con contrato laboral y a jornada completa”</w:t>
      </w:r>
      <w:r w:rsidRPr="004E5E16">
        <w:rPr>
          <w:rFonts w:ascii="Verdana" w:hAnsi="Verdana"/>
          <w:color w:val="000000"/>
          <w:sz w:val="18"/>
          <w:szCs w:val="18"/>
        </w:rPr>
        <w:t>.</w:t>
      </w:r>
    </w:p>
    <w:p w14:paraId="0BB63C8B" w14:textId="77777777" w:rsidR="004E5E16" w:rsidRPr="004E5E16" w:rsidRDefault="004E5E16" w:rsidP="004E5E16">
      <w:pPr>
        <w:ind w:left="284"/>
        <w:jc w:val="both"/>
        <w:rPr>
          <w:rFonts w:ascii="Verdana" w:hAnsi="Verdana"/>
          <w:color w:val="000000"/>
          <w:sz w:val="18"/>
          <w:szCs w:val="18"/>
        </w:rPr>
      </w:pPr>
    </w:p>
    <w:p w14:paraId="693D680D" w14:textId="0813AAFF" w:rsidR="004E5E16" w:rsidRPr="004E5E16" w:rsidRDefault="004E5E16" w:rsidP="004E5E16">
      <w:pPr>
        <w:ind w:left="284"/>
        <w:jc w:val="both"/>
        <w:rPr>
          <w:rFonts w:ascii="Verdana" w:hAnsi="Verdana"/>
          <w:color w:val="000000"/>
          <w:sz w:val="18"/>
          <w:szCs w:val="18"/>
        </w:rPr>
      </w:pPr>
      <w:r w:rsidRPr="004E5E16">
        <w:rPr>
          <w:rFonts w:ascii="Verdana" w:hAnsi="Verdana"/>
          <w:color w:val="000000"/>
          <w:sz w:val="18"/>
          <w:szCs w:val="18"/>
        </w:rPr>
        <w:t>En la primera de las sentencias (Rec. 2197/2023), la Administración negó la reducción en la base imponible del impuesto por considerar que el trabajo del empleado no justificaba su contratación a jornada completa, ya que las tareas realizadas no superarían una hora diaria. En las otras tres (Rec. 4148/2023, 4160/2023 y 4147/</w:t>
      </w:r>
      <w:r w:rsidR="00CB0F32" w:rsidRPr="004E5E16">
        <w:rPr>
          <w:rFonts w:ascii="Verdana" w:hAnsi="Verdana"/>
          <w:color w:val="000000"/>
          <w:sz w:val="18"/>
          <w:szCs w:val="18"/>
        </w:rPr>
        <w:t>2023)</w:t>
      </w:r>
      <w:r w:rsidRPr="004E5E16">
        <w:rPr>
          <w:rFonts w:ascii="Verdana" w:hAnsi="Verdana"/>
          <w:color w:val="000000"/>
          <w:sz w:val="18"/>
          <w:szCs w:val="18"/>
        </w:rPr>
        <w:t>, se denegó la reducción a la heredera, partícipe en la comunidad de bienes que desarrollaba la actividad de arrendamiento inmobiliario y única empleada en ella, por entender que su condición de comunera excluía la ajenidad en la prestación de servicios y, con ello, su carácter laboral.</w:t>
      </w:r>
    </w:p>
    <w:p w14:paraId="73CDA677" w14:textId="77777777" w:rsidR="004E5E16" w:rsidRPr="004E5E16" w:rsidRDefault="004E5E16" w:rsidP="004E5E16">
      <w:pPr>
        <w:ind w:left="284"/>
        <w:jc w:val="both"/>
        <w:rPr>
          <w:rFonts w:ascii="Verdana" w:hAnsi="Verdana"/>
          <w:color w:val="000000"/>
          <w:sz w:val="18"/>
          <w:szCs w:val="18"/>
        </w:rPr>
      </w:pPr>
    </w:p>
    <w:p w14:paraId="33782B14" w14:textId="77777777" w:rsidR="004E5E16" w:rsidRDefault="004E5E16" w:rsidP="004E5E16">
      <w:pPr>
        <w:ind w:left="284"/>
        <w:jc w:val="both"/>
        <w:rPr>
          <w:rFonts w:ascii="Verdana" w:hAnsi="Verdana"/>
          <w:color w:val="000000"/>
          <w:sz w:val="18"/>
          <w:szCs w:val="18"/>
        </w:rPr>
      </w:pPr>
      <w:r w:rsidRPr="00CB0F32">
        <w:rPr>
          <w:rFonts w:ascii="Verdana" w:hAnsi="Verdana"/>
          <w:b/>
          <w:bCs/>
          <w:color w:val="000000"/>
          <w:sz w:val="18"/>
          <w:szCs w:val="18"/>
        </w:rPr>
        <w:t>El Tribunal Supremo interpreta que “para aplicar la reducción prevista en el artículo 20.2.c) de la Ley del Impuesto sobre Sucesiones y Donaciones, en relación con la actividad de arrendamiento de inmuebles, basta con acreditar el cumplimiento de los requisitos previstos en el artículo 27.2 de la Ley del Impuesto sobre la Renta de las Personas Físicas, sin que se precise justificar la contratación de la persona empleada con contrato laboral y a jornada completa desde un punto de vista económico”</w:t>
      </w:r>
      <w:r w:rsidRPr="004E5E16">
        <w:rPr>
          <w:rFonts w:ascii="Verdana" w:hAnsi="Verdana"/>
          <w:color w:val="000000"/>
          <w:sz w:val="18"/>
          <w:szCs w:val="18"/>
        </w:rPr>
        <w:t xml:space="preserve">. Fundamenta su criterio en que los requisitos de local y empleado a jornada completa </w:t>
      </w:r>
      <w:r w:rsidRPr="00B50F9E">
        <w:rPr>
          <w:rFonts w:ascii="Verdana" w:hAnsi="Verdana"/>
          <w:b/>
          <w:bCs/>
          <w:color w:val="000000"/>
          <w:sz w:val="18"/>
          <w:szCs w:val="18"/>
        </w:rPr>
        <w:t>son suficientes para entender que nos encontramos ante una actividad económica</w:t>
      </w:r>
      <w:r w:rsidRPr="004E5E16">
        <w:rPr>
          <w:rFonts w:ascii="Verdana" w:hAnsi="Verdana"/>
          <w:color w:val="000000"/>
          <w:sz w:val="18"/>
          <w:szCs w:val="18"/>
        </w:rPr>
        <w:t>, considerando que el legislador introdujo esta regla para dotar de seguridad jurídica a los contribuyentes y que exigir, como hasta ahora hacía la Administración, que haya un nivel mínimo determinado de carga de trabajo supone “introducir incertidumbre e inseguridad jurídica, pues no se sabría cuál sería esa mínima carga de trabajo que requiriera, en cada caso”.</w:t>
      </w:r>
    </w:p>
    <w:p w14:paraId="3DC5C021" w14:textId="77777777" w:rsidR="00CB0F32" w:rsidRDefault="00CB0F32" w:rsidP="004E5E16">
      <w:pPr>
        <w:ind w:left="284"/>
        <w:jc w:val="both"/>
        <w:rPr>
          <w:rFonts w:ascii="Verdana" w:hAnsi="Verdana"/>
          <w:color w:val="000000"/>
          <w:sz w:val="18"/>
          <w:szCs w:val="18"/>
        </w:rPr>
      </w:pPr>
    </w:p>
    <w:p w14:paraId="5372D991" w14:textId="52E9422C" w:rsidR="00CB0F32" w:rsidRPr="004E5E16" w:rsidRDefault="00CB0F32" w:rsidP="004E5E16">
      <w:pPr>
        <w:ind w:left="284"/>
        <w:jc w:val="both"/>
        <w:rPr>
          <w:rFonts w:ascii="Verdana" w:hAnsi="Verdana"/>
          <w:color w:val="000000"/>
          <w:sz w:val="18"/>
          <w:szCs w:val="18"/>
        </w:rPr>
      </w:pPr>
      <w:r>
        <w:rPr>
          <w:rFonts w:ascii="Verdana" w:hAnsi="Verdana"/>
          <w:color w:val="000000"/>
          <w:sz w:val="18"/>
          <w:szCs w:val="18"/>
        </w:rPr>
        <w:t xml:space="preserve">Reiteramos por su importancia, la conclusión del Alto Tribunal en el sentido de que </w:t>
      </w:r>
      <w:r w:rsidRPr="009A15FF">
        <w:rPr>
          <w:rFonts w:ascii="Verdana" w:hAnsi="Verdana"/>
          <w:b/>
          <w:bCs/>
          <w:color w:val="000000"/>
          <w:sz w:val="18"/>
          <w:szCs w:val="18"/>
        </w:rPr>
        <w:t xml:space="preserve">el requisito del artículo 27.2 es necesario y suficiente, y que no puede exigirse un requisito adicional como la "razonabilidad económica" de la contratación, ya que </w:t>
      </w:r>
      <w:r w:rsidR="00B50F9E">
        <w:rPr>
          <w:rFonts w:ascii="Verdana" w:hAnsi="Verdana"/>
          <w:b/>
          <w:bCs/>
          <w:color w:val="000000"/>
          <w:sz w:val="18"/>
          <w:szCs w:val="18"/>
        </w:rPr>
        <w:t xml:space="preserve">como se ha dicho, </w:t>
      </w:r>
      <w:r w:rsidRPr="009A15FF">
        <w:rPr>
          <w:rFonts w:ascii="Verdana" w:hAnsi="Verdana"/>
          <w:b/>
          <w:bCs/>
          <w:color w:val="000000"/>
          <w:sz w:val="18"/>
          <w:szCs w:val="18"/>
        </w:rPr>
        <w:t>esto introduce inseguridad jurídica</w:t>
      </w:r>
      <w:r w:rsidRPr="009A15FF">
        <w:rPr>
          <w:rFonts w:ascii="Verdana" w:hAnsi="Verdana"/>
          <w:color w:val="000000"/>
          <w:sz w:val="18"/>
          <w:szCs w:val="18"/>
        </w:rPr>
        <w:t>.</w:t>
      </w:r>
    </w:p>
    <w:p w14:paraId="24195DE2" w14:textId="77777777" w:rsidR="004E5E16" w:rsidRPr="004E5E16" w:rsidRDefault="004E5E16" w:rsidP="004E5E16">
      <w:pPr>
        <w:ind w:left="284"/>
        <w:jc w:val="both"/>
        <w:rPr>
          <w:rFonts w:ascii="Verdana" w:hAnsi="Verdana"/>
          <w:color w:val="000000"/>
          <w:sz w:val="18"/>
          <w:szCs w:val="18"/>
        </w:rPr>
      </w:pPr>
    </w:p>
    <w:p w14:paraId="3D0943B8" w14:textId="302B33F0" w:rsidR="009A15FF" w:rsidRDefault="004E5E16" w:rsidP="004E5E16">
      <w:pPr>
        <w:ind w:left="284"/>
        <w:jc w:val="both"/>
        <w:rPr>
          <w:rFonts w:ascii="Verdana" w:hAnsi="Verdana"/>
          <w:color w:val="000000"/>
          <w:sz w:val="18"/>
          <w:szCs w:val="18"/>
        </w:rPr>
      </w:pPr>
      <w:r w:rsidRPr="004E5E16">
        <w:rPr>
          <w:rFonts w:ascii="Verdana" w:hAnsi="Verdana"/>
          <w:color w:val="000000"/>
          <w:sz w:val="18"/>
          <w:szCs w:val="18"/>
        </w:rPr>
        <w:t xml:space="preserve">También fija </w:t>
      </w:r>
      <w:r w:rsidR="001D4E05" w:rsidRPr="001D4E05">
        <w:rPr>
          <w:rFonts w:ascii="Verdana" w:hAnsi="Verdana"/>
          <w:color w:val="000000"/>
          <w:sz w:val="18"/>
          <w:szCs w:val="18"/>
        </w:rPr>
        <w:t>en las </w:t>
      </w:r>
      <w:r w:rsidR="001D4E05" w:rsidRPr="001D4E05">
        <w:rPr>
          <w:rFonts w:ascii="Verdana" w:hAnsi="Verdana"/>
          <w:b/>
          <w:bCs/>
          <w:color w:val="000000"/>
          <w:sz w:val="18"/>
          <w:szCs w:val="18"/>
        </w:rPr>
        <w:t>SSTS de 14 de julio de 2025</w:t>
      </w:r>
      <w:r w:rsidR="001D4E05">
        <w:rPr>
          <w:rFonts w:ascii="Verdana" w:hAnsi="Verdana"/>
          <w:b/>
          <w:bCs/>
          <w:color w:val="000000"/>
          <w:sz w:val="18"/>
          <w:szCs w:val="18"/>
        </w:rPr>
        <w:t xml:space="preserve"> (Rec. 4148/2023 y 4160/2023) </w:t>
      </w:r>
      <w:r w:rsidRPr="004E5E16">
        <w:rPr>
          <w:rFonts w:ascii="Verdana" w:hAnsi="Verdana"/>
          <w:color w:val="000000"/>
          <w:sz w:val="18"/>
          <w:szCs w:val="18"/>
        </w:rPr>
        <w:t>como doctrina que “</w:t>
      </w:r>
      <w:r w:rsidRPr="00CB0F32">
        <w:rPr>
          <w:rFonts w:ascii="Verdana" w:hAnsi="Verdana"/>
          <w:b/>
          <w:bCs/>
          <w:color w:val="000000"/>
          <w:sz w:val="18"/>
          <w:szCs w:val="18"/>
        </w:rPr>
        <w:t>no debe rechazarse -siempre- el carácter laboral del contrato suscrito entre una comunidad de bienes y uno de sus comuneros por la sola circunstancia de ser partícipe o comunera la persona contratada”</w:t>
      </w:r>
      <w:r w:rsidR="001D4E05">
        <w:rPr>
          <w:rFonts w:ascii="Verdana" w:hAnsi="Verdana"/>
          <w:b/>
          <w:bCs/>
          <w:color w:val="000000"/>
          <w:sz w:val="18"/>
          <w:szCs w:val="18"/>
        </w:rPr>
        <w:t xml:space="preserve">, </w:t>
      </w:r>
      <w:r w:rsidR="001D4E05" w:rsidRPr="001D4E05">
        <w:rPr>
          <w:rFonts w:ascii="Verdana" w:hAnsi="Verdana"/>
          <w:color w:val="000000"/>
          <w:sz w:val="18"/>
          <w:szCs w:val="18"/>
        </w:rPr>
        <w:t>de manera que puede entenderse cumplida la exigencia contenida el art. 27.2 Ley IRPF cuando se suscriba un contrato de esa naturaleza, puesto que ello e</w:t>
      </w:r>
      <w:r w:rsidR="00086408">
        <w:rPr>
          <w:rFonts w:ascii="Verdana" w:hAnsi="Verdana"/>
          <w:color w:val="000000"/>
          <w:sz w:val="18"/>
          <w:szCs w:val="18"/>
        </w:rPr>
        <w:t>s</w:t>
      </w:r>
      <w:r w:rsidR="001D4E05" w:rsidRPr="001D4E05">
        <w:rPr>
          <w:rFonts w:ascii="Verdana" w:hAnsi="Verdana"/>
          <w:color w:val="000000"/>
          <w:sz w:val="18"/>
          <w:szCs w:val="18"/>
        </w:rPr>
        <w:t xml:space="preserve"> </w:t>
      </w:r>
      <w:r w:rsidR="00086408">
        <w:rPr>
          <w:rFonts w:ascii="Verdana" w:hAnsi="Verdana"/>
          <w:color w:val="000000"/>
          <w:sz w:val="18"/>
          <w:szCs w:val="18"/>
        </w:rPr>
        <w:t>compatible</w:t>
      </w:r>
      <w:r w:rsidR="001D4E05" w:rsidRPr="001D4E05">
        <w:rPr>
          <w:rFonts w:ascii="Verdana" w:hAnsi="Verdana"/>
          <w:color w:val="000000"/>
          <w:sz w:val="18"/>
          <w:szCs w:val="18"/>
        </w:rPr>
        <w:t xml:space="preserve"> con las normas jurídicas relativas a la </w:t>
      </w:r>
      <w:r w:rsidR="001D4E05" w:rsidRPr="001D4E05">
        <w:rPr>
          <w:rFonts w:ascii="Verdana" w:hAnsi="Verdana"/>
          <w:b/>
          <w:bCs/>
          <w:color w:val="000000"/>
          <w:sz w:val="18"/>
          <w:szCs w:val="18"/>
        </w:rPr>
        <w:t>reducción de la base imponible del impuesto sobre sucesiones y donaciones por razón de la sucesión de la empresa familiar, que queda supeditada al mantenimiento de la actividad económica</w:t>
      </w:r>
      <w:r w:rsidR="001D4E05" w:rsidRPr="001D4E05">
        <w:rPr>
          <w:rFonts w:ascii="Verdana" w:hAnsi="Verdana"/>
          <w:color w:val="000000"/>
          <w:sz w:val="18"/>
          <w:szCs w:val="18"/>
        </w:rPr>
        <w:t>, siendo </w:t>
      </w:r>
      <w:r w:rsidR="001D4E05" w:rsidRPr="001D4E05">
        <w:rPr>
          <w:rFonts w:ascii="Verdana" w:hAnsi="Verdana"/>
          <w:b/>
          <w:bCs/>
          <w:color w:val="000000"/>
          <w:sz w:val="18"/>
          <w:szCs w:val="18"/>
        </w:rPr>
        <w:t>reiterada esta doctrina en la STS de 16 de julio de 2025</w:t>
      </w:r>
      <w:r w:rsidR="001D4E05">
        <w:rPr>
          <w:rFonts w:ascii="Verdana" w:hAnsi="Verdana"/>
          <w:b/>
          <w:bCs/>
          <w:color w:val="000000"/>
          <w:sz w:val="18"/>
          <w:szCs w:val="18"/>
        </w:rPr>
        <w:t xml:space="preserve"> Rec. 5841/2023, entre otras.</w:t>
      </w:r>
    </w:p>
    <w:p w14:paraId="43E063CA" w14:textId="77777777" w:rsidR="001D4E05" w:rsidRDefault="001D4E05" w:rsidP="004E5E16">
      <w:pPr>
        <w:ind w:left="284"/>
        <w:jc w:val="both"/>
        <w:rPr>
          <w:rFonts w:ascii="Verdana" w:hAnsi="Verdana"/>
          <w:color w:val="000000"/>
          <w:sz w:val="18"/>
          <w:szCs w:val="18"/>
        </w:rPr>
      </w:pPr>
    </w:p>
    <w:p w14:paraId="3661BBDA" w14:textId="4FF3F265" w:rsidR="009A15FF" w:rsidRDefault="009A15FF" w:rsidP="00174599">
      <w:pPr>
        <w:ind w:left="284"/>
        <w:jc w:val="both"/>
        <w:rPr>
          <w:rFonts w:ascii="Verdana" w:hAnsi="Verdana"/>
          <w:color w:val="000000"/>
          <w:sz w:val="18"/>
          <w:szCs w:val="18"/>
        </w:rPr>
      </w:pPr>
    </w:p>
    <w:bookmarkEnd w:id="20"/>
    <w:tbl>
      <w:tblPr>
        <w:tblW w:w="8640" w:type="dxa"/>
        <w:tblInd w:w="70" w:type="dxa"/>
        <w:tblCellMar>
          <w:left w:w="70" w:type="dxa"/>
          <w:right w:w="70" w:type="dxa"/>
        </w:tblCellMar>
        <w:tblLook w:val="0000" w:firstRow="0" w:lastRow="0" w:firstColumn="0" w:lastColumn="0" w:noHBand="0" w:noVBand="0"/>
      </w:tblPr>
      <w:tblGrid>
        <w:gridCol w:w="180"/>
        <w:gridCol w:w="8460"/>
      </w:tblGrid>
      <w:tr w:rsidR="00FF3809" w:rsidRPr="00FF3809" w14:paraId="2D22B666" w14:textId="77777777" w:rsidTr="00E7071D">
        <w:tc>
          <w:tcPr>
            <w:tcW w:w="180" w:type="dxa"/>
            <w:shd w:val="clear" w:color="auto" w:fill="FF6600"/>
          </w:tcPr>
          <w:p w14:paraId="5E8E0691" w14:textId="77777777" w:rsidR="00FF3809" w:rsidRPr="00FF3809" w:rsidRDefault="00FF3809" w:rsidP="00E7071D">
            <w:pPr>
              <w:rPr>
                <w:rFonts w:ascii="Verdana" w:hAnsi="Verdana"/>
                <w:b/>
                <w:bCs/>
                <w:color w:val="800000"/>
                <w:sz w:val="18"/>
                <w:szCs w:val="18"/>
              </w:rPr>
            </w:pPr>
          </w:p>
        </w:tc>
        <w:tc>
          <w:tcPr>
            <w:tcW w:w="8460" w:type="dxa"/>
          </w:tcPr>
          <w:p w14:paraId="099ED374" w14:textId="0D09C839" w:rsidR="00FF3809" w:rsidRPr="00FF3809" w:rsidRDefault="00FF3809" w:rsidP="00B7649E">
            <w:pPr>
              <w:numPr>
                <w:ilvl w:val="0"/>
                <w:numId w:val="19"/>
              </w:numPr>
              <w:ind w:left="389" w:hanging="283"/>
              <w:jc w:val="both"/>
              <w:rPr>
                <w:rFonts w:ascii="Verdana" w:hAnsi="Verdana"/>
                <w:b/>
                <w:bCs/>
                <w:color w:val="800000"/>
                <w:spacing w:val="-8"/>
                <w:sz w:val="18"/>
                <w:szCs w:val="18"/>
              </w:rPr>
            </w:pPr>
            <w:r w:rsidRPr="00FF3809">
              <w:rPr>
                <w:rFonts w:ascii="Verdana" w:hAnsi="Verdana"/>
                <w:b/>
                <w:bCs/>
                <w:color w:val="800000"/>
                <w:sz w:val="18"/>
                <w:szCs w:val="18"/>
              </w:rPr>
              <w:t>EL TRIBUNAL SUPR</w:t>
            </w:r>
            <w:r w:rsidR="00D90753">
              <w:rPr>
                <w:rFonts w:ascii="Verdana" w:hAnsi="Verdana"/>
                <w:b/>
                <w:bCs/>
                <w:color w:val="800000"/>
                <w:sz w:val="18"/>
                <w:szCs w:val="18"/>
              </w:rPr>
              <w:t>E</w:t>
            </w:r>
            <w:r w:rsidRPr="00FF3809">
              <w:rPr>
                <w:rFonts w:ascii="Verdana" w:hAnsi="Verdana"/>
                <w:b/>
                <w:bCs/>
                <w:color w:val="800000"/>
                <w:sz w:val="18"/>
                <w:szCs w:val="18"/>
              </w:rPr>
              <w:t>MO REITERA QUE NO BASTA CON LA MERA INSCRIPCIÓN O LA CONSTANCIA DE LA CONDICIÓN DE ADMINISTRADOR DE LA SOCIEDAD PARA DERIVAR LA RESPONSABILIDAD SUBSIDIARIA DEL ART. 43.1.A) LGT SINO QUE SE REQUIERE MAYOR MOTIVACIÓN</w:t>
            </w:r>
          </w:p>
        </w:tc>
      </w:tr>
    </w:tbl>
    <w:p w14:paraId="1CD342E6" w14:textId="77777777" w:rsidR="00174599" w:rsidRPr="00174599" w:rsidRDefault="00174599">
      <w:pPr>
        <w:rPr>
          <w:rFonts w:ascii="Verdana" w:hAnsi="Verdana"/>
          <w:color w:val="000000"/>
          <w:sz w:val="18"/>
          <w:szCs w:val="18"/>
        </w:rPr>
      </w:pPr>
    </w:p>
    <w:p w14:paraId="5810BD31" w14:textId="31D94003" w:rsidR="00174599" w:rsidRDefault="00FF3809" w:rsidP="00FF3809">
      <w:pPr>
        <w:ind w:left="284"/>
        <w:jc w:val="both"/>
        <w:rPr>
          <w:rFonts w:ascii="Verdana" w:hAnsi="Verdana"/>
          <w:color w:val="000000"/>
          <w:sz w:val="18"/>
          <w:szCs w:val="18"/>
        </w:rPr>
      </w:pPr>
      <w:r w:rsidRPr="00FF3809">
        <w:rPr>
          <w:rFonts w:ascii="Verdana" w:hAnsi="Verdana"/>
          <w:color w:val="000000"/>
          <w:sz w:val="18"/>
          <w:szCs w:val="18"/>
        </w:rPr>
        <w:t>El Tribunal Supremo en la </w:t>
      </w:r>
      <w:r w:rsidR="005F7291">
        <w:rPr>
          <w:rFonts w:ascii="Verdana" w:hAnsi="Verdana"/>
          <w:b/>
          <w:bCs/>
          <w:color w:val="000000"/>
          <w:sz w:val="18"/>
          <w:szCs w:val="18"/>
        </w:rPr>
        <w:t xml:space="preserve">sentencia </w:t>
      </w:r>
      <w:r w:rsidRPr="00FF3809">
        <w:rPr>
          <w:rFonts w:ascii="Verdana" w:hAnsi="Verdana"/>
          <w:b/>
          <w:bCs/>
          <w:color w:val="000000"/>
          <w:sz w:val="18"/>
          <w:szCs w:val="18"/>
        </w:rPr>
        <w:t>de 1</w:t>
      </w:r>
      <w:r w:rsidR="00086408">
        <w:rPr>
          <w:rFonts w:ascii="Verdana" w:hAnsi="Verdana"/>
          <w:b/>
          <w:bCs/>
          <w:color w:val="000000"/>
          <w:sz w:val="18"/>
          <w:szCs w:val="18"/>
        </w:rPr>
        <w:t xml:space="preserve"> </w:t>
      </w:r>
      <w:r w:rsidRPr="00FF3809">
        <w:rPr>
          <w:rFonts w:ascii="Verdana" w:hAnsi="Verdana"/>
          <w:b/>
          <w:bCs/>
          <w:color w:val="000000"/>
          <w:sz w:val="18"/>
          <w:szCs w:val="18"/>
        </w:rPr>
        <w:t>de julio de 2025</w:t>
      </w:r>
      <w:r>
        <w:rPr>
          <w:rFonts w:ascii="Verdana" w:hAnsi="Verdana"/>
          <w:b/>
          <w:bCs/>
          <w:color w:val="000000"/>
          <w:sz w:val="18"/>
          <w:szCs w:val="18"/>
        </w:rPr>
        <w:t xml:space="preserve"> (Rec. 642/2023)</w:t>
      </w:r>
      <w:r w:rsidRPr="00FF3809">
        <w:rPr>
          <w:rFonts w:ascii="Verdana" w:hAnsi="Verdana"/>
          <w:color w:val="000000"/>
          <w:sz w:val="18"/>
          <w:szCs w:val="18"/>
        </w:rPr>
        <w:t>, </w:t>
      </w:r>
      <w:r w:rsidRPr="00D90753">
        <w:rPr>
          <w:rFonts w:ascii="Verdana" w:hAnsi="Verdana"/>
          <w:b/>
          <w:bCs/>
          <w:color w:val="000000"/>
          <w:sz w:val="18"/>
          <w:szCs w:val="18"/>
        </w:rPr>
        <w:t>ha</w:t>
      </w:r>
      <w:r w:rsidRPr="00FF3809">
        <w:rPr>
          <w:rFonts w:ascii="Verdana" w:hAnsi="Verdana"/>
          <w:color w:val="000000"/>
          <w:sz w:val="18"/>
          <w:szCs w:val="18"/>
        </w:rPr>
        <w:t> </w:t>
      </w:r>
      <w:r w:rsidRPr="00FF3809">
        <w:rPr>
          <w:rFonts w:ascii="Verdana" w:hAnsi="Verdana"/>
          <w:b/>
          <w:bCs/>
          <w:color w:val="000000"/>
          <w:sz w:val="18"/>
          <w:szCs w:val="18"/>
        </w:rPr>
        <w:t xml:space="preserve">reiterado que no basta con la mera inscripción o la constancia de la condición </w:t>
      </w:r>
      <w:r>
        <w:rPr>
          <w:rFonts w:ascii="Verdana" w:hAnsi="Verdana"/>
          <w:b/>
          <w:bCs/>
          <w:color w:val="000000"/>
          <w:sz w:val="18"/>
          <w:szCs w:val="18"/>
        </w:rPr>
        <w:t xml:space="preserve">de </w:t>
      </w:r>
      <w:r w:rsidRPr="00FF3809">
        <w:rPr>
          <w:rFonts w:ascii="Verdana" w:hAnsi="Verdana"/>
          <w:b/>
          <w:bCs/>
          <w:color w:val="000000"/>
          <w:sz w:val="18"/>
          <w:szCs w:val="18"/>
        </w:rPr>
        <w:t>administrador de la sociedad para derivar la responsabilidad subsidiaria del art. 43.1.a) LGT</w:t>
      </w:r>
      <w:r w:rsidRPr="00FF3809">
        <w:rPr>
          <w:rFonts w:ascii="Verdana" w:hAnsi="Verdana"/>
          <w:color w:val="000000"/>
          <w:sz w:val="18"/>
          <w:szCs w:val="18"/>
        </w:rPr>
        <w:t>.</w:t>
      </w:r>
      <w:r>
        <w:rPr>
          <w:rFonts w:ascii="Verdana" w:hAnsi="Verdana"/>
          <w:color w:val="000000"/>
          <w:sz w:val="18"/>
          <w:szCs w:val="18"/>
        </w:rPr>
        <w:t xml:space="preserve"> (*)</w:t>
      </w:r>
      <w:r w:rsidRPr="00FF3809">
        <w:rPr>
          <w:rFonts w:ascii="Verdana" w:hAnsi="Verdana"/>
          <w:color w:val="000000"/>
          <w:sz w:val="18"/>
          <w:szCs w:val="18"/>
        </w:rPr>
        <w:t xml:space="preserve"> La </w:t>
      </w:r>
      <w:r w:rsidRPr="00FF3809">
        <w:rPr>
          <w:rFonts w:ascii="Verdana" w:hAnsi="Verdana"/>
          <w:b/>
          <w:bCs/>
          <w:color w:val="000000"/>
          <w:sz w:val="18"/>
          <w:szCs w:val="18"/>
        </w:rPr>
        <w:t>condición de administrador de la sociedad es necesaria para que proceda la derivación de la responsabilidad subsidiaria del art.43.1 LGT, pero no es suficiente</w:t>
      </w:r>
      <w:r w:rsidRPr="00FF3809">
        <w:rPr>
          <w:rFonts w:ascii="Verdana" w:hAnsi="Verdana"/>
          <w:color w:val="000000"/>
          <w:sz w:val="18"/>
          <w:szCs w:val="18"/>
        </w:rPr>
        <w:t>. Debe la </w:t>
      </w:r>
      <w:r w:rsidRPr="00FF3809">
        <w:rPr>
          <w:rFonts w:ascii="Verdana" w:hAnsi="Verdana"/>
          <w:b/>
          <w:bCs/>
          <w:color w:val="000000"/>
          <w:sz w:val="18"/>
          <w:szCs w:val="18"/>
        </w:rPr>
        <w:t>Administración tributaria explicitar y concretar</w:t>
      </w:r>
      <w:r w:rsidRPr="00FF3809">
        <w:rPr>
          <w:rFonts w:ascii="Verdana" w:hAnsi="Verdana"/>
          <w:color w:val="000000"/>
          <w:sz w:val="18"/>
          <w:szCs w:val="18"/>
        </w:rPr>
        <w:t>, cada vez que derive la responsabilidad, la </w:t>
      </w:r>
      <w:r w:rsidRPr="00FF3809">
        <w:rPr>
          <w:rFonts w:ascii="Verdana" w:hAnsi="Verdana"/>
          <w:b/>
          <w:bCs/>
          <w:color w:val="000000"/>
          <w:sz w:val="18"/>
          <w:szCs w:val="18"/>
        </w:rPr>
        <w:t>conducta del administrador que llevó a materializar los incumplimientos antijurídicos desencadenantes de las sanciones impuestas a la sociedad</w:t>
      </w:r>
      <w:r w:rsidRPr="00FF3809">
        <w:rPr>
          <w:rFonts w:ascii="Verdana" w:hAnsi="Verdana"/>
          <w:color w:val="000000"/>
          <w:sz w:val="18"/>
          <w:szCs w:val="18"/>
        </w:rPr>
        <w:t>. La mera </w:t>
      </w:r>
      <w:r w:rsidRPr="00FF3809">
        <w:rPr>
          <w:rFonts w:ascii="Verdana" w:hAnsi="Verdana"/>
          <w:b/>
          <w:bCs/>
          <w:color w:val="000000"/>
          <w:sz w:val="18"/>
          <w:szCs w:val="18"/>
        </w:rPr>
        <w:t xml:space="preserve">referencia genérica a las obligaciones del cargo previstas en la legislación </w:t>
      </w:r>
      <w:r w:rsidR="00480805" w:rsidRPr="00FF3809">
        <w:rPr>
          <w:rFonts w:ascii="Verdana" w:hAnsi="Verdana"/>
          <w:b/>
          <w:bCs/>
          <w:color w:val="000000"/>
          <w:sz w:val="18"/>
          <w:szCs w:val="18"/>
        </w:rPr>
        <w:t>mercantil</w:t>
      </w:r>
      <w:r w:rsidRPr="00FF3809">
        <w:rPr>
          <w:rFonts w:ascii="Verdana" w:hAnsi="Verdana"/>
          <w:b/>
          <w:bCs/>
          <w:color w:val="000000"/>
          <w:sz w:val="18"/>
          <w:szCs w:val="18"/>
        </w:rPr>
        <w:t xml:space="preserve"> no basta para anudar la responsabilidad de quien fue administrador</w:t>
      </w:r>
      <w:r w:rsidRPr="00FF3809">
        <w:rPr>
          <w:rFonts w:ascii="Verdana" w:hAnsi="Verdana"/>
          <w:color w:val="000000"/>
          <w:sz w:val="18"/>
          <w:szCs w:val="18"/>
        </w:rPr>
        <w:t>. Se precisa un concreto y puntual análisis de lo realmente acontecido, dando respuesta a las cuestiones invocadas por el interesado y que no sea la mera referencia a las previsiones legales.</w:t>
      </w:r>
    </w:p>
    <w:p w14:paraId="35506FE4" w14:textId="77777777" w:rsidR="00FF3809" w:rsidRDefault="00FF3809" w:rsidP="00FF3809">
      <w:pPr>
        <w:ind w:left="284"/>
        <w:jc w:val="both"/>
        <w:rPr>
          <w:rFonts w:ascii="Verdana" w:hAnsi="Verdana"/>
          <w:color w:val="000000"/>
          <w:sz w:val="18"/>
          <w:szCs w:val="18"/>
        </w:rPr>
      </w:pPr>
    </w:p>
    <w:p w14:paraId="56D85480" w14:textId="351FEB1A" w:rsidR="00FF3809" w:rsidRPr="00FF3809" w:rsidRDefault="00FF3809" w:rsidP="00FF3809">
      <w:pPr>
        <w:ind w:left="284"/>
        <w:jc w:val="both"/>
        <w:rPr>
          <w:rFonts w:ascii="Verdana" w:hAnsi="Verdana"/>
          <w:b/>
          <w:bCs/>
          <w:color w:val="000000"/>
          <w:sz w:val="16"/>
          <w:szCs w:val="16"/>
        </w:rPr>
      </w:pPr>
      <w:r w:rsidRPr="005A62D8">
        <w:rPr>
          <w:rFonts w:ascii="Verdana" w:hAnsi="Verdana"/>
          <w:b/>
          <w:bCs/>
          <w:color w:val="000000"/>
          <w:sz w:val="16"/>
          <w:szCs w:val="16"/>
        </w:rPr>
        <w:t>(*)</w:t>
      </w:r>
      <w:r>
        <w:rPr>
          <w:rFonts w:ascii="Verdana" w:hAnsi="Verdana"/>
          <w:color w:val="000000"/>
          <w:sz w:val="16"/>
          <w:szCs w:val="16"/>
        </w:rPr>
        <w:t xml:space="preserve"> </w:t>
      </w:r>
      <w:r w:rsidRPr="00FF3809">
        <w:rPr>
          <w:rFonts w:ascii="Verdana" w:hAnsi="Verdana"/>
          <w:b/>
          <w:bCs/>
          <w:color w:val="000000"/>
          <w:sz w:val="16"/>
          <w:szCs w:val="16"/>
        </w:rPr>
        <w:t>Artículo 43. Responsables subsidiarios.</w:t>
      </w:r>
    </w:p>
    <w:p w14:paraId="442E903C" w14:textId="77777777" w:rsidR="00FF3809" w:rsidRPr="00FF3809" w:rsidRDefault="00FF3809" w:rsidP="00FF3809">
      <w:pPr>
        <w:ind w:left="284"/>
        <w:jc w:val="both"/>
        <w:rPr>
          <w:rFonts w:ascii="Verdana" w:hAnsi="Verdana"/>
          <w:color w:val="000000"/>
          <w:sz w:val="16"/>
          <w:szCs w:val="16"/>
        </w:rPr>
      </w:pPr>
      <w:r w:rsidRPr="00FF3809">
        <w:rPr>
          <w:rFonts w:ascii="Verdana" w:hAnsi="Verdana"/>
          <w:color w:val="000000"/>
          <w:sz w:val="16"/>
          <w:szCs w:val="16"/>
        </w:rPr>
        <w:t>1. Serán responsables subsidiarios de la deuda tributaria las siguientes personas o entidades:</w:t>
      </w:r>
    </w:p>
    <w:p w14:paraId="4960308D" w14:textId="77777777" w:rsidR="00FF3809" w:rsidRPr="00FF3809" w:rsidRDefault="00FF3809" w:rsidP="00FF3809">
      <w:pPr>
        <w:ind w:left="284"/>
        <w:jc w:val="both"/>
        <w:rPr>
          <w:rFonts w:ascii="Verdana" w:hAnsi="Verdana"/>
          <w:color w:val="000000"/>
          <w:sz w:val="18"/>
          <w:szCs w:val="18"/>
        </w:rPr>
      </w:pPr>
      <w:r w:rsidRPr="00FF3809">
        <w:rPr>
          <w:rFonts w:ascii="Verdana" w:hAnsi="Verdana"/>
          <w:color w:val="000000"/>
          <w:sz w:val="16"/>
          <w:szCs w:val="16"/>
        </w:rPr>
        <w:t>a) Sin perjuicio de lo dispuesto en el párrafo a) del apartado 1 del artículo 42 de esta ley, los administradores de hecho o de derecho de las personas jurídicas que, habiendo éstas cometido infracciones tributarias, no hubiesen realizado los actos necesarios que sean de su incumbencia para el cumplimiento de las obligaciones y deberes tributarios, hubiesen consentido el incumplimiento por quienes de ellos dependan o hubiesen adoptado acuerdos que posibilitasen las infracciones. Su responsabilidad también se extenderá a las sanciones</w:t>
      </w:r>
      <w:r w:rsidRPr="00FF3809">
        <w:rPr>
          <w:rFonts w:ascii="Verdana" w:hAnsi="Verdana"/>
          <w:color w:val="000000"/>
          <w:sz w:val="18"/>
          <w:szCs w:val="18"/>
        </w:rPr>
        <w:t>.</w:t>
      </w:r>
    </w:p>
    <w:p w14:paraId="03B69AC4" w14:textId="0A337A80" w:rsidR="00FF3809" w:rsidRPr="00174599" w:rsidRDefault="00FF3809" w:rsidP="00FF3809">
      <w:pPr>
        <w:ind w:left="284"/>
        <w:jc w:val="both"/>
        <w:rPr>
          <w:rFonts w:ascii="Verdana" w:hAnsi="Verdana"/>
          <w:color w:val="000000"/>
          <w:sz w:val="18"/>
          <w:szCs w:val="18"/>
        </w:rPr>
      </w:pPr>
    </w:p>
    <w:p w14:paraId="75548CE7" w14:textId="77777777" w:rsidR="00174599" w:rsidRPr="00174599" w:rsidRDefault="00174599">
      <w:pPr>
        <w:rPr>
          <w:rFonts w:ascii="Verdana" w:hAnsi="Verdana"/>
          <w:color w:val="000000"/>
          <w:sz w:val="18"/>
          <w:szCs w:val="18"/>
        </w:rPr>
      </w:pPr>
    </w:p>
    <w:p w14:paraId="49E89086" w14:textId="7C14B72C" w:rsidR="002B55F1" w:rsidRPr="00086408" w:rsidRDefault="002B55F1" w:rsidP="00086408">
      <w:pPr>
        <w:rPr>
          <w:rFonts w:ascii="Verdana" w:hAnsi="Verdana"/>
          <w:color w:val="000000"/>
          <w:sz w:val="18"/>
          <w:szCs w:val="18"/>
        </w:rPr>
      </w:pPr>
      <w:r w:rsidRPr="00D85A46">
        <w:rPr>
          <w:rFonts w:ascii="Verdana" w:hAnsi="Verdana"/>
          <w:b/>
          <w:bCs/>
          <w:color w:val="800000"/>
          <w:sz w:val="22"/>
          <w:szCs w:val="22"/>
        </w:rPr>
        <w:t xml:space="preserve">DISPOSICIONES PUBLICADAS DURANTE </w:t>
      </w:r>
      <w:r w:rsidR="00352E2F">
        <w:rPr>
          <w:rFonts w:ascii="Verdana" w:hAnsi="Verdana"/>
          <w:b/>
          <w:bCs/>
          <w:color w:val="800000"/>
          <w:sz w:val="22"/>
          <w:szCs w:val="22"/>
        </w:rPr>
        <w:t>LOS MESES DE JULIO Y</w:t>
      </w:r>
      <w:r w:rsidR="00887B11">
        <w:rPr>
          <w:rFonts w:ascii="Verdana" w:hAnsi="Verdana"/>
          <w:b/>
          <w:bCs/>
          <w:color w:val="800000"/>
          <w:sz w:val="22"/>
          <w:szCs w:val="22"/>
        </w:rPr>
        <w:t xml:space="preserve"> </w:t>
      </w:r>
      <w:r w:rsidRPr="00D85A46">
        <w:rPr>
          <w:rFonts w:ascii="Verdana" w:hAnsi="Verdana"/>
          <w:b/>
          <w:bCs/>
          <w:color w:val="800000"/>
          <w:sz w:val="22"/>
          <w:szCs w:val="22"/>
        </w:rPr>
        <w:t xml:space="preserve">AGOSTO DE </w:t>
      </w:r>
      <w:r w:rsidR="00DF1F7F">
        <w:rPr>
          <w:rFonts w:ascii="Verdana" w:hAnsi="Verdana"/>
          <w:b/>
          <w:bCs/>
          <w:color w:val="800000"/>
          <w:sz w:val="22"/>
          <w:szCs w:val="22"/>
        </w:rPr>
        <w:t>20</w:t>
      </w:r>
      <w:r w:rsidR="00504680">
        <w:rPr>
          <w:rFonts w:ascii="Verdana" w:hAnsi="Verdana"/>
          <w:b/>
          <w:bCs/>
          <w:color w:val="800000"/>
          <w:sz w:val="22"/>
          <w:szCs w:val="22"/>
        </w:rPr>
        <w:t>2</w:t>
      </w:r>
      <w:r w:rsidR="00F40FBF">
        <w:rPr>
          <w:rFonts w:ascii="Verdana" w:hAnsi="Verdana"/>
          <w:b/>
          <w:bCs/>
          <w:color w:val="800000"/>
          <w:sz w:val="22"/>
          <w:szCs w:val="22"/>
        </w:rPr>
        <w:t>5</w:t>
      </w:r>
    </w:p>
    <w:p w14:paraId="3AB8D9FC" w14:textId="77777777" w:rsidR="00BE784E" w:rsidRDefault="00BE784E" w:rsidP="00F5160E">
      <w:pPr>
        <w:pStyle w:val="Sangradetextonormal"/>
        <w:ind w:left="0"/>
        <w:contextualSpacing/>
        <w:rPr>
          <w:rFonts w:ascii="Verdana" w:hAnsi="Verdana"/>
          <w:bCs/>
          <w:i/>
          <w:sz w:val="18"/>
          <w:szCs w:val="18"/>
        </w:rPr>
      </w:pPr>
    </w:p>
    <w:p w14:paraId="73AC76B9" w14:textId="77777777" w:rsidR="00953B9F" w:rsidRPr="00953B9F" w:rsidRDefault="00953B9F" w:rsidP="00953B9F">
      <w:pPr>
        <w:pStyle w:val="Sangradetextonormal"/>
        <w:ind w:left="0"/>
        <w:contextualSpacing/>
        <w:jc w:val="both"/>
        <w:rPr>
          <w:rFonts w:ascii="Verdana" w:hAnsi="Verdana"/>
          <w:b/>
          <w:iCs/>
          <w:color w:val="800000"/>
          <w:sz w:val="18"/>
          <w:szCs w:val="18"/>
        </w:rPr>
      </w:pPr>
      <w:bookmarkStart w:id="21" w:name="_Hlk173512973"/>
      <w:r w:rsidRPr="00953B9F">
        <w:rPr>
          <w:rFonts w:ascii="Verdana" w:hAnsi="Verdana"/>
          <w:b/>
          <w:iCs/>
          <w:color w:val="800000"/>
          <w:sz w:val="18"/>
          <w:szCs w:val="18"/>
        </w:rPr>
        <w:t>Procedimientos administrativos. Gestión informatizada</w:t>
      </w:r>
    </w:p>
    <w:p w14:paraId="15B57BCE" w14:textId="3A538B0C" w:rsidR="00953B9F" w:rsidRPr="00953B9F" w:rsidRDefault="00953B9F" w:rsidP="00953B9F">
      <w:pPr>
        <w:pStyle w:val="Sangradetextonormal"/>
        <w:ind w:left="0"/>
        <w:contextualSpacing/>
        <w:jc w:val="both"/>
        <w:rPr>
          <w:rFonts w:ascii="Verdana" w:hAnsi="Verdana"/>
          <w:bCs/>
          <w:sz w:val="18"/>
          <w:szCs w:val="18"/>
        </w:rPr>
      </w:pPr>
      <w:r w:rsidRPr="00953B9F">
        <w:rPr>
          <w:rFonts w:ascii="Verdana" w:hAnsi="Verdana"/>
          <w:bCs/>
          <w:sz w:val="18"/>
          <w:szCs w:val="18"/>
        </w:rPr>
        <w:t>Orden HAC/682/2025, de 27 de junio, por la que se modifica la Orden HAC/1400/2018, de 21 de diciembre, por la que se aprueba el modelo 233, «Declaración informativa por gastos en guarderías o centros de educación infantil autorizados» y se determinan el lugar, forma, plazo y el procedimiento para su presentación, y se modifica la Orden HAP/2194/2013, de 22 de noviembre, por la que se regulan los procedimientos y las condiciones generales para la presentación de determinadas autoliquidaciones, declaraciones informativas, declaraciones censales, comunicaciones y solicitudes de devolución, de naturaleza tributaria.</w:t>
      </w:r>
    </w:p>
    <w:bookmarkEnd w:id="21"/>
    <w:p w14:paraId="287708EF" w14:textId="0DC8D21F" w:rsidR="00953B9F" w:rsidRDefault="00953B9F" w:rsidP="00953B9F">
      <w:pPr>
        <w:pStyle w:val="Sangradetextonormal"/>
        <w:ind w:left="0"/>
        <w:contextualSpacing/>
        <w:jc w:val="both"/>
        <w:rPr>
          <w:rFonts w:ascii="Verdana" w:hAnsi="Verdana"/>
          <w:bCs/>
          <w:i/>
          <w:iCs/>
          <w:sz w:val="18"/>
          <w:szCs w:val="18"/>
        </w:rPr>
      </w:pPr>
      <w:r>
        <w:rPr>
          <w:rFonts w:ascii="Verdana" w:hAnsi="Verdana"/>
          <w:bCs/>
          <w:i/>
          <w:iCs/>
          <w:sz w:val="18"/>
          <w:szCs w:val="18"/>
        </w:rPr>
        <w:t>Ministerio de Hacienda. B.O.E. núm. 158 de 2 de julio de 2025.</w:t>
      </w:r>
    </w:p>
    <w:p w14:paraId="771D45F6" w14:textId="77777777" w:rsidR="00254DDA" w:rsidRDefault="00254DDA" w:rsidP="00953B9F">
      <w:pPr>
        <w:pStyle w:val="Sangradetextonormal"/>
        <w:ind w:left="0"/>
        <w:contextualSpacing/>
        <w:jc w:val="both"/>
        <w:rPr>
          <w:rFonts w:ascii="Verdana" w:hAnsi="Verdana"/>
          <w:bCs/>
          <w:i/>
          <w:iCs/>
          <w:sz w:val="18"/>
          <w:szCs w:val="18"/>
        </w:rPr>
      </w:pPr>
    </w:p>
    <w:p w14:paraId="13328AA9" w14:textId="61815E88" w:rsidR="00254DDA" w:rsidRPr="00254DDA" w:rsidRDefault="00254DDA" w:rsidP="00254DDA">
      <w:pPr>
        <w:pStyle w:val="Sangradetextonormal"/>
        <w:ind w:left="0"/>
        <w:contextualSpacing/>
        <w:jc w:val="both"/>
        <w:rPr>
          <w:rFonts w:ascii="Verdana" w:hAnsi="Verdana"/>
          <w:b/>
          <w:iCs/>
          <w:color w:val="800000"/>
          <w:sz w:val="18"/>
          <w:szCs w:val="18"/>
        </w:rPr>
      </w:pPr>
      <w:r w:rsidRPr="00254DDA">
        <w:rPr>
          <w:rFonts w:ascii="Verdana" w:hAnsi="Verdana"/>
          <w:b/>
          <w:iCs/>
          <w:color w:val="800000"/>
          <w:sz w:val="18"/>
          <w:szCs w:val="18"/>
        </w:rPr>
        <w:t>Vehículos a motor. Entidades aseguradoras y reaseguradoras</w:t>
      </w:r>
      <w:r>
        <w:rPr>
          <w:rFonts w:ascii="Verdana" w:hAnsi="Verdana"/>
          <w:b/>
          <w:iCs/>
          <w:color w:val="800000"/>
          <w:sz w:val="18"/>
          <w:szCs w:val="18"/>
        </w:rPr>
        <w:t xml:space="preserve">. </w:t>
      </w:r>
      <w:r>
        <w:rPr>
          <w:rFonts w:ascii="Verdana" w:hAnsi="Verdana"/>
          <w:b/>
          <w:bCs/>
          <w:iCs/>
          <w:color w:val="800000"/>
          <w:sz w:val="18"/>
          <w:szCs w:val="18"/>
        </w:rPr>
        <w:t>R</w:t>
      </w:r>
      <w:r w:rsidRPr="00C16B23">
        <w:rPr>
          <w:rFonts w:ascii="Verdana" w:hAnsi="Verdana"/>
          <w:b/>
          <w:bCs/>
          <w:iCs/>
          <w:color w:val="800000"/>
          <w:sz w:val="18"/>
          <w:szCs w:val="18"/>
        </w:rPr>
        <w:t>égimen para determinar la procedencia y practicar las devoluciones en el IRPF a los mutualistas</w:t>
      </w:r>
      <w:r w:rsidR="006758F1">
        <w:rPr>
          <w:rFonts w:ascii="Verdana" w:hAnsi="Verdana"/>
          <w:b/>
          <w:bCs/>
          <w:iCs/>
          <w:color w:val="800000"/>
          <w:sz w:val="18"/>
          <w:szCs w:val="18"/>
        </w:rPr>
        <w:t>,</w:t>
      </w:r>
      <w:r w:rsidRPr="00C16B23">
        <w:rPr>
          <w:rFonts w:ascii="Verdana" w:hAnsi="Verdana"/>
          <w:b/>
          <w:bCs/>
          <w:iCs/>
          <w:color w:val="800000"/>
          <w:sz w:val="18"/>
          <w:szCs w:val="18"/>
        </w:rPr>
        <w:t xml:space="preserve"> derivadas de la jurisprudencia del </w:t>
      </w:r>
      <w:r>
        <w:rPr>
          <w:rFonts w:ascii="Verdana" w:hAnsi="Verdana"/>
          <w:b/>
          <w:bCs/>
          <w:iCs/>
          <w:color w:val="800000"/>
          <w:sz w:val="18"/>
          <w:szCs w:val="18"/>
        </w:rPr>
        <w:t>TS</w:t>
      </w:r>
      <w:r w:rsidR="00F16E40">
        <w:rPr>
          <w:rFonts w:ascii="Verdana" w:hAnsi="Verdana"/>
          <w:b/>
          <w:bCs/>
          <w:iCs/>
          <w:color w:val="800000"/>
          <w:sz w:val="18"/>
          <w:szCs w:val="18"/>
        </w:rPr>
        <w:t xml:space="preserve">. Nueva deducción en el IRPF </w:t>
      </w:r>
      <w:r w:rsidR="00F16E40" w:rsidRPr="00F16E40">
        <w:rPr>
          <w:rFonts w:ascii="Verdana" w:hAnsi="Verdana"/>
          <w:b/>
          <w:bCs/>
          <w:iCs/>
          <w:color w:val="800000"/>
          <w:sz w:val="18"/>
          <w:szCs w:val="18"/>
        </w:rPr>
        <w:t>para contribuyentes con bajos rendimientos del trabajo derivados de una relación laboral o estatutaria</w:t>
      </w:r>
    </w:p>
    <w:p w14:paraId="7D3FA822" w14:textId="14FE304B" w:rsidR="00254DDA" w:rsidRPr="00254DDA" w:rsidRDefault="00254DDA" w:rsidP="00254DDA">
      <w:pPr>
        <w:pStyle w:val="Sangradetextonormal"/>
        <w:ind w:left="0"/>
        <w:contextualSpacing/>
        <w:jc w:val="both"/>
        <w:rPr>
          <w:rFonts w:ascii="Verdana" w:hAnsi="Verdana"/>
          <w:bCs/>
          <w:sz w:val="18"/>
          <w:szCs w:val="18"/>
        </w:rPr>
      </w:pPr>
      <w:r w:rsidRPr="00254DDA">
        <w:rPr>
          <w:rFonts w:ascii="Verdana" w:hAnsi="Verdana"/>
          <w:bCs/>
          <w:sz w:val="18"/>
          <w:szCs w:val="18"/>
        </w:rPr>
        <w:t>Ley 5/2025, de 24 de julio, por la que se modifican el texto refundido de la Ley sobre responsabilidad civil y seguro en la circulación de vehículos a motor, aprobado por el Real Decreto Legislativo 8/2004, de 29 de octubre, y la Ley 20/2015, de 14 de julio, de ordenación, supervisión y solvencia de las entidades aseguradoras y reaseguradoras.</w:t>
      </w:r>
    </w:p>
    <w:p w14:paraId="07E030C7" w14:textId="624D3D7E" w:rsidR="008451BB" w:rsidRDefault="00254DDA" w:rsidP="00953B9F">
      <w:pPr>
        <w:pStyle w:val="Sangradetextonormal"/>
        <w:ind w:left="0"/>
        <w:contextualSpacing/>
        <w:jc w:val="both"/>
        <w:rPr>
          <w:rFonts w:ascii="Verdana" w:hAnsi="Verdana"/>
          <w:bCs/>
          <w:i/>
          <w:iCs/>
          <w:sz w:val="18"/>
          <w:szCs w:val="18"/>
        </w:rPr>
      </w:pPr>
      <w:r>
        <w:rPr>
          <w:rFonts w:ascii="Verdana" w:hAnsi="Verdana"/>
          <w:bCs/>
          <w:i/>
          <w:iCs/>
          <w:sz w:val="18"/>
          <w:szCs w:val="18"/>
        </w:rPr>
        <w:t>Jefatura del Estado. B.O.E. núm. 178 de 25 de julio de 2025.</w:t>
      </w:r>
    </w:p>
    <w:p w14:paraId="13060CF5" w14:textId="77777777" w:rsidR="00254DDA" w:rsidRDefault="00254DDA" w:rsidP="00953B9F">
      <w:pPr>
        <w:pStyle w:val="Sangradetextonormal"/>
        <w:ind w:left="0"/>
        <w:contextualSpacing/>
        <w:jc w:val="both"/>
        <w:rPr>
          <w:rFonts w:ascii="Verdana" w:hAnsi="Verdana"/>
          <w:bCs/>
          <w:i/>
          <w:iCs/>
          <w:sz w:val="18"/>
          <w:szCs w:val="18"/>
        </w:rPr>
      </w:pPr>
    </w:p>
    <w:p w14:paraId="65CD10EB" w14:textId="77777777" w:rsidR="008451BB" w:rsidRPr="008451BB" w:rsidRDefault="008451BB" w:rsidP="008451BB">
      <w:pPr>
        <w:pStyle w:val="Sangradetextonormal"/>
        <w:ind w:left="0"/>
        <w:contextualSpacing/>
        <w:jc w:val="both"/>
        <w:rPr>
          <w:rFonts w:ascii="Verdana" w:hAnsi="Verdana"/>
          <w:b/>
          <w:iCs/>
          <w:color w:val="800000"/>
          <w:sz w:val="18"/>
          <w:szCs w:val="18"/>
        </w:rPr>
      </w:pPr>
      <w:r w:rsidRPr="008451BB">
        <w:rPr>
          <w:rFonts w:ascii="Verdana" w:hAnsi="Verdana"/>
          <w:b/>
          <w:iCs/>
          <w:color w:val="800000"/>
          <w:sz w:val="18"/>
          <w:szCs w:val="18"/>
        </w:rPr>
        <w:t>Régimen Económico y Fiscal de Canarias</w:t>
      </w:r>
    </w:p>
    <w:p w14:paraId="49C24FE8" w14:textId="070EE855" w:rsidR="008451BB" w:rsidRPr="008451BB" w:rsidRDefault="008451BB" w:rsidP="008451BB">
      <w:pPr>
        <w:pStyle w:val="Sangradetextonormal"/>
        <w:ind w:left="0"/>
        <w:contextualSpacing/>
        <w:jc w:val="both"/>
        <w:rPr>
          <w:rFonts w:ascii="Verdana" w:hAnsi="Verdana"/>
          <w:bCs/>
          <w:sz w:val="18"/>
          <w:szCs w:val="18"/>
        </w:rPr>
      </w:pPr>
      <w:r w:rsidRPr="008451BB">
        <w:rPr>
          <w:rFonts w:ascii="Verdana" w:hAnsi="Verdana"/>
          <w:bCs/>
          <w:sz w:val="18"/>
          <w:szCs w:val="18"/>
        </w:rPr>
        <w:t>Ley 6/2025, de 28 de julio, de modificación de la Ley 19/1994, de 6 de julio, de modificación del Régimen Económico y Fiscal de Canarias, para la regulación de las inversiones en elementos patrimoniales afectos a la actividad de arrendamiento de vivienda en las Islas Canarias.</w:t>
      </w:r>
    </w:p>
    <w:p w14:paraId="00F05BB2" w14:textId="205B77C6" w:rsidR="00CC0395" w:rsidRDefault="008451BB" w:rsidP="002D01FD">
      <w:pPr>
        <w:pStyle w:val="Sangradetextonormal"/>
        <w:ind w:left="0"/>
        <w:contextualSpacing/>
        <w:jc w:val="both"/>
        <w:rPr>
          <w:rFonts w:ascii="Verdana" w:hAnsi="Verdana"/>
          <w:bCs/>
          <w:i/>
          <w:iCs/>
          <w:sz w:val="18"/>
          <w:szCs w:val="18"/>
        </w:rPr>
      </w:pPr>
      <w:r>
        <w:rPr>
          <w:rFonts w:ascii="Verdana" w:hAnsi="Verdana"/>
          <w:bCs/>
          <w:i/>
          <w:iCs/>
          <w:sz w:val="18"/>
          <w:szCs w:val="18"/>
        </w:rPr>
        <w:t>Jefatura del Estado. B.O.E. núm. 181 de 29 de julio de 2025.</w:t>
      </w:r>
    </w:p>
    <w:p w14:paraId="21C40D00" w14:textId="77777777" w:rsidR="00C66757" w:rsidRDefault="00C66757" w:rsidP="00C22024">
      <w:pPr>
        <w:pStyle w:val="Sangradetextonormal"/>
        <w:ind w:left="0"/>
        <w:contextualSpacing/>
        <w:jc w:val="both"/>
        <w:rPr>
          <w:rFonts w:ascii="Verdana" w:hAnsi="Verdana"/>
          <w:bCs/>
          <w:i/>
          <w:iCs/>
          <w:sz w:val="18"/>
          <w:szCs w:val="18"/>
        </w:rPr>
      </w:pPr>
    </w:p>
    <w:p w14:paraId="168BF35E" w14:textId="77777777" w:rsidR="00086408" w:rsidRDefault="00086408" w:rsidP="00C22024">
      <w:pPr>
        <w:pStyle w:val="Sangradetextonormal"/>
        <w:ind w:left="0"/>
        <w:contextualSpacing/>
        <w:jc w:val="both"/>
        <w:rPr>
          <w:rFonts w:ascii="Verdana" w:hAnsi="Verdana"/>
          <w:bCs/>
          <w:i/>
          <w:iCs/>
          <w:sz w:val="18"/>
          <w:szCs w:val="18"/>
        </w:rPr>
      </w:pPr>
    </w:p>
    <w:p w14:paraId="616F6C33" w14:textId="256C95A1" w:rsidR="006C68F1" w:rsidRPr="00C66757" w:rsidRDefault="006C68F1" w:rsidP="006C68F1">
      <w:pPr>
        <w:pStyle w:val="Sangradetextonormal"/>
        <w:ind w:left="0"/>
        <w:contextualSpacing/>
        <w:jc w:val="center"/>
        <w:rPr>
          <w:rFonts w:ascii="Verdana" w:hAnsi="Verdana"/>
          <w:bCs/>
          <w:sz w:val="18"/>
          <w:szCs w:val="18"/>
        </w:rPr>
      </w:pPr>
      <w:r w:rsidRPr="00C356BB">
        <w:rPr>
          <w:rFonts w:ascii="Verdana" w:hAnsi="Verdana"/>
          <w:b/>
          <w:bCs/>
          <w:color w:val="800000"/>
          <w:sz w:val="18"/>
          <w:szCs w:val="18"/>
          <w:lang w:val="es-ES_tradnl"/>
        </w:rPr>
        <w:t>COMUNIDADES AUTÓNOMAS Y FORALES</w:t>
      </w:r>
    </w:p>
    <w:p w14:paraId="5BAD9CCD" w14:textId="77777777" w:rsidR="00C22024" w:rsidRDefault="00C22024" w:rsidP="00C22024">
      <w:pPr>
        <w:pStyle w:val="Sangradetextonormal"/>
        <w:ind w:left="0"/>
        <w:contextualSpacing/>
        <w:jc w:val="both"/>
        <w:rPr>
          <w:rFonts w:ascii="Verdana" w:hAnsi="Verdana"/>
          <w:bCs/>
          <w:sz w:val="18"/>
          <w:szCs w:val="18"/>
        </w:rPr>
      </w:pPr>
    </w:p>
    <w:p w14:paraId="5C572824" w14:textId="77777777" w:rsidR="00BE6237" w:rsidRPr="00BE6237" w:rsidRDefault="00BE6237" w:rsidP="00BE6237">
      <w:pPr>
        <w:pStyle w:val="Sangradetextonormal"/>
        <w:ind w:left="0"/>
        <w:contextualSpacing/>
        <w:jc w:val="both"/>
        <w:rPr>
          <w:rFonts w:ascii="Verdana" w:hAnsi="Verdana"/>
          <w:b/>
          <w:iCs/>
          <w:color w:val="800000"/>
          <w:sz w:val="18"/>
          <w:szCs w:val="18"/>
        </w:rPr>
      </w:pPr>
      <w:r w:rsidRPr="00BE6237">
        <w:rPr>
          <w:rFonts w:ascii="Verdana" w:hAnsi="Verdana"/>
          <w:b/>
          <w:iCs/>
          <w:color w:val="800000"/>
          <w:sz w:val="18"/>
          <w:szCs w:val="18"/>
        </w:rPr>
        <w:t>COMUNIDAD AUTÓNOMA DE ARAGÓN</w:t>
      </w:r>
    </w:p>
    <w:p w14:paraId="16ABD7A1" w14:textId="77777777" w:rsidR="00BE6237" w:rsidRPr="00BE6237" w:rsidRDefault="00BE6237" w:rsidP="00BE6237">
      <w:pPr>
        <w:pStyle w:val="Sangradetextonormal"/>
        <w:ind w:left="0"/>
        <w:contextualSpacing/>
        <w:jc w:val="both"/>
        <w:rPr>
          <w:rFonts w:ascii="Verdana" w:hAnsi="Verdana"/>
          <w:b/>
          <w:iCs/>
          <w:color w:val="800000"/>
          <w:sz w:val="18"/>
          <w:szCs w:val="18"/>
        </w:rPr>
      </w:pPr>
      <w:r w:rsidRPr="00BE6237">
        <w:rPr>
          <w:rFonts w:ascii="Verdana" w:hAnsi="Verdana"/>
          <w:b/>
          <w:iCs/>
          <w:color w:val="800000"/>
          <w:sz w:val="18"/>
          <w:szCs w:val="18"/>
        </w:rPr>
        <w:t>Tributos</w:t>
      </w:r>
    </w:p>
    <w:p w14:paraId="17D99386" w14:textId="597BFA34" w:rsidR="00110B83" w:rsidRPr="00BE6237" w:rsidRDefault="00BE6237" w:rsidP="00BE6237">
      <w:pPr>
        <w:pStyle w:val="Sangradetextonormal"/>
        <w:ind w:left="0"/>
        <w:contextualSpacing/>
        <w:jc w:val="both"/>
        <w:rPr>
          <w:rFonts w:ascii="Verdana" w:hAnsi="Verdana"/>
          <w:bCs/>
          <w:sz w:val="18"/>
          <w:szCs w:val="18"/>
        </w:rPr>
      </w:pPr>
      <w:r w:rsidRPr="00BE6237">
        <w:rPr>
          <w:rFonts w:ascii="Verdana" w:hAnsi="Verdana"/>
          <w:bCs/>
          <w:sz w:val="18"/>
          <w:szCs w:val="18"/>
        </w:rPr>
        <w:t>Ley 3/2025, 26 de junio, de apoyo fiscal a la empresa familiar por la que se modifica el Texto Refundido de las disposiciones dictadas por la Comunidad Autónoma de Aragón en materia de tributos cedidos, aprobado por Decreto Legislativo 1/2005, de 26 de septiembre, del Gobierno de Aragón.</w:t>
      </w:r>
    </w:p>
    <w:p w14:paraId="4A1A8070" w14:textId="78897101" w:rsidR="00DB2BB8" w:rsidRDefault="00BE6237" w:rsidP="00DB2BB8">
      <w:pPr>
        <w:pStyle w:val="Sangradetextonormal"/>
        <w:ind w:left="0"/>
        <w:contextualSpacing/>
        <w:jc w:val="both"/>
        <w:rPr>
          <w:rFonts w:ascii="Verdana" w:hAnsi="Verdana"/>
          <w:bCs/>
          <w:i/>
          <w:iCs/>
          <w:sz w:val="18"/>
          <w:szCs w:val="18"/>
        </w:rPr>
      </w:pPr>
      <w:bookmarkStart w:id="22" w:name="_Hlk205463297"/>
      <w:r>
        <w:rPr>
          <w:rFonts w:ascii="Verdana" w:hAnsi="Verdana"/>
          <w:bCs/>
          <w:i/>
          <w:iCs/>
          <w:sz w:val="18"/>
          <w:szCs w:val="18"/>
        </w:rPr>
        <w:t>B.O.E. núm. 171 de 2 de julio de 2025.</w:t>
      </w:r>
    </w:p>
    <w:p w14:paraId="12668C1E" w14:textId="77777777" w:rsidR="00942F70" w:rsidRDefault="00942F70" w:rsidP="00DB2BB8">
      <w:pPr>
        <w:pStyle w:val="Sangradetextonormal"/>
        <w:ind w:left="0"/>
        <w:contextualSpacing/>
        <w:jc w:val="both"/>
        <w:rPr>
          <w:rFonts w:ascii="Verdana" w:hAnsi="Verdana"/>
          <w:bCs/>
          <w:i/>
          <w:iCs/>
          <w:sz w:val="18"/>
          <w:szCs w:val="18"/>
        </w:rPr>
      </w:pPr>
    </w:p>
    <w:p w14:paraId="16F49E91" w14:textId="77777777" w:rsidR="00942F70" w:rsidRPr="00942F70" w:rsidRDefault="00942F70" w:rsidP="00942F70">
      <w:pPr>
        <w:pStyle w:val="Sangradetextonormal"/>
        <w:ind w:left="0"/>
        <w:contextualSpacing/>
        <w:jc w:val="both"/>
        <w:rPr>
          <w:rFonts w:ascii="Verdana" w:hAnsi="Verdana"/>
          <w:b/>
          <w:iCs/>
          <w:color w:val="800000"/>
          <w:sz w:val="18"/>
          <w:szCs w:val="18"/>
        </w:rPr>
      </w:pPr>
      <w:r w:rsidRPr="00942F70">
        <w:rPr>
          <w:rFonts w:ascii="Verdana" w:hAnsi="Verdana"/>
          <w:b/>
          <w:iCs/>
          <w:color w:val="800000"/>
          <w:sz w:val="18"/>
          <w:szCs w:val="18"/>
        </w:rPr>
        <w:t>COMUNIDAD AUTÓNOMA DE ARAGÓN</w:t>
      </w:r>
    </w:p>
    <w:p w14:paraId="4173CD55" w14:textId="77777777" w:rsidR="00942F70" w:rsidRPr="00942F70" w:rsidRDefault="00942F70" w:rsidP="00942F70">
      <w:pPr>
        <w:pStyle w:val="Sangradetextonormal"/>
        <w:ind w:left="0"/>
        <w:contextualSpacing/>
        <w:jc w:val="both"/>
        <w:rPr>
          <w:rFonts w:ascii="Verdana" w:hAnsi="Verdana"/>
          <w:b/>
          <w:iCs/>
          <w:color w:val="800000"/>
          <w:sz w:val="18"/>
          <w:szCs w:val="18"/>
        </w:rPr>
      </w:pPr>
      <w:r w:rsidRPr="00942F70">
        <w:rPr>
          <w:rFonts w:ascii="Verdana" w:hAnsi="Verdana"/>
          <w:b/>
          <w:iCs/>
          <w:color w:val="800000"/>
          <w:sz w:val="18"/>
          <w:szCs w:val="18"/>
        </w:rPr>
        <w:t>Medidas urgentes</w:t>
      </w:r>
    </w:p>
    <w:p w14:paraId="743B8541" w14:textId="1299199D" w:rsidR="00942F70" w:rsidRPr="00942F70" w:rsidRDefault="00942F70" w:rsidP="00942F70">
      <w:pPr>
        <w:pStyle w:val="Sangradetextonormal"/>
        <w:ind w:left="0"/>
        <w:contextualSpacing/>
        <w:jc w:val="both"/>
        <w:rPr>
          <w:rFonts w:ascii="Verdana" w:hAnsi="Verdana"/>
          <w:bCs/>
          <w:sz w:val="18"/>
          <w:szCs w:val="18"/>
        </w:rPr>
      </w:pPr>
      <w:r w:rsidRPr="00942F70">
        <w:rPr>
          <w:rFonts w:ascii="Verdana" w:hAnsi="Verdana"/>
          <w:bCs/>
          <w:sz w:val="18"/>
          <w:szCs w:val="18"/>
        </w:rPr>
        <w:t>Decreto-ley 5/2025, de 18 de julio, del Gobierno de Aragón, por el que se establecen medidas urgentes para la reparación de los daños causados y las pérdidas producidas en el territorio de Aragón como consecuencia de las lluvias torrenciales de los días 11 y 12 de julio de 2025.</w:t>
      </w:r>
    </w:p>
    <w:p w14:paraId="3998944A" w14:textId="7C394CED" w:rsidR="00942F70" w:rsidRDefault="00942F70" w:rsidP="00942F70">
      <w:pPr>
        <w:pStyle w:val="Sangradetextonormal"/>
        <w:ind w:left="0"/>
        <w:contextualSpacing/>
        <w:jc w:val="both"/>
        <w:rPr>
          <w:rFonts w:ascii="Verdana" w:hAnsi="Verdana"/>
          <w:bCs/>
          <w:i/>
          <w:iCs/>
          <w:sz w:val="18"/>
          <w:szCs w:val="18"/>
        </w:rPr>
      </w:pPr>
      <w:r w:rsidRPr="00942F70">
        <w:rPr>
          <w:rFonts w:ascii="Verdana" w:hAnsi="Verdana"/>
          <w:bCs/>
          <w:i/>
          <w:iCs/>
          <w:sz w:val="18"/>
          <w:szCs w:val="18"/>
        </w:rPr>
        <w:t>B.O.E. núm. 1</w:t>
      </w:r>
      <w:r>
        <w:rPr>
          <w:rFonts w:ascii="Verdana" w:hAnsi="Verdana"/>
          <w:bCs/>
          <w:i/>
          <w:iCs/>
          <w:sz w:val="18"/>
          <w:szCs w:val="18"/>
        </w:rPr>
        <w:t>96</w:t>
      </w:r>
      <w:r w:rsidRPr="00942F70">
        <w:rPr>
          <w:rFonts w:ascii="Verdana" w:hAnsi="Verdana"/>
          <w:bCs/>
          <w:i/>
          <w:iCs/>
          <w:sz w:val="18"/>
          <w:szCs w:val="18"/>
        </w:rPr>
        <w:t xml:space="preserve"> de </w:t>
      </w:r>
      <w:r>
        <w:rPr>
          <w:rFonts w:ascii="Verdana" w:hAnsi="Verdana"/>
          <w:bCs/>
          <w:i/>
          <w:iCs/>
          <w:sz w:val="18"/>
          <w:szCs w:val="18"/>
        </w:rPr>
        <w:t>1</w:t>
      </w:r>
      <w:r w:rsidRPr="00942F70">
        <w:rPr>
          <w:rFonts w:ascii="Verdana" w:hAnsi="Verdana"/>
          <w:bCs/>
          <w:i/>
          <w:iCs/>
          <w:sz w:val="18"/>
          <w:szCs w:val="18"/>
        </w:rPr>
        <w:t>5 de agosto de 2025.</w:t>
      </w:r>
    </w:p>
    <w:p w14:paraId="4BE2F3CD" w14:textId="77777777" w:rsidR="00942F70" w:rsidRDefault="00942F70" w:rsidP="00942F70">
      <w:pPr>
        <w:pStyle w:val="Sangradetextonormal"/>
        <w:ind w:left="0"/>
        <w:contextualSpacing/>
        <w:jc w:val="both"/>
        <w:rPr>
          <w:rFonts w:ascii="Verdana" w:hAnsi="Verdana"/>
          <w:bCs/>
          <w:i/>
          <w:iCs/>
          <w:sz w:val="18"/>
          <w:szCs w:val="18"/>
        </w:rPr>
      </w:pPr>
    </w:p>
    <w:bookmarkEnd w:id="22"/>
    <w:p w14:paraId="3FAAA1EB" w14:textId="77777777" w:rsidR="004C1182" w:rsidRDefault="004C1182" w:rsidP="00DB2BB8">
      <w:pPr>
        <w:pStyle w:val="Sangradetextonormal"/>
        <w:ind w:left="0"/>
        <w:contextualSpacing/>
        <w:jc w:val="both"/>
        <w:rPr>
          <w:rFonts w:ascii="Verdana" w:hAnsi="Verdana"/>
          <w:bCs/>
          <w:i/>
          <w:iCs/>
          <w:sz w:val="18"/>
          <w:szCs w:val="18"/>
        </w:rPr>
      </w:pPr>
    </w:p>
    <w:p w14:paraId="351FA5AF" w14:textId="0D674554" w:rsidR="004C1182" w:rsidRPr="004C1182" w:rsidRDefault="004C1182" w:rsidP="00DB2BB8">
      <w:pPr>
        <w:pStyle w:val="Sangradetextonormal"/>
        <w:ind w:left="0"/>
        <w:contextualSpacing/>
        <w:jc w:val="both"/>
        <w:rPr>
          <w:rFonts w:ascii="Verdana" w:hAnsi="Verdana"/>
          <w:b/>
          <w:iCs/>
          <w:color w:val="800000"/>
          <w:sz w:val="18"/>
          <w:szCs w:val="18"/>
        </w:rPr>
      </w:pPr>
      <w:r w:rsidRPr="004C1182">
        <w:rPr>
          <w:rFonts w:ascii="Verdana" w:hAnsi="Verdana"/>
          <w:b/>
          <w:iCs/>
          <w:color w:val="800000"/>
          <w:sz w:val="18"/>
          <w:szCs w:val="18"/>
        </w:rPr>
        <w:t>COMUNIDAD AUTÓNOMA DE LA REGIÓN DE MURCIA</w:t>
      </w:r>
    </w:p>
    <w:p w14:paraId="181F0E00" w14:textId="77777777" w:rsidR="004C1182" w:rsidRDefault="004C1182" w:rsidP="004C1182">
      <w:pPr>
        <w:pStyle w:val="Sangradetextonormal"/>
        <w:ind w:left="0"/>
        <w:contextualSpacing/>
        <w:jc w:val="both"/>
        <w:rPr>
          <w:rFonts w:ascii="Verdana" w:hAnsi="Verdana"/>
          <w:b/>
          <w:iCs/>
          <w:color w:val="800000"/>
          <w:sz w:val="18"/>
          <w:szCs w:val="18"/>
        </w:rPr>
      </w:pPr>
      <w:r w:rsidRPr="004C1182">
        <w:rPr>
          <w:rFonts w:ascii="Verdana" w:hAnsi="Verdana"/>
          <w:b/>
          <w:iCs/>
          <w:color w:val="800000"/>
          <w:sz w:val="18"/>
          <w:szCs w:val="18"/>
        </w:rPr>
        <w:t>Presupuestos</w:t>
      </w:r>
    </w:p>
    <w:p w14:paraId="02F152B2" w14:textId="1B0B35E3" w:rsidR="004C1182" w:rsidRPr="004C1182" w:rsidRDefault="004C1182" w:rsidP="004C1182">
      <w:pPr>
        <w:pStyle w:val="Sangradetextonormal"/>
        <w:ind w:left="0"/>
        <w:contextualSpacing/>
        <w:jc w:val="both"/>
        <w:rPr>
          <w:rFonts w:ascii="Verdana" w:hAnsi="Verdana"/>
          <w:bCs/>
          <w:sz w:val="18"/>
          <w:szCs w:val="18"/>
        </w:rPr>
      </w:pPr>
      <w:r w:rsidRPr="004C1182">
        <w:rPr>
          <w:rFonts w:ascii="Verdana" w:hAnsi="Verdana"/>
          <w:bCs/>
          <w:sz w:val="18"/>
          <w:szCs w:val="18"/>
        </w:rPr>
        <w:t>Ley 3/2025, de 23 de julio, de Presupuestos Generales de la Comunidad Autónoma de la Región de Murcia para el ejercicio 2025.</w:t>
      </w:r>
    </w:p>
    <w:p w14:paraId="33FB70B9" w14:textId="79AA5D93" w:rsidR="004C1182" w:rsidRDefault="004C1182" w:rsidP="004C1182">
      <w:pPr>
        <w:pStyle w:val="Sangradetextonormal"/>
        <w:ind w:left="0"/>
        <w:contextualSpacing/>
        <w:jc w:val="both"/>
        <w:rPr>
          <w:rFonts w:ascii="Verdana" w:hAnsi="Verdana"/>
          <w:bCs/>
          <w:i/>
          <w:iCs/>
          <w:sz w:val="18"/>
          <w:szCs w:val="18"/>
        </w:rPr>
      </w:pPr>
      <w:bookmarkStart w:id="23" w:name="_Hlk206174601"/>
      <w:r>
        <w:rPr>
          <w:rFonts w:ascii="Verdana" w:hAnsi="Verdana"/>
          <w:bCs/>
          <w:i/>
          <w:iCs/>
          <w:sz w:val="18"/>
          <w:szCs w:val="18"/>
        </w:rPr>
        <w:t>B.O.E. núm. 187 de 5 de agosto de 2025.</w:t>
      </w:r>
    </w:p>
    <w:bookmarkEnd w:id="23"/>
    <w:p w14:paraId="6429AE5A" w14:textId="77777777" w:rsidR="00681DC4" w:rsidRDefault="00681DC4" w:rsidP="004C1182">
      <w:pPr>
        <w:pStyle w:val="Sangradetextonormal"/>
        <w:ind w:left="0"/>
        <w:contextualSpacing/>
        <w:jc w:val="both"/>
        <w:rPr>
          <w:rFonts w:ascii="Verdana" w:hAnsi="Verdana"/>
          <w:bCs/>
          <w:i/>
          <w:iCs/>
          <w:sz w:val="18"/>
          <w:szCs w:val="18"/>
        </w:rPr>
      </w:pPr>
    </w:p>
    <w:p w14:paraId="42772ADB" w14:textId="77777777" w:rsidR="00086408" w:rsidRDefault="00086408" w:rsidP="004C1182">
      <w:pPr>
        <w:pStyle w:val="Sangradetextonormal"/>
        <w:ind w:left="0"/>
        <w:contextualSpacing/>
        <w:jc w:val="both"/>
        <w:rPr>
          <w:rFonts w:ascii="Verdana" w:hAnsi="Verdana"/>
          <w:bCs/>
          <w:i/>
          <w:iCs/>
          <w:sz w:val="18"/>
          <w:szCs w:val="18"/>
        </w:rPr>
      </w:pPr>
    </w:p>
    <w:p w14:paraId="19D407DD" w14:textId="088840AB" w:rsidR="00681DC4" w:rsidRPr="00681DC4" w:rsidRDefault="00681DC4" w:rsidP="004C1182">
      <w:pPr>
        <w:pStyle w:val="Sangradetextonormal"/>
        <w:ind w:left="0"/>
        <w:contextualSpacing/>
        <w:jc w:val="both"/>
        <w:rPr>
          <w:rFonts w:ascii="Verdana" w:hAnsi="Verdana"/>
          <w:b/>
          <w:iCs/>
          <w:color w:val="800000"/>
          <w:sz w:val="18"/>
          <w:szCs w:val="18"/>
        </w:rPr>
      </w:pPr>
      <w:r w:rsidRPr="00681DC4">
        <w:rPr>
          <w:rFonts w:ascii="Verdana" w:hAnsi="Verdana"/>
          <w:b/>
          <w:iCs/>
          <w:color w:val="800000"/>
          <w:sz w:val="18"/>
          <w:szCs w:val="18"/>
        </w:rPr>
        <w:t>COMUNIDAD AUTÓNOMA DE LA RIOJA</w:t>
      </w:r>
    </w:p>
    <w:p w14:paraId="1293186D" w14:textId="77777777" w:rsidR="00681DC4" w:rsidRPr="00681DC4" w:rsidRDefault="00681DC4" w:rsidP="00681DC4">
      <w:pPr>
        <w:pStyle w:val="Sangradetextonormal"/>
        <w:ind w:left="0"/>
        <w:contextualSpacing/>
        <w:jc w:val="both"/>
        <w:rPr>
          <w:rFonts w:ascii="Verdana" w:hAnsi="Verdana"/>
          <w:b/>
          <w:iCs/>
          <w:color w:val="800000"/>
          <w:sz w:val="18"/>
          <w:szCs w:val="18"/>
        </w:rPr>
      </w:pPr>
      <w:r w:rsidRPr="00681DC4">
        <w:rPr>
          <w:rFonts w:ascii="Verdana" w:hAnsi="Verdana"/>
          <w:b/>
          <w:iCs/>
          <w:color w:val="800000"/>
          <w:sz w:val="18"/>
          <w:szCs w:val="18"/>
        </w:rPr>
        <w:t>Medidas fiscales</w:t>
      </w:r>
    </w:p>
    <w:p w14:paraId="301CCAE4" w14:textId="77777777" w:rsidR="00681DC4" w:rsidRPr="00681DC4" w:rsidRDefault="00681DC4" w:rsidP="00681DC4">
      <w:pPr>
        <w:pStyle w:val="Sangradetextonormal"/>
        <w:ind w:left="0"/>
        <w:contextualSpacing/>
        <w:jc w:val="both"/>
        <w:rPr>
          <w:rFonts w:ascii="Verdana" w:hAnsi="Verdana"/>
          <w:bCs/>
          <w:sz w:val="18"/>
          <w:szCs w:val="18"/>
        </w:rPr>
      </w:pPr>
      <w:r w:rsidRPr="00681DC4">
        <w:rPr>
          <w:rFonts w:ascii="Verdana" w:hAnsi="Verdana"/>
          <w:bCs/>
          <w:sz w:val="18"/>
          <w:szCs w:val="18"/>
        </w:rPr>
        <w:t>Ley 5/2025, de 21 de julio, de medidas fiscales de apoyo al medio rural.</w:t>
      </w:r>
    </w:p>
    <w:p w14:paraId="7449E388" w14:textId="77777777" w:rsidR="00681DC4" w:rsidRPr="00681DC4" w:rsidRDefault="00681DC4" w:rsidP="00681DC4">
      <w:pPr>
        <w:pStyle w:val="Sangradetextonormal"/>
        <w:ind w:left="0"/>
        <w:contextualSpacing/>
        <w:jc w:val="both"/>
        <w:rPr>
          <w:rFonts w:ascii="Verdana" w:hAnsi="Verdana"/>
          <w:b/>
          <w:iCs/>
          <w:color w:val="800000"/>
          <w:sz w:val="18"/>
          <w:szCs w:val="18"/>
        </w:rPr>
      </w:pPr>
      <w:r w:rsidRPr="00681DC4">
        <w:rPr>
          <w:rFonts w:ascii="Verdana" w:hAnsi="Verdana"/>
          <w:b/>
          <w:iCs/>
          <w:color w:val="800000"/>
          <w:sz w:val="18"/>
          <w:szCs w:val="18"/>
        </w:rPr>
        <w:t>Medidas presupuestarias, tributarias y administrativas</w:t>
      </w:r>
    </w:p>
    <w:p w14:paraId="333A3F24" w14:textId="51AAC98C" w:rsidR="00681DC4" w:rsidRPr="00681DC4" w:rsidRDefault="00681DC4" w:rsidP="00681DC4">
      <w:pPr>
        <w:pStyle w:val="Sangradetextonormal"/>
        <w:ind w:left="0"/>
        <w:contextualSpacing/>
        <w:jc w:val="both"/>
        <w:rPr>
          <w:rFonts w:ascii="Verdana" w:hAnsi="Verdana"/>
          <w:bCs/>
          <w:sz w:val="18"/>
          <w:szCs w:val="18"/>
        </w:rPr>
      </w:pPr>
      <w:r w:rsidRPr="00681DC4">
        <w:rPr>
          <w:rFonts w:ascii="Verdana" w:hAnsi="Verdana"/>
          <w:bCs/>
          <w:sz w:val="18"/>
          <w:szCs w:val="18"/>
        </w:rPr>
        <w:t>Ley 6/2025, de 21 de julio, de medidas hacendísticas, presupuestarias, tributarias y administrativas.</w:t>
      </w:r>
    </w:p>
    <w:p w14:paraId="50978E08" w14:textId="7439DD30" w:rsidR="004F7F77" w:rsidRPr="006A7240" w:rsidRDefault="00681DC4" w:rsidP="004F7F77">
      <w:pPr>
        <w:pStyle w:val="Sangradetextonormal"/>
        <w:ind w:left="0"/>
        <w:contextualSpacing/>
        <w:jc w:val="both"/>
        <w:rPr>
          <w:rFonts w:ascii="Verdana" w:hAnsi="Verdana"/>
          <w:bCs/>
          <w:i/>
          <w:iCs/>
          <w:sz w:val="18"/>
          <w:szCs w:val="18"/>
        </w:rPr>
      </w:pPr>
      <w:r w:rsidRPr="00681DC4">
        <w:rPr>
          <w:rFonts w:ascii="Verdana" w:hAnsi="Verdana"/>
          <w:bCs/>
          <w:i/>
          <w:iCs/>
          <w:sz w:val="18"/>
          <w:szCs w:val="18"/>
        </w:rPr>
        <w:t>B.O.E. núm. 1</w:t>
      </w:r>
      <w:r>
        <w:rPr>
          <w:rFonts w:ascii="Verdana" w:hAnsi="Verdana"/>
          <w:bCs/>
          <w:i/>
          <w:iCs/>
          <w:sz w:val="18"/>
          <w:szCs w:val="18"/>
        </w:rPr>
        <w:t>95</w:t>
      </w:r>
      <w:r w:rsidRPr="00681DC4">
        <w:rPr>
          <w:rFonts w:ascii="Verdana" w:hAnsi="Verdana"/>
          <w:bCs/>
          <w:i/>
          <w:iCs/>
          <w:sz w:val="18"/>
          <w:szCs w:val="18"/>
        </w:rPr>
        <w:t xml:space="preserve"> de </w:t>
      </w:r>
      <w:r>
        <w:rPr>
          <w:rFonts w:ascii="Verdana" w:hAnsi="Verdana"/>
          <w:bCs/>
          <w:i/>
          <w:iCs/>
          <w:sz w:val="18"/>
          <w:szCs w:val="18"/>
        </w:rPr>
        <w:t>14</w:t>
      </w:r>
      <w:r w:rsidRPr="00681DC4">
        <w:rPr>
          <w:rFonts w:ascii="Verdana" w:hAnsi="Verdana"/>
          <w:bCs/>
          <w:i/>
          <w:iCs/>
          <w:sz w:val="18"/>
          <w:szCs w:val="18"/>
        </w:rPr>
        <w:t xml:space="preserve"> de agosto de 2025.</w:t>
      </w:r>
    </w:p>
    <w:p w14:paraId="4A819101" w14:textId="348444EC" w:rsidR="002B55F1" w:rsidRPr="003F6E49" w:rsidRDefault="00025324" w:rsidP="00BE784E">
      <w:pPr>
        <w:pStyle w:val="Sangradetextonormal"/>
        <w:ind w:left="0"/>
        <w:contextualSpacing/>
        <w:rPr>
          <w:rFonts w:ascii="Verdana" w:hAnsi="Verdana"/>
          <w:b/>
          <w:color w:val="800000"/>
          <w:sz w:val="22"/>
          <w:szCs w:val="22"/>
        </w:rPr>
      </w:pPr>
      <w:r w:rsidRPr="000261BE">
        <w:rPr>
          <w:rFonts w:ascii="Verdana" w:hAnsi="Verdana"/>
          <w:bCs/>
          <w:sz w:val="18"/>
          <w:szCs w:val="18"/>
        </w:rPr>
        <w:br w:type="page"/>
      </w:r>
      <w:r w:rsidR="002B55F1" w:rsidRPr="003F6E49">
        <w:rPr>
          <w:rFonts w:ascii="Verdana" w:hAnsi="Verdana"/>
          <w:b/>
          <w:color w:val="800000"/>
          <w:sz w:val="22"/>
          <w:szCs w:val="22"/>
        </w:rPr>
        <w:t xml:space="preserve">CALENDARIO FISCAL PARA EL MES DE SEPTIEMBRE DE </w:t>
      </w:r>
      <w:r w:rsidR="00DB0C49">
        <w:rPr>
          <w:rFonts w:ascii="Verdana" w:hAnsi="Verdana"/>
          <w:b/>
          <w:color w:val="800000"/>
          <w:sz w:val="22"/>
          <w:szCs w:val="22"/>
        </w:rPr>
        <w:t>202</w:t>
      </w:r>
      <w:r w:rsidR="00F40FBF">
        <w:rPr>
          <w:rFonts w:ascii="Verdana" w:hAnsi="Verdana"/>
          <w:b/>
          <w:color w:val="800000"/>
          <w:sz w:val="22"/>
          <w:szCs w:val="22"/>
        </w:rPr>
        <w:t>5</w:t>
      </w:r>
    </w:p>
    <w:p w14:paraId="29C2626E"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Hasta el 1 de septiembre</w:t>
      </w:r>
    </w:p>
    <w:p w14:paraId="2146CF0F"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IVA</w:t>
      </w:r>
    </w:p>
    <w:p w14:paraId="348235A9" w14:textId="77777777" w:rsidR="00844FF5" w:rsidRPr="00844FF5" w:rsidRDefault="00844FF5">
      <w:pPr>
        <w:pStyle w:val="Textoindependiente3"/>
        <w:numPr>
          <w:ilvl w:val="0"/>
          <w:numId w:val="3"/>
        </w:numPr>
        <w:rPr>
          <w:rFonts w:ascii="Verdana" w:hAnsi="Verdana"/>
          <w:bCs/>
          <w:i w:val="0"/>
          <w:iCs w:val="0"/>
          <w:sz w:val="18"/>
          <w:szCs w:val="18"/>
          <w:lang w:val="es-ES"/>
        </w:rPr>
      </w:pPr>
      <w:r w:rsidRPr="00844FF5">
        <w:rPr>
          <w:rFonts w:ascii="Verdana" w:hAnsi="Verdana"/>
          <w:bCs/>
          <w:i w:val="0"/>
          <w:iCs w:val="0"/>
          <w:sz w:val="18"/>
          <w:szCs w:val="18"/>
          <w:lang w:val="es-ES"/>
        </w:rPr>
        <w:t>Julio 2025. Autoliquidación: 303</w:t>
      </w:r>
    </w:p>
    <w:p w14:paraId="02516B9D" w14:textId="77777777" w:rsidR="00844FF5" w:rsidRPr="00844FF5" w:rsidRDefault="00844FF5">
      <w:pPr>
        <w:pStyle w:val="Textoindependiente3"/>
        <w:numPr>
          <w:ilvl w:val="0"/>
          <w:numId w:val="3"/>
        </w:numPr>
        <w:rPr>
          <w:rFonts w:ascii="Verdana" w:hAnsi="Verdana"/>
          <w:bCs/>
          <w:i w:val="0"/>
          <w:iCs w:val="0"/>
          <w:sz w:val="18"/>
          <w:szCs w:val="18"/>
          <w:lang w:val="es-ES"/>
        </w:rPr>
      </w:pPr>
      <w:r w:rsidRPr="00844FF5">
        <w:rPr>
          <w:rFonts w:ascii="Verdana" w:hAnsi="Verdana"/>
          <w:bCs/>
          <w:i w:val="0"/>
          <w:iCs w:val="0"/>
          <w:sz w:val="18"/>
          <w:szCs w:val="18"/>
          <w:lang w:val="es-ES"/>
        </w:rPr>
        <w:t>Julio 2025. Grupo de entidades, modelo individual: 322</w:t>
      </w:r>
    </w:p>
    <w:p w14:paraId="089A2A00" w14:textId="77777777" w:rsidR="00844FF5" w:rsidRPr="00844FF5" w:rsidRDefault="00844FF5">
      <w:pPr>
        <w:pStyle w:val="Textoindependiente3"/>
        <w:numPr>
          <w:ilvl w:val="0"/>
          <w:numId w:val="3"/>
        </w:numPr>
        <w:rPr>
          <w:rFonts w:ascii="Verdana" w:hAnsi="Verdana"/>
          <w:bCs/>
          <w:i w:val="0"/>
          <w:iCs w:val="0"/>
          <w:sz w:val="18"/>
          <w:szCs w:val="18"/>
          <w:lang w:val="es-ES"/>
        </w:rPr>
      </w:pPr>
      <w:r w:rsidRPr="00844FF5">
        <w:rPr>
          <w:rFonts w:ascii="Verdana" w:hAnsi="Verdana"/>
          <w:bCs/>
          <w:i w:val="0"/>
          <w:iCs w:val="0"/>
          <w:sz w:val="18"/>
          <w:szCs w:val="18"/>
          <w:lang w:val="es-ES"/>
        </w:rPr>
        <w:t>Julio 2025. Grupo de entidades, modelo agregado: 353</w:t>
      </w:r>
    </w:p>
    <w:p w14:paraId="1D49EBD1" w14:textId="77777777" w:rsidR="00844FF5" w:rsidRPr="005904EE" w:rsidRDefault="00844FF5">
      <w:pPr>
        <w:pStyle w:val="Textoindependiente3"/>
        <w:numPr>
          <w:ilvl w:val="0"/>
          <w:numId w:val="3"/>
        </w:numPr>
        <w:rPr>
          <w:rFonts w:ascii="Verdana" w:hAnsi="Verdana"/>
          <w:bCs/>
          <w:i w:val="0"/>
          <w:iCs w:val="0"/>
          <w:sz w:val="18"/>
          <w:szCs w:val="18"/>
          <w:lang w:val="es-ES"/>
        </w:rPr>
      </w:pPr>
      <w:r w:rsidRPr="005904EE">
        <w:rPr>
          <w:rFonts w:ascii="Verdana" w:hAnsi="Verdana"/>
          <w:bCs/>
          <w:i w:val="0"/>
          <w:iCs w:val="0"/>
          <w:sz w:val="18"/>
          <w:szCs w:val="18"/>
          <w:lang w:val="es-ES"/>
        </w:rPr>
        <w:t>Julio 2025. Operaciones asimiladas a las importaciones: 380</w:t>
      </w:r>
    </w:p>
    <w:p w14:paraId="388614F0" w14:textId="77777777" w:rsidR="00663583" w:rsidRPr="00844FF5" w:rsidRDefault="00663583">
      <w:pPr>
        <w:pStyle w:val="Textoindependiente3"/>
        <w:rPr>
          <w:rFonts w:ascii="Verdana" w:hAnsi="Verdana"/>
          <w:bCs/>
          <w:i w:val="0"/>
          <w:szCs w:val="22"/>
        </w:rPr>
      </w:pPr>
    </w:p>
    <w:p w14:paraId="51F5C9F7"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Hasta el 12 de septiembre</w:t>
      </w:r>
    </w:p>
    <w:p w14:paraId="5D51FBAB"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INTRASTAT - Estadística Comercio Intracomunitario</w:t>
      </w:r>
    </w:p>
    <w:p w14:paraId="2D30C163" w14:textId="5ADC798A" w:rsidR="00844FF5" w:rsidRDefault="00844FF5">
      <w:pPr>
        <w:numPr>
          <w:ilvl w:val="0"/>
          <w:numId w:val="4"/>
        </w:numPr>
        <w:jc w:val="both"/>
        <w:rPr>
          <w:rFonts w:ascii="Verdana" w:hAnsi="Verdana"/>
          <w:sz w:val="18"/>
          <w:szCs w:val="18"/>
        </w:rPr>
      </w:pPr>
      <w:r w:rsidRPr="00844FF5">
        <w:rPr>
          <w:rFonts w:ascii="Verdana" w:hAnsi="Verdana"/>
          <w:sz w:val="18"/>
          <w:szCs w:val="18"/>
        </w:rPr>
        <w:t>Agosto 2025. Obligados a suministrar información estadística</w:t>
      </w:r>
      <w:r>
        <w:rPr>
          <w:rFonts w:ascii="Verdana" w:hAnsi="Verdana"/>
          <w:sz w:val="18"/>
          <w:szCs w:val="18"/>
        </w:rPr>
        <w:t>.</w:t>
      </w:r>
    </w:p>
    <w:p w14:paraId="585ADA45" w14:textId="77777777" w:rsidR="00844FF5" w:rsidRDefault="00844FF5" w:rsidP="00844FF5">
      <w:pPr>
        <w:jc w:val="both"/>
        <w:rPr>
          <w:rFonts w:ascii="Verdana" w:hAnsi="Verdana"/>
          <w:sz w:val="18"/>
          <w:szCs w:val="18"/>
        </w:rPr>
      </w:pPr>
    </w:p>
    <w:p w14:paraId="4BE49052"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Hasta el 22 de septiembre</w:t>
      </w:r>
    </w:p>
    <w:p w14:paraId="1A817D72"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Renta y Sociedades</w:t>
      </w:r>
    </w:p>
    <w:p w14:paraId="74B64837" w14:textId="77777777" w:rsidR="00844FF5" w:rsidRPr="00844FF5" w:rsidRDefault="00844FF5" w:rsidP="00844FF5">
      <w:pPr>
        <w:jc w:val="both"/>
        <w:rPr>
          <w:rFonts w:ascii="Verdana" w:hAnsi="Verdana"/>
          <w:sz w:val="18"/>
          <w:szCs w:val="18"/>
        </w:rPr>
      </w:pPr>
      <w:r w:rsidRPr="00844FF5">
        <w:rPr>
          <w:rFonts w:ascii="Verdana" w:hAnsi="Verdana"/>
          <w:sz w:val="18"/>
          <w:szCs w:val="18"/>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0FFD62F7" w14:textId="08AF9D16" w:rsidR="00844FF5" w:rsidRDefault="00844FF5">
      <w:pPr>
        <w:numPr>
          <w:ilvl w:val="0"/>
          <w:numId w:val="5"/>
        </w:numPr>
        <w:jc w:val="both"/>
        <w:rPr>
          <w:rFonts w:ascii="Verdana" w:hAnsi="Verdana"/>
          <w:sz w:val="18"/>
          <w:szCs w:val="18"/>
        </w:rPr>
      </w:pPr>
      <w:r w:rsidRPr="00844FF5">
        <w:rPr>
          <w:rFonts w:ascii="Verdana" w:hAnsi="Verdana"/>
          <w:sz w:val="18"/>
          <w:szCs w:val="18"/>
        </w:rPr>
        <w:t>Agosto 2025. Grandes empresas: 111, 115, 117, 123, 124, 126, 128, 216, 230</w:t>
      </w:r>
      <w:r w:rsidR="005904EE">
        <w:rPr>
          <w:rFonts w:ascii="Verdana" w:hAnsi="Verdana"/>
          <w:sz w:val="18"/>
          <w:szCs w:val="18"/>
        </w:rPr>
        <w:t>.</w:t>
      </w:r>
    </w:p>
    <w:p w14:paraId="6D6B200E" w14:textId="77777777" w:rsidR="005904EE" w:rsidRPr="00844FF5" w:rsidRDefault="005904EE" w:rsidP="005904EE">
      <w:pPr>
        <w:ind w:left="720"/>
        <w:jc w:val="both"/>
        <w:rPr>
          <w:rFonts w:ascii="Verdana" w:hAnsi="Verdana"/>
          <w:sz w:val="18"/>
          <w:szCs w:val="18"/>
        </w:rPr>
      </w:pPr>
    </w:p>
    <w:p w14:paraId="06CA5050"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IVA</w:t>
      </w:r>
    </w:p>
    <w:p w14:paraId="1A77B17B" w14:textId="77777777" w:rsidR="00844FF5" w:rsidRPr="00844FF5" w:rsidRDefault="00844FF5">
      <w:pPr>
        <w:numPr>
          <w:ilvl w:val="0"/>
          <w:numId w:val="6"/>
        </w:numPr>
        <w:jc w:val="both"/>
        <w:rPr>
          <w:rFonts w:ascii="Verdana" w:hAnsi="Verdana"/>
          <w:sz w:val="18"/>
          <w:szCs w:val="18"/>
        </w:rPr>
      </w:pPr>
      <w:r w:rsidRPr="00844FF5">
        <w:rPr>
          <w:rFonts w:ascii="Verdana" w:hAnsi="Verdana"/>
          <w:sz w:val="18"/>
          <w:szCs w:val="18"/>
        </w:rPr>
        <w:t>Julio y agosto 2025. Declaración recapitulativa de operaciones intracomunitarias: 349</w:t>
      </w:r>
    </w:p>
    <w:p w14:paraId="7CE079CC" w14:textId="3094DDC3" w:rsidR="00844FF5" w:rsidRDefault="00844FF5">
      <w:pPr>
        <w:numPr>
          <w:ilvl w:val="0"/>
          <w:numId w:val="6"/>
        </w:numPr>
        <w:jc w:val="both"/>
        <w:rPr>
          <w:rFonts w:ascii="Verdana" w:hAnsi="Verdana"/>
          <w:sz w:val="18"/>
          <w:szCs w:val="18"/>
        </w:rPr>
      </w:pPr>
      <w:r w:rsidRPr="00844FF5">
        <w:rPr>
          <w:rFonts w:ascii="Verdana" w:hAnsi="Verdana"/>
          <w:sz w:val="18"/>
          <w:szCs w:val="18"/>
        </w:rPr>
        <w:t>Solicitud de devolución por sujetos pasivos en el régimen simplificado del IVA y que ejerzan la actividad de transporte de viajeros o de mercancías por carretera, por adquirir determinados medios de transporte: 308</w:t>
      </w:r>
      <w:r w:rsidR="005904EE">
        <w:rPr>
          <w:rFonts w:ascii="Verdana" w:hAnsi="Verdana"/>
          <w:sz w:val="18"/>
          <w:szCs w:val="18"/>
        </w:rPr>
        <w:t>.</w:t>
      </w:r>
    </w:p>
    <w:p w14:paraId="2390FD24" w14:textId="77777777" w:rsidR="005904EE" w:rsidRPr="00844FF5" w:rsidRDefault="005904EE" w:rsidP="005904EE">
      <w:pPr>
        <w:ind w:left="720"/>
        <w:jc w:val="both"/>
        <w:rPr>
          <w:rFonts w:ascii="Verdana" w:hAnsi="Verdana"/>
          <w:sz w:val="18"/>
          <w:szCs w:val="18"/>
        </w:rPr>
      </w:pPr>
    </w:p>
    <w:p w14:paraId="4AAD7734"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Impuesto sobre las Primas de Seguros</w:t>
      </w:r>
    </w:p>
    <w:p w14:paraId="7BC2D589" w14:textId="0C4C0B5F" w:rsidR="00844FF5" w:rsidRDefault="00844FF5">
      <w:pPr>
        <w:numPr>
          <w:ilvl w:val="0"/>
          <w:numId w:val="7"/>
        </w:numPr>
        <w:jc w:val="both"/>
        <w:rPr>
          <w:rFonts w:ascii="Verdana" w:hAnsi="Verdana"/>
          <w:sz w:val="18"/>
          <w:szCs w:val="18"/>
        </w:rPr>
      </w:pPr>
      <w:r w:rsidRPr="00844FF5">
        <w:rPr>
          <w:rFonts w:ascii="Verdana" w:hAnsi="Verdana"/>
          <w:sz w:val="18"/>
          <w:szCs w:val="18"/>
        </w:rPr>
        <w:t>Julio y agosto 2025: 430</w:t>
      </w:r>
      <w:r w:rsidR="005904EE">
        <w:rPr>
          <w:rFonts w:ascii="Verdana" w:hAnsi="Verdana"/>
          <w:sz w:val="18"/>
          <w:szCs w:val="18"/>
        </w:rPr>
        <w:t>.</w:t>
      </w:r>
    </w:p>
    <w:p w14:paraId="77A1CB0A" w14:textId="77777777" w:rsidR="005904EE" w:rsidRPr="00844FF5" w:rsidRDefault="005904EE" w:rsidP="005904EE">
      <w:pPr>
        <w:ind w:left="720"/>
        <w:jc w:val="both"/>
        <w:rPr>
          <w:rFonts w:ascii="Verdana" w:hAnsi="Verdana"/>
          <w:sz w:val="18"/>
          <w:szCs w:val="18"/>
        </w:rPr>
      </w:pPr>
    </w:p>
    <w:p w14:paraId="7C86EC31"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Impuestos Especiales de Fabricación</w:t>
      </w:r>
    </w:p>
    <w:p w14:paraId="5F2004B7" w14:textId="77777777" w:rsidR="00844FF5" w:rsidRPr="00844FF5" w:rsidRDefault="00844FF5">
      <w:pPr>
        <w:numPr>
          <w:ilvl w:val="0"/>
          <w:numId w:val="8"/>
        </w:numPr>
        <w:jc w:val="both"/>
        <w:rPr>
          <w:rFonts w:ascii="Verdana" w:hAnsi="Verdana"/>
          <w:sz w:val="18"/>
          <w:szCs w:val="18"/>
        </w:rPr>
      </w:pPr>
      <w:r w:rsidRPr="00844FF5">
        <w:rPr>
          <w:rFonts w:ascii="Verdana" w:hAnsi="Verdana"/>
          <w:sz w:val="18"/>
          <w:szCs w:val="18"/>
        </w:rPr>
        <w:t>Junio 2025. Grandes empresas: 561, 562, 563</w:t>
      </w:r>
    </w:p>
    <w:p w14:paraId="6A61D67E" w14:textId="77777777" w:rsidR="00844FF5" w:rsidRPr="00844FF5" w:rsidRDefault="00844FF5">
      <w:pPr>
        <w:numPr>
          <w:ilvl w:val="0"/>
          <w:numId w:val="8"/>
        </w:numPr>
        <w:jc w:val="both"/>
        <w:rPr>
          <w:rFonts w:ascii="Verdana" w:hAnsi="Verdana"/>
          <w:sz w:val="18"/>
          <w:szCs w:val="18"/>
        </w:rPr>
      </w:pPr>
      <w:r w:rsidRPr="00844FF5">
        <w:rPr>
          <w:rFonts w:ascii="Verdana" w:hAnsi="Verdana"/>
          <w:sz w:val="18"/>
          <w:szCs w:val="18"/>
        </w:rPr>
        <w:t>Agosto 2025: 548, 566, 581</w:t>
      </w:r>
    </w:p>
    <w:p w14:paraId="466E7CD6" w14:textId="77777777" w:rsidR="00844FF5" w:rsidRPr="00844FF5" w:rsidRDefault="00844FF5">
      <w:pPr>
        <w:numPr>
          <w:ilvl w:val="0"/>
          <w:numId w:val="8"/>
        </w:numPr>
        <w:jc w:val="both"/>
        <w:rPr>
          <w:rFonts w:ascii="Verdana" w:hAnsi="Verdana"/>
          <w:sz w:val="18"/>
          <w:szCs w:val="18"/>
        </w:rPr>
      </w:pPr>
      <w:r w:rsidRPr="00844FF5">
        <w:rPr>
          <w:rFonts w:ascii="Verdana" w:hAnsi="Verdana"/>
          <w:sz w:val="18"/>
          <w:szCs w:val="18"/>
        </w:rPr>
        <w:t>Agosto 2025: 573 (Autoliquidación), A24 (Solicitud de devolución)</w:t>
      </w:r>
    </w:p>
    <w:p w14:paraId="17B7E826" w14:textId="14F73DF0" w:rsidR="00844FF5" w:rsidRDefault="00844FF5">
      <w:pPr>
        <w:numPr>
          <w:ilvl w:val="0"/>
          <w:numId w:val="8"/>
        </w:numPr>
        <w:jc w:val="both"/>
        <w:rPr>
          <w:rFonts w:ascii="Verdana" w:hAnsi="Verdana"/>
          <w:sz w:val="18"/>
          <w:szCs w:val="18"/>
        </w:rPr>
      </w:pPr>
      <w:r w:rsidRPr="00844FF5">
        <w:rPr>
          <w:rFonts w:ascii="Verdana" w:hAnsi="Verdana"/>
          <w:sz w:val="18"/>
          <w:szCs w:val="18"/>
        </w:rPr>
        <w:t>Declaración de operaciones por los destinatarios registrados y representantes fiscales: 510</w:t>
      </w:r>
      <w:r w:rsidR="005904EE">
        <w:rPr>
          <w:rFonts w:ascii="Verdana" w:hAnsi="Verdana"/>
          <w:sz w:val="18"/>
          <w:szCs w:val="18"/>
        </w:rPr>
        <w:t>.</w:t>
      </w:r>
    </w:p>
    <w:p w14:paraId="39B8CA15" w14:textId="77777777" w:rsidR="005904EE" w:rsidRPr="00844FF5" w:rsidRDefault="005904EE" w:rsidP="005904EE">
      <w:pPr>
        <w:ind w:left="720"/>
        <w:jc w:val="both"/>
        <w:rPr>
          <w:rFonts w:ascii="Verdana" w:hAnsi="Verdana"/>
          <w:sz w:val="18"/>
          <w:szCs w:val="18"/>
        </w:rPr>
      </w:pPr>
    </w:p>
    <w:p w14:paraId="0551BB72"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Impuesto Especial sobre la Electricidad</w:t>
      </w:r>
    </w:p>
    <w:p w14:paraId="2B90BC63" w14:textId="012D4D64" w:rsidR="00844FF5" w:rsidRDefault="00844FF5">
      <w:pPr>
        <w:numPr>
          <w:ilvl w:val="0"/>
          <w:numId w:val="9"/>
        </w:numPr>
        <w:jc w:val="both"/>
        <w:rPr>
          <w:rFonts w:ascii="Verdana" w:hAnsi="Verdana"/>
          <w:sz w:val="18"/>
          <w:szCs w:val="18"/>
        </w:rPr>
      </w:pPr>
      <w:r w:rsidRPr="00844FF5">
        <w:rPr>
          <w:rFonts w:ascii="Verdana" w:hAnsi="Verdana"/>
          <w:sz w:val="18"/>
          <w:szCs w:val="18"/>
        </w:rPr>
        <w:t>Agosto 2025. Grandes empresas: 560</w:t>
      </w:r>
      <w:r w:rsidR="005904EE">
        <w:rPr>
          <w:rFonts w:ascii="Verdana" w:hAnsi="Verdana"/>
          <w:sz w:val="18"/>
          <w:szCs w:val="18"/>
        </w:rPr>
        <w:t>.</w:t>
      </w:r>
    </w:p>
    <w:p w14:paraId="623CD165" w14:textId="77777777" w:rsidR="005904EE" w:rsidRPr="00844FF5" w:rsidRDefault="005904EE" w:rsidP="005904EE">
      <w:pPr>
        <w:ind w:left="720"/>
        <w:jc w:val="both"/>
        <w:rPr>
          <w:rFonts w:ascii="Verdana" w:hAnsi="Verdana"/>
          <w:sz w:val="18"/>
          <w:szCs w:val="18"/>
        </w:rPr>
      </w:pPr>
    </w:p>
    <w:p w14:paraId="6A97EFBD"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Impuestos Medioambientales</w:t>
      </w:r>
    </w:p>
    <w:p w14:paraId="61D51454" w14:textId="77777777" w:rsidR="00844FF5" w:rsidRPr="00844FF5" w:rsidRDefault="00844FF5">
      <w:pPr>
        <w:numPr>
          <w:ilvl w:val="0"/>
          <w:numId w:val="10"/>
        </w:numPr>
        <w:jc w:val="both"/>
        <w:rPr>
          <w:rFonts w:ascii="Verdana" w:hAnsi="Verdana"/>
          <w:sz w:val="18"/>
          <w:szCs w:val="18"/>
        </w:rPr>
      </w:pPr>
      <w:r w:rsidRPr="00844FF5">
        <w:rPr>
          <w:rFonts w:ascii="Verdana" w:hAnsi="Verdana"/>
          <w:sz w:val="18"/>
          <w:szCs w:val="18"/>
        </w:rPr>
        <w:t>Agosto 2025. Impuesto especial sobre los envases de plástico no reutilizables. Autoliquidación: 592</w:t>
      </w:r>
    </w:p>
    <w:p w14:paraId="4679BF38" w14:textId="5239F811" w:rsidR="00844FF5" w:rsidRDefault="00844FF5">
      <w:pPr>
        <w:numPr>
          <w:ilvl w:val="0"/>
          <w:numId w:val="10"/>
        </w:numPr>
        <w:jc w:val="both"/>
        <w:rPr>
          <w:rFonts w:ascii="Verdana" w:hAnsi="Verdana"/>
          <w:sz w:val="18"/>
          <w:szCs w:val="18"/>
        </w:rPr>
      </w:pPr>
      <w:r w:rsidRPr="00844FF5">
        <w:rPr>
          <w:rFonts w:ascii="Verdana" w:hAnsi="Verdana"/>
          <w:sz w:val="18"/>
          <w:szCs w:val="18"/>
        </w:rPr>
        <w:t>Año 2025. Impuesto sobre el valor de la producción de la energía eléctrica. Segundo pago fraccionado: 583</w:t>
      </w:r>
      <w:r w:rsidR="005904EE">
        <w:rPr>
          <w:rFonts w:ascii="Verdana" w:hAnsi="Verdana"/>
          <w:sz w:val="18"/>
          <w:szCs w:val="18"/>
        </w:rPr>
        <w:t>.</w:t>
      </w:r>
    </w:p>
    <w:p w14:paraId="1C8A8F72" w14:textId="77777777" w:rsidR="005904EE" w:rsidRPr="00844FF5" w:rsidRDefault="005904EE" w:rsidP="005904EE">
      <w:pPr>
        <w:ind w:left="720"/>
        <w:jc w:val="both"/>
        <w:rPr>
          <w:rFonts w:ascii="Verdana" w:hAnsi="Verdana"/>
          <w:sz w:val="18"/>
          <w:szCs w:val="18"/>
        </w:rPr>
      </w:pPr>
    </w:p>
    <w:p w14:paraId="47A9A5FA"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Impuesto sobre las Transacciones Financieras</w:t>
      </w:r>
    </w:p>
    <w:p w14:paraId="52515178" w14:textId="2467BBC3" w:rsidR="00844FF5" w:rsidRDefault="00844FF5">
      <w:pPr>
        <w:numPr>
          <w:ilvl w:val="0"/>
          <w:numId w:val="11"/>
        </w:numPr>
        <w:jc w:val="both"/>
        <w:rPr>
          <w:rFonts w:ascii="Verdana" w:hAnsi="Verdana"/>
          <w:sz w:val="18"/>
          <w:szCs w:val="18"/>
        </w:rPr>
      </w:pPr>
      <w:r w:rsidRPr="00844FF5">
        <w:rPr>
          <w:rFonts w:ascii="Verdana" w:hAnsi="Verdana"/>
          <w:sz w:val="18"/>
          <w:szCs w:val="18"/>
        </w:rPr>
        <w:t>Agosto 2025: 604</w:t>
      </w:r>
      <w:r w:rsidR="005904EE">
        <w:rPr>
          <w:rFonts w:ascii="Verdana" w:hAnsi="Verdana"/>
          <w:sz w:val="18"/>
          <w:szCs w:val="18"/>
        </w:rPr>
        <w:t>.</w:t>
      </w:r>
    </w:p>
    <w:p w14:paraId="65A258A4" w14:textId="77777777" w:rsidR="005904EE" w:rsidRPr="00844FF5" w:rsidRDefault="005904EE" w:rsidP="005904EE">
      <w:pPr>
        <w:ind w:left="720"/>
        <w:jc w:val="both"/>
        <w:rPr>
          <w:rFonts w:ascii="Verdana" w:hAnsi="Verdana"/>
          <w:sz w:val="18"/>
          <w:szCs w:val="18"/>
        </w:rPr>
      </w:pPr>
    </w:p>
    <w:p w14:paraId="14AF46C8"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Impuesto sobre el margen de intereses y comisiones de determinadas</w:t>
      </w:r>
      <w:r w:rsidRPr="005904EE">
        <w:rPr>
          <w:rFonts w:ascii="Verdana" w:hAnsi="Verdana"/>
          <w:b/>
          <w:color w:val="800000"/>
        </w:rPr>
        <w:t xml:space="preserve"> entidades </w:t>
      </w:r>
      <w:r w:rsidRPr="00ED3A8C">
        <w:rPr>
          <w:rFonts w:ascii="Verdana" w:hAnsi="Verdana"/>
          <w:b/>
          <w:color w:val="800000"/>
          <w:sz w:val="18"/>
          <w:szCs w:val="18"/>
        </w:rPr>
        <w:t>financieras</w:t>
      </w:r>
    </w:p>
    <w:p w14:paraId="233B267F" w14:textId="202F87BD" w:rsidR="00844FF5" w:rsidRDefault="00844FF5">
      <w:pPr>
        <w:numPr>
          <w:ilvl w:val="0"/>
          <w:numId w:val="12"/>
        </w:numPr>
        <w:jc w:val="both"/>
        <w:rPr>
          <w:rFonts w:ascii="Verdana" w:hAnsi="Verdana"/>
          <w:sz w:val="18"/>
          <w:szCs w:val="18"/>
        </w:rPr>
      </w:pPr>
      <w:r w:rsidRPr="00844FF5">
        <w:rPr>
          <w:rFonts w:ascii="Verdana" w:hAnsi="Verdana"/>
          <w:sz w:val="18"/>
          <w:szCs w:val="18"/>
        </w:rPr>
        <w:t>Año 2024: 780</w:t>
      </w:r>
      <w:r w:rsidR="005904EE">
        <w:rPr>
          <w:rFonts w:ascii="Verdana" w:hAnsi="Verdana"/>
          <w:sz w:val="18"/>
          <w:szCs w:val="18"/>
        </w:rPr>
        <w:t>.</w:t>
      </w:r>
    </w:p>
    <w:p w14:paraId="76F3BC0F" w14:textId="77777777" w:rsidR="00844FF5" w:rsidRDefault="00844FF5" w:rsidP="00844FF5">
      <w:pPr>
        <w:jc w:val="both"/>
        <w:rPr>
          <w:rFonts w:ascii="Verdana" w:hAnsi="Verdana"/>
          <w:sz w:val="18"/>
          <w:szCs w:val="18"/>
        </w:rPr>
      </w:pPr>
    </w:p>
    <w:p w14:paraId="718977B6"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Hasta el 30 de septiembre</w:t>
      </w:r>
    </w:p>
    <w:p w14:paraId="41C26359"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IVA</w:t>
      </w:r>
    </w:p>
    <w:p w14:paraId="596A2C44" w14:textId="77777777" w:rsidR="00844FF5" w:rsidRPr="00844FF5" w:rsidRDefault="00844FF5">
      <w:pPr>
        <w:numPr>
          <w:ilvl w:val="0"/>
          <w:numId w:val="13"/>
        </w:numPr>
        <w:jc w:val="both"/>
        <w:rPr>
          <w:rFonts w:ascii="Verdana" w:hAnsi="Verdana"/>
          <w:sz w:val="18"/>
          <w:szCs w:val="18"/>
        </w:rPr>
      </w:pPr>
      <w:r w:rsidRPr="00844FF5">
        <w:rPr>
          <w:rFonts w:ascii="Verdana" w:hAnsi="Verdana"/>
          <w:sz w:val="18"/>
          <w:szCs w:val="18"/>
        </w:rPr>
        <w:t>Año 2024. Solicitud de devolución del IVA soportado: 360,361</w:t>
      </w:r>
    </w:p>
    <w:p w14:paraId="59310BDC" w14:textId="77777777" w:rsidR="00844FF5" w:rsidRPr="00844FF5" w:rsidRDefault="00844FF5">
      <w:pPr>
        <w:numPr>
          <w:ilvl w:val="0"/>
          <w:numId w:val="13"/>
        </w:numPr>
        <w:jc w:val="both"/>
        <w:rPr>
          <w:rFonts w:ascii="Verdana" w:hAnsi="Verdana"/>
          <w:sz w:val="18"/>
          <w:szCs w:val="18"/>
        </w:rPr>
      </w:pPr>
      <w:r w:rsidRPr="00844FF5">
        <w:rPr>
          <w:rFonts w:ascii="Verdana" w:hAnsi="Verdana"/>
          <w:sz w:val="18"/>
          <w:szCs w:val="18"/>
        </w:rPr>
        <w:t>Agosto 2025. Autoliquidación: 303</w:t>
      </w:r>
    </w:p>
    <w:p w14:paraId="49A0EAFC" w14:textId="77777777" w:rsidR="00844FF5" w:rsidRPr="00844FF5" w:rsidRDefault="00844FF5">
      <w:pPr>
        <w:numPr>
          <w:ilvl w:val="0"/>
          <w:numId w:val="13"/>
        </w:numPr>
        <w:jc w:val="both"/>
        <w:rPr>
          <w:rFonts w:ascii="Verdana" w:hAnsi="Verdana"/>
          <w:sz w:val="18"/>
          <w:szCs w:val="18"/>
        </w:rPr>
      </w:pPr>
      <w:r w:rsidRPr="00844FF5">
        <w:rPr>
          <w:rFonts w:ascii="Verdana" w:hAnsi="Verdana"/>
          <w:sz w:val="18"/>
          <w:szCs w:val="18"/>
        </w:rPr>
        <w:t>Agosto 2025. Grupo de entidades, modelo individual: 322</w:t>
      </w:r>
    </w:p>
    <w:p w14:paraId="3D63AD40" w14:textId="77777777" w:rsidR="00844FF5" w:rsidRPr="00844FF5" w:rsidRDefault="00844FF5">
      <w:pPr>
        <w:numPr>
          <w:ilvl w:val="0"/>
          <w:numId w:val="13"/>
        </w:numPr>
        <w:jc w:val="both"/>
        <w:rPr>
          <w:rFonts w:ascii="Verdana" w:hAnsi="Verdana"/>
          <w:sz w:val="18"/>
          <w:szCs w:val="18"/>
        </w:rPr>
      </w:pPr>
      <w:r w:rsidRPr="00844FF5">
        <w:rPr>
          <w:rFonts w:ascii="Verdana" w:hAnsi="Verdana"/>
          <w:sz w:val="18"/>
          <w:szCs w:val="18"/>
        </w:rPr>
        <w:t>Agosto 2025. Grupo de entidades, modelo agregado: 353</w:t>
      </w:r>
    </w:p>
    <w:p w14:paraId="33FA32B6" w14:textId="77777777" w:rsidR="00844FF5" w:rsidRPr="00844FF5" w:rsidRDefault="00844FF5">
      <w:pPr>
        <w:numPr>
          <w:ilvl w:val="0"/>
          <w:numId w:val="13"/>
        </w:numPr>
        <w:jc w:val="both"/>
        <w:rPr>
          <w:rFonts w:ascii="Verdana" w:hAnsi="Verdana"/>
          <w:sz w:val="18"/>
          <w:szCs w:val="18"/>
        </w:rPr>
      </w:pPr>
      <w:r w:rsidRPr="00844FF5">
        <w:rPr>
          <w:rFonts w:ascii="Verdana" w:hAnsi="Verdana"/>
          <w:sz w:val="18"/>
          <w:szCs w:val="18"/>
        </w:rPr>
        <w:t>Agosto 2025. Ventanilla única - Régimen de importación: 369</w:t>
      </w:r>
    </w:p>
    <w:p w14:paraId="20784E61" w14:textId="77777777" w:rsidR="00844FF5" w:rsidRPr="00844FF5" w:rsidRDefault="00844FF5">
      <w:pPr>
        <w:numPr>
          <w:ilvl w:val="0"/>
          <w:numId w:val="13"/>
        </w:numPr>
        <w:jc w:val="both"/>
        <w:rPr>
          <w:rFonts w:ascii="Verdana" w:hAnsi="Verdana"/>
          <w:sz w:val="18"/>
          <w:szCs w:val="18"/>
        </w:rPr>
      </w:pPr>
      <w:r w:rsidRPr="00844FF5">
        <w:rPr>
          <w:rFonts w:ascii="Verdana" w:hAnsi="Verdana"/>
          <w:sz w:val="18"/>
          <w:szCs w:val="18"/>
        </w:rPr>
        <w:t>Agosto 2025. Operaciones asimiladas a las importaciones: 380</w:t>
      </w:r>
    </w:p>
    <w:p w14:paraId="4263A60C" w14:textId="77777777" w:rsidR="00844FF5" w:rsidRPr="00844FF5" w:rsidRDefault="00844FF5">
      <w:pPr>
        <w:numPr>
          <w:ilvl w:val="0"/>
          <w:numId w:val="13"/>
        </w:numPr>
        <w:jc w:val="both"/>
        <w:rPr>
          <w:rFonts w:ascii="Verdana" w:hAnsi="Verdana"/>
          <w:sz w:val="18"/>
          <w:szCs w:val="18"/>
        </w:rPr>
      </w:pPr>
      <w:r w:rsidRPr="00844FF5">
        <w:rPr>
          <w:rFonts w:ascii="Verdana" w:hAnsi="Verdana"/>
          <w:sz w:val="18"/>
          <w:szCs w:val="18"/>
        </w:rPr>
        <w:t>Primer trimestre 2025: solicitud de reembolso de las cuotas tributarias soportadas relativas a la Organización del Tratado del Atlántico Norte, a los Cuarteles Generales Internacionales de dicha Organización y a los Estados parte en dicho Tratado: 364</w:t>
      </w:r>
    </w:p>
    <w:p w14:paraId="7DF64B07" w14:textId="5A77104F" w:rsidR="00844FF5" w:rsidRDefault="00844FF5" w:rsidP="005904EE">
      <w:pPr>
        <w:numPr>
          <w:ilvl w:val="0"/>
          <w:numId w:val="13"/>
        </w:numPr>
        <w:jc w:val="both"/>
        <w:rPr>
          <w:rFonts w:ascii="Verdana" w:hAnsi="Verdana"/>
          <w:sz w:val="18"/>
          <w:szCs w:val="18"/>
        </w:rPr>
      </w:pPr>
      <w:r w:rsidRPr="00844FF5">
        <w:rPr>
          <w:rFonts w:ascii="Verdana" w:hAnsi="Verdana"/>
          <w:sz w:val="18"/>
          <w:szCs w:val="18"/>
        </w:rPr>
        <w:t>Primer trimestre 2025: solicitud de reembolso de las cuotas tributarias soportadas por las fuerzas armadas de los Estados miembros de la UE: 381</w:t>
      </w:r>
      <w:r w:rsidR="005904EE">
        <w:rPr>
          <w:rFonts w:ascii="Verdana" w:hAnsi="Verdana"/>
          <w:sz w:val="18"/>
          <w:szCs w:val="18"/>
        </w:rPr>
        <w:t>.</w:t>
      </w:r>
    </w:p>
    <w:p w14:paraId="000E4B90" w14:textId="77777777" w:rsidR="005904EE" w:rsidRPr="005904EE" w:rsidRDefault="005904EE" w:rsidP="005904EE">
      <w:pPr>
        <w:ind w:left="720"/>
        <w:jc w:val="both"/>
        <w:rPr>
          <w:rFonts w:ascii="Verdana" w:hAnsi="Verdana"/>
          <w:sz w:val="18"/>
          <w:szCs w:val="18"/>
        </w:rPr>
      </w:pPr>
    </w:p>
    <w:p w14:paraId="25D3915A" w14:textId="77777777" w:rsidR="00844FF5" w:rsidRPr="00ED3A8C" w:rsidRDefault="00844FF5" w:rsidP="005904EE">
      <w:pPr>
        <w:pStyle w:val="Sangradetextonormal"/>
        <w:ind w:left="0"/>
        <w:contextualSpacing/>
        <w:rPr>
          <w:rFonts w:ascii="Verdana" w:hAnsi="Verdana"/>
          <w:b/>
          <w:color w:val="800000"/>
          <w:sz w:val="18"/>
          <w:szCs w:val="18"/>
        </w:rPr>
      </w:pPr>
      <w:r w:rsidRPr="00ED3A8C">
        <w:rPr>
          <w:rFonts w:ascii="Verdana" w:hAnsi="Verdana"/>
          <w:b/>
          <w:color w:val="800000"/>
          <w:sz w:val="18"/>
          <w:szCs w:val="18"/>
        </w:rPr>
        <w:t>Impuestos Medioambientales</w:t>
      </w:r>
    </w:p>
    <w:p w14:paraId="407BE57D" w14:textId="3F75770E" w:rsidR="00844FF5" w:rsidRPr="00844FF5" w:rsidRDefault="00844FF5">
      <w:pPr>
        <w:numPr>
          <w:ilvl w:val="0"/>
          <w:numId w:val="14"/>
        </w:numPr>
        <w:jc w:val="both"/>
        <w:rPr>
          <w:rFonts w:ascii="Verdana" w:hAnsi="Verdana"/>
          <w:sz w:val="18"/>
          <w:szCs w:val="18"/>
        </w:rPr>
      </w:pPr>
      <w:r w:rsidRPr="00844FF5">
        <w:rPr>
          <w:rFonts w:ascii="Verdana" w:hAnsi="Verdana"/>
          <w:sz w:val="18"/>
          <w:szCs w:val="18"/>
        </w:rPr>
        <w:t>Julio y agosto 2025. Impuesto especial sobre los envases de plástico no reutilizables. Presentación contabilidad y libro registro de existencias</w:t>
      </w:r>
      <w:r w:rsidR="005904EE">
        <w:rPr>
          <w:rFonts w:ascii="Verdana" w:hAnsi="Verdana"/>
          <w:sz w:val="18"/>
          <w:szCs w:val="18"/>
        </w:rPr>
        <w:t>.</w:t>
      </w:r>
    </w:p>
    <w:p w14:paraId="4A070786" w14:textId="77777777" w:rsidR="00844FF5" w:rsidRPr="00844FF5" w:rsidRDefault="00844FF5" w:rsidP="00844FF5">
      <w:pPr>
        <w:jc w:val="both"/>
        <w:rPr>
          <w:rFonts w:ascii="Verdana" w:hAnsi="Verdana"/>
          <w:sz w:val="18"/>
          <w:szCs w:val="18"/>
        </w:rPr>
      </w:pPr>
    </w:p>
    <w:p w14:paraId="7B81D5C5" w14:textId="77777777" w:rsidR="00844FF5" w:rsidRPr="00844FF5" w:rsidRDefault="00844FF5" w:rsidP="00844FF5">
      <w:pPr>
        <w:jc w:val="both"/>
        <w:rPr>
          <w:rFonts w:ascii="Verdana" w:hAnsi="Verdana"/>
          <w:sz w:val="18"/>
          <w:szCs w:val="18"/>
        </w:rPr>
      </w:pPr>
    </w:p>
    <w:p w14:paraId="77387E13" w14:textId="77777777" w:rsidR="004C188A" w:rsidRPr="00D66413" w:rsidRDefault="004C188A" w:rsidP="004C188A">
      <w:pPr>
        <w:jc w:val="both"/>
        <w:rPr>
          <w:rFonts w:ascii="Verdana" w:hAnsi="Verdana"/>
          <w:sz w:val="18"/>
          <w:szCs w:val="18"/>
          <w:lang w:val="es-ES_tradnl"/>
        </w:rPr>
      </w:pPr>
    </w:p>
    <w:p w14:paraId="601BA22A" w14:textId="77777777" w:rsidR="00CB75DB" w:rsidRPr="00D66413" w:rsidRDefault="00CB75DB" w:rsidP="002003E0">
      <w:pPr>
        <w:jc w:val="both"/>
        <w:rPr>
          <w:rFonts w:ascii="Verdana" w:hAnsi="Verdana"/>
          <w:b/>
          <w:sz w:val="18"/>
          <w:szCs w:val="18"/>
          <w:lang w:val="es-ES_tradnl"/>
        </w:rPr>
      </w:pPr>
    </w:p>
    <w:sectPr w:rsidR="00CB75DB" w:rsidRPr="00D66413" w:rsidSect="006A7240">
      <w:pgSz w:w="11906" w:h="16838"/>
      <w:pgMar w:top="1985" w:right="1701" w:bottom="156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EB23" w14:textId="77777777" w:rsidR="00EE770E" w:rsidRDefault="00EE770E">
      <w:r>
        <w:separator/>
      </w:r>
    </w:p>
  </w:endnote>
  <w:endnote w:type="continuationSeparator" w:id="0">
    <w:p w14:paraId="291D409A" w14:textId="77777777" w:rsidR="00EE770E" w:rsidRDefault="00EE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1061" w14:textId="77777777" w:rsidR="00EE770E" w:rsidRDefault="00EE770E">
      <w:r>
        <w:separator/>
      </w:r>
    </w:p>
  </w:footnote>
  <w:footnote w:type="continuationSeparator" w:id="0">
    <w:p w14:paraId="293AF676" w14:textId="77777777" w:rsidR="00EE770E" w:rsidRDefault="00EE7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D6"/>
    <w:multiLevelType w:val="multilevel"/>
    <w:tmpl w:val="1566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30D64"/>
    <w:multiLevelType w:val="hybridMultilevel"/>
    <w:tmpl w:val="983A6B10"/>
    <w:lvl w:ilvl="0" w:tplc="D0A83528">
      <w:start w:val="5"/>
      <w:numFmt w:val="decimal"/>
      <w:lvlText w:val="%1."/>
      <w:lvlJc w:val="left"/>
      <w:pPr>
        <w:ind w:left="100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C21008"/>
    <w:multiLevelType w:val="hybridMultilevel"/>
    <w:tmpl w:val="78281BE4"/>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15:restartNumberingAfterBreak="0">
    <w:nsid w:val="1187283B"/>
    <w:multiLevelType w:val="hybridMultilevel"/>
    <w:tmpl w:val="324CF914"/>
    <w:lvl w:ilvl="0" w:tplc="03D2D7EA">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9D645B"/>
    <w:multiLevelType w:val="multilevel"/>
    <w:tmpl w:val="8568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42885"/>
    <w:multiLevelType w:val="multilevel"/>
    <w:tmpl w:val="5F5A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018E9"/>
    <w:multiLevelType w:val="multilevel"/>
    <w:tmpl w:val="B254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877D3"/>
    <w:multiLevelType w:val="multilevel"/>
    <w:tmpl w:val="5940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7004B"/>
    <w:multiLevelType w:val="multilevel"/>
    <w:tmpl w:val="FB54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E7AAF"/>
    <w:multiLevelType w:val="hybridMultilevel"/>
    <w:tmpl w:val="B53C3B80"/>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0" w15:restartNumberingAfterBreak="0">
    <w:nsid w:val="377B168B"/>
    <w:multiLevelType w:val="multilevel"/>
    <w:tmpl w:val="0CBC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31996"/>
    <w:multiLevelType w:val="multilevel"/>
    <w:tmpl w:val="90C6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AC5BF1"/>
    <w:multiLevelType w:val="multilevel"/>
    <w:tmpl w:val="D8B0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5D10A3"/>
    <w:multiLevelType w:val="multilevel"/>
    <w:tmpl w:val="E164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47038"/>
    <w:multiLevelType w:val="hybridMultilevel"/>
    <w:tmpl w:val="1BC6F08A"/>
    <w:lvl w:ilvl="0" w:tplc="3A148B78">
      <w:start w:val="1"/>
      <w:numFmt w:val="decimal"/>
      <w:lvlText w:val="%1."/>
      <w:lvlJc w:val="left"/>
      <w:pPr>
        <w:tabs>
          <w:tab w:val="num" w:pos="720"/>
        </w:tabs>
        <w:ind w:left="720" w:hanging="360"/>
      </w:p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8E3575D"/>
    <w:multiLevelType w:val="multilevel"/>
    <w:tmpl w:val="CBAA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5477CC"/>
    <w:multiLevelType w:val="multilevel"/>
    <w:tmpl w:val="4DB2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6E3529"/>
    <w:multiLevelType w:val="multilevel"/>
    <w:tmpl w:val="67D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6F0AE4"/>
    <w:multiLevelType w:val="multilevel"/>
    <w:tmpl w:val="00F6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F7527"/>
    <w:multiLevelType w:val="multilevel"/>
    <w:tmpl w:val="5E0A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746315">
    <w:abstractNumId w:val="14"/>
  </w:num>
  <w:num w:numId="2" w16cid:durableId="948393796">
    <w:abstractNumId w:val="2"/>
  </w:num>
  <w:num w:numId="3" w16cid:durableId="62874311">
    <w:abstractNumId w:val="5"/>
  </w:num>
  <w:num w:numId="4" w16cid:durableId="17120333">
    <w:abstractNumId w:val="18"/>
  </w:num>
  <w:num w:numId="5" w16cid:durableId="193467061">
    <w:abstractNumId w:val="15"/>
  </w:num>
  <w:num w:numId="6" w16cid:durableId="1942831499">
    <w:abstractNumId w:val="16"/>
  </w:num>
  <w:num w:numId="7" w16cid:durableId="749887267">
    <w:abstractNumId w:val="10"/>
  </w:num>
  <w:num w:numId="8" w16cid:durableId="1254900620">
    <w:abstractNumId w:val="6"/>
  </w:num>
  <w:num w:numId="9" w16cid:durableId="2036805631">
    <w:abstractNumId w:val="7"/>
  </w:num>
  <w:num w:numId="10" w16cid:durableId="1594510786">
    <w:abstractNumId w:val="19"/>
  </w:num>
  <w:num w:numId="11" w16cid:durableId="1603296572">
    <w:abstractNumId w:val="13"/>
  </w:num>
  <w:num w:numId="12" w16cid:durableId="1869023939">
    <w:abstractNumId w:val="4"/>
  </w:num>
  <w:num w:numId="13" w16cid:durableId="571044214">
    <w:abstractNumId w:val="12"/>
  </w:num>
  <w:num w:numId="14" w16cid:durableId="62607456">
    <w:abstractNumId w:val="0"/>
  </w:num>
  <w:num w:numId="15" w16cid:durableId="1495335604">
    <w:abstractNumId w:val="8"/>
  </w:num>
  <w:num w:numId="16" w16cid:durableId="69810978">
    <w:abstractNumId w:val="17"/>
  </w:num>
  <w:num w:numId="17" w16cid:durableId="1838882568">
    <w:abstractNumId w:val="9"/>
  </w:num>
  <w:num w:numId="18" w16cid:durableId="1342506219">
    <w:abstractNumId w:val="11"/>
  </w:num>
  <w:num w:numId="19" w16cid:durableId="694616941">
    <w:abstractNumId w:val="1"/>
  </w:num>
  <w:num w:numId="20" w16cid:durableId="159740490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7C"/>
    <w:rsid w:val="000019A3"/>
    <w:rsid w:val="000028FA"/>
    <w:rsid w:val="000048F8"/>
    <w:rsid w:val="00005E9D"/>
    <w:rsid w:val="000105D9"/>
    <w:rsid w:val="00010C23"/>
    <w:rsid w:val="000111E9"/>
    <w:rsid w:val="000112AD"/>
    <w:rsid w:val="00016BA2"/>
    <w:rsid w:val="000207DB"/>
    <w:rsid w:val="00020E5D"/>
    <w:rsid w:val="00021C72"/>
    <w:rsid w:val="00022557"/>
    <w:rsid w:val="00023E00"/>
    <w:rsid w:val="00025324"/>
    <w:rsid w:val="000261BE"/>
    <w:rsid w:val="00026231"/>
    <w:rsid w:val="00026EC3"/>
    <w:rsid w:val="000270D2"/>
    <w:rsid w:val="000270E8"/>
    <w:rsid w:val="00031FE0"/>
    <w:rsid w:val="00032064"/>
    <w:rsid w:val="00032128"/>
    <w:rsid w:val="0003466A"/>
    <w:rsid w:val="00034E97"/>
    <w:rsid w:val="000355BA"/>
    <w:rsid w:val="00035978"/>
    <w:rsid w:val="00035D45"/>
    <w:rsid w:val="00036454"/>
    <w:rsid w:val="0003655F"/>
    <w:rsid w:val="0003678D"/>
    <w:rsid w:val="0004230D"/>
    <w:rsid w:val="000456FC"/>
    <w:rsid w:val="000461DF"/>
    <w:rsid w:val="00050973"/>
    <w:rsid w:val="00051B72"/>
    <w:rsid w:val="00051E40"/>
    <w:rsid w:val="000529D3"/>
    <w:rsid w:val="00056CEE"/>
    <w:rsid w:val="000578D2"/>
    <w:rsid w:val="0005793E"/>
    <w:rsid w:val="00057B9E"/>
    <w:rsid w:val="00057C34"/>
    <w:rsid w:val="00061D66"/>
    <w:rsid w:val="000640D9"/>
    <w:rsid w:val="00065D4F"/>
    <w:rsid w:val="00066633"/>
    <w:rsid w:val="000714A7"/>
    <w:rsid w:val="00071B81"/>
    <w:rsid w:val="000737B7"/>
    <w:rsid w:val="000737DF"/>
    <w:rsid w:val="000739DE"/>
    <w:rsid w:val="00074F5B"/>
    <w:rsid w:val="000752F9"/>
    <w:rsid w:val="00075B32"/>
    <w:rsid w:val="00075DEE"/>
    <w:rsid w:val="00083E8A"/>
    <w:rsid w:val="00086408"/>
    <w:rsid w:val="00086D10"/>
    <w:rsid w:val="00087F84"/>
    <w:rsid w:val="00090253"/>
    <w:rsid w:val="00095D30"/>
    <w:rsid w:val="00096CEE"/>
    <w:rsid w:val="00097138"/>
    <w:rsid w:val="000978FF"/>
    <w:rsid w:val="00097D6C"/>
    <w:rsid w:val="000A27F8"/>
    <w:rsid w:val="000A2F1B"/>
    <w:rsid w:val="000A3007"/>
    <w:rsid w:val="000A3041"/>
    <w:rsid w:val="000A76BB"/>
    <w:rsid w:val="000B0801"/>
    <w:rsid w:val="000B2913"/>
    <w:rsid w:val="000B3563"/>
    <w:rsid w:val="000B4058"/>
    <w:rsid w:val="000C04ED"/>
    <w:rsid w:val="000C0BEF"/>
    <w:rsid w:val="000C2F61"/>
    <w:rsid w:val="000C36D5"/>
    <w:rsid w:val="000C5647"/>
    <w:rsid w:val="000C5732"/>
    <w:rsid w:val="000C5AF1"/>
    <w:rsid w:val="000D0F40"/>
    <w:rsid w:val="000D39BA"/>
    <w:rsid w:val="000D4C9E"/>
    <w:rsid w:val="000D6027"/>
    <w:rsid w:val="000D72A3"/>
    <w:rsid w:val="000E0EB5"/>
    <w:rsid w:val="000E31C0"/>
    <w:rsid w:val="000E44B9"/>
    <w:rsid w:val="000E7F33"/>
    <w:rsid w:val="000E7F5C"/>
    <w:rsid w:val="000F367A"/>
    <w:rsid w:val="000F3D51"/>
    <w:rsid w:val="000F3F02"/>
    <w:rsid w:val="000F6255"/>
    <w:rsid w:val="000F7529"/>
    <w:rsid w:val="00100879"/>
    <w:rsid w:val="00103BCE"/>
    <w:rsid w:val="00104DC3"/>
    <w:rsid w:val="00107AFC"/>
    <w:rsid w:val="001103A8"/>
    <w:rsid w:val="001105DE"/>
    <w:rsid w:val="00110705"/>
    <w:rsid w:val="00110B83"/>
    <w:rsid w:val="00114B70"/>
    <w:rsid w:val="00115348"/>
    <w:rsid w:val="0011554D"/>
    <w:rsid w:val="0011731F"/>
    <w:rsid w:val="00120318"/>
    <w:rsid w:val="001203B4"/>
    <w:rsid w:val="00123083"/>
    <w:rsid w:val="001233B1"/>
    <w:rsid w:val="00123D1D"/>
    <w:rsid w:val="0012576E"/>
    <w:rsid w:val="0013051E"/>
    <w:rsid w:val="00130B4F"/>
    <w:rsid w:val="001315CD"/>
    <w:rsid w:val="00131C82"/>
    <w:rsid w:val="001341CB"/>
    <w:rsid w:val="00134FC1"/>
    <w:rsid w:val="00137392"/>
    <w:rsid w:val="0014063A"/>
    <w:rsid w:val="001432F9"/>
    <w:rsid w:val="001435F8"/>
    <w:rsid w:val="00144CA2"/>
    <w:rsid w:val="0014713B"/>
    <w:rsid w:val="0015101D"/>
    <w:rsid w:val="0015429F"/>
    <w:rsid w:val="0015565F"/>
    <w:rsid w:val="00157210"/>
    <w:rsid w:val="001603D6"/>
    <w:rsid w:val="001645CA"/>
    <w:rsid w:val="00172D86"/>
    <w:rsid w:val="0017389A"/>
    <w:rsid w:val="001742E4"/>
    <w:rsid w:val="00174599"/>
    <w:rsid w:val="00176A58"/>
    <w:rsid w:val="001817C1"/>
    <w:rsid w:val="001821E9"/>
    <w:rsid w:val="0018302E"/>
    <w:rsid w:val="00183AA8"/>
    <w:rsid w:val="0018518C"/>
    <w:rsid w:val="0018542C"/>
    <w:rsid w:val="0019006D"/>
    <w:rsid w:val="00192C16"/>
    <w:rsid w:val="001941A2"/>
    <w:rsid w:val="00195C13"/>
    <w:rsid w:val="00195C41"/>
    <w:rsid w:val="001A14BA"/>
    <w:rsid w:val="001A19B6"/>
    <w:rsid w:val="001A38EA"/>
    <w:rsid w:val="001A5C73"/>
    <w:rsid w:val="001A6500"/>
    <w:rsid w:val="001A6C28"/>
    <w:rsid w:val="001B0479"/>
    <w:rsid w:val="001B0FCD"/>
    <w:rsid w:val="001B13CD"/>
    <w:rsid w:val="001B19F8"/>
    <w:rsid w:val="001B1A90"/>
    <w:rsid w:val="001B1B0F"/>
    <w:rsid w:val="001B1EC4"/>
    <w:rsid w:val="001B4E5B"/>
    <w:rsid w:val="001B5B37"/>
    <w:rsid w:val="001B608A"/>
    <w:rsid w:val="001B634A"/>
    <w:rsid w:val="001B76E9"/>
    <w:rsid w:val="001C5F2C"/>
    <w:rsid w:val="001C615C"/>
    <w:rsid w:val="001D1146"/>
    <w:rsid w:val="001D14E7"/>
    <w:rsid w:val="001D1EAB"/>
    <w:rsid w:val="001D37AA"/>
    <w:rsid w:val="001D473C"/>
    <w:rsid w:val="001D4E05"/>
    <w:rsid w:val="001E08AA"/>
    <w:rsid w:val="001E0CC2"/>
    <w:rsid w:val="001E3F60"/>
    <w:rsid w:val="001E4594"/>
    <w:rsid w:val="001E691A"/>
    <w:rsid w:val="001E705A"/>
    <w:rsid w:val="001E7941"/>
    <w:rsid w:val="001F0018"/>
    <w:rsid w:val="001F0738"/>
    <w:rsid w:val="001F3358"/>
    <w:rsid w:val="001F3F95"/>
    <w:rsid w:val="001F464C"/>
    <w:rsid w:val="001F46E2"/>
    <w:rsid w:val="001F5C21"/>
    <w:rsid w:val="001F6CB1"/>
    <w:rsid w:val="001F6DAC"/>
    <w:rsid w:val="001F7FA0"/>
    <w:rsid w:val="002003E0"/>
    <w:rsid w:val="002005DD"/>
    <w:rsid w:val="00202157"/>
    <w:rsid w:val="00204314"/>
    <w:rsid w:val="00204CE3"/>
    <w:rsid w:val="00206422"/>
    <w:rsid w:val="002069A7"/>
    <w:rsid w:val="00207721"/>
    <w:rsid w:val="00207915"/>
    <w:rsid w:val="0021276C"/>
    <w:rsid w:val="00214042"/>
    <w:rsid w:val="00214A82"/>
    <w:rsid w:val="00217814"/>
    <w:rsid w:val="00217DBE"/>
    <w:rsid w:val="00217E93"/>
    <w:rsid w:val="00222127"/>
    <w:rsid w:val="00222442"/>
    <w:rsid w:val="002224D5"/>
    <w:rsid w:val="00222C97"/>
    <w:rsid w:val="00224074"/>
    <w:rsid w:val="00224A80"/>
    <w:rsid w:val="00224FB4"/>
    <w:rsid w:val="00232390"/>
    <w:rsid w:val="002330FD"/>
    <w:rsid w:val="002334F5"/>
    <w:rsid w:val="00243BCD"/>
    <w:rsid w:val="002444CC"/>
    <w:rsid w:val="00246E66"/>
    <w:rsid w:val="00251B44"/>
    <w:rsid w:val="00252543"/>
    <w:rsid w:val="002526C4"/>
    <w:rsid w:val="00252DCE"/>
    <w:rsid w:val="00253E9D"/>
    <w:rsid w:val="00254DDA"/>
    <w:rsid w:val="00254E07"/>
    <w:rsid w:val="00261555"/>
    <w:rsid w:val="00267BD5"/>
    <w:rsid w:val="0027045E"/>
    <w:rsid w:val="00270561"/>
    <w:rsid w:val="00270C9D"/>
    <w:rsid w:val="00271A56"/>
    <w:rsid w:val="0027427C"/>
    <w:rsid w:val="00274769"/>
    <w:rsid w:val="0027578F"/>
    <w:rsid w:val="0028016F"/>
    <w:rsid w:val="00286557"/>
    <w:rsid w:val="00287458"/>
    <w:rsid w:val="00287761"/>
    <w:rsid w:val="00291D8D"/>
    <w:rsid w:val="00292985"/>
    <w:rsid w:val="00294ED4"/>
    <w:rsid w:val="002A1842"/>
    <w:rsid w:val="002A2338"/>
    <w:rsid w:val="002A45CC"/>
    <w:rsid w:val="002A523B"/>
    <w:rsid w:val="002A6AD5"/>
    <w:rsid w:val="002A6BE4"/>
    <w:rsid w:val="002A793A"/>
    <w:rsid w:val="002A7D15"/>
    <w:rsid w:val="002B2B15"/>
    <w:rsid w:val="002B2E8D"/>
    <w:rsid w:val="002B3824"/>
    <w:rsid w:val="002B4864"/>
    <w:rsid w:val="002B4C69"/>
    <w:rsid w:val="002B55F1"/>
    <w:rsid w:val="002C046C"/>
    <w:rsid w:val="002C34AB"/>
    <w:rsid w:val="002C3B77"/>
    <w:rsid w:val="002C4CF4"/>
    <w:rsid w:val="002C5523"/>
    <w:rsid w:val="002C6D94"/>
    <w:rsid w:val="002C7E27"/>
    <w:rsid w:val="002D01FD"/>
    <w:rsid w:val="002D0F26"/>
    <w:rsid w:val="002D359C"/>
    <w:rsid w:val="002D6133"/>
    <w:rsid w:val="002D6A89"/>
    <w:rsid w:val="002E0861"/>
    <w:rsid w:val="002E0F75"/>
    <w:rsid w:val="002E13BE"/>
    <w:rsid w:val="002E31D3"/>
    <w:rsid w:val="002E43AB"/>
    <w:rsid w:val="002E7AA5"/>
    <w:rsid w:val="002F3780"/>
    <w:rsid w:val="002F3900"/>
    <w:rsid w:val="002F51BC"/>
    <w:rsid w:val="002F55F5"/>
    <w:rsid w:val="002F7246"/>
    <w:rsid w:val="002F78F5"/>
    <w:rsid w:val="003005B1"/>
    <w:rsid w:val="00300A06"/>
    <w:rsid w:val="00301745"/>
    <w:rsid w:val="00302711"/>
    <w:rsid w:val="00302714"/>
    <w:rsid w:val="00303C2F"/>
    <w:rsid w:val="0030662B"/>
    <w:rsid w:val="00307106"/>
    <w:rsid w:val="0030775E"/>
    <w:rsid w:val="00310548"/>
    <w:rsid w:val="00310551"/>
    <w:rsid w:val="00312BBB"/>
    <w:rsid w:val="00314D37"/>
    <w:rsid w:val="00314F4F"/>
    <w:rsid w:val="00320C7C"/>
    <w:rsid w:val="00321319"/>
    <w:rsid w:val="00321770"/>
    <w:rsid w:val="00321BB1"/>
    <w:rsid w:val="00324CF9"/>
    <w:rsid w:val="00325770"/>
    <w:rsid w:val="0032649B"/>
    <w:rsid w:val="00327142"/>
    <w:rsid w:val="00330D9F"/>
    <w:rsid w:val="00331BA9"/>
    <w:rsid w:val="00333983"/>
    <w:rsid w:val="00334F09"/>
    <w:rsid w:val="0034184C"/>
    <w:rsid w:val="003428D9"/>
    <w:rsid w:val="00342FA4"/>
    <w:rsid w:val="003431A9"/>
    <w:rsid w:val="00343F39"/>
    <w:rsid w:val="003446C7"/>
    <w:rsid w:val="0034751A"/>
    <w:rsid w:val="00352E2F"/>
    <w:rsid w:val="00355640"/>
    <w:rsid w:val="00355A8F"/>
    <w:rsid w:val="003565A8"/>
    <w:rsid w:val="003576FF"/>
    <w:rsid w:val="00360014"/>
    <w:rsid w:val="00362FB3"/>
    <w:rsid w:val="00365511"/>
    <w:rsid w:val="003703C6"/>
    <w:rsid w:val="00372181"/>
    <w:rsid w:val="00372183"/>
    <w:rsid w:val="00372CA1"/>
    <w:rsid w:val="00380183"/>
    <w:rsid w:val="0038064F"/>
    <w:rsid w:val="00380C3A"/>
    <w:rsid w:val="003837C7"/>
    <w:rsid w:val="003864B2"/>
    <w:rsid w:val="00386AF3"/>
    <w:rsid w:val="00392339"/>
    <w:rsid w:val="00392352"/>
    <w:rsid w:val="003925C6"/>
    <w:rsid w:val="00393E43"/>
    <w:rsid w:val="003A5F04"/>
    <w:rsid w:val="003A6322"/>
    <w:rsid w:val="003A65F1"/>
    <w:rsid w:val="003A6869"/>
    <w:rsid w:val="003A69CB"/>
    <w:rsid w:val="003A6DA5"/>
    <w:rsid w:val="003B15E5"/>
    <w:rsid w:val="003B2C22"/>
    <w:rsid w:val="003B7AD4"/>
    <w:rsid w:val="003C0487"/>
    <w:rsid w:val="003C1048"/>
    <w:rsid w:val="003C1DA7"/>
    <w:rsid w:val="003C20BB"/>
    <w:rsid w:val="003C38E3"/>
    <w:rsid w:val="003C3C23"/>
    <w:rsid w:val="003C5D6F"/>
    <w:rsid w:val="003C698F"/>
    <w:rsid w:val="003C764D"/>
    <w:rsid w:val="003D04B8"/>
    <w:rsid w:val="003D0896"/>
    <w:rsid w:val="003D12C0"/>
    <w:rsid w:val="003D211E"/>
    <w:rsid w:val="003E04B5"/>
    <w:rsid w:val="003E07DB"/>
    <w:rsid w:val="003E1793"/>
    <w:rsid w:val="003E275F"/>
    <w:rsid w:val="003E3F38"/>
    <w:rsid w:val="003E57F4"/>
    <w:rsid w:val="003E7456"/>
    <w:rsid w:val="003F0C5C"/>
    <w:rsid w:val="003F2849"/>
    <w:rsid w:val="003F3C56"/>
    <w:rsid w:val="003F3E97"/>
    <w:rsid w:val="003F3EFD"/>
    <w:rsid w:val="003F43DA"/>
    <w:rsid w:val="003F6B09"/>
    <w:rsid w:val="003F6E49"/>
    <w:rsid w:val="003F7716"/>
    <w:rsid w:val="00400825"/>
    <w:rsid w:val="00402ADF"/>
    <w:rsid w:val="00402DE6"/>
    <w:rsid w:val="00402EF5"/>
    <w:rsid w:val="00402F1D"/>
    <w:rsid w:val="00403426"/>
    <w:rsid w:val="00403AEB"/>
    <w:rsid w:val="00404B98"/>
    <w:rsid w:val="00404F18"/>
    <w:rsid w:val="0040593A"/>
    <w:rsid w:val="0040607E"/>
    <w:rsid w:val="00411B85"/>
    <w:rsid w:val="004146B9"/>
    <w:rsid w:val="0041470E"/>
    <w:rsid w:val="004153D5"/>
    <w:rsid w:val="004201E0"/>
    <w:rsid w:val="004218AF"/>
    <w:rsid w:val="0042235D"/>
    <w:rsid w:val="00422DDF"/>
    <w:rsid w:val="00423EE8"/>
    <w:rsid w:val="00423FF3"/>
    <w:rsid w:val="004248F5"/>
    <w:rsid w:val="00426D93"/>
    <w:rsid w:val="004277E5"/>
    <w:rsid w:val="00430053"/>
    <w:rsid w:val="00432CD6"/>
    <w:rsid w:val="00433EE2"/>
    <w:rsid w:val="00434600"/>
    <w:rsid w:val="00437885"/>
    <w:rsid w:val="00441C96"/>
    <w:rsid w:val="00442B43"/>
    <w:rsid w:val="00443A30"/>
    <w:rsid w:val="00443D5B"/>
    <w:rsid w:val="00444177"/>
    <w:rsid w:val="004445C7"/>
    <w:rsid w:val="004446CE"/>
    <w:rsid w:val="00444ABD"/>
    <w:rsid w:val="004457F1"/>
    <w:rsid w:val="00445B61"/>
    <w:rsid w:val="0044678B"/>
    <w:rsid w:val="00446CA1"/>
    <w:rsid w:val="004501A5"/>
    <w:rsid w:val="00451876"/>
    <w:rsid w:val="00451FF8"/>
    <w:rsid w:val="00452F15"/>
    <w:rsid w:val="00454DF0"/>
    <w:rsid w:val="00456863"/>
    <w:rsid w:val="00456FC8"/>
    <w:rsid w:val="00461076"/>
    <w:rsid w:val="0046210E"/>
    <w:rsid w:val="004627F2"/>
    <w:rsid w:val="00464D81"/>
    <w:rsid w:val="00465B72"/>
    <w:rsid w:val="0046635A"/>
    <w:rsid w:val="004667F3"/>
    <w:rsid w:val="0047063C"/>
    <w:rsid w:val="00470D13"/>
    <w:rsid w:val="004712B9"/>
    <w:rsid w:val="00471A00"/>
    <w:rsid w:val="00474E86"/>
    <w:rsid w:val="00477542"/>
    <w:rsid w:val="00480805"/>
    <w:rsid w:val="00482164"/>
    <w:rsid w:val="00482363"/>
    <w:rsid w:val="0048537B"/>
    <w:rsid w:val="0048737A"/>
    <w:rsid w:val="00490EF1"/>
    <w:rsid w:val="00494EA9"/>
    <w:rsid w:val="004951C2"/>
    <w:rsid w:val="004A2D0C"/>
    <w:rsid w:val="004A44A8"/>
    <w:rsid w:val="004A4F68"/>
    <w:rsid w:val="004A7A1E"/>
    <w:rsid w:val="004B2499"/>
    <w:rsid w:val="004B5BDE"/>
    <w:rsid w:val="004B6087"/>
    <w:rsid w:val="004C0C44"/>
    <w:rsid w:val="004C1182"/>
    <w:rsid w:val="004C133B"/>
    <w:rsid w:val="004C188A"/>
    <w:rsid w:val="004C1FC0"/>
    <w:rsid w:val="004C2C33"/>
    <w:rsid w:val="004C3693"/>
    <w:rsid w:val="004C59F2"/>
    <w:rsid w:val="004C5F53"/>
    <w:rsid w:val="004C6B62"/>
    <w:rsid w:val="004C7D7F"/>
    <w:rsid w:val="004D0292"/>
    <w:rsid w:val="004D10E3"/>
    <w:rsid w:val="004D158A"/>
    <w:rsid w:val="004D3080"/>
    <w:rsid w:val="004D45AA"/>
    <w:rsid w:val="004D6EFC"/>
    <w:rsid w:val="004D76B9"/>
    <w:rsid w:val="004E556E"/>
    <w:rsid w:val="004E5E16"/>
    <w:rsid w:val="004F2C6A"/>
    <w:rsid w:val="004F3CAB"/>
    <w:rsid w:val="004F5978"/>
    <w:rsid w:val="004F6AB7"/>
    <w:rsid w:val="004F6EED"/>
    <w:rsid w:val="004F6F0D"/>
    <w:rsid w:val="004F7D5D"/>
    <w:rsid w:val="004F7E48"/>
    <w:rsid w:val="004F7F77"/>
    <w:rsid w:val="00500597"/>
    <w:rsid w:val="005036E8"/>
    <w:rsid w:val="00504680"/>
    <w:rsid w:val="005050CC"/>
    <w:rsid w:val="005105AA"/>
    <w:rsid w:val="005117A6"/>
    <w:rsid w:val="00513FAD"/>
    <w:rsid w:val="00514E41"/>
    <w:rsid w:val="00516229"/>
    <w:rsid w:val="005206ED"/>
    <w:rsid w:val="0052258F"/>
    <w:rsid w:val="005246A9"/>
    <w:rsid w:val="00524761"/>
    <w:rsid w:val="0052581E"/>
    <w:rsid w:val="00527C7D"/>
    <w:rsid w:val="0053007E"/>
    <w:rsid w:val="00530DED"/>
    <w:rsid w:val="00531670"/>
    <w:rsid w:val="0053196D"/>
    <w:rsid w:val="00533899"/>
    <w:rsid w:val="00534CAD"/>
    <w:rsid w:val="00535AD6"/>
    <w:rsid w:val="00536ADB"/>
    <w:rsid w:val="0053701A"/>
    <w:rsid w:val="005439CB"/>
    <w:rsid w:val="00544DE1"/>
    <w:rsid w:val="005460C3"/>
    <w:rsid w:val="00552503"/>
    <w:rsid w:val="00553A05"/>
    <w:rsid w:val="00554F3E"/>
    <w:rsid w:val="00555B6B"/>
    <w:rsid w:val="005578FC"/>
    <w:rsid w:val="00562A05"/>
    <w:rsid w:val="005644E8"/>
    <w:rsid w:val="00564AB9"/>
    <w:rsid w:val="00564E79"/>
    <w:rsid w:val="00565CE2"/>
    <w:rsid w:val="00566D04"/>
    <w:rsid w:val="00566EFD"/>
    <w:rsid w:val="00570B94"/>
    <w:rsid w:val="0057172B"/>
    <w:rsid w:val="005737E2"/>
    <w:rsid w:val="00573ADE"/>
    <w:rsid w:val="005846F2"/>
    <w:rsid w:val="005904EE"/>
    <w:rsid w:val="00591024"/>
    <w:rsid w:val="00593846"/>
    <w:rsid w:val="00594483"/>
    <w:rsid w:val="00596321"/>
    <w:rsid w:val="005A17D4"/>
    <w:rsid w:val="005A3D63"/>
    <w:rsid w:val="005A483D"/>
    <w:rsid w:val="005A5115"/>
    <w:rsid w:val="005A6246"/>
    <w:rsid w:val="005A62D8"/>
    <w:rsid w:val="005B502F"/>
    <w:rsid w:val="005B5F15"/>
    <w:rsid w:val="005B65C7"/>
    <w:rsid w:val="005B6D50"/>
    <w:rsid w:val="005B71BE"/>
    <w:rsid w:val="005C029B"/>
    <w:rsid w:val="005C0742"/>
    <w:rsid w:val="005C0918"/>
    <w:rsid w:val="005C09AA"/>
    <w:rsid w:val="005C1DA7"/>
    <w:rsid w:val="005C29B9"/>
    <w:rsid w:val="005C3693"/>
    <w:rsid w:val="005C42A2"/>
    <w:rsid w:val="005D1389"/>
    <w:rsid w:val="005D23E4"/>
    <w:rsid w:val="005D29A4"/>
    <w:rsid w:val="005D37DB"/>
    <w:rsid w:val="005D54E4"/>
    <w:rsid w:val="005D66D6"/>
    <w:rsid w:val="005D671B"/>
    <w:rsid w:val="005E12C2"/>
    <w:rsid w:val="005E1F0D"/>
    <w:rsid w:val="005E29D3"/>
    <w:rsid w:val="005E30AA"/>
    <w:rsid w:val="005E4506"/>
    <w:rsid w:val="005E5020"/>
    <w:rsid w:val="005E502B"/>
    <w:rsid w:val="005E541A"/>
    <w:rsid w:val="005E5AAB"/>
    <w:rsid w:val="005E6C0F"/>
    <w:rsid w:val="005E7F4E"/>
    <w:rsid w:val="005F699D"/>
    <w:rsid w:val="005F722C"/>
    <w:rsid w:val="005F7291"/>
    <w:rsid w:val="005F7C29"/>
    <w:rsid w:val="005F7D7E"/>
    <w:rsid w:val="0060046C"/>
    <w:rsid w:val="00600F18"/>
    <w:rsid w:val="00604F3B"/>
    <w:rsid w:val="00606739"/>
    <w:rsid w:val="00606C51"/>
    <w:rsid w:val="00606E32"/>
    <w:rsid w:val="00607B52"/>
    <w:rsid w:val="006100B3"/>
    <w:rsid w:val="00610252"/>
    <w:rsid w:val="00612918"/>
    <w:rsid w:val="00613EFC"/>
    <w:rsid w:val="00614B9E"/>
    <w:rsid w:val="0061709B"/>
    <w:rsid w:val="00621823"/>
    <w:rsid w:val="00624500"/>
    <w:rsid w:val="00624541"/>
    <w:rsid w:val="00632834"/>
    <w:rsid w:val="00632969"/>
    <w:rsid w:val="006332FB"/>
    <w:rsid w:val="0063699E"/>
    <w:rsid w:val="006422A6"/>
    <w:rsid w:val="0064249C"/>
    <w:rsid w:val="00642E49"/>
    <w:rsid w:val="00643450"/>
    <w:rsid w:val="00644173"/>
    <w:rsid w:val="00645852"/>
    <w:rsid w:val="00652DB0"/>
    <w:rsid w:val="00654289"/>
    <w:rsid w:val="00661FB5"/>
    <w:rsid w:val="006623BF"/>
    <w:rsid w:val="00663583"/>
    <w:rsid w:val="00673EB3"/>
    <w:rsid w:val="00674303"/>
    <w:rsid w:val="006758F1"/>
    <w:rsid w:val="00677705"/>
    <w:rsid w:val="00680320"/>
    <w:rsid w:val="00681130"/>
    <w:rsid w:val="00681B43"/>
    <w:rsid w:val="00681DC4"/>
    <w:rsid w:val="00684163"/>
    <w:rsid w:val="00684197"/>
    <w:rsid w:val="00685597"/>
    <w:rsid w:val="00685F0D"/>
    <w:rsid w:val="00686D8C"/>
    <w:rsid w:val="00687892"/>
    <w:rsid w:val="00687ACD"/>
    <w:rsid w:val="00687F95"/>
    <w:rsid w:val="00690AE1"/>
    <w:rsid w:val="00691432"/>
    <w:rsid w:val="006934D4"/>
    <w:rsid w:val="006949F9"/>
    <w:rsid w:val="00694AD6"/>
    <w:rsid w:val="00695895"/>
    <w:rsid w:val="00695D67"/>
    <w:rsid w:val="00695D82"/>
    <w:rsid w:val="006A0344"/>
    <w:rsid w:val="006A0C08"/>
    <w:rsid w:val="006A2295"/>
    <w:rsid w:val="006A4012"/>
    <w:rsid w:val="006A5017"/>
    <w:rsid w:val="006A7240"/>
    <w:rsid w:val="006B09A6"/>
    <w:rsid w:val="006B1B6E"/>
    <w:rsid w:val="006B3AC0"/>
    <w:rsid w:val="006B66D2"/>
    <w:rsid w:val="006B7DF0"/>
    <w:rsid w:val="006C0DB4"/>
    <w:rsid w:val="006C17E4"/>
    <w:rsid w:val="006C2B81"/>
    <w:rsid w:val="006C2BC2"/>
    <w:rsid w:val="006C408F"/>
    <w:rsid w:val="006C44B6"/>
    <w:rsid w:val="006C68F1"/>
    <w:rsid w:val="006D0788"/>
    <w:rsid w:val="006D174D"/>
    <w:rsid w:val="006D65AD"/>
    <w:rsid w:val="006E0706"/>
    <w:rsid w:val="006E1485"/>
    <w:rsid w:val="006E31BE"/>
    <w:rsid w:val="006E40A8"/>
    <w:rsid w:val="006E4234"/>
    <w:rsid w:val="006E59DB"/>
    <w:rsid w:val="006F36C7"/>
    <w:rsid w:val="006F71EC"/>
    <w:rsid w:val="007001B8"/>
    <w:rsid w:val="00701A98"/>
    <w:rsid w:val="00702C83"/>
    <w:rsid w:val="00703AF1"/>
    <w:rsid w:val="00704BC3"/>
    <w:rsid w:val="00704D4A"/>
    <w:rsid w:val="00704FED"/>
    <w:rsid w:val="00705C09"/>
    <w:rsid w:val="00706D63"/>
    <w:rsid w:val="00710242"/>
    <w:rsid w:val="00710409"/>
    <w:rsid w:val="00710F60"/>
    <w:rsid w:val="0071512F"/>
    <w:rsid w:val="0071540E"/>
    <w:rsid w:val="0072046F"/>
    <w:rsid w:val="00722059"/>
    <w:rsid w:val="00724DCC"/>
    <w:rsid w:val="0072664C"/>
    <w:rsid w:val="0072676A"/>
    <w:rsid w:val="00727741"/>
    <w:rsid w:val="0073024B"/>
    <w:rsid w:val="0073274C"/>
    <w:rsid w:val="007340F4"/>
    <w:rsid w:val="00735AB8"/>
    <w:rsid w:val="007365BB"/>
    <w:rsid w:val="00740098"/>
    <w:rsid w:val="00743302"/>
    <w:rsid w:val="00743334"/>
    <w:rsid w:val="00743A45"/>
    <w:rsid w:val="00744A44"/>
    <w:rsid w:val="00746792"/>
    <w:rsid w:val="00747895"/>
    <w:rsid w:val="00750FBA"/>
    <w:rsid w:val="007527B4"/>
    <w:rsid w:val="00752F09"/>
    <w:rsid w:val="00753198"/>
    <w:rsid w:val="00753E93"/>
    <w:rsid w:val="00756802"/>
    <w:rsid w:val="007614F3"/>
    <w:rsid w:val="007618D8"/>
    <w:rsid w:val="00761908"/>
    <w:rsid w:val="00761C10"/>
    <w:rsid w:val="0076419A"/>
    <w:rsid w:val="007644F0"/>
    <w:rsid w:val="00764BF1"/>
    <w:rsid w:val="00767351"/>
    <w:rsid w:val="0077137C"/>
    <w:rsid w:val="00771DF7"/>
    <w:rsid w:val="00772AC6"/>
    <w:rsid w:val="007736A0"/>
    <w:rsid w:val="007764E2"/>
    <w:rsid w:val="007771FC"/>
    <w:rsid w:val="00777370"/>
    <w:rsid w:val="00782963"/>
    <w:rsid w:val="00782E85"/>
    <w:rsid w:val="007833D0"/>
    <w:rsid w:val="007842FA"/>
    <w:rsid w:val="007845CF"/>
    <w:rsid w:val="007847E7"/>
    <w:rsid w:val="00785359"/>
    <w:rsid w:val="007862D6"/>
    <w:rsid w:val="0079062F"/>
    <w:rsid w:val="00790B0B"/>
    <w:rsid w:val="00794E2C"/>
    <w:rsid w:val="007951CC"/>
    <w:rsid w:val="00797B93"/>
    <w:rsid w:val="00797E5A"/>
    <w:rsid w:val="007A1000"/>
    <w:rsid w:val="007A1D2F"/>
    <w:rsid w:val="007A1F0D"/>
    <w:rsid w:val="007A532F"/>
    <w:rsid w:val="007A5D3E"/>
    <w:rsid w:val="007A6850"/>
    <w:rsid w:val="007A7A7A"/>
    <w:rsid w:val="007B03FC"/>
    <w:rsid w:val="007B1858"/>
    <w:rsid w:val="007B1C6C"/>
    <w:rsid w:val="007B52CB"/>
    <w:rsid w:val="007B5909"/>
    <w:rsid w:val="007B5F10"/>
    <w:rsid w:val="007B7625"/>
    <w:rsid w:val="007C1263"/>
    <w:rsid w:val="007C1C99"/>
    <w:rsid w:val="007C501B"/>
    <w:rsid w:val="007C7817"/>
    <w:rsid w:val="007D02CF"/>
    <w:rsid w:val="007D3954"/>
    <w:rsid w:val="007D3F1F"/>
    <w:rsid w:val="007D597F"/>
    <w:rsid w:val="007D65A1"/>
    <w:rsid w:val="007D67C1"/>
    <w:rsid w:val="007D79FE"/>
    <w:rsid w:val="007E0B07"/>
    <w:rsid w:val="007E0FD8"/>
    <w:rsid w:val="007E47B6"/>
    <w:rsid w:val="007E6456"/>
    <w:rsid w:val="007F041F"/>
    <w:rsid w:val="007F4524"/>
    <w:rsid w:val="007F4695"/>
    <w:rsid w:val="007F7C29"/>
    <w:rsid w:val="00802082"/>
    <w:rsid w:val="00802A96"/>
    <w:rsid w:val="0080383D"/>
    <w:rsid w:val="00804175"/>
    <w:rsid w:val="00804542"/>
    <w:rsid w:val="00805FC8"/>
    <w:rsid w:val="008074A5"/>
    <w:rsid w:val="008076FE"/>
    <w:rsid w:val="008078C5"/>
    <w:rsid w:val="00811037"/>
    <w:rsid w:val="008129FA"/>
    <w:rsid w:val="00813544"/>
    <w:rsid w:val="008166EE"/>
    <w:rsid w:val="00816776"/>
    <w:rsid w:val="008207B9"/>
    <w:rsid w:val="008211FF"/>
    <w:rsid w:val="00822147"/>
    <w:rsid w:val="00822487"/>
    <w:rsid w:val="0082291A"/>
    <w:rsid w:val="00823B20"/>
    <w:rsid w:val="00825726"/>
    <w:rsid w:val="008260F6"/>
    <w:rsid w:val="00830E4F"/>
    <w:rsid w:val="00830FB0"/>
    <w:rsid w:val="00831346"/>
    <w:rsid w:val="00831588"/>
    <w:rsid w:val="00832A14"/>
    <w:rsid w:val="00833188"/>
    <w:rsid w:val="00833B46"/>
    <w:rsid w:val="00834568"/>
    <w:rsid w:val="008368CE"/>
    <w:rsid w:val="00841D7B"/>
    <w:rsid w:val="00844124"/>
    <w:rsid w:val="00844FF5"/>
    <w:rsid w:val="008451BB"/>
    <w:rsid w:val="00845283"/>
    <w:rsid w:val="008518EA"/>
    <w:rsid w:val="00853C4C"/>
    <w:rsid w:val="00853C8E"/>
    <w:rsid w:val="008562C5"/>
    <w:rsid w:val="00857B76"/>
    <w:rsid w:val="00857D5B"/>
    <w:rsid w:val="00860936"/>
    <w:rsid w:val="00861E8C"/>
    <w:rsid w:val="00863CA9"/>
    <w:rsid w:val="00863DA7"/>
    <w:rsid w:val="0086420B"/>
    <w:rsid w:val="0086740F"/>
    <w:rsid w:val="00870D59"/>
    <w:rsid w:val="0087322B"/>
    <w:rsid w:val="00874E9D"/>
    <w:rsid w:val="008755E1"/>
    <w:rsid w:val="00875FE6"/>
    <w:rsid w:val="00877808"/>
    <w:rsid w:val="008779EA"/>
    <w:rsid w:val="0088297B"/>
    <w:rsid w:val="00883903"/>
    <w:rsid w:val="00884AAC"/>
    <w:rsid w:val="00884FB3"/>
    <w:rsid w:val="00887149"/>
    <w:rsid w:val="00887B11"/>
    <w:rsid w:val="00892079"/>
    <w:rsid w:val="008931F0"/>
    <w:rsid w:val="00893B3D"/>
    <w:rsid w:val="008945AE"/>
    <w:rsid w:val="008949A4"/>
    <w:rsid w:val="0089531E"/>
    <w:rsid w:val="008954EB"/>
    <w:rsid w:val="0089670A"/>
    <w:rsid w:val="008979CF"/>
    <w:rsid w:val="008A00E7"/>
    <w:rsid w:val="008A085F"/>
    <w:rsid w:val="008A0E18"/>
    <w:rsid w:val="008A27B6"/>
    <w:rsid w:val="008A2877"/>
    <w:rsid w:val="008A33E3"/>
    <w:rsid w:val="008A4864"/>
    <w:rsid w:val="008A56BA"/>
    <w:rsid w:val="008A5FE9"/>
    <w:rsid w:val="008B0198"/>
    <w:rsid w:val="008B20BE"/>
    <w:rsid w:val="008B2704"/>
    <w:rsid w:val="008B2AAF"/>
    <w:rsid w:val="008B6860"/>
    <w:rsid w:val="008B779B"/>
    <w:rsid w:val="008D5990"/>
    <w:rsid w:val="008D6E6B"/>
    <w:rsid w:val="008E1387"/>
    <w:rsid w:val="008E6002"/>
    <w:rsid w:val="008E60AE"/>
    <w:rsid w:val="008E6C82"/>
    <w:rsid w:val="008E7461"/>
    <w:rsid w:val="008E76CC"/>
    <w:rsid w:val="008E7AA1"/>
    <w:rsid w:val="008F1A20"/>
    <w:rsid w:val="008F1D5C"/>
    <w:rsid w:val="008F1E85"/>
    <w:rsid w:val="008F39BF"/>
    <w:rsid w:val="008F430E"/>
    <w:rsid w:val="008F7320"/>
    <w:rsid w:val="0090028B"/>
    <w:rsid w:val="009041FE"/>
    <w:rsid w:val="00906AB3"/>
    <w:rsid w:val="00906C6E"/>
    <w:rsid w:val="0091117F"/>
    <w:rsid w:val="0091123C"/>
    <w:rsid w:val="009121E3"/>
    <w:rsid w:val="00912937"/>
    <w:rsid w:val="00914C23"/>
    <w:rsid w:val="00915519"/>
    <w:rsid w:val="009172F8"/>
    <w:rsid w:val="0091741D"/>
    <w:rsid w:val="009200B7"/>
    <w:rsid w:val="00920231"/>
    <w:rsid w:val="00925561"/>
    <w:rsid w:val="009263E8"/>
    <w:rsid w:val="00926878"/>
    <w:rsid w:val="00927C2D"/>
    <w:rsid w:val="009313B2"/>
    <w:rsid w:val="009341AE"/>
    <w:rsid w:val="009345FE"/>
    <w:rsid w:val="009404D2"/>
    <w:rsid w:val="009428E6"/>
    <w:rsid w:val="00942F70"/>
    <w:rsid w:val="0094644B"/>
    <w:rsid w:val="00946582"/>
    <w:rsid w:val="00947591"/>
    <w:rsid w:val="00951810"/>
    <w:rsid w:val="00951ED5"/>
    <w:rsid w:val="00953B9F"/>
    <w:rsid w:val="0095404D"/>
    <w:rsid w:val="00957442"/>
    <w:rsid w:val="00957E6D"/>
    <w:rsid w:val="0096026B"/>
    <w:rsid w:val="0096173E"/>
    <w:rsid w:val="0096182E"/>
    <w:rsid w:val="00961C01"/>
    <w:rsid w:val="00962381"/>
    <w:rsid w:val="009644EA"/>
    <w:rsid w:val="00964D12"/>
    <w:rsid w:val="009671E2"/>
    <w:rsid w:val="00975622"/>
    <w:rsid w:val="009762BA"/>
    <w:rsid w:val="009765B2"/>
    <w:rsid w:val="00977B6A"/>
    <w:rsid w:val="00982C36"/>
    <w:rsid w:val="009836FB"/>
    <w:rsid w:val="009857BC"/>
    <w:rsid w:val="00986253"/>
    <w:rsid w:val="009869C9"/>
    <w:rsid w:val="009910B8"/>
    <w:rsid w:val="009914CF"/>
    <w:rsid w:val="00991F09"/>
    <w:rsid w:val="00993380"/>
    <w:rsid w:val="00994FC7"/>
    <w:rsid w:val="00994FF9"/>
    <w:rsid w:val="009951A6"/>
    <w:rsid w:val="009A0E7D"/>
    <w:rsid w:val="009A15A5"/>
    <w:rsid w:val="009A15FF"/>
    <w:rsid w:val="009A290C"/>
    <w:rsid w:val="009A2FF6"/>
    <w:rsid w:val="009A4AF9"/>
    <w:rsid w:val="009A6175"/>
    <w:rsid w:val="009A7A08"/>
    <w:rsid w:val="009B049E"/>
    <w:rsid w:val="009B315C"/>
    <w:rsid w:val="009B4CD2"/>
    <w:rsid w:val="009B6578"/>
    <w:rsid w:val="009B6F1F"/>
    <w:rsid w:val="009C0ABE"/>
    <w:rsid w:val="009C1B92"/>
    <w:rsid w:val="009C2902"/>
    <w:rsid w:val="009C3E87"/>
    <w:rsid w:val="009C63FC"/>
    <w:rsid w:val="009C7913"/>
    <w:rsid w:val="009C7FDF"/>
    <w:rsid w:val="009D19D2"/>
    <w:rsid w:val="009D1D70"/>
    <w:rsid w:val="009D2BB2"/>
    <w:rsid w:val="009D345A"/>
    <w:rsid w:val="009D39BB"/>
    <w:rsid w:val="009D53F0"/>
    <w:rsid w:val="009D755A"/>
    <w:rsid w:val="009E113D"/>
    <w:rsid w:val="009E1E1E"/>
    <w:rsid w:val="009E264A"/>
    <w:rsid w:val="009E4127"/>
    <w:rsid w:val="009E469E"/>
    <w:rsid w:val="009E5D76"/>
    <w:rsid w:val="009E7995"/>
    <w:rsid w:val="009F0FF6"/>
    <w:rsid w:val="009F1179"/>
    <w:rsid w:val="009F15C8"/>
    <w:rsid w:val="009F2879"/>
    <w:rsid w:val="009F49D7"/>
    <w:rsid w:val="009F77D9"/>
    <w:rsid w:val="009F7829"/>
    <w:rsid w:val="00A01732"/>
    <w:rsid w:val="00A023C3"/>
    <w:rsid w:val="00A03CC3"/>
    <w:rsid w:val="00A04FC4"/>
    <w:rsid w:val="00A1113A"/>
    <w:rsid w:val="00A128FE"/>
    <w:rsid w:val="00A25364"/>
    <w:rsid w:val="00A316E2"/>
    <w:rsid w:val="00A316F5"/>
    <w:rsid w:val="00A32930"/>
    <w:rsid w:val="00A32DF7"/>
    <w:rsid w:val="00A33731"/>
    <w:rsid w:val="00A33C5A"/>
    <w:rsid w:val="00A33F22"/>
    <w:rsid w:val="00A34DB7"/>
    <w:rsid w:val="00A34FD4"/>
    <w:rsid w:val="00A3791E"/>
    <w:rsid w:val="00A40502"/>
    <w:rsid w:val="00A40783"/>
    <w:rsid w:val="00A42E23"/>
    <w:rsid w:val="00A47E38"/>
    <w:rsid w:val="00A506EF"/>
    <w:rsid w:val="00A50DA2"/>
    <w:rsid w:val="00A53159"/>
    <w:rsid w:val="00A53F28"/>
    <w:rsid w:val="00A545B0"/>
    <w:rsid w:val="00A54D7A"/>
    <w:rsid w:val="00A55F09"/>
    <w:rsid w:val="00A575ED"/>
    <w:rsid w:val="00A60423"/>
    <w:rsid w:val="00A60700"/>
    <w:rsid w:val="00A60BA7"/>
    <w:rsid w:val="00A63475"/>
    <w:rsid w:val="00A65521"/>
    <w:rsid w:val="00A744C8"/>
    <w:rsid w:val="00A75101"/>
    <w:rsid w:val="00A77F55"/>
    <w:rsid w:val="00A80663"/>
    <w:rsid w:val="00A81172"/>
    <w:rsid w:val="00A82E8B"/>
    <w:rsid w:val="00A85933"/>
    <w:rsid w:val="00A921FF"/>
    <w:rsid w:val="00A93723"/>
    <w:rsid w:val="00A94201"/>
    <w:rsid w:val="00A96B3A"/>
    <w:rsid w:val="00AA0A74"/>
    <w:rsid w:val="00AA3569"/>
    <w:rsid w:val="00AA4575"/>
    <w:rsid w:val="00AA6275"/>
    <w:rsid w:val="00AA668A"/>
    <w:rsid w:val="00AB31CB"/>
    <w:rsid w:val="00AB4A2A"/>
    <w:rsid w:val="00AB4FBC"/>
    <w:rsid w:val="00AB55A8"/>
    <w:rsid w:val="00AB59F0"/>
    <w:rsid w:val="00AC0805"/>
    <w:rsid w:val="00AC1B78"/>
    <w:rsid w:val="00AC3262"/>
    <w:rsid w:val="00AC4716"/>
    <w:rsid w:val="00AC69A3"/>
    <w:rsid w:val="00AD4C0D"/>
    <w:rsid w:val="00AD5EDD"/>
    <w:rsid w:val="00AE17C9"/>
    <w:rsid w:val="00AE193A"/>
    <w:rsid w:val="00AE2895"/>
    <w:rsid w:val="00AE35E4"/>
    <w:rsid w:val="00AE43B4"/>
    <w:rsid w:val="00AE52B0"/>
    <w:rsid w:val="00AE6357"/>
    <w:rsid w:val="00AE719C"/>
    <w:rsid w:val="00AF09C0"/>
    <w:rsid w:val="00AF3F8B"/>
    <w:rsid w:val="00AF503D"/>
    <w:rsid w:val="00AF5319"/>
    <w:rsid w:val="00AF6DE9"/>
    <w:rsid w:val="00B0006E"/>
    <w:rsid w:val="00B001D8"/>
    <w:rsid w:val="00B0056A"/>
    <w:rsid w:val="00B021F2"/>
    <w:rsid w:val="00B0306D"/>
    <w:rsid w:val="00B03186"/>
    <w:rsid w:val="00B03E72"/>
    <w:rsid w:val="00B1087B"/>
    <w:rsid w:val="00B10C76"/>
    <w:rsid w:val="00B12033"/>
    <w:rsid w:val="00B121AF"/>
    <w:rsid w:val="00B137DB"/>
    <w:rsid w:val="00B1492F"/>
    <w:rsid w:val="00B14EB9"/>
    <w:rsid w:val="00B17673"/>
    <w:rsid w:val="00B20080"/>
    <w:rsid w:val="00B20D1F"/>
    <w:rsid w:val="00B22BDC"/>
    <w:rsid w:val="00B2385B"/>
    <w:rsid w:val="00B24FCD"/>
    <w:rsid w:val="00B26BF0"/>
    <w:rsid w:val="00B33319"/>
    <w:rsid w:val="00B33786"/>
    <w:rsid w:val="00B344EC"/>
    <w:rsid w:val="00B36DE1"/>
    <w:rsid w:val="00B40917"/>
    <w:rsid w:val="00B44EE3"/>
    <w:rsid w:val="00B45A59"/>
    <w:rsid w:val="00B45E22"/>
    <w:rsid w:val="00B47372"/>
    <w:rsid w:val="00B47FA6"/>
    <w:rsid w:val="00B50F9E"/>
    <w:rsid w:val="00B50FC7"/>
    <w:rsid w:val="00B52F03"/>
    <w:rsid w:val="00B53154"/>
    <w:rsid w:val="00B56896"/>
    <w:rsid w:val="00B61F07"/>
    <w:rsid w:val="00B62078"/>
    <w:rsid w:val="00B62411"/>
    <w:rsid w:val="00B630F3"/>
    <w:rsid w:val="00B64AB9"/>
    <w:rsid w:val="00B64C6A"/>
    <w:rsid w:val="00B64FFA"/>
    <w:rsid w:val="00B678BA"/>
    <w:rsid w:val="00B67CC4"/>
    <w:rsid w:val="00B70C83"/>
    <w:rsid w:val="00B72916"/>
    <w:rsid w:val="00B73903"/>
    <w:rsid w:val="00B7649E"/>
    <w:rsid w:val="00B817E9"/>
    <w:rsid w:val="00B82B19"/>
    <w:rsid w:val="00B82FAF"/>
    <w:rsid w:val="00B85391"/>
    <w:rsid w:val="00B92CB7"/>
    <w:rsid w:val="00B9619D"/>
    <w:rsid w:val="00B96C8B"/>
    <w:rsid w:val="00B9760F"/>
    <w:rsid w:val="00BA0622"/>
    <w:rsid w:val="00BA141E"/>
    <w:rsid w:val="00BA3A96"/>
    <w:rsid w:val="00BA3DA9"/>
    <w:rsid w:val="00BA485F"/>
    <w:rsid w:val="00BA52B4"/>
    <w:rsid w:val="00BA6403"/>
    <w:rsid w:val="00BA7155"/>
    <w:rsid w:val="00BA7E89"/>
    <w:rsid w:val="00BA7F4D"/>
    <w:rsid w:val="00BB5859"/>
    <w:rsid w:val="00BB6A21"/>
    <w:rsid w:val="00BC2B62"/>
    <w:rsid w:val="00BC4A62"/>
    <w:rsid w:val="00BC6206"/>
    <w:rsid w:val="00BC71C5"/>
    <w:rsid w:val="00BD08AC"/>
    <w:rsid w:val="00BD0C21"/>
    <w:rsid w:val="00BD6A47"/>
    <w:rsid w:val="00BD7682"/>
    <w:rsid w:val="00BE1660"/>
    <w:rsid w:val="00BE1F8D"/>
    <w:rsid w:val="00BE23BB"/>
    <w:rsid w:val="00BE3C47"/>
    <w:rsid w:val="00BE6237"/>
    <w:rsid w:val="00BE6642"/>
    <w:rsid w:val="00BE784E"/>
    <w:rsid w:val="00BF1395"/>
    <w:rsid w:val="00BF2C0B"/>
    <w:rsid w:val="00BF3A56"/>
    <w:rsid w:val="00BF426B"/>
    <w:rsid w:val="00BF4461"/>
    <w:rsid w:val="00BF4FAB"/>
    <w:rsid w:val="00C008BE"/>
    <w:rsid w:val="00C00EA2"/>
    <w:rsid w:val="00C048D5"/>
    <w:rsid w:val="00C04EE1"/>
    <w:rsid w:val="00C05D03"/>
    <w:rsid w:val="00C10B1E"/>
    <w:rsid w:val="00C12D82"/>
    <w:rsid w:val="00C14292"/>
    <w:rsid w:val="00C14CB8"/>
    <w:rsid w:val="00C15EAC"/>
    <w:rsid w:val="00C16B23"/>
    <w:rsid w:val="00C16BF2"/>
    <w:rsid w:val="00C21E37"/>
    <w:rsid w:val="00C21F67"/>
    <w:rsid w:val="00C22024"/>
    <w:rsid w:val="00C25AE6"/>
    <w:rsid w:val="00C3078A"/>
    <w:rsid w:val="00C3222C"/>
    <w:rsid w:val="00C353D0"/>
    <w:rsid w:val="00C35433"/>
    <w:rsid w:val="00C35664"/>
    <w:rsid w:val="00C37D1D"/>
    <w:rsid w:val="00C40163"/>
    <w:rsid w:val="00C43506"/>
    <w:rsid w:val="00C51198"/>
    <w:rsid w:val="00C51BEE"/>
    <w:rsid w:val="00C51D62"/>
    <w:rsid w:val="00C535D3"/>
    <w:rsid w:val="00C541A2"/>
    <w:rsid w:val="00C5523E"/>
    <w:rsid w:val="00C574D2"/>
    <w:rsid w:val="00C61771"/>
    <w:rsid w:val="00C6241F"/>
    <w:rsid w:val="00C626B6"/>
    <w:rsid w:val="00C62C80"/>
    <w:rsid w:val="00C65BCA"/>
    <w:rsid w:val="00C66757"/>
    <w:rsid w:val="00C67548"/>
    <w:rsid w:val="00C71398"/>
    <w:rsid w:val="00C73021"/>
    <w:rsid w:val="00C73046"/>
    <w:rsid w:val="00C73496"/>
    <w:rsid w:val="00C74181"/>
    <w:rsid w:val="00C74E0E"/>
    <w:rsid w:val="00C863A8"/>
    <w:rsid w:val="00C90190"/>
    <w:rsid w:val="00C91198"/>
    <w:rsid w:val="00C91BD4"/>
    <w:rsid w:val="00C96054"/>
    <w:rsid w:val="00C96334"/>
    <w:rsid w:val="00CA156F"/>
    <w:rsid w:val="00CA1E26"/>
    <w:rsid w:val="00CA3A3A"/>
    <w:rsid w:val="00CA467A"/>
    <w:rsid w:val="00CA4FD5"/>
    <w:rsid w:val="00CA56E4"/>
    <w:rsid w:val="00CA7791"/>
    <w:rsid w:val="00CB0709"/>
    <w:rsid w:val="00CB0F32"/>
    <w:rsid w:val="00CB2086"/>
    <w:rsid w:val="00CB42BC"/>
    <w:rsid w:val="00CB57C1"/>
    <w:rsid w:val="00CB75DB"/>
    <w:rsid w:val="00CB7787"/>
    <w:rsid w:val="00CB7BD6"/>
    <w:rsid w:val="00CC0395"/>
    <w:rsid w:val="00CC28BB"/>
    <w:rsid w:val="00CC3B58"/>
    <w:rsid w:val="00CC61D3"/>
    <w:rsid w:val="00CC67E8"/>
    <w:rsid w:val="00CD1951"/>
    <w:rsid w:val="00CD27F2"/>
    <w:rsid w:val="00CD2C82"/>
    <w:rsid w:val="00CD35A6"/>
    <w:rsid w:val="00CD489E"/>
    <w:rsid w:val="00CD4BEA"/>
    <w:rsid w:val="00CD69F5"/>
    <w:rsid w:val="00CD6C5C"/>
    <w:rsid w:val="00CD6E0A"/>
    <w:rsid w:val="00CE0E4D"/>
    <w:rsid w:val="00CE1137"/>
    <w:rsid w:val="00CE27EB"/>
    <w:rsid w:val="00CE48EB"/>
    <w:rsid w:val="00CE5880"/>
    <w:rsid w:val="00CF1650"/>
    <w:rsid w:val="00CF20A2"/>
    <w:rsid w:val="00CF2FC3"/>
    <w:rsid w:val="00CF4B58"/>
    <w:rsid w:val="00CF5ACA"/>
    <w:rsid w:val="00CF5D3E"/>
    <w:rsid w:val="00CF6D58"/>
    <w:rsid w:val="00CF7FAF"/>
    <w:rsid w:val="00D01AA4"/>
    <w:rsid w:val="00D07CF3"/>
    <w:rsid w:val="00D12D8B"/>
    <w:rsid w:val="00D138B6"/>
    <w:rsid w:val="00D158D1"/>
    <w:rsid w:val="00D165A4"/>
    <w:rsid w:val="00D21DDA"/>
    <w:rsid w:val="00D23589"/>
    <w:rsid w:val="00D23E88"/>
    <w:rsid w:val="00D258DE"/>
    <w:rsid w:val="00D2756B"/>
    <w:rsid w:val="00D30A63"/>
    <w:rsid w:val="00D3706E"/>
    <w:rsid w:val="00D4289D"/>
    <w:rsid w:val="00D46907"/>
    <w:rsid w:val="00D46B21"/>
    <w:rsid w:val="00D50CC7"/>
    <w:rsid w:val="00D51323"/>
    <w:rsid w:val="00D53548"/>
    <w:rsid w:val="00D5374E"/>
    <w:rsid w:val="00D555EC"/>
    <w:rsid w:val="00D57A4D"/>
    <w:rsid w:val="00D61261"/>
    <w:rsid w:val="00D62764"/>
    <w:rsid w:val="00D627BC"/>
    <w:rsid w:val="00D630B1"/>
    <w:rsid w:val="00D63130"/>
    <w:rsid w:val="00D63C3D"/>
    <w:rsid w:val="00D64EDD"/>
    <w:rsid w:val="00D66413"/>
    <w:rsid w:val="00D66EA6"/>
    <w:rsid w:val="00D66F50"/>
    <w:rsid w:val="00D674D7"/>
    <w:rsid w:val="00D70DB5"/>
    <w:rsid w:val="00D72091"/>
    <w:rsid w:val="00D722C7"/>
    <w:rsid w:val="00D73B1C"/>
    <w:rsid w:val="00D7454B"/>
    <w:rsid w:val="00D74816"/>
    <w:rsid w:val="00D75D48"/>
    <w:rsid w:val="00D82A30"/>
    <w:rsid w:val="00D83024"/>
    <w:rsid w:val="00D83A6D"/>
    <w:rsid w:val="00D85A46"/>
    <w:rsid w:val="00D85B22"/>
    <w:rsid w:val="00D86579"/>
    <w:rsid w:val="00D865EA"/>
    <w:rsid w:val="00D87982"/>
    <w:rsid w:val="00D90753"/>
    <w:rsid w:val="00D92FB7"/>
    <w:rsid w:val="00DA0207"/>
    <w:rsid w:val="00DA1A73"/>
    <w:rsid w:val="00DA21D3"/>
    <w:rsid w:val="00DA43D5"/>
    <w:rsid w:val="00DA5679"/>
    <w:rsid w:val="00DA68F2"/>
    <w:rsid w:val="00DA7137"/>
    <w:rsid w:val="00DB006D"/>
    <w:rsid w:val="00DB0C49"/>
    <w:rsid w:val="00DB1B8B"/>
    <w:rsid w:val="00DB1E1F"/>
    <w:rsid w:val="00DB2BB8"/>
    <w:rsid w:val="00DB4B79"/>
    <w:rsid w:val="00DB53FE"/>
    <w:rsid w:val="00DB607F"/>
    <w:rsid w:val="00DB65BC"/>
    <w:rsid w:val="00DC1561"/>
    <w:rsid w:val="00DC1E88"/>
    <w:rsid w:val="00DC1FC3"/>
    <w:rsid w:val="00DC3095"/>
    <w:rsid w:val="00DC3A14"/>
    <w:rsid w:val="00DC48DC"/>
    <w:rsid w:val="00DC67B3"/>
    <w:rsid w:val="00DD08A4"/>
    <w:rsid w:val="00DD4928"/>
    <w:rsid w:val="00DD4EB2"/>
    <w:rsid w:val="00DD5154"/>
    <w:rsid w:val="00DE2CFA"/>
    <w:rsid w:val="00DE38B8"/>
    <w:rsid w:val="00DE6ACA"/>
    <w:rsid w:val="00DE6D45"/>
    <w:rsid w:val="00DE7E64"/>
    <w:rsid w:val="00DF1F7F"/>
    <w:rsid w:val="00DF2E6D"/>
    <w:rsid w:val="00DF4C91"/>
    <w:rsid w:val="00E01F23"/>
    <w:rsid w:val="00E049FC"/>
    <w:rsid w:val="00E04EDD"/>
    <w:rsid w:val="00E14110"/>
    <w:rsid w:val="00E14A9C"/>
    <w:rsid w:val="00E175FE"/>
    <w:rsid w:val="00E20AE1"/>
    <w:rsid w:val="00E21153"/>
    <w:rsid w:val="00E237C8"/>
    <w:rsid w:val="00E244CD"/>
    <w:rsid w:val="00E27544"/>
    <w:rsid w:val="00E27593"/>
    <w:rsid w:val="00E33257"/>
    <w:rsid w:val="00E33952"/>
    <w:rsid w:val="00E33F2E"/>
    <w:rsid w:val="00E34153"/>
    <w:rsid w:val="00E4219A"/>
    <w:rsid w:val="00E429E4"/>
    <w:rsid w:val="00E42D31"/>
    <w:rsid w:val="00E44119"/>
    <w:rsid w:val="00E44626"/>
    <w:rsid w:val="00E45ED9"/>
    <w:rsid w:val="00E467AE"/>
    <w:rsid w:val="00E46FAE"/>
    <w:rsid w:val="00E52F87"/>
    <w:rsid w:val="00E53CC7"/>
    <w:rsid w:val="00E53D28"/>
    <w:rsid w:val="00E541AA"/>
    <w:rsid w:val="00E544A5"/>
    <w:rsid w:val="00E57438"/>
    <w:rsid w:val="00E622E0"/>
    <w:rsid w:val="00E65B1C"/>
    <w:rsid w:val="00E66BF5"/>
    <w:rsid w:val="00E674A8"/>
    <w:rsid w:val="00E700CD"/>
    <w:rsid w:val="00E702B6"/>
    <w:rsid w:val="00E70751"/>
    <w:rsid w:val="00E74585"/>
    <w:rsid w:val="00E757B6"/>
    <w:rsid w:val="00E76B59"/>
    <w:rsid w:val="00E80774"/>
    <w:rsid w:val="00E80F6A"/>
    <w:rsid w:val="00E82530"/>
    <w:rsid w:val="00E83EFD"/>
    <w:rsid w:val="00E844F1"/>
    <w:rsid w:val="00E9022A"/>
    <w:rsid w:val="00E90311"/>
    <w:rsid w:val="00E90A27"/>
    <w:rsid w:val="00E9157E"/>
    <w:rsid w:val="00E95A05"/>
    <w:rsid w:val="00E97014"/>
    <w:rsid w:val="00E97C3C"/>
    <w:rsid w:val="00EA021D"/>
    <w:rsid w:val="00EA0B47"/>
    <w:rsid w:val="00EA108E"/>
    <w:rsid w:val="00EA1186"/>
    <w:rsid w:val="00EA2897"/>
    <w:rsid w:val="00EA332F"/>
    <w:rsid w:val="00EA5A9D"/>
    <w:rsid w:val="00EB0F63"/>
    <w:rsid w:val="00EB4459"/>
    <w:rsid w:val="00EB537E"/>
    <w:rsid w:val="00EC09D3"/>
    <w:rsid w:val="00EC0E5A"/>
    <w:rsid w:val="00EC327D"/>
    <w:rsid w:val="00EC4D10"/>
    <w:rsid w:val="00EC6FE1"/>
    <w:rsid w:val="00EC706D"/>
    <w:rsid w:val="00ED037E"/>
    <w:rsid w:val="00ED3A8C"/>
    <w:rsid w:val="00ED4981"/>
    <w:rsid w:val="00ED69FD"/>
    <w:rsid w:val="00EE00C2"/>
    <w:rsid w:val="00EE1C06"/>
    <w:rsid w:val="00EE1C53"/>
    <w:rsid w:val="00EE770E"/>
    <w:rsid w:val="00EE7CD1"/>
    <w:rsid w:val="00EF0A99"/>
    <w:rsid w:val="00EF23A6"/>
    <w:rsid w:val="00EF348D"/>
    <w:rsid w:val="00EF4EC7"/>
    <w:rsid w:val="00EF6F1F"/>
    <w:rsid w:val="00F021C5"/>
    <w:rsid w:val="00F029D8"/>
    <w:rsid w:val="00F039BD"/>
    <w:rsid w:val="00F03A14"/>
    <w:rsid w:val="00F07678"/>
    <w:rsid w:val="00F10544"/>
    <w:rsid w:val="00F1106D"/>
    <w:rsid w:val="00F1107D"/>
    <w:rsid w:val="00F12FE1"/>
    <w:rsid w:val="00F144D8"/>
    <w:rsid w:val="00F16E40"/>
    <w:rsid w:val="00F21258"/>
    <w:rsid w:val="00F246F4"/>
    <w:rsid w:val="00F24D29"/>
    <w:rsid w:val="00F2521D"/>
    <w:rsid w:val="00F26EE5"/>
    <w:rsid w:val="00F34D57"/>
    <w:rsid w:val="00F351DF"/>
    <w:rsid w:val="00F368F5"/>
    <w:rsid w:val="00F40FBF"/>
    <w:rsid w:val="00F41019"/>
    <w:rsid w:val="00F44A32"/>
    <w:rsid w:val="00F4710A"/>
    <w:rsid w:val="00F47362"/>
    <w:rsid w:val="00F47961"/>
    <w:rsid w:val="00F5052B"/>
    <w:rsid w:val="00F5160E"/>
    <w:rsid w:val="00F52F73"/>
    <w:rsid w:val="00F548D4"/>
    <w:rsid w:val="00F552A8"/>
    <w:rsid w:val="00F62226"/>
    <w:rsid w:val="00F6247E"/>
    <w:rsid w:val="00F62C37"/>
    <w:rsid w:val="00F63D6B"/>
    <w:rsid w:val="00F6573F"/>
    <w:rsid w:val="00F676AA"/>
    <w:rsid w:val="00F7038D"/>
    <w:rsid w:val="00F7194D"/>
    <w:rsid w:val="00F7424A"/>
    <w:rsid w:val="00F80484"/>
    <w:rsid w:val="00F80B8B"/>
    <w:rsid w:val="00F81C93"/>
    <w:rsid w:val="00F828D3"/>
    <w:rsid w:val="00F83524"/>
    <w:rsid w:val="00F85291"/>
    <w:rsid w:val="00F8712B"/>
    <w:rsid w:val="00F90208"/>
    <w:rsid w:val="00F9302F"/>
    <w:rsid w:val="00F938C5"/>
    <w:rsid w:val="00F93936"/>
    <w:rsid w:val="00F943D9"/>
    <w:rsid w:val="00F94B4D"/>
    <w:rsid w:val="00F95E40"/>
    <w:rsid w:val="00F95EE4"/>
    <w:rsid w:val="00FA539C"/>
    <w:rsid w:val="00FA67F2"/>
    <w:rsid w:val="00FB1878"/>
    <w:rsid w:val="00FB1B70"/>
    <w:rsid w:val="00FB232C"/>
    <w:rsid w:val="00FB2E98"/>
    <w:rsid w:val="00FB3B54"/>
    <w:rsid w:val="00FB56D8"/>
    <w:rsid w:val="00FB63A9"/>
    <w:rsid w:val="00FB75E8"/>
    <w:rsid w:val="00FC09C6"/>
    <w:rsid w:val="00FC26AF"/>
    <w:rsid w:val="00FC3D2A"/>
    <w:rsid w:val="00FC3E11"/>
    <w:rsid w:val="00FC58C8"/>
    <w:rsid w:val="00FC7054"/>
    <w:rsid w:val="00FD12F4"/>
    <w:rsid w:val="00FD17DD"/>
    <w:rsid w:val="00FD2732"/>
    <w:rsid w:val="00FD2C3E"/>
    <w:rsid w:val="00FD46B6"/>
    <w:rsid w:val="00FD4A5D"/>
    <w:rsid w:val="00FD54BF"/>
    <w:rsid w:val="00FE03AB"/>
    <w:rsid w:val="00FE3767"/>
    <w:rsid w:val="00FE5BA5"/>
    <w:rsid w:val="00FE6D77"/>
    <w:rsid w:val="00FE7127"/>
    <w:rsid w:val="00FE7EC2"/>
    <w:rsid w:val="00FF3809"/>
    <w:rsid w:val="00FF63A3"/>
    <w:rsid w:val="00FF6D30"/>
    <w:rsid w:val="00FF793D"/>
    <w:rsid w:val="00FF7A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D8C7F"/>
  <w15:docId w15:val="{A552631C-DDB0-4E4B-91D7-B35E385C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B3D"/>
  </w:style>
  <w:style w:type="paragraph" w:styleId="Ttulo1">
    <w:name w:val="heading 1"/>
    <w:basedOn w:val="Normal"/>
    <w:next w:val="Normal"/>
    <w:qFormat/>
    <w:pPr>
      <w:keepNext/>
      <w:outlineLvl w:val="0"/>
    </w:pPr>
    <w:rPr>
      <w:b/>
      <w:bCs/>
      <w:sz w:val="24"/>
    </w:rPr>
  </w:style>
  <w:style w:type="paragraph" w:styleId="Ttulo2">
    <w:name w:val="heading 2"/>
    <w:basedOn w:val="Normal"/>
    <w:next w:val="Normal"/>
    <w:qFormat/>
    <w:pPr>
      <w:keepNext/>
      <w:outlineLvl w:val="1"/>
    </w:pPr>
    <w:rPr>
      <w:i/>
      <w:iCs/>
    </w:rPr>
  </w:style>
  <w:style w:type="paragraph" w:styleId="Ttulo3">
    <w:name w:val="heading 3"/>
    <w:basedOn w:val="Normal"/>
    <w:next w:val="Normal"/>
    <w:qFormat/>
    <w:pPr>
      <w:keepNext/>
      <w:widowControl w:val="0"/>
      <w:overflowPunct w:val="0"/>
      <w:autoSpaceDE w:val="0"/>
      <w:autoSpaceDN w:val="0"/>
      <w:adjustRightInd w:val="0"/>
      <w:jc w:val="both"/>
      <w:textAlignment w:val="baseline"/>
      <w:outlineLvl w:val="2"/>
    </w:pPr>
    <w:rPr>
      <w:b/>
      <w:sz w:val="22"/>
    </w:rPr>
  </w:style>
  <w:style w:type="paragraph" w:styleId="Ttulo4">
    <w:name w:val="heading 4"/>
    <w:basedOn w:val="Normal"/>
    <w:next w:val="Normal"/>
    <w:qFormat/>
    <w:pPr>
      <w:keepNext/>
      <w:jc w:val="both"/>
      <w:outlineLvl w:val="3"/>
    </w:pPr>
    <w:rPr>
      <w:b/>
      <w:bCs/>
      <w:sz w:val="24"/>
    </w:rPr>
  </w:style>
  <w:style w:type="paragraph" w:styleId="Ttulo5">
    <w:name w:val="heading 5"/>
    <w:basedOn w:val="Normal"/>
    <w:next w:val="Normal"/>
    <w:qFormat/>
    <w:pPr>
      <w:keepNext/>
      <w:outlineLvl w:val="4"/>
    </w:pPr>
    <w:rPr>
      <w:b/>
      <w:bCs/>
      <w:sz w:val="22"/>
    </w:rPr>
  </w:style>
  <w:style w:type="paragraph" w:styleId="Ttulo6">
    <w:name w:val="heading 6"/>
    <w:basedOn w:val="Normal"/>
    <w:next w:val="Normal"/>
    <w:qFormat/>
    <w:pPr>
      <w:keepNext/>
      <w:widowControl w:val="0"/>
      <w:pBdr>
        <w:top w:val="single" w:sz="6" w:space="1" w:color="auto"/>
        <w:left w:val="single" w:sz="6" w:space="4" w:color="auto"/>
        <w:bottom w:val="single" w:sz="6" w:space="1" w:color="auto"/>
        <w:right w:val="single" w:sz="6" w:space="4" w:color="auto"/>
      </w:pBdr>
      <w:shd w:val="pct5" w:color="auto" w:fill="auto"/>
      <w:overflowPunct w:val="0"/>
      <w:autoSpaceDE w:val="0"/>
      <w:autoSpaceDN w:val="0"/>
      <w:adjustRightInd w:val="0"/>
      <w:jc w:val="center"/>
      <w:textAlignment w:val="baseline"/>
      <w:outlineLvl w:val="5"/>
    </w:pPr>
    <w:rPr>
      <w:b/>
      <w:sz w:val="24"/>
    </w:rPr>
  </w:style>
  <w:style w:type="paragraph" w:styleId="Ttulo7">
    <w:name w:val="heading 7"/>
    <w:basedOn w:val="Normal"/>
    <w:next w:val="Normal"/>
    <w:qFormat/>
    <w:pPr>
      <w:keepNext/>
      <w:overflowPunct w:val="0"/>
      <w:autoSpaceDE w:val="0"/>
      <w:autoSpaceDN w:val="0"/>
      <w:adjustRightInd w:val="0"/>
      <w:jc w:val="center"/>
      <w:textAlignment w:val="baseline"/>
      <w:outlineLvl w:val="6"/>
    </w:pPr>
    <w:rPr>
      <w:b/>
      <w:i/>
      <w:sz w:val="24"/>
      <w:lang w:val="es-ES_tradnl"/>
    </w:rPr>
  </w:style>
  <w:style w:type="paragraph" w:styleId="Ttulo8">
    <w:name w:val="heading 8"/>
    <w:basedOn w:val="Normal"/>
    <w:next w:val="Normal"/>
    <w:qFormat/>
    <w:pPr>
      <w:keepNext/>
      <w:ind w:right="-1"/>
      <w:jc w:val="both"/>
      <w:outlineLvl w:val="7"/>
    </w:pPr>
    <w:rPr>
      <w:b/>
      <w:bCs/>
      <w:color w:val="800000"/>
      <w:sz w:val="22"/>
      <w:szCs w:val="24"/>
    </w:rPr>
  </w:style>
  <w:style w:type="paragraph" w:styleId="Ttulo9">
    <w:name w:val="heading 9"/>
    <w:basedOn w:val="Normal"/>
    <w:next w:val="Normal"/>
    <w:qFormat/>
    <w:pPr>
      <w:keepNext/>
      <w:jc w:val="center"/>
      <w:outlineLvl w:val="8"/>
    </w:pPr>
    <w:rPr>
      <w:b/>
      <w:bCs/>
      <w:i/>
      <w:iCs/>
      <w:color w:val="800000"/>
      <w:sz w:val="24"/>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widowControl w:val="0"/>
      <w:pBdr>
        <w:top w:val="single" w:sz="6" w:space="1" w:color="auto"/>
        <w:left w:val="single" w:sz="6" w:space="1" w:color="auto"/>
        <w:bottom w:val="single" w:sz="6" w:space="1" w:color="auto"/>
        <w:right w:val="single" w:sz="6" w:space="1" w:color="auto"/>
      </w:pBdr>
      <w:shd w:val="pct5" w:color="auto" w:fill="auto"/>
      <w:overflowPunct w:val="0"/>
      <w:autoSpaceDE w:val="0"/>
      <w:autoSpaceDN w:val="0"/>
      <w:adjustRightInd w:val="0"/>
      <w:jc w:val="center"/>
      <w:textAlignment w:val="baseline"/>
    </w:pPr>
    <w:rPr>
      <w:b/>
      <w:sz w:val="24"/>
      <w:lang w:val="es-ES_tradnl"/>
    </w:rPr>
  </w:style>
  <w:style w:type="paragraph" w:customStyle="1" w:styleId="Textoindependiente21">
    <w:name w:val="Texto independiente 21"/>
    <w:basedOn w:val="Normal"/>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b/>
      <w:sz w:val="28"/>
      <w:lang w:val="es-ES_tradnl"/>
    </w:rPr>
  </w:style>
  <w:style w:type="paragraph" w:styleId="Textoindependiente">
    <w:name w:val="Body Text"/>
    <w:basedOn w:val="Normal"/>
    <w:pPr>
      <w:jc w:val="both"/>
    </w:pPr>
    <w:rPr>
      <w:i/>
      <w:iCs/>
      <w:sz w:val="24"/>
    </w:rPr>
  </w:style>
  <w:style w:type="paragraph" w:styleId="Textoindependiente2">
    <w:name w:val="Body Text 2"/>
    <w:basedOn w:val="Normal"/>
    <w:rPr>
      <w:i/>
      <w:iCs/>
      <w:sz w:val="24"/>
    </w:rPr>
  </w:style>
  <w:style w:type="paragraph" w:styleId="Textoindependiente3">
    <w:name w:val="Body Text 3"/>
    <w:basedOn w:val="Normal"/>
    <w:link w:val="Textoindependiente3Car"/>
    <w:pPr>
      <w:jc w:val="both"/>
    </w:pPr>
    <w:rPr>
      <w:i/>
      <w:iCs/>
      <w:sz w:val="22"/>
      <w:lang w:val="x-none" w:eastAsia="x-none"/>
    </w:rPr>
  </w:style>
  <w:style w:type="paragraph" w:styleId="Sangradetextonormal">
    <w:name w:val="Body Text Indent"/>
    <w:basedOn w:val="Normal"/>
    <w:link w:val="SangradetextonormalCar"/>
    <w:pPr>
      <w:spacing w:after="120"/>
      <w:ind w:left="283"/>
    </w:pPr>
  </w:style>
  <w:style w:type="character" w:styleId="Hipervnculo">
    <w:name w:val="Hyperlink"/>
    <w:rPr>
      <w:color w:val="0000FF"/>
      <w:u w:val="single"/>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paragraph" w:customStyle="1" w:styleId="textodestacado">
    <w:name w:val="textodestacado"/>
    <w:basedOn w:val="Normal"/>
    <w:pPr>
      <w:spacing w:before="100" w:beforeAutospacing="1" w:after="100" w:afterAutospacing="1"/>
    </w:pPr>
    <w:rPr>
      <w:rFonts w:ascii="Arial" w:hAnsi="Arial" w:cs="Arial"/>
      <w:color w:val="E60200"/>
      <w:sz w:val="18"/>
      <w:szCs w:val="18"/>
    </w:rPr>
  </w:style>
  <w:style w:type="paragraph" w:customStyle="1" w:styleId="textonormalrojo">
    <w:name w:val="textonormalrojo"/>
    <w:basedOn w:val="Normal"/>
    <w:pPr>
      <w:spacing w:before="100" w:beforeAutospacing="1" w:after="100" w:afterAutospacing="1"/>
    </w:pPr>
    <w:rPr>
      <w:rFonts w:ascii="Verdana" w:hAnsi="Verdana"/>
      <w:color w:val="E60200"/>
      <w:sz w:val="15"/>
      <w:szCs w:val="15"/>
    </w:rPr>
  </w:style>
  <w:style w:type="character" w:styleId="Textoennegrita">
    <w:name w:val="Strong"/>
    <w:uiPriority w:val="22"/>
    <w:qFormat/>
    <w:rPr>
      <w:b/>
      <w:bCs/>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Mapadeldocumento">
    <w:name w:val="Document Map"/>
    <w:basedOn w:val="Normal"/>
    <w:semiHidden/>
    <w:pPr>
      <w:shd w:val="clear" w:color="auto" w:fill="000080"/>
    </w:pPr>
    <w:rPr>
      <w:rFonts w:ascii="Tahoma" w:hAnsi="Tahoma" w:cs="Tahoma"/>
    </w:rPr>
  </w:style>
  <w:style w:type="paragraph" w:customStyle="1" w:styleId="Pa6">
    <w:name w:val="Pa6"/>
    <w:basedOn w:val="Normal"/>
    <w:next w:val="Normal"/>
    <w:pPr>
      <w:autoSpaceDE w:val="0"/>
      <w:autoSpaceDN w:val="0"/>
      <w:adjustRightInd w:val="0"/>
      <w:spacing w:line="201" w:lineRule="atLeast"/>
    </w:pPr>
    <w:rPr>
      <w:rFonts w:ascii="Arial" w:hAnsi="Arial"/>
      <w:sz w:val="24"/>
      <w:szCs w:val="24"/>
    </w:rPr>
  </w:style>
  <w:style w:type="paragraph" w:customStyle="1" w:styleId="Pa11">
    <w:name w:val="Pa11"/>
    <w:basedOn w:val="Normal"/>
    <w:next w:val="Normal"/>
    <w:pPr>
      <w:autoSpaceDE w:val="0"/>
      <w:autoSpaceDN w:val="0"/>
      <w:adjustRightInd w:val="0"/>
      <w:spacing w:line="201" w:lineRule="atLeast"/>
    </w:pPr>
    <w:rPr>
      <w:rFonts w:ascii="Arial" w:hAnsi="Arial"/>
      <w:sz w:val="24"/>
      <w:szCs w:val="24"/>
    </w:rPr>
  </w:style>
  <w:style w:type="paragraph" w:customStyle="1" w:styleId="Pa9">
    <w:name w:val="Pa9"/>
    <w:basedOn w:val="Normal"/>
    <w:next w:val="Normal"/>
    <w:pPr>
      <w:autoSpaceDE w:val="0"/>
      <w:autoSpaceDN w:val="0"/>
      <w:adjustRightInd w:val="0"/>
      <w:spacing w:line="201" w:lineRule="atLeast"/>
    </w:pPr>
    <w:rPr>
      <w:rFonts w:ascii="Arial" w:hAnsi="Arial"/>
      <w:sz w:val="24"/>
      <w:szCs w:val="24"/>
    </w:rPr>
  </w:style>
  <w:style w:type="character" w:customStyle="1" w:styleId="ft">
    <w:name w:val="ft"/>
    <w:basedOn w:val="Fuentedeprrafopredeter"/>
    <w:rsid w:val="00614B9E"/>
  </w:style>
  <w:style w:type="paragraph" w:styleId="Revisin">
    <w:name w:val="Revision"/>
    <w:hidden/>
    <w:semiHidden/>
  </w:style>
  <w:style w:type="character" w:customStyle="1" w:styleId="apple-style-span">
    <w:name w:val="apple-style-span"/>
    <w:basedOn w:val="Fuentedeprrafopredeter"/>
    <w:rsid w:val="001103A8"/>
  </w:style>
  <w:style w:type="paragraph" w:customStyle="1" w:styleId="Pa7">
    <w:name w:val="Pa7"/>
    <w:basedOn w:val="Normal"/>
    <w:next w:val="Normal"/>
    <w:rsid w:val="00224A80"/>
    <w:pPr>
      <w:autoSpaceDE w:val="0"/>
      <w:autoSpaceDN w:val="0"/>
      <w:adjustRightInd w:val="0"/>
      <w:spacing w:line="201" w:lineRule="atLeast"/>
    </w:pPr>
    <w:rPr>
      <w:rFonts w:ascii="Arial" w:hAnsi="Arial"/>
      <w:sz w:val="24"/>
      <w:szCs w:val="24"/>
    </w:rPr>
  </w:style>
  <w:style w:type="table" w:styleId="Tablaconcuadrcula">
    <w:name w:val="Table Grid"/>
    <w:basedOn w:val="Tablanormal"/>
    <w:rsid w:val="00357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823B20"/>
  </w:style>
  <w:style w:type="paragraph" w:styleId="Textonotapie">
    <w:name w:val="footnote text"/>
    <w:basedOn w:val="Normal"/>
    <w:link w:val="TextonotapieCar"/>
    <w:rsid w:val="00B82FAF"/>
  </w:style>
  <w:style w:type="character" w:customStyle="1" w:styleId="TextonotapieCar">
    <w:name w:val="Texto nota pie Car"/>
    <w:basedOn w:val="Fuentedeprrafopredeter"/>
    <w:link w:val="Textonotapie"/>
    <w:rsid w:val="00B82FAF"/>
  </w:style>
  <w:style w:type="character" w:styleId="Refdenotaalpie">
    <w:name w:val="footnote reference"/>
    <w:rsid w:val="00B82FAF"/>
    <w:rPr>
      <w:vertAlign w:val="superscript"/>
    </w:rPr>
  </w:style>
  <w:style w:type="paragraph" w:styleId="Prrafodelista">
    <w:name w:val="List Paragraph"/>
    <w:basedOn w:val="Normal"/>
    <w:uiPriority w:val="34"/>
    <w:qFormat/>
    <w:rsid w:val="00217E93"/>
    <w:pPr>
      <w:ind w:left="708"/>
    </w:pPr>
  </w:style>
  <w:style w:type="character" w:customStyle="1" w:styleId="apple-converted-space">
    <w:name w:val="apple-converted-space"/>
    <w:basedOn w:val="Fuentedeprrafopredeter"/>
    <w:rsid w:val="00D63130"/>
  </w:style>
  <w:style w:type="character" w:customStyle="1" w:styleId="Textoindependiente3Car">
    <w:name w:val="Texto independiente 3 Car"/>
    <w:link w:val="Textoindependiente3"/>
    <w:rsid w:val="009428E6"/>
    <w:rPr>
      <w:i/>
      <w:iCs/>
      <w:sz w:val="22"/>
    </w:rPr>
  </w:style>
  <w:style w:type="character" w:customStyle="1" w:styleId="SangradetextonormalCar">
    <w:name w:val="Sangría de texto normal Car"/>
    <w:link w:val="Sangradetextonormal"/>
    <w:rsid w:val="00690AE1"/>
  </w:style>
  <w:style w:type="paragraph" w:customStyle="1" w:styleId="parrafo2">
    <w:name w:val="parrafo_2"/>
    <w:basedOn w:val="Normal"/>
    <w:rsid w:val="009762BA"/>
    <w:pPr>
      <w:spacing w:before="100" w:beforeAutospacing="1" w:after="100" w:afterAutospacing="1"/>
    </w:pPr>
    <w:rPr>
      <w:sz w:val="24"/>
      <w:szCs w:val="24"/>
    </w:rPr>
  </w:style>
  <w:style w:type="paragraph" w:customStyle="1" w:styleId="parrafo">
    <w:name w:val="parrafo"/>
    <w:basedOn w:val="Normal"/>
    <w:rsid w:val="009762BA"/>
    <w:pPr>
      <w:spacing w:before="100" w:beforeAutospacing="1" w:after="100" w:afterAutospacing="1"/>
    </w:pPr>
    <w:rPr>
      <w:sz w:val="24"/>
      <w:szCs w:val="24"/>
    </w:rPr>
  </w:style>
  <w:style w:type="character" w:customStyle="1" w:styleId="Mencinsinresolver1">
    <w:name w:val="Mención sin resolver1"/>
    <w:uiPriority w:val="99"/>
    <w:semiHidden/>
    <w:unhideWhenUsed/>
    <w:rsid w:val="00EF0A99"/>
    <w:rPr>
      <w:color w:val="605E5C"/>
      <w:shd w:val="clear" w:color="auto" w:fill="E1DFDD"/>
    </w:rPr>
  </w:style>
  <w:style w:type="character" w:styleId="Mencinsinresolver">
    <w:name w:val="Unresolved Mention"/>
    <w:basedOn w:val="Fuentedeprrafopredeter"/>
    <w:uiPriority w:val="99"/>
    <w:semiHidden/>
    <w:unhideWhenUsed/>
    <w:rsid w:val="0096173E"/>
    <w:rPr>
      <w:color w:val="605E5C"/>
      <w:shd w:val="clear" w:color="auto" w:fill="E1DFDD"/>
    </w:rPr>
  </w:style>
  <w:style w:type="character" w:styleId="nfasis">
    <w:name w:val="Emphasis"/>
    <w:basedOn w:val="Fuentedeprrafopredeter"/>
    <w:uiPriority w:val="20"/>
    <w:qFormat/>
    <w:rsid w:val="00F1107D"/>
    <w:rPr>
      <w:i/>
      <w:iCs/>
    </w:rPr>
  </w:style>
  <w:style w:type="character" w:styleId="Hipervnculovisitado">
    <w:name w:val="FollowedHyperlink"/>
    <w:basedOn w:val="Fuentedeprrafopredeter"/>
    <w:semiHidden/>
    <w:unhideWhenUsed/>
    <w:rsid w:val="005A6246"/>
    <w:rPr>
      <w:color w:val="954F72" w:themeColor="followedHyperlink"/>
      <w:u w:val="single"/>
    </w:rPr>
  </w:style>
  <w:style w:type="table" w:styleId="Tabladelista3-nfasis2">
    <w:name w:val="List Table 3 Accent 2"/>
    <w:basedOn w:val="Tablanormal"/>
    <w:uiPriority w:val="48"/>
    <w:rsid w:val="0008640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783">
      <w:bodyDiv w:val="1"/>
      <w:marLeft w:val="0"/>
      <w:marRight w:val="0"/>
      <w:marTop w:val="0"/>
      <w:marBottom w:val="0"/>
      <w:divBdr>
        <w:top w:val="none" w:sz="0" w:space="0" w:color="auto"/>
        <w:left w:val="none" w:sz="0" w:space="0" w:color="auto"/>
        <w:bottom w:val="none" w:sz="0" w:space="0" w:color="auto"/>
        <w:right w:val="none" w:sz="0" w:space="0" w:color="auto"/>
      </w:divBdr>
    </w:div>
    <w:div w:id="45490455">
      <w:bodyDiv w:val="1"/>
      <w:marLeft w:val="0"/>
      <w:marRight w:val="0"/>
      <w:marTop w:val="0"/>
      <w:marBottom w:val="0"/>
      <w:divBdr>
        <w:top w:val="none" w:sz="0" w:space="0" w:color="auto"/>
        <w:left w:val="none" w:sz="0" w:space="0" w:color="auto"/>
        <w:bottom w:val="none" w:sz="0" w:space="0" w:color="auto"/>
        <w:right w:val="none" w:sz="0" w:space="0" w:color="auto"/>
      </w:divBdr>
    </w:div>
    <w:div w:id="53168838">
      <w:bodyDiv w:val="1"/>
      <w:marLeft w:val="0"/>
      <w:marRight w:val="0"/>
      <w:marTop w:val="0"/>
      <w:marBottom w:val="0"/>
      <w:divBdr>
        <w:top w:val="none" w:sz="0" w:space="0" w:color="auto"/>
        <w:left w:val="none" w:sz="0" w:space="0" w:color="auto"/>
        <w:bottom w:val="none" w:sz="0" w:space="0" w:color="auto"/>
        <w:right w:val="none" w:sz="0" w:space="0" w:color="auto"/>
      </w:divBdr>
    </w:div>
    <w:div w:id="70784239">
      <w:bodyDiv w:val="1"/>
      <w:marLeft w:val="0"/>
      <w:marRight w:val="0"/>
      <w:marTop w:val="0"/>
      <w:marBottom w:val="0"/>
      <w:divBdr>
        <w:top w:val="none" w:sz="0" w:space="0" w:color="auto"/>
        <w:left w:val="none" w:sz="0" w:space="0" w:color="auto"/>
        <w:bottom w:val="none" w:sz="0" w:space="0" w:color="auto"/>
        <w:right w:val="none" w:sz="0" w:space="0" w:color="auto"/>
      </w:divBdr>
    </w:div>
    <w:div w:id="97532062">
      <w:bodyDiv w:val="1"/>
      <w:marLeft w:val="0"/>
      <w:marRight w:val="0"/>
      <w:marTop w:val="0"/>
      <w:marBottom w:val="0"/>
      <w:divBdr>
        <w:top w:val="none" w:sz="0" w:space="0" w:color="auto"/>
        <w:left w:val="none" w:sz="0" w:space="0" w:color="auto"/>
        <w:bottom w:val="none" w:sz="0" w:space="0" w:color="auto"/>
        <w:right w:val="none" w:sz="0" w:space="0" w:color="auto"/>
      </w:divBdr>
    </w:div>
    <w:div w:id="99766181">
      <w:bodyDiv w:val="1"/>
      <w:marLeft w:val="0"/>
      <w:marRight w:val="0"/>
      <w:marTop w:val="0"/>
      <w:marBottom w:val="0"/>
      <w:divBdr>
        <w:top w:val="none" w:sz="0" w:space="0" w:color="auto"/>
        <w:left w:val="none" w:sz="0" w:space="0" w:color="auto"/>
        <w:bottom w:val="none" w:sz="0" w:space="0" w:color="auto"/>
        <w:right w:val="none" w:sz="0" w:space="0" w:color="auto"/>
      </w:divBdr>
    </w:div>
    <w:div w:id="105317699">
      <w:bodyDiv w:val="1"/>
      <w:marLeft w:val="0"/>
      <w:marRight w:val="0"/>
      <w:marTop w:val="0"/>
      <w:marBottom w:val="0"/>
      <w:divBdr>
        <w:top w:val="none" w:sz="0" w:space="0" w:color="auto"/>
        <w:left w:val="none" w:sz="0" w:space="0" w:color="auto"/>
        <w:bottom w:val="none" w:sz="0" w:space="0" w:color="auto"/>
        <w:right w:val="none" w:sz="0" w:space="0" w:color="auto"/>
      </w:divBdr>
    </w:div>
    <w:div w:id="127861759">
      <w:bodyDiv w:val="1"/>
      <w:marLeft w:val="0"/>
      <w:marRight w:val="0"/>
      <w:marTop w:val="0"/>
      <w:marBottom w:val="0"/>
      <w:divBdr>
        <w:top w:val="none" w:sz="0" w:space="0" w:color="auto"/>
        <w:left w:val="none" w:sz="0" w:space="0" w:color="auto"/>
        <w:bottom w:val="none" w:sz="0" w:space="0" w:color="auto"/>
        <w:right w:val="none" w:sz="0" w:space="0" w:color="auto"/>
      </w:divBdr>
    </w:div>
    <w:div w:id="135993986">
      <w:bodyDiv w:val="1"/>
      <w:marLeft w:val="0"/>
      <w:marRight w:val="0"/>
      <w:marTop w:val="0"/>
      <w:marBottom w:val="0"/>
      <w:divBdr>
        <w:top w:val="none" w:sz="0" w:space="0" w:color="auto"/>
        <w:left w:val="none" w:sz="0" w:space="0" w:color="auto"/>
        <w:bottom w:val="none" w:sz="0" w:space="0" w:color="auto"/>
        <w:right w:val="none" w:sz="0" w:space="0" w:color="auto"/>
      </w:divBdr>
    </w:div>
    <w:div w:id="140732234">
      <w:bodyDiv w:val="1"/>
      <w:marLeft w:val="0"/>
      <w:marRight w:val="0"/>
      <w:marTop w:val="0"/>
      <w:marBottom w:val="0"/>
      <w:divBdr>
        <w:top w:val="none" w:sz="0" w:space="0" w:color="auto"/>
        <w:left w:val="none" w:sz="0" w:space="0" w:color="auto"/>
        <w:bottom w:val="none" w:sz="0" w:space="0" w:color="auto"/>
        <w:right w:val="none" w:sz="0" w:space="0" w:color="auto"/>
      </w:divBdr>
    </w:div>
    <w:div w:id="158278778">
      <w:bodyDiv w:val="1"/>
      <w:marLeft w:val="0"/>
      <w:marRight w:val="0"/>
      <w:marTop w:val="0"/>
      <w:marBottom w:val="0"/>
      <w:divBdr>
        <w:top w:val="none" w:sz="0" w:space="0" w:color="auto"/>
        <w:left w:val="none" w:sz="0" w:space="0" w:color="auto"/>
        <w:bottom w:val="none" w:sz="0" w:space="0" w:color="auto"/>
        <w:right w:val="none" w:sz="0" w:space="0" w:color="auto"/>
      </w:divBdr>
    </w:div>
    <w:div w:id="165705386">
      <w:bodyDiv w:val="1"/>
      <w:marLeft w:val="0"/>
      <w:marRight w:val="0"/>
      <w:marTop w:val="0"/>
      <w:marBottom w:val="0"/>
      <w:divBdr>
        <w:top w:val="none" w:sz="0" w:space="0" w:color="auto"/>
        <w:left w:val="none" w:sz="0" w:space="0" w:color="auto"/>
        <w:bottom w:val="none" w:sz="0" w:space="0" w:color="auto"/>
        <w:right w:val="none" w:sz="0" w:space="0" w:color="auto"/>
      </w:divBdr>
    </w:div>
    <w:div w:id="188839910">
      <w:bodyDiv w:val="1"/>
      <w:marLeft w:val="0"/>
      <w:marRight w:val="0"/>
      <w:marTop w:val="0"/>
      <w:marBottom w:val="0"/>
      <w:divBdr>
        <w:top w:val="none" w:sz="0" w:space="0" w:color="auto"/>
        <w:left w:val="none" w:sz="0" w:space="0" w:color="auto"/>
        <w:bottom w:val="none" w:sz="0" w:space="0" w:color="auto"/>
        <w:right w:val="none" w:sz="0" w:space="0" w:color="auto"/>
      </w:divBdr>
    </w:div>
    <w:div w:id="219678896">
      <w:bodyDiv w:val="1"/>
      <w:marLeft w:val="0"/>
      <w:marRight w:val="0"/>
      <w:marTop w:val="0"/>
      <w:marBottom w:val="0"/>
      <w:divBdr>
        <w:top w:val="none" w:sz="0" w:space="0" w:color="auto"/>
        <w:left w:val="none" w:sz="0" w:space="0" w:color="auto"/>
        <w:bottom w:val="none" w:sz="0" w:space="0" w:color="auto"/>
        <w:right w:val="none" w:sz="0" w:space="0" w:color="auto"/>
      </w:divBdr>
      <w:divsChild>
        <w:div w:id="142159746">
          <w:marLeft w:val="0"/>
          <w:marRight w:val="0"/>
          <w:marTop w:val="150"/>
          <w:marBottom w:val="0"/>
          <w:divBdr>
            <w:top w:val="none" w:sz="0" w:space="0" w:color="auto"/>
            <w:left w:val="none" w:sz="0" w:space="0" w:color="auto"/>
            <w:bottom w:val="none" w:sz="0" w:space="0" w:color="auto"/>
            <w:right w:val="none" w:sz="0" w:space="0" w:color="auto"/>
          </w:divBdr>
          <w:divsChild>
            <w:div w:id="897285766">
              <w:marLeft w:val="480"/>
              <w:marRight w:val="480"/>
              <w:marTop w:val="480"/>
              <w:marBottom w:val="480"/>
              <w:divBdr>
                <w:top w:val="single" w:sz="6" w:space="12" w:color="7A2422"/>
                <w:left w:val="single" w:sz="6" w:space="12" w:color="7A2422"/>
                <w:bottom w:val="single" w:sz="6" w:space="12" w:color="7A2422"/>
                <w:right w:val="single" w:sz="6" w:space="12" w:color="7A2422"/>
              </w:divBdr>
            </w:div>
          </w:divsChild>
        </w:div>
        <w:div w:id="814689086">
          <w:marLeft w:val="0"/>
          <w:marRight w:val="0"/>
          <w:marTop w:val="75"/>
          <w:marBottom w:val="0"/>
          <w:divBdr>
            <w:top w:val="none" w:sz="0" w:space="0" w:color="auto"/>
            <w:left w:val="none" w:sz="0" w:space="0" w:color="auto"/>
            <w:bottom w:val="none" w:sz="0" w:space="0" w:color="auto"/>
            <w:right w:val="none" w:sz="0" w:space="0" w:color="auto"/>
          </w:divBdr>
        </w:div>
        <w:div w:id="1787966842">
          <w:marLeft w:val="0"/>
          <w:marRight w:val="0"/>
          <w:marTop w:val="375"/>
          <w:marBottom w:val="0"/>
          <w:divBdr>
            <w:top w:val="none" w:sz="0" w:space="0" w:color="auto"/>
            <w:left w:val="none" w:sz="0" w:space="0" w:color="auto"/>
            <w:bottom w:val="none" w:sz="0" w:space="0" w:color="auto"/>
            <w:right w:val="none" w:sz="0" w:space="0" w:color="auto"/>
          </w:divBdr>
        </w:div>
      </w:divsChild>
    </w:div>
    <w:div w:id="222571279">
      <w:bodyDiv w:val="1"/>
      <w:marLeft w:val="0"/>
      <w:marRight w:val="0"/>
      <w:marTop w:val="0"/>
      <w:marBottom w:val="0"/>
      <w:divBdr>
        <w:top w:val="none" w:sz="0" w:space="0" w:color="auto"/>
        <w:left w:val="none" w:sz="0" w:space="0" w:color="auto"/>
        <w:bottom w:val="none" w:sz="0" w:space="0" w:color="auto"/>
        <w:right w:val="none" w:sz="0" w:space="0" w:color="auto"/>
      </w:divBdr>
    </w:div>
    <w:div w:id="285164294">
      <w:bodyDiv w:val="1"/>
      <w:marLeft w:val="0"/>
      <w:marRight w:val="0"/>
      <w:marTop w:val="0"/>
      <w:marBottom w:val="0"/>
      <w:divBdr>
        <w:top w:val="single" w:sz="2" w:space="0" w:color="CC3640"/>
        <w:left w:val="none" w:sz="0" w:space="0" w:color="auto"/>
        <w:bottom w:val="none" w:sz="0" w:space="0" w:color="auto"/>
        <w:right w:val="none" w:sz="0" w:space="0" w:color="auto"/>
      </w:divBdr>
      <w:divsChild>
        <w:div w:id="1584024188">
          <w:marLeft w:val="0"/>
          <w:marRight w:val="0"/>
          <w:marTop w:val="0"/>
          <w:marBottom w:val="0"/>
          <w:divBdr>
            <w:top w:val="single" w:sz="2" w:space="0" w:color="FF0000"/>
            <w:left w:val="single" w:sz="2" w:space="0" w:color="FF0000"/>
            <w:bottom w:val="single" w:sz="2" w:space="0" w:color="FF0000"/>
            <w:right w:val="single" w:sz="2" w:space="0" w:color="FF0000"/>
          </w:divBdr>
          <w:divsChild>
            <w:div w:id="1119372145">
              <w:marLeft w:val="0"/>
              <w:marRight w:val="0"/>
              <w:marTop w:val="0"/>
              <w:marBottom w:val="0"/>
              <w:divBdr>
                <w:top w:val="none" w:sz="0" w:space="0" w:color="auto"/>
                <w:left w:val="single" w:sz="6" w:space="0" w:color="DDDDDD"/>
                <w:bottom w:val="none" w:sz="0" w:space="0" w:color="auto"/>
                <w:right w:val="none" w:sz="0" w:space="0" w:color="auto"/>
              </w:divBdr>
              <w:divsChild>
                <w:div w:id="1218278230">
                  <w:marLeft w:val="0"/>
                  <w:marRight w:val="0"/>
                  <w:marTop w:val="0"/>
                  <w:marBottom w:val="0"/>
                  <w:divBdr>
                    <w:top w:val="single" w:sz="2" w:space="0" w:color="008000"/>
                    <w:left w:val="single" w:sz="2" w:space="0" w:color="008000"/>
                    <w:bottom w:val="single" w:sz="2" w:space="0" w:color="008000"/>
                    <w:right w:val="single" w:sz="2" w:space="0" w:color="008000"/>
                  </w:divBdr>
                  <w:divsChild>
                    <w:div w:id="36709894">
                      <w:marLeft w:val="0"/>
                      <w:marRight w:val="0"/>
                      <w:marTop w:val="0"/>
                      <w:marBottom w:val="0"/>
                      <w:divBdr>
                        <w:top w:val="none" w:sz="0" w:space="0" w:color="auto"/>
                        <w:left w:val="none" w:sz="0" w:space="0" w:color="auto"/>
                        <w:bottom w:val="none" w:sz="0" w:space="0" w:color="auto"/>
                        <w:right w:val="none" w:sz="0" w:space="0" w:color="auto"/>
                      </w:divBdr>
                      <w:divsChild>
                        <w:div w:id="1957831799">
                          <w:marLeft w:val="0"/>
                          <w:marRight w:val="0"/>
                          <w:marTop w:val="0"/>
                          <w:marBottom w:val="0"/>
                          <w:divBdr>
                            <w:top w:val="none" w:sz="0" w:space="0" w:color="auto"/>
                            <w:left w:val="none" w:sz="0" w:space="0" w:color="auto"/>
                            <w:bottom w:val="none" w:sz="0" w:space="0" w:color="auto"/>
                            <w:right w:val="none" w:sz="0" w:space="0" w:color="auto"/>
                          </w:divBdr>
                          <w:divsChild>
                            <w:div w:id="108746100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323749647">
      <w:bodyDiv w:val="1"/>
      <w:marLeft w:val="0"/>
      <w:marRight w:val="0"/>
      <w:marTop w:val="0"/>
      <w:marBottom w:val="0"/>
      <w:divBdr>
        <w:top w:val="none" w:sz="0" w:space="0" w:color="auto"/>
        <w:left w:val="none" w:sz="0" w:space="0" w:color="auto"/>
        <w:bottom w:val="none" w:sz="0" w:space="0" w:color="auto"/>
        <w:right w:val="none" w:sz="0" w:space="0" w:color="auto"/>
      </w:divBdr>
      <w:divsChild>
        <w:div w:id="2041853775">
          <w:marLeft w:val="0"/>
          <w:marRight w:val="0"/>
          <w:marTop w:val="0"/>
          <w:marBottom w:val="0"/>
          <w:divBdr>
            <w:top w:val="none" w:sz="0" w:space="0" w:color="auto"/>
            <w:left w:val="none" w:sz="0" w:space="0" w:color="auto"/>
            <w:bottom w:val="none" w:sz="0" w:space="0" w:color="auto"/>
            <w:right w:val="none" w:sz="0" w:space="0" w:color="auto"/>
          </w:divBdr>
        </w:div>
      </w:divsChild>
    </w:div>
    <w:div w:id="358707390">
      <w:bodyDiv w:val="1"/>
      <w:marLeft w:val="0"/>
      <w:marRight w:val="0"/>
      <w:marTop w:val="0"/>
      <w:marBottom w:val="0"/>
      <w:divBdr>
        <w:top w:val="none" w:sz="0" w:space="0" w:color="auto"/>
        <w:left w:val="none" w:sz="0" w:space="0" w:color="auto"/>
        <w:bottom w:val="none" w:sz="0" w:space="0" w:color="auto"/>
        <w:right w:val="none" w:sz="0" w:space="0" w:color="auto"/>
      </w:divBdr>
    </w:div>
    <w:div w:id="402262963">
      <w:bodyDiv w:val="1"/>
      <w:marLeft w:val="0"/>
      <w:marRight w:val="0"/>
      <w:marTop w:val="0"/>
      <w:marBottom w:val="0"/>
      <w:divBdr>
        <w:top w:val="single" w:sz="2" w:space="0" w:color="CC3640"/>
        <w:left w:val="none" w:sz="0" w:space="0" w:color="auto"/>
        <w:bottom w:val="none" w:sz="0" w:space="0" w:color="auto"/>
        <w:right w:val="none" w:sz="0" w:space="0" w:color="auto"/>
      </w:divBdr>
      <w:divsChild>
        <w:div w:id="1247613687">
          <w:marLeft w:val="0"/>
          <w:marRight w:val="0"/>
          <w:marTop w:val="0"/>
          <w:marBottom w:val="0"/>
          <w:divBdr>
            <w:top w:val="single" w:sz="2" w:space="0" w:color="FF0000"/>
            <w:left w:val="single" w:sz="2" w:space="0" w:color="FF0000"/>
            <w:bottom w:val="single" w:sz="2" w:space="0" w:color="FF0000"/>
            <w:right w:val="single" w:sz="2" w:space="0" w:color="FF0000"/>
          </w:divBdr>
          <w:divsChild>
            <w:div w:id="1384256709">
              <w:marLeft w:val="0"/>
              <w:marRight w:val="0"/>
              <w:marTop w:val="0"/>
              <w:marBottom w:val="0"/>
              <w:divBdr>
                <w:top w:val="none" w:sz="0" w:space="0" w:color="auto"/>
                <w:left w:val="single" w:sz="6" w:space="0" w:color="DDDDDD"/>
                <w:bottom w:val="none" w:sz="0" w:space="0" w:color="auto"/>
                <w:right w:val="none" w:sz="0" w:space="0" w:color="auto"/>
              </w:divBdr>
              <w:divsChild>
                <w:div w:id="1806846980">
                  <w:marLeft w:val="0"/>
                  <w:marRight w:val="0"/>
                  <w:marTop w:val="0"/>
                  <w:marBottom w:val="0"/>
                  <w:divBdr>
                    <w:top w:val="single" w:sz="2" w:space="0" w:color="008000"/>
                    <w:left w:val="single" w:sz="2" w:space="0" w:color="008000"/>
                    <w:bottom w:val="single" w:sz="2" w:space="0" w:color="008000"/>
                    <w:right w:val="single" w:sz="2" w:space="0" w:color="008000"/>
                  </w:divBdr>
                  <w:divsChild>
                    <w:div w:id="1406756727">
                      <w:marLeft w:val="0"/>
                      <w:marRight w:val="0"/>
                      <w:marTop w:val="0"/>
                      <w:marBottom w:val="0"/>
                      <w:divBdr>
                        <w:top w:val="none" w:sz="0" w:space="0" w:color="auto"/>
                        <w:left w:val="none" w:sz="0" w:space="0" w:color="auto"/>
                        <w:bottom w:val="none" w:sz="0" w:space="0" w:color="auto"/>
                        <w:right w:val="none" w:sz="0" w:space="0" w:color="auto"/>
                      </w:divBdr>
                      <w:divsChild>
                        <w:div w:id="48307734">
                          <w:marLeft w:val="0"/>
                          <w:marRight w:val="0"/>
                          <w:marTop w:val="0"/>
                          <w:marBottom w:val="0"/>
                          <w:divBdr>
                            <w:top w:val="none" w:sz="0" w:space="0" w:color="auto"/>
                            <w:left w:val="none" w:sz="0" w:space="0" w:color="auto"/>
                            <w:bottom w:val="none" w:sz="0" w:space="0" w:color="auto"/>
                            <w:right w:val="none" w:sz="0" w:space="0" w:color="auto"/>
                          </w:divBdr>
                          <w:divsChild>
                            <w:div w:id="172243788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407775130">
      <w:bodyDiv w:val="1"/>
      <w:marLeft w:val="0"/>
      <w:marRight w:val="0"/>
      <w:marTop w:val="0"/>
      <w:marBottom w:val="0"/>
      <w:divBdr>
        <w:top w:val="single" w:sz="2" w:space="0" w:color="CC3640"/>
        <w:left w:val="none" w:sz="0" w:space="0" w:color="auto"/>
        <w:bottom w:val="none" w:sz="0" w:space="0" w:color="auto"/>
        <w:right w:val="none" w:sz="0" w:space="0" w:color="auto"/>
      </w:divBdr>
      <w:divsChild>
        <w:div w:id="305477216">
          <w:marLeft w:val="0"/>
          <w:marRight w:val="0"/>
          <w:marTop w:val="0"/>
          <w:marBottom w:val="0"/>
          <w:divBdr>
            <w:top w:val="single" w:sz="2" w:space="0" w:color="FF0000"/>
            <w:left w:val="single" w:sz="2" w:space="0" w:color="FF0000"/>
            <w:bottom w:val="single" w:sz="2" w:space="0" w:color="FF0000"/>
            <w:right w:val="single" w:sz="2" w:space="0" w:color="FF0000"/>
          </w:divBdr>
          <w:divsChild>
            <w:div w:id="171770567">
              <w:marLeft w:val="0"/>
              <w:marRight w:val="0"/>
              <w:marTop w:val="0"/>
              <w:marBottom w:val="0"/>
              <w:divBdr>
                <w:top w:val="none" w:sz="0" w:space="0" w:color="auto"/>
                <w:left w:val="single" w:sz="6" w:space="0" w:color="DDDDDD"/>
                <w:bottom w:val="none" w:sz="0" w:space="0" w:color="auto"/>
                <w:right w:val="none" w:sz="0" w:space="0" w:color="auto"/>
              </w:divBdr>
              <w:divsChild>
                <w:div w:id="467361105">
                  <w:marLeft w:val="0"/>
                  <w:marRight w:val="0"/>
                  <w:marTop w:val="0"/>
                  <w:marBottom w:val="0"/>
                  <w:divBdr>
                    <w:top w:val="single" w:sz="2" w:space="0" w:color="008000"/>
                    <w:left w:val="single" w:sz="2" w:space="0" w:color="008000"/>
                    <w:bottom w:val="single" w:sz="2" w:space="0" w:color="008000"/>
                    <w:right w:val="single" w:sz="2" w:space="0" w:color="008000"/>
                  </w:divBdr>
                  <w:divsChild>
                    <w:div w:id="158039787">
                      <w:marLeft w:val="0"/>
                      <w:marRight w:val="0"/>
                      <w:marTop w:val="0"/>
                      <w:marBottom w:val="0"/>
                      <w:divBdr>
                        <w:top w:val="none" w:sz="0" w:space="0" w:color="auto"/>
                        <w:left w:val="none" w:sz="0" w:space="0" w:color="auto"/>
                        <w:bottom w:val="none" w:sz="0" w:space="0" w:color="auto"/>
                        <w:right w:val="none" w:sz="0" w:space="0" w:color="auto"/>
                      </w:divBdr>
                      <w:divsChild>
                        <w:div w:id="553464262">
                          <w:marLeft w:val="0"/>
                          <w:marRight w:val="0"/>
                          <w:marTop w:val="0"/>
                          <w:marBottom w:val="0"/>
                          <w:divBdr>
                            <w:top w:val="none" w:sz="0" w:space="0" w:color="auto"/>
                            <w:left w:val="none" w:sz="0" w:space="0" w:color="auto"/>
                            <w:bottom w:val="none" w:sz="0" w:space="0" w:color="auto"/>
                            <w:right w:val="none" w:sz="0" w:space="0" w:color="auto"/>
                          </w:divBdr>
                          <w:divsChild>
                            <w:div w:id="153754695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410733557">
      <w:bodyDiv w:val="1"/>
      <w:marLeft w:val="0"/>
      <w:marRight w:val="0"/>
      <w:marTop w:val="0"/>
      <w:marBottom w:val="0"/>
      <w:divBdr>
        <w:top w:val="none" w:sz="0" w:space="0" w:color="auto"/>
        <w:left w:val="none" w:sz="0" w:space="0" w:color="auto"/>
        <w:bottom w:val="none" w:sz="0" w:space="0" w:color="auto"/>
        <w:right w:val="none" w:sz="0" w:space="0" w:color="auto"/>
      </w:divBdr>
    </w:div>
    <w:div w:id="438108904">
      <w:bodyDiv w:val="1"/>
      <w:marLeft w:val="0"/>
      <w:marRight w:val="0"/>
      <w:marTop w:val="0"/>
      <w:marBottom w:val="0"/>
      <w:divBdr>
        <w:top w:val="single" w:sz="2" w:space="0" w:color="CC3640"/>
        <w:left w:val="none" w:sz="0" w:space="0" w:color="auto"/>
        <w:bottom w:val="none" w:sz="0" w:space="0" w:color="auto"/>
        <w:right w:val="none" w:sz="0" w:space="0" w:color="auto"/>
      </w:divBdr>
      <w:divsChild>
        <w:div w:id="1034228004">
          <w:marLeft w:val="0"/>
          <w:marRight w:val="0"/>
          <w:marTop w:val="0"/>
          <w:marBottom w:val="0"/>
          <w:divBdr>
            <w:top w:val="single" w:sz="2" w:space="0" w:color="FF0000"/>
            <w:left w:val="single" w:sz="2" w:space="0" w:color="FF0000"/>
            <w:bottom w:val="single" w:sz="2" w:space="0" w:color="FF0000"/>
            <w:right w:val="single" w:sz="2" w:space="0" w:color="FF0000"/>
          </w:divBdr>
          <w:divsChild>
            <w:div w:id="93980310">
              <w:marLeft w:val="0"/>
              <w:marRight w:val="0"/>
              <w:marTop w:val="0"/>
              <w:marBottom w:val="0"/>
              <w:divBdr>
                <w:top w:val="none" w:sz="0" w:space="0" w:color="auto"/>
                <w:left w:val="single" w:sz="6" w:space="0" w:color="DDDDDD"/>
                <w:bottom w:val="none" w:sz="0" w:space="0" w:color="auto"/>
                <w:right w:val="none" w:sz="0" w:space="0" w:color="auto"/>
              </w:divBdr>
              <w:divsChild>
                <w:div w:id="647712890">
                  <w:marLeft w:val="0"/>
                  <w:marRight w:val="0"/>
                  <w:marTop w:val="0"/>
                  <w:marBottom w:val="0"/>
                  <w:divBdr>
                    <w:top w:val="single" w:sz="2" w:space="0" w:color="008000"/>
                    <w:left w:val="single" w:sz="2" w:space="0" w:color="008000"/>
                    <w:bottom w:val="single" w:sz="2" w:space="0" w:color="008000"/>
                    <w:right w:val="single" w:sz="2" w:space="0" w:color="008000"/>
                  </w:divBdr>
                  <w:divsChild>
                    <w:div w:id="653877492">
                      <w:marLeft w:val="0"/>
                      <w:marRight w:val="0"/>
                      <w:marTop w:val="0"/>
                      <w:marBottom w:val="0"/>
                      <w:divBdr>
                        <w:top w:val="none" w:sz="0" w:space="0" w:color="auto"/>
                        <w:left w:val="none" w:sz="0" w:space="0" w:color="auto"/>
                        <w:bottom w:val="none" w:sz="0" w:space="0" w:color="auto"/>
                        <w:right w:val="none" w:sz="0" w:space="0" w:color="auto"/>
                      </w:divBdr>
                      <w:divsChild>
                        <w:div w:id="427967464">
                          <w:marLeft w:val="0"/>
                          <w:marRight w:val="0"/>
                          <w:marTop w:val="0"/>
                          <w:marBottom w:val="0"/>
                          <w:divBdr>
                            <w:top w:val="none" w:sz="0" w:space="0" w:color="auto"/>
                            <w:left w:val="none" w:sz="0" w:space="0" w:color="auto"/>
                            <w:bottom w:val="none" w:sz="0" w:space="0" w:color="auto"/>
                            <w:right w:val="none" w:sz="0" w:space="0" w:color="auto"/>
                          </w:divBdr>
                          <w:divsChild>
                            <w:div w:id="206714712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480855976">
      <w:bodyDiv w:val="1"/>
      <w:marLeft w:val="0"/>
      <w:marRight w:val="0"/>
      <w:marTop w:val="0"/>
      <w:marBottom w:val="0"/>
      <w:divBdr>
        <w:top w:val="none" w:sz="0" w:space="0" w:color="auto"/>
        <w:left w:val="none" w:sz="0" w:space="0" w:color="auto"/>
        <w:bottom w:val="none" w:sz="0" w:space="0" w:color="auto"/>
        <w:right w:val="none" w:sz="0" w:space="0" w:color="auto"/>
      </w:divBdr>
    </w:div>
    <w:div w:id="484468136">
      <w:bodyDiv w:val="1"/>
      <w:marLeft w:val="0"/>
      <w:marRight w:val="0"/>
      <w:marTop w:val="0"/>
      <w:marBottom w:val="0"/>
      <w:divBdr>
        <w:top w:val="none" w:sz="0" w:space="0" w:color="auto"/>
        <w:left w:val="none" w:sz="0" w:space="0" w:color="auto"/>
        <w:bottom w:val="none" w:sz="0" w:space="0" w:color="auto"/>
        <w:right w:val="none" w:sz="0" w:space="0" w:color="auto"/>
      </w:divBdr>
    </w:div>
    <w:div w:id="486746668">
      <w:bodyDiv w:val="1"/>
      <w:marLeft w:val="0"/>
      <w:marRight w:val="0"/>
      <w:marTop w:val="0"/>
      <w:marBottom w:val="0"/>
      <w:divBdr>
        <w:top w:val="none" w:sz="0" w:space="0" w:color="auto"/>
        <w:left w:val="none" w:sz="0" w:space="0" w:color="auto"/>
        <w:bottom w:val="none" w:sz="0" w:space="0" w:color="auto"/>
        <w:right w:val="none" w:sz="0" w:space="0" w:color="auto"/>
      </w:divBdr>
    </w:div>
    <w:div w:id="541524725">
      <w:bodyDiv w:val="1"/>
      <w:marLeft w:val="0"/>
      <w:marRight w:val="0"/>
      <w:marTop w:val="0"/>
      <w:marBottom w:val="0"/>
      <w:divBdr>
        <w:top w:val="none" w:sz="0" w:space="0" w:color="auto"/>
        <w:left w:val="none" w:sz="0" w:space="0" w:color="auto"/>
        <w:bottom w:val="none" w:sz="0" w:space="0" w:color="auto"/>
        <w:right w:val="none" w:sz="0" w:space="0" w:color="auto"/>
      </w:divBdr>
    </w:div>
    <w:div w:id="572394035">
      <w:bodyDiv w:val="1"/>
      <w:marLeft w:val="0"/>
      <w:marRight w:val="0"/>
      <w:marTop w:val="0"/>
      <w:marBottom w:val="0"/>
      <w:divBdr>
        <w:top w:val="none" w:sz="0" w:space="0" w:color="auto"/>
        <w:left w:val="none" w:sz="0" w:space="0" w:color="auto"/>
        <w:bottom w:val="none" w:sz="0" w:space="0" w:color="auto"/>
        <w:right w:val="none" w:sz="0" w:space="0" w:color="auto"/>
      </w:divBdr>
    </w:div>
    <w:div w:id="576401667">
      <w:bodyDiv w:val="1"/>
      <w:marLeft w:val="0"/>
      <w:marRight w:val="0"/>
      <w:marTop w:val="0"/>
      <w:marBottom w:val="0"/>
      <w:divBdr>
        <w:top w:val="none" w:sz="0" w:space="0" w:color="auto"/>
        <w:left w:val="none" w:sz="0" w:space="0" w:color="auto"/>
        <w:bottom w:val="none" w:sz="0" w:space="0" w:color="auto"/>
        <w:right w:val="none" w:sz="0" w:space="0" w:color="auto"/>
      </w:divBdr>
    </w:div>
    <w:div w:id="589124189">
      <w:bodyDiv w:val="1"/>
      <w:marLeft w:val="0"/>
      <w:marRight w:val="0"/>
      <w:marTop w:val="0"/>
      <w:marBottom w:val="0"/>
      <w:divBdr>
        <w:top w:val="none" w:sz="0" w:space="0" w:color="auto"/>
        <w:left w:val="none" w:sz="0" w:space="0" w:color="auto"/>
        <w:bottom w:val="none" w:sz="0" w:space="0" w:color="auto"/>
        <w:right w:val="none" w:sz="0" w:space="0" w:color="auto"/>
      </w:divBdr>
    </w:div>
    <w:div w:id="628703504">
      <w:bodyDiv w:val="1"/>
      <w:marLeft w:val="0"/>
      <w:marRight w:val="0"/>
      <w:marTop w:val="0"/>
      <w:marBottom w:val="0"/>
      <w:divBdr>
        <w:top w:val="none" w:sz="0" w:space="0" w:color="auto"/>
        <w:left w:val="none" w:sz="0" w:space="0" w:color="auto"/>
        <w:bottom w:val="none" w:sz="0" w:space="0" w:color="auto"/>
        <w:right w:val="none" w:sz="0" w:space="0" w:color="auto"/>
      </w:divBdr>
    </w:div>
    <w:div w:id="680085899">
      <w:bodyDiv w:val="1"/>
      <w:marLeft w:val="0"/>
      <w:marRight w:val="0"/>
      <w:marTop w:val="0"/>
      <w:marBottom w:val="0"/>
      <w:divBdr>
        <w:top w:val="none" w:sz="0" w:space="0" w:color="auto"/>
        <w:left w:val="none" w:sz="0" w:space="0" w:color="auto"/>
        <w:bottom w:val="none" w:sz="0" w:space="0" w:color="auto"/>
        <w:right w:val="none" w:sz="0" w:space="0" w:color="auto"/>
      </w:divBdr>
    </w:div>
    <w:div w:id="680857430">
      <w:bodyDiv w:val="1"/>
      <w:marLeft w:val="0"/>
      <w:marRight w:val="0"/>
      <w:marTop w:val="0"/>
      <w:marBottom w:val="0"/>
      <w:divBdr>
        <w:top w:val="single" w:sz="2" w:space="0" w:color="CC3640"/>
        <w:left w:val="none" w:sz="0" w:space="0" w:color="auto"/>
        <w:bottom w:val="none" w:sz="0" w:space="0" w:color="auto"/>
        <w:right w:val="none" w:sz="0" w:space="0" w:color="auto"/>
      </w:divBdr>
      <w:divsChild>
        <w:div w:id="1231042174">
          <w:marLeft w:val="0"/>
          <w:marRight w:val="0"/>
          <w:marTop w:val="0"/>
          <w:marBottom w:val="0"/>
          <w:divBdr>
            <w:top w:val="single" w:sz="2" w:space="0" w:color="FF0000"/>
            <w:left w:val="single" w:sz="2" w:space="0" w:color="FF0000"/>
            <w:bottom w:val="single" w:sz="2" w:space="0" w:color="FF0000"/>
            <w:right w:val="single" w:sz="2" w:space="0" w:color="FF0000"/>
          </w:divBdr>
          <w:divsChild>
            <w:div w:id="487134818">
              <w:marLeft w:val="0"/>
              <w:marRight w:val="0"/>
              <w:marTop w:val="0"/>
              <w:marBottom w:val="0"/>
              <w:divBdr>
                <w:top w:val="none" w:sz="0" w:space="0" w:color="auto"/>
                <w:left w:val="single" w:sz="6" w:space="0" w:color="DDDDDD"/>
                <w:bottom w:val="none" w:sz="0" w:space="0" w:color="auto"/>
                <w:right w:val="none" w:sz="0" w:space="0" w:color="auto"/>
              </w:divBdr>
              <w:divsChild>
                <w:div w:id="635640991">
                  <w:marLeft w:val="0"/>
                  <w:marRight w:val="0"/>
                  <w:marTop w:val="0"/>
                  <w:marBottom w:val="0"/>
                  <w:divBdr>
                    <w:top w:val="single" w:sz="2" w:space="0" w:color="008000"/>
                    <w:left w:val="single" w:sz="2" w:space="0" w:color="008000"/>
                    <w:bottom w:val="single" w:sz="2" w:space="0" w:color="008000"/>
                    <w:right w:val="single" w:sz="2" w:space="0" w:color="008000"/>
                  </w:divBdr>
                  <w:divsChild>
                    <w:div w:id="1537309335">
                      <w:marLeft w:val="0"/>
                      <w:marRight w:val="0"/>
                      <w:marTop w:val="0"/>
                      <w:marBottom w:val="0"/>
                      <w:divBdr>
                        <w:top w:val="none" w:sz="0" w:space="0" w:color="auto"/>
                        <w:left w:val="none" w:sz="0" w:space="0" w:color="auto"/>
                        <w:bottom w:val="none" w:sz="0" w:space="0" w:color="auto"/>
                        <w:right w:val="none" w:sz="0" w:space="0" w:color="auto"/>
                      </w:divBdr>
                      <w:divsChild>
                        <w:div w:id="1028675392">
                          <w:marLeft w:val="0"/>
                          <w:marRight w:val="0"/>
                          <w:marTop w:val="0"/>
                          <w:marBottom w:val="0"/>
                          <w:divBdr>
                            <w:top w:val="none" w:sz="0" w:space="0" w:color="auto"/>
                            <w:left w:val="none" w:sz="0" w:space="0" w:color="auto"/>
                            <w:bottom w:val="none" w:sz="0" w:space="0" w:color="auto"/>
                            <w:right w:val="none" w:sz="0" w:space="0" w:color="auto"/>
                          </w:divBdr>
                          <w:divsChild>
                            <w:div w:id="208329107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686635275">
      <w:bodyDiv w:val="1"/>
      <w:marLeft w:val="0"/>
      <w:marRight w:val="0"/>
      <w:marTop w:val="0"/>
      <w:marBottom w:val="0"/>
      <w:divBdr>
        <w:top w:val="none" w:sz="0" w:space="0" w:color="auto"/>
        <w:left w:val="none" w:sz="0" w:space="0" w:color="auto"/>
        <w:bottom w:val="none" w:sz="0" w:space="0" w:color="auto"/>
        <w:right w:val="none" w:sz="0" w:space="0" w:color="auto"/>
      </w:divBdr>
    </w:div>
    <w:div w:id="747458728">
      <w:bodyDiv w:val="1"/>
      <w:marLeft w:val="0"/>
      <w:marRight w:val="0"/>
      <w:marTop w:val="0"/>
      <w:marBottom w:val="0"/>
      <w:divBdr>
        <w:top w:val="none" w:sz="0" w:space="0" w:color="auto"/>
        <w:left w:val="none" w:sz="0" w:space="0" w:color="auto"/>
        <w:bottom w:val="none" w:sz="0" w:space="0" w:color="auto"/>
        <w:right w:val="none" w:sz="0" w:space="0" w:color="auto"/>
      </w:divBdr>
    </w:div>
    <w:div w:id="765659588">
      <w:bodyDiv w:val="1"/>
      <w:marLeft w:val="0"/>
      <w:marRight w:val="0"/>
      <w:marTop w:val="0"/>
      <w:marBottom w:val="0"/>
      <w:divBdr>
        <w:top w:val="none" w:sz="0" w:space="0" w:color="auto"/>
        <w:left w:val="none" w:sz="0" w:space="0" w:color="auto"/>
        <w:bottom w:val="none" w:sz="0" w:space="0" w:color="auto"/>
        <w:right w:val="none" w:sz="0" w:space="0" w:color="auto"/>
      </w:divBdr>
    </w:div>
    <w:div w:id="830486472">
      <w:bodyDiv w:val="1"/>
      <w:marLeft w:val="0"/>
      <w:marRight w:val="0"/>
      <w:marTop w:val="0"/>
      <w:marBottom w:val="0"/>
      <w:divBdr>
        <w:top w:val="none" w:sz="0" w:space="0" w:color="auto"/>
        <w:left w:val="none" w:sz="0" w:space="0" w:color="auto"/>
        <w:bottom w:val="none" w:sz="0" w:space="0" w:color="auto"/>
        <w:right w:val="none" w:sz="0" w:space="0" w:color="auto"/>
      </w:divBdr>
      <w:divsChild>
        <w:div w:id="155072495">
          <w:marLeft w:val="0"/>
          <w:marRight w:val="0"/>
          <w:marTop w:val="0"/>
          <w:marBottom w:val="0"/>
          <w:divBdr>
            <w:top w:val="none" w:sz="0" w:space="0" w:color="auto"/>
            <w:left w:val="none" w:sz="0" w:space="0" w:color="auto"/>
            <w:bottom w:val="none" w:sz="0" w:space="0" w:color="auto"/>
            <w:right w:val="none" w:sz="0" w:space="0" w:color="auto"/>
          </w:divBdr>
        </w:div>
        <w:div w:id="776825803">
          <w:marLeft w:val="0"/>
          <w:marRight w:val="0"/>
          <w:marTop w:val="0"/>
          <w:marBottom w:val="0"/>
          <w:divBdr>
            <w:top w:val="none" w:sz="0" w:space="0" w:color="auto"/>
            <w:left w:val="none" w:sz="0" w:space="0" w:color="auto"/>
            <w:bottom w:val="none" w:sz="0" w:space="0" w:color="auto"/>
            <w:right w:val="none" w:sz="0" w:space="0" w:color="auto"/>
          </w:divBdr>
          <w:divsChild>
            <w:div w:id="1865052843">
              <w:marLeft w:val="0"/>
              <w:marRight w:val="0"/>
              <w:marTop w:val="0"/>
              <w:marBottom w:val="0"/>
              <w:divBdr>
                <w:top w:val="none" w:sz="0" w:space="0" w:color="auto"/>
                <w:left w:val="none" w:sz="0" w:space="0" w:color="auto"/>
                <w:bottom w:val="none" w:sz="0" w:space="0" w:color="auto"/>
                <w:right w:val="none" w:sz="0" w:space="0" w:color="auto"/>
              </w:divBdr>
            </w:div>
          </w:divsChild>
        </w:div>
        <w:div w:id="1310204392">
          <w:marLeft w:val="0"/>
          <w:marRight w:val="0"/>
          <w:marTop w:val="0"/>
          <w:marBottom w:val="120"/>
          <w:divBdr>
            <w:top w:val="none" w:sz="0" w:space="0" w:color="auto"/>
            <w:left w:val="none" w:sz="0" w:space="0" w:color="auto"/>
            <w:bottom w:val="none" w:sz="0" w:space="0" w:color="auto"/>
            <w:right w:val="none" w:sz="0" w:space="0" w:color="auto"/>
          </w:divBdr>
          <w:divsChild>
            <w:div w:id="1849782348">
              <w:marLeft w:val="0"/>
              <w:marRight w:val="0"/>
              <w:marTop w:val="0"/>
              <w:marBottom w:val="0"/>
              <w:divBdr>
                <w:top w:val="none" w:sz="0" w:space="0" w:color="auto"/>
                <w:left w:val="none" w:sz="0" w:space="0" w:color="auto"/>
                <w:bottom w:val="none" w:sz="0" w:space="0" w:color="auto"/>
                <w:right w:val="none" w:sz="0" w:space="0" w:color="auto"/>
              </w:divBdr>
            </w:div>
          </w:divsChild>
        </w:div>
        <w:div w:id="1632633460">
          <w:marLeft w:val="0"/>
          <w:marRight w:val="0"/>
          <w:marTop w:val="0"/>
          <w:marBottom w:val="0"/>
          <w:divBdr>
            <w:top w:val="none" w:sz="0" w:space="0" w:color="auto"/>
            <w:left w:val="none" w:sz="0" w:space="0" w:color="auto"/>
            <w:bottom w:val="none" w:sz="0" w:space="0" w:color="auto"/>
            <w:right w:val="none" w:sz="0" w:space="0" w:color="auto"/>
          </w:divBdr>
          <w:divsChild>
            <w:div w:id="2002275829">
              <w:marLeft w:val="0"/>
              <w:marRight w:val="0"/>
              <w:marTop w:val="0"/>
              <w:marBottom w:val="0"/>
              <w:divBdr>
                <w:top w:val="none" w:sz="0" w:space="0" w:color="auto"/>
                <w:left w:val="none" w:sz="0" w:space="0" w:color="auto"/>
                <w:bottom w:val="none" w:sz="0" w:space="0" w:color="auto"/>
                <w:right w:val="none" w:sz="0" w:space="0" w:color="auto"/>
              </w:divBdr>
            </w:div>
          </w:divsChild>
        </w:div>
        <w:div w:id="1673146161">
          <w:marLeft w:val="0"/>
          <w:marRight w:val="0"/>
          <w:marTop w:val="0"/>
          <w:marBottom w:val="240"/>
          <w:divBdr>
            <w:top w:val="none" w:sz="0" w:space="0" w:color="auto"/>
            <w:left w:val="none" w:sz="0" w:space="0" w:color="auto"/>
            <w:bottom w:val="none" w:sz="0" w:space="0" w:color="auto"/>
            <w:right w:val="none" w:sz="0" w:space="0" w:color="auto"/>
          </w:divBdr>
        </w:div>
      </w:divsChild>
    </w:div>
    <w:div w:id="836111603">
      <w:bodyDiv w:val="1"/>
      <w:marLeft w:val="0"/>
      <w:marRight w:val="0"/>
      <w:marTop w:val="0"/>
      <w:marBottom w:val="0"/>
      <w:divBdr>
        <w:top w:val="none" w:sz="0" w:space="0" w:color="auto"/>
        <w:left w:val="none" w:sz="0" w:space="0" w:color="auto"/>
        <w:bottom w:val="none" w:sz="0" w:space="0" w:color="auto"/>
        <w:right w:val="none" w:sz="0" w:space="0" w:color="auto"/>
      </w:divBdr>
      <w:divsChild>
        <w:div w:id="2113016821">
          <w:blockQuote w:val="1"/>
          <w:marLeft w:val="-994"/>
          <w:marRight w:val="0"/>
          <w:marTop w:val="150"/>
          <w:marBottom w:val="525"/>
          <w:divBdr>
            <w:top w:val="none" w:sz="0" w:space="0" w:color="auto"/>
            <w:left w:val="none" w:sz="0" w:space="0" w:color="auto"/>
            <w:bottom w:val="none" w:sz="0" w:space="0" w:color="auto"/>
            <w:right w:val="none" w:sz="0" w:space="0" w:color="auto"/>
          </w:divBdr>
        </w:div>
        <w:div w:id="1350715684">
          <w:marLeft w:val="0"/>
          <w:marRight w:val="0"/>
          <w:marTop w:val="0"/>
          <w:marBottom w:val="0"/>
          <w:divBdr>
            <w:top w:val="none" w:sz="0" w:space="0" w:color="auto"/>
            <w:left w:val="none" w:sz="0" w:space="0" w:color="auto"/>
            <w:bottom w:val="none" w:sz="0" w:space="0" w:color="auto"/>
            <w:right w:val="none" w:sz="0" w:space="0" w:color="auto"/>
          </w:divBdr>
          <w:divsChild>
            <w:div w:id="848181368">
              <w:marLeft w:val="0"/>
              <w:marRight w:val="0"/>
              <w:marTop w:val="0"/>
              <w:marBottom w:val="0"/>
              <w:divBdr>
                <w:top w:val="none" w:sz="0" w:space="0" w:color="auto"/>
                <w:left w:val="none" w:sz="0" w:space="0" w:color="auto"/>
                <w:bottom w:val="none" w:sz="0" w:space="0" w:color="auto"/>
                <w:right w:val="none" w:sz="0" w:space="0" w:color="auto"/>
              </w:divBdr>
            </w:div>
            <w:div w:id="2025789457">
              <w:marLeft w:val="0"/>
              <w:marRight w:val="0"/>
              <w:marTop w:val="0"/>
              <w:marBottom w:val="0"/>
              <w:divBdr>
                <w:top w:val="none" w:sz="0" w:space="0" w:color="auto"/>
                <w:left w:val="none" w:sz="0" w:space="0" w:color="auto"/>
                <w:bottom w:val="none" w:sz="0" w:space="0" w:color="auto"/>
                <w:right w:val="none" w:sz="0" w:space="0" w:color="auto"/>
              </w:divBdr>
              <w:divsChild>
                <w:div w:id="458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33765">
          <w:blockQuote w:val="1"/>
          <w:marLeft w:val="-994"/>
          <w:marRight w:val="0"/>
          <w:marTop w:val="150"/>
          <w:marBottom w:val="525"/>
          <w:divBdr>
            <w:top w:val="none" w:sz="0" w:space="0" w:color="auto"/>
            <w:left w:val="none" w:sz="0" w:space="0" w:color="auto"/>
            <w:bottom w:val="none" w:sz="0" w:space="0" w:color="auto"/>
            <w:right w:val="none" w:sz="0" w:space="0" w:color="auto"/>
          </w:divBdr>
        </w:div>
      </w:divsChild>
    </w:div>
    <w:div w:id="855968895">
      <w:bodyDiv w:val="1"/>
      <w:marLeft w:val="0"/>
      <w:marRight w:val="0"/>
      <w:marTop w:val="0"/>
      <w:marBottom w:val="0"/>
      <w:divBdr>
        <w:top w:val="single" w:sz="2" w:space="0" w:color="CC3640"/>
        <w:left w:val="none" w:sz="0" w:space="0" w:color="auto"/>
        <w:bottom w:val="none" w:sz="0" w:space="0" w:color="auto"/>
        <w:right w:val="none" w:sz="0" w:space="0" w:color="auto"/>
      </w:divBdr>
      <w:divsChild>
        <w:div w:id="257719222">
          <w:marLeft w:val="0"/>
          <w:marRight w:val="0"/>
          <w:marTop w:val="0"/>
          <w:marBottom w:val="0"/>
          <w:divBdr>
            <w:top w:val="single" w:sz="2" w:space="0" w:color="FF0000"/>
            <w:left w:val="single" w:sz="2" w:space="0" w:color="FF0000"/>
            <w:bottom w:val="single" w:sz="2" w:space="0" w:color="FF0000"/>
            <w:right w:val="single" w:sz="2" w:space="0" w:color="FF0000"/>
          </w:divBdr>
          <w:divsChild>
            <w:div w:id="2013334599">
              <w:marLeft w:val="0"/>
              <w:marRight w:val="0"/>
              <w:marTop w:val="0"/>
              <w:marBottom w:val="0"/>
              <w:divBdr>
                <w:top w:val="none" w:sz="0" w:space="0" w:color="auto"/>
                <w:left w:val="single" w:sz="6" w:space="0" w:color="DDDDDD"/>
                <w:bottom w:val="none" w:sz="0" w:space="0" w:color="auto"/>
                <w:right w:val="none" w:sz="0" w:space="0" w:color="auto"/>
              </w:divBdr>
              <w:divsChild>
                <w:div w:id="370308117">
                  <w:marLeft w:val="0"/>
                  <w:marRight w:val="0"/>
                  <w:marTop w:val="0"/>
                  <w:marBottom w:val="0"/>
                  <w:divBdr>
                    <w:top w:val="single" w:sz="2" w:space="0" w:color="008000"/>
                    <w:left w:val="single" w:sz="2" w:space="0" w:color="008000"/>
                    <w:bottom w:val="single" w:sz="2" w:space="0" w:color="008000"/>
                    <w:right w:val="single" w:sz="2" w:space="0" w:color="008000"/>
                  </w:divBdr>
                  <w:divsChild>
                    <w:div w:id="1149907261">
                      <w:marLeft w:val="0"/>
                      <w:marRight w:val="0"/>
                      <w:marTop w:val="0"/>
                      <w:marBottom w:val="0"/>
                      <w:divBdr>
                        <w:top w:val="none" w:sz="0" w:space="0" w:color="auto"/>
                        <w:left w:val="none" w:sz="0" w:space="0" w:color="auto"/>
                        <w:bottom w:val="none" w:sz="0" w:space="0" w:color="auto"/>
                        <w:right w:val="none" w:sz="0" w:space="0" w:color="auto"/>
                      </w:divBdr>
                      <w:divsChild>
                        <w:div w:id="79103882">
                          <w:marLeft w:val="0"/>
                          <w:marRight w:val="0"/>
                          <w:marTop w:val="0"/>
                          <w:marBottom w:val="0"/>
                          <w:divBdr>
                            <w:top w:val="none" w:sz="0" w:space="0" w:color="auto"/>
                            <w:left w:val="none" w:sz="0" w:space="0" w:color="auto"/>
                            <w:bottom w:val="none" w:sz="0" w:space="0" w:color="auto"/>
                            <w:right w:val="none" w:sz="0" w:space="0" w:color="auto"/>
                          </w:divBdr>
                          <w:divsChild>
                            <w:div w:id="59016577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865748590">
      <w:bodyDiv w:val="1"/>
      <w:marLeft w:val="0"/>
      <w:marRight w:val="0"/>
      <w:marTop w:val="0"/>
      <w:marBottom w:val="0"/>
      <w:divBdr>
        <w:top w:val="none" w:sz="0" w:space="0" w:color="auto"/>
        <w:left w:val="none" w:sz="0" w:space="0" w:color="auto"/>
        <w:bottom w:val="none" w:sz="0" w:space="0" w:color="auto"/>
        <w:right w:val="none" w:sz="0" w:space="0" w:color="auto"/>
      </w:divBdr>
    </w:div>
    <w:div w:id="869338574">
      <w:bodyDiv w:val="1"/>
      <w:marLeft w:val="0"/>
      <w:marRight w:val="0"/>
      <w:marTop w:val="0"/>
      <w:marBottom w:val="0"/>
      <w:divBdr>
        <w:top w:val="none" w:sz="0" w:space="0" w:color="auto"/>
        <w:left w:val="none" w:sz="0" w:space="0" w:color="auto"/>
        <w:bottom w:val="none" w:sz="0" w:space="0" w:color="auto"/>
        <w:right w:val="none" w:sz="0" w:space="0" w:color="auto"/>
      </w:divBdr>
    </w:div>
    <w:div w:id="870071503">
      <w:bodyDiv w:val="1"/>
      <w:marLeft w:val="0"/>
      <w:marRight w:val="0"/>
      <w:marTop w:val="0"/>
      <w:marBottom w:val="0"/>
      <w:divBdr>
        <w:top w:val="none" w:sz="0" w:space="0" w:color="auto"/>
        <w:left w:val="none" w:sz="0" w:space="0" w:color="auto"/>
        <w:bottom w:val="none" w:sz="0" w:space="0" w:color="auto"/>
        <w:right w:val="none" w:sz="0" w:space="0" w:color="auto"/>
      </w:divBdr>
      <w:divsChild>
        <w:div w:id="1101492163">
          <w:blockQuote w:val="1"/>
          <w:marLeft w:val="0"/>
          <w:marRight w:val="0"/>
          <w:marTop w:val="750"/>
          <w:marBottom w:val="750"/>
          <w:divBdr>
            <w:top w:val="none" w:sz="0" w:space="0" w:color="auto"/>
            <w:left w:val="none" w:sz="0" w:space="0" w:color="auto"/>
            <w:bottom w:val="none" w:sz="0" w:space="0" w:color="auto"/>
            <w:right w:val="none" w:sz="0" w:space="0" w:color="auto"/>
          </w:divBdr>
        </w:div>
      </w:divsChild>
    </w:div>
    <w:div w:id="900024750">
      <w:bodyDiv w:val="1"/>
      <w:marLeft w:val="0"/>
      <w:marRight w:val="0"/>
      <w:marTop w:val="0"/>
      <w:marBottom w:val="0"/>
      <w:divBdr>
        <w:top w:val="none" w:sz="0" w:space="0" w:color="auto"/>
        <w:left w:val="none" w:sz="0" w:space="0" w:color="auto"/>
        <w:bottom w:val="none" w:sz="0" w:space="0" w:color="auto"/>
        <w:right w:val="none" w:sz="0" w:space="0" w:color="auto"/>
      </w:divBdr>
    </w:div>
    <w:div w:id="953635696">
      <w:bodyDiv w:val="1"/>
      <w:marLeft w:val="0"/>
      <w:marRight w:val="0"/>
      <w:marTop w:val="0"/>
      <w:marBottom w:val="0"/>
      <w:divBdr>
        <w:top w:val="none" w:sz="0" w:space="0" w:color="auto"/>
        <w:left w:val="none" w:sz="0" w:space="0" w:color="auto"/>
        <w:bottom w:val="none" w:sz="0" w:space="0" w:color="auto"/>
        <w:right w:val="none" w:sz="0" w:space="0" w:color="auto"/>
      </w:divBdr>
    </w:div>
    <w:div w:id="958342605">
      <w:bodyDiv w:val="1"/>
      <w:marLeft w:val="0"/>
      <w:marRight w:val="0"/>
      <w:marTop w:val="0"/>
      <w:marBottom w:val="0"/>
      <w:divBdr>
        <w:top w:val="none" w:sz="0" w:space="0" w:color="auto"/>
        <w:left w:val="none" w:sz="0" w:space="0" w:color="auto"/>
        <w:bottom w:val="none" w:sz="0" w:space="0" w:color="auto"/>
        <w:right w:val="none" w:sz="0" w:space="0" w:color="auto"/>
      </w:divBdr>
      <w:divsChild>
        <w:div w:id="1447693196">
          <w:marLeft w:val="0"/>
          <w:marRight w:val="0"/>
          <w:marTop w:val="0"/>
          <w:marBottom w:val="0"/>
          <w:divBdr>
            <w:top w:val="single" w:sz="12" w:space="0" w:color="0092F4"/>
            <w:left w:val="none" w:sz="0" w:space="0" w:color="auto"/>
            <w:bottom w:val="none" w:sz="0" w:space="0" w:color="auto"/>
            <w:right w:val="none" w:sz="0" w:space="0" w:color="auto"/>
          </w:divBdr>
          <w:divsChild>
            <w:div w:id="1540893918">
              <w:marLeft w:val="450"/>
              <w:marRight w:val="450"/>
              <w:marTop w:val="150"/>
              <w:marBottom w:val="0"/>
              <w:divBdr>
                <w:top w:val="none" w:sz="0" w:space="0" w:color="auto"/>
                <w:left w:val="none" w:sz="0" w:space="0" w:color="auto"/>
                <w:bottom w:val="none" w:sz="0" w:space="0" w:color="auto"/>
                <w:right w:val="none" w:sz="0" w:space="0" w:color="auto"/>
              </w:divBdr>
              <w:divsChild>
                <w:div w:id="14967207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52057130">
          <w:marLeft w:val="0"/>
          <w:marRight w:val="0"/>
          <w:marTop w:val="0"/>
          <w:marBottom w:val="0"/>
          <w:divBdr>
            <w:top w:val="none" w:sz="0" w:space="0" w:color="auto"/>
            <w:left w:val="none" w:sz="0" w:space="0" w:color="auto"/>
            <w:bottom w:val="none" w:sz="0" w:space="0" w:color="auto"/>
            <w:right w:val="none" w:sz="0" w:space="0" w:color="auto"/>
          </w:divBdr>
          <w:divsChild>
            <w:div w:id="1546874193">
              <w:marLeft w:val="0"/>
              <w:marRight w:val="0"/>
              <w:marTop w:val="0"/>
              <w:marBottom w:val="0"/>
              <w:divBdr>
                <w:top w:val="none" w:sz="0" w:space="0" w:color="auto"/>
                <w:left w:val="none" w:sz="0" w:space="0" w:color="auto"/>
                <w:bottom w:val="none" w:sz="0" w:space="0" w:color="auto"/>
                <w:right w:val="none" w:sz="0" w:space="0" w:color="auto"/>
              </w:divBdr>
              <w:divsChild>
                <w:div w:id="314266605">
                  <w:marLeft w:val="0"/>
                  <w:marRight w:val="0"/>
                  <w:marTop w:val="0"/>
                  <w:marBottom w:val="0"/>
                  <w:divBdr>
                    <w:top w:val="none" w:sz="0" w:space="0" w:color="auto"/>
                    <w:left w:val="none" w:sz="0" w:space="0" w:color="auto"/>
                    <w:bottom w:val="none" w:sz="0" w:space="0" w:color="auto"/>
                    <w:right w:val="none" w:sz="0" w:space="0" w:color="auto"/>
                  </w:divBdr>
                  <w:divsChild>
                    <w:div w:id="26226539">
                      <w:marLeft w:val="0"/>
                      <w:marRight w:val="0"/>
                      <w:marTop w:val="0"/>
                      <w:marBottom w:val="0"/>
                      <w:divBdr>
                        <w:top w:val="none" w:sz="0" w:space="0" w:color="auto"/>
                        <w:left w:val="none" w:sz="0" w:space="0" w:color="auto"/>
                        <w:bottom w:val="none" w:sz="0" w:space="0" w:color="auto"/>
                        <w:right w:val="none" w:sz="0" w:space="0" w:color="auto"/>
                      </w:divBdr>
                    </w:div>
                    <w:div w:id="207185411">
                      <w:marLeft w:val="0"/>
                      <w:marRight w:val="0"/>
                      <w:marTop w:val="0"/>
                      <w:marBottom w:val="0"/>
                      <w:divBdr>
                        <w:top w:val="none" w:sz="0" w:space="0" w:color="auto"/>
                        <w:left w:val="none" w:sz="0" w:space="0" w:color="auto"/>
                        <w:bottom w:val="none" w:sz="0" w:space="0" w:color="auto"/>
                        <w:right w:val="none" w:sz="0" w:space="0" w:color="auto"/>
                      </w:divBdr>
                    </w:div>
                    <w:div w:id="219099263">
                      <w:marLeft w:val="0"/>
                      <w:marRight w:val="0"/>
                      <w:marTop w:val="0"/>
                      <w:marBottom w:val="0"/>
                      <w:divBdr>
                        <w:top w:val="none" w:sz="0" w:space="0" w:color="auto"/>
                        <w:left w:val="none" w:sz="0" w:space="0" w:color="auto"/>
                        <w:bottom w:val="none" w:sz="0" w:space="0" w:color="auto"/>
                        <w:right w:val="none" w:sz="0" w:space="0" w:color="auto"/>
                      </w:divBdr>
                    </w:div>
                    <w:div w:id="318582309">
                      <w:marLeft w:val="0"/>
                      <w:marRight w:val="0"/>
                      <w:marTop w:val="0"/>
                      <w:marBottom w:val="0"/>
                      <w:divBdr>
                        <w:top w:val="none" w:sz="0" w:space="0" w:color="auto"/>
                        <w:left w:val="none" w:sz="0" w:space="0" w:color="auto"/>
                        <w:bottom w:val="none" w:sz="0" w:space="0" w:color="auto"/>
                        <w:right w:val="none" w:sz="0" w:space="0" w:color="auto"/>
                      </w:divBdr>
                    </w:div>
                    <w:div w:id="529757067">
                      <w:marLeft w:val="0"/>
                      <w:marRight w:val="0"/>
                      <w:marTop w:val="0"/>
                      <w:marBottom w:val="0"/>
                      <w:divBdr>
                        <w:top w:val="none" w:sz="0" w:space="0" w:color="auto"/>
                        <w:left w:val="none" w:sz="0" w:space="0" w:color="auto"/>
                        <w:bottom w:val="none" w:sz="0" w:space="0" w:color="auto"/>
                        <w:right w:val="none" w:sz="0" w:space="0" w:color="auto"/>
                      </w:divBdr>
                    </w:div>
                    <w:div w:id="594633064">
                      <w:marLeft w:val="0"/>
                      <w:marRight w:val="0"/>
                      <w:marTop w:val="0"/>
                      <w:marBottom w:val="0"/>
                      <w:divBdr>
                        <w:top w:val="none" w:sz="0" w:space="0" w:color="auto"/>
                        <w:left w:val="none" w:sz="0" w:space="0" w:color="auto"/>
                        <w:bottom w:val="none" w:sz="0" w:space="0" w:color="auto"/>
                        <w:right w:val="none" w:sz="0" w:space="0" w:color="auto"/>
                      </w:divBdr>
                    </w:div>
                    <w:div w:id="646931767">
                      <w:marLeft w:val="0"/>
                      <w:marRight w:val="0"/>
                      <w:marTop w:val="0"/>
                      <w:marBottom w:val="0"/>
                      <w:divBdr>
                        <w:top w:val="none" w:sz="0" w:space="0" w:color="auto"/>
                        <w:left w:val="none" w:sz="0" w:space="0" w:color="auto"/>
                        <w:bottom w:val="none" w:sz="0" w:space="0" w:color="auto"/>
                        <w:right w:val="none" w:sz="0" w:space="0" w:color="auto"/>
                      </w:divBdr>
                    </w:div>
                    <w:div w:id="794640191">
                      <w:marLeft w:val="0"/>
                      <w:marRight w:val="0"/>
                      <w:marTop w:val="0"/>
                      <w:marBottom w:val="0"/>
                      <w:divBdr>
                        <w:top w:val="none" w:sz="0" w:space="0" w:color="auto"/>
                        <w:left w:val="none" w:sz="0" w:space="0" w:color="auto"/>
                        <w:bottom w:val="none" w:sz="0" w:space="0" w:color="auto"/>
                        <w:right w:val="none" w:sz="0" w:space="0" w:color="auto"/>
                      </w:divBdr>
                    </w:div>
                    <w:div w:id="877543192">
                      <w:marLeft w:val="0"/>
                      <w:marRight w:val="0"/>
                      <w:marTop w:val="0"/>
                      <w:marBottom w:val="0"/>
                      <w:divBdr>
                        <w:top w:val="none" w:sz="0" w:space="0" w:color="auto"/>
                        <w:left w:val="none" w:sz="0" w:space="0" w:color="auto"/>
                        <w:bottom w:val="none" w:sz="0" w:space="0" w:color="auto"/>
                        <w:right w:val="none" w:sz="0" w:space="0" w:color="auto"/>
                      </w:divBdr>
                    </w:div>
                    <w:div w:id="925068456">
                      <w:marLeft w:val="0"/>
                      <w:marRight w:val="0"/>
                      <w:marTop w:val="0"/>
                      <w:marBottom w:val="0"/>
                      <w:divBdr>
                        <w:top w:val="none" w:sz="0" w:space="0" w:color="auto"/>
                        <w:left w:val="none" w:sz="0" w:space="0" w:color="auto"/>
                        <w:bottom w:val="none" w:sz="0" w:space="0" w:color="auto"/>
                        <w:right w:val="none" w:sz="0" w:space="0" w:color="auto"/>
                      </w:divBdr>
                    </w:div>
                    <w:div w:id="1138886821">
                      <w:marLeft w:val="0"/>
                      <w:marRight w:val="0"/>
                      <w:marTop w:val="0"/>
                      <w:marBottom w:val="0"/>
                      <w:divBdr>
                        <w:top w:val="none" w:sz="0" w:space="0" w:color="auto"/>
                        <w:left w:val="none" w:sz="0" w:space="0" w:color="auto"/>
                        <w:bottom w:val="none" w:sz="0" w:space="0" w:color="auto"/>
                        <w:right w:val="none" w:sz="0" w:space="0" w:color="auto"/>
                      </w:divBdr>
                    </w:div>
                    <w:div w:id="1312097344">
                      <w:marLeft w:val="0"/>
                      <w:marRight w:val="0"/>
                      <w:marTop w:val="0"/>
                      <w:marBottom w:val="0"/>
                      <w:divBdr>
                        <w:top w:val="none" w:sz="0" w:space="0" w:color="auto"/>
                        <w:left w:val="none" w:sz="0" w:space="0" w:color="auto"/>
                        <w:bottom w:val="none" w:sz="0" w:space="0" w:color="auto"/>
                        <w:right w:val="none" w:sz="0" w:space="0" w:color="auto"/>
                      </w:divBdr>
                    </w:div>
                    <w:div w:id="1330255944">
                      <w:marLeft w:val="0"/>
                      <w:marRight w:val="0"/>
                      <w:marTop w:val="0"/>
                      <w:marBottom w:val="0"/>
                      <w:divBdr>
                        <w:top w:val="none" w:sz="0" w:space="0" w:color="auto"/>
                        <w:left w:val="none" w:sz="0" w:space="0" w:color="auto"/>
                        <w:bottom w:val="none" w:sz="0" w:space="0" w:color="auto"/>
                        <w:right w:val="none" w:sz="0" w:space="0" w:color="auto"/>
                      </w:divBdr>
                    </w:div>
                    <w:div w:id="1370376751">
                      <w:marLeft w:val="0"/>
                      <w:marRight w:val="0"/>
                      <w:marTop w:val="0"/>
                      <w:marBottom w:val="0"/>
                      <w:divBdr>
                        <w:top w:val="none" w:sz="0" w:space="0" w:color="auto"/>
                        <w:left w:val="none" w:sz="0" w:space="0" w:color="auto"/>
                        <w:bottom w:val="none" w:sz="0" w:space="0" w:color="auto"/>
                        <w:right w:val="none" w:sz="0" w:space="0" w:color="auto"/>
                      </w:divBdr>
                    </w:div>
                    <w:div w:id="1415206184">
                      <w:marLeft w:val="0"/>
                      <w:marRight w:val="0"/>
                      <w:marTop w:val="0"/>
                      <w:marBottom w:val="0"/>
                      <w:divBdr>
                        <w:top w:val="none" w:sz="0" w:space="0" w:color="auto"/>
                        <w:left w:val="none" w:sz="0" w:space="0" w:color="auto"/>
                        <w:bottom w:val="none" w:sz="0" w:space="0" w:color="auto"/>
                        <w:right w:val="none" w:sz="0" w:space="0" w:color="auto"/>
                      </w:divBdr>
                    </w:div>
                    <w:div w:id="1591306945">
                      <w:marLeft w:val="0"/>
                      <w:marRight w:val="0"/>
                      <w:marTop w:val="0"/>
                      <w:marBottom w:val="0"/>
                      <w:divBdr>
                        <w:top w:val="none" w:sz="0" w:space="0" w:color="auto"/>
                        <w:left w:val="none" w:sz="0" w:space="0" w:color="auto"/>
                        <w:bottom w:val="none" w:sz="0" w:space="0" w:color="auto"/>
                        <w:right w:val="none" w:sz="0" w:space="0" w:color="auto"/>
                      </w:divBdr>
                    </w:div>
                    <w:div w:id="1936205596">
                      <w:marLeft w:val="0"/>
                      <w:marRight w:val="0"/>
                      <w:marTop w:val="0"/>
                      <w:marBottom w:val="0"/>
                      <w:divBdr>
                        <w:top w:val="none" w:sz="0" w:space="0" w:color="auto"/>
                        <w:left w:val="none" w:sz="0" w:space="0" w:color="auto"/>
                        <w:bottom w:val="none" w:sz="0" w:space="0" w:color="auto"/>
                        <w:right w:val="none" w:sz="0" w:space="0" w:color="auto"/>
                      </w:divBdr>
                    </w:div>
                    <w:div w:id="1979719667">
                      <w:marLeft w:val="0"/>
                      <w:marRight w:val="0"/>
                      <w:marTop w:val="0"/>
                      <w:marBottom w:val="0"/>
                      <w:divBdr>
                        <w:top w:val="none" w:sz="0" w:space="0" w:color="auto"/>
                        <w:left w:val="none" w:sz="0" w:space="0" w:color="auto"/>
                        <w:bottom w:val="none" w:sz="0" w:space="0" w:color="auto"/>
                        <w:right w:val="none" w:sz="0" w:space="0" w:color="auto"/>
                      </w:divBdr>
                    </w:div>
                    <w:div w:id="2026058631">
                      <w:marLeft w:val="0"/>
                      <w:marRight w:val="0"/>
                      <w:marTop w:val="0"/>
                      <w:marBottom w:val="0"/>
                      <w:divBdr>
                        <w:top w:val="none" w:sz="0" w:space="0" w:color="auto"/>
                        <w:left w:val="none" w:sz="0" w:space="0" w:color="auto"/>
                        <w:bottom w:val="none" w:sz="0" w:space="0" w:color="auto"/>
                        <w:right w:val="none" w:sz="0" w:space="0" w:color="auto"/>
                      </w:divBdr>
                    </w:div>
                  </w:divsChild>
                </w:div>
                <w:div w:id="455373063">
                  <w:marLeft w:val="0"/>
                  <w:marRight w:val="0"/>
                  <w:marTop w:val="0"/>
                  <w:marBottom w:val="170"/>
                  <w:divBdr>
                    <w:top w:val="none" w:sz="0" w:space="0" w:color="auto"/>
                    <w:left w:val="none" w:sz="0" w:space="0" w:color="auto"/>
                    <w:bottom w:val="none" w:sz="0" w:space="0" w:color="auto"/>
                    <w:right w:val="none" w:sz="0" w:space="0" w:color="auto"/>
                  </w:divBdr>
                  <w:divsChild>
                    <w:div w:id="189270528">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977609989">
      <w:bodyDiv w:val="1"/>
      <w:marLeft w:val="0"/>
      <w:marRight w:val="0"/>
      <w:marTop w:val="0"/>
      <w:marBottom w:val="0"/>
      <w:divBdr>
        <w:top w:val="none" w:sz="0" w:space="0" w:color="auto"/>
        <w:left w:val="none" w:sz="0" w:space="0" w:color="auto"/>
        <w:bottom w:val="none" w:sz="0" w:space="0" w:color="auto"/>
        <w:right w:val="none" w:sz="0" w:space="0" w:color="auto"/>
      </w:divBdr>
    </w:div>
    <w:div w:id="994987946">
      <w:bodyDiv w:val="1"/>
      <w:marLeft w:val="0"/>
      <w:marRight w:val="0"/>
      <w:marTop w:val="0"/>
      <w:marBottom w:val="0"/>
      <w:divBdr>
        <w:top w:val="none" w:sz="0" w:space="0" w:color="auto"/>
        <w:left w:val="none" w:sz="0" w:space="0" w:color="auto"/>
        <w:bottom w:val="none" w:sz="0" w:space="0" w:color="auto"/>
        <w:right w:val="none" w:sz="0" w:space="0" w:color="auto"/>
      </w:divBdr>
    </w:div>
    <w:div w:id="1009065651">
      <w:bodyDiv w:val="1"/>
      <w:marLeft w:val="0"/>
      <w:marRight w:val="0"/>
      <w:marTop w:val="0"/>
      <w:marBottom w:val="0"/>
      <w:divBdr>
        <w:top w:val="none" w:sz="0" w:space="0" w:color="auto"/>
        <w:left w:val="none" w:sz="0" w:space="0" w:color="auto"/>
        <w:bottom w:val="none" w:sz="0" w:space="0" w:color="auto"/>
        <w:right w:val="none" w:sz="0" w:space="0" w:color="auto"/>
      </w:divBdr>
    </w:div>
    <w:div w:id="1065107420">
      <w:bodyDiv w:val="1"/>
      <w:marLeft w:val="0"/>
      <w:marRight w:val="0"/>
      <w:marTop w:val="0"/>
      <w:marBottom w:val="0"/>
      <w:divBdr>
        <w:top w:val="none" w:sz="0" w:space="0" w:color="auto"/>
        <w:left w:val="none" w:sz="0" w:space="0" w:color="auto"/>
        <w:bottom w:val="none" w:sz="0" w:space="0" w:color="auto"/>
        <w:right w:val="none" w:sz="0" w:space="0" w:color="auto"/>
      </w:divBdr>
    </w:div>
    <w:div w:id="1088308192">
      <w:bodyDiv w:val="1"/>
      <w:marLeft w:val="0"/>
      <w:marRight w:val="0"/>
      <w:marTop w:val="0"/>
      <w:marBottom w:val="0"/>
      <w:divBdr>
        <w:top w:val="none" w:sz="0" w:space="0" w:color="auto"/>
        <w:left w:val="none" w:sz="0" w:space="0" w:color="auto"/>
        <w:bottom w:val="none" w:sz="0" w:space="0" w:color="auto"/>
        <w:right w:val="none" w:sz="0" w:space="0" w:color="auto"/>
      </w:divBdr>
    </w:div>
    <w:div w:id="1095440802">
      <w:bodyDiv w:val="1"/>
      <w:marLeft w:val="0"/>
      <w:marRight w:val="0"/>
      <w:marTop w:val="0"/>
      <w:marBottom w:val="0"/>
      <w:divBdr>
        <w:top w:val="none" w:sz="0" w:space="0" w:color="auto"/>
        <w:left w:val="none" w:sz="0" w:space="0" w:color="auto"/>
        <w:bottom w:val="none" w:sz="0" w:space="0" w:color="auto"/>
        <w:right w:val="none" w:sz="0" w:space="0" w:color="auto"/>
      </w:divBdr>
    </w:div>
    <w:div w:id="1103495197">
      <w:bodyDiv w:val="1"/>
      <w:marLeft w:val="0"/>
      <w:marRight w:val="0"/>
      <w:marTop w:val="0"/>
      <w:marBottom w:val="0"/>
      <w:divBdr>
        <w:top w:val="none" w:sz="0" w:space="0" w:color="auto"/>
        <w:left w:val="none" w:sz="0" w:space="0" w:color="auto"/>
        <w:bottom w:val="none" w:sz="0" w:space="0" w:color="auto"/>
        <w:right w:val="none" w:sz="0" w:space="0" w:color="auto"/>
      </w:divBdr>
    </w:div>
    <w:div w:id="1125463388">
      <w:bodyDiv w:val="1"/>
      <w:marLeft w:val="0"/>
      <w:marRight w:val="0"/>
      <w:marTop w:val="0"/>
      <w:marBottom w:val="0"/>
      <w:divBdr>
        <w:top w:val="none" w:sz="0" w:space="0" w:color="auto"/>
        <w:left w:val="none" w:sz="0" w:space="0" w:color="auto"/>
        <w:bottom w:val="none" w:sz="0" w:space="0" w:color="auto"/>
        <w:right w:val="none" w:sz="0" w:space="0" w:color="auto"/>
      </w:divBdr>
    </w:div>
    <w:div w:id="1176190255">
      <w:bodyDiv w:val="1"/>
      <w:marLeft w:val="0"/>
      <w:marRight w:val="0"/>
      <w:marTop w:val="0"/>
      <w:marBottom w:val="0"/>
      <w:divBdr>
        <w:top w:val="single" w:sz="2" w:space="0" w:color="CC3640"/>
        <w:left w:val="none" w:sz="0" w:space="0" w:color="auto"/>
        <w:bottom w:val="none" w:sz="0" w:space="0" w:color="auto"/>
        <w:right w:val="none" w:sz="0" w:space="0" w:color="auto"/>
      </w:divBdr>
      <w:divsChild>
        <w:div w:id="256787346">
          <w:marLeft w:val="0"/>
          <w:marRight w:val="0"/>
          <w:marTop w:val="0"/>
          <w:marBottom w:val="0"/>
          <w:divBdr>
            <w:top w:val="single" w:sz="2" w:space="0" w:color="FF0000"/>
            <w:left w:val="single" w:sz="2" w:space="0" w:color="FF0000"/>
            <w:bottom w:val="single" w:sz="2" w:space="0" w:color="FF0000"/>
            <w:right w:val="single" w:sz="2" w:space="0" w:color="FF0000"/>
          </w:divBdr>
          <w:divsChild>
            <w:div w:id="1771201330">
              <w:marLeft w:val="0"/>
              <w:marRight w:val="0"/>
              <w:marTop w:val="0"/>
              <w:marBottom w:val="0"/>
              <w:divBdr>
                <w:top w:val="none" w:sz="0" w:space="0" w:color="auto"/>
                <w:left w:val="single" w:sz="6" w:space="0" w:color="DDDDDD"/>
                <w:bottom w:val="none" w:sz="0" w:space="0" w:color="auto"/>
                <w:right w:val="none" w:sz="0" w:space="0" w:color="auto"/>
              </w:divBdr>
              <w:divsChild>
                <w:div w:id="406923690">
                  <w:marLeft w:val="0"/>
                  <w:marRight w:val="0"/>
                  <w:marTop w:val="0"/>
                  <w:marBottom w:val="0"/>
                  <w:divBdr>
                    <w:top w:val="single" w:sz="2" w:space="0" w:color="008000"/>
                    <w:left w:val="single" w:sz="2" w:space="0" w:color="008000"/>
                    <w:bottom w:val="single" w:sz="2" w:space="0" w:color="008000"/>
                    <w:right w:val="single" w:sz="2" w:space="0" w:color="008000"/>
                  </w:divBdr>
                  <w:divsChild>
                    <w:div w:id="768089537">
                      <w:marLeft w:val="0"/>
                      <w:marRight w:val="0"/>
                      <w:marTop w:val="0"/>
                      <w:marBottom w:val="0"/>
                      <w:divBdr>
                        <w:top w:val="none" w:sz="0" w:space="0" w:color="auto"/>
                        <w:left w:val="none" w:sz="0" w:space="0" w:color="auto"/>
                        <w:bottom w:val="none" w:sz="0" w:space="0" w:color="auto"/>
                        <w:right w:val="none" w:sz="0" w:space="0" w:color="auto"/>
                      </w:divBdr>
                      <w:divsChild>
                        <w:div w:id="1110784032">
                          <w:marLeft w:val="0"/>
                          <w:marRight w:val="0"/>
                          <w:marTop w:val="0"/>
                          <w:marBottom w:val="0"/>
                          <w:divBdr>
                            <w:top w:val="none" w:sz="0" w:space="0" w:color="auto"/>
                            <w:left w:val="none" w:sz="0" w:space="0" w:color="auto"/>
                            <w:bottom w:val="none" w:sz="0" w:space="0" w:color="auto"/>
                            <w:right w:val="none" w:sz="0" w:space="0" w:color="auto"/>
                          </w:divBdr>
                          <w:divsChild>
                            <w:div w:id="200241929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20169289">
      <w:bodyDiv w:val="1"/>
      <w:marLeft w:val="0"/>
      <w:marRight w:val="0"/>
      <w:marTop w:val="0"/>
      <w:marBottom w:val="0"/>
      <w:divBdr>
        <w:top w:val="none" w:sz="0" w:space="0" w:color="auto"/>
        <w:left w:val="none" w:sz="0" w:space="0" w:color="auto"/>
        <w:bottom w:val="none" w:sz="0" w:space="0" w:color="auto"/>
        <w:right w:val="none" w:sz="0" w:space="0" w:color="auto"/>
      </w:divBdr>
    </w:div>
    <w:div w:id="1220631538">
      <w:bodyDiv w:val="1"/>
      <w:marLeft w:val="0"/>
      <w:marRight w:val="0"/>
      <w:marTop w:val="0"/>
      <w:marBottom w:val="0"/>
      <w:divBdr>
        <w:top w:val="none" w:sz="0" w:space="0" w:color="auto"/>
        <w:left w:val="none" w:sz="0" w:space="0" w:color="auto"/>
        <w:bottom w:val="none" w:sz="0" w:space="0" w:color="auto"/>
        <w:right w:val="none" w:sz="0" w:space="0" w:color="auto"/>
      </w:divBdr>
    </w:div>
    <w:div w:id="1224028539">
      <w:bodyDiv w:val="1"/>
      <w:marLeft w:val="0"/>
      <w:marRight w:val="0"/>
      <w:marTop w:val="0"/>
      <w:marBottom w:val="0"/>
      <w:divBdr>
        <w:top w:val="none" w:sz="0" w:space="0" w:color="auto"/>
        <w:left w:val="none" w:sz="0" w:space="0" w:color="auto"/>
        <w:bottom w:val="none" w:sz="0" w:space="0" w:color="auto"/>
        <w:right w:val="none" w:sz="0" w:space="0" w:color="auto"/>
      </w:divBdr>
    </w:div>
    <w:div w:id="1226797282">
      <w:bodyDiv w:val="1"/>
      <w:marLeft w:val="0"/>
      <w:marRight w:val="0"/>
      <w:marTop w:val="0"/>
      <w:marBottom w:val="0"/>
      <w:divBdr>
        <w:top w:val="single" w:sz="2" w:space="0" w:color="CC3640"/>
        <w:left w:val="none" w:sz="0" w:space="0" w:color="auto"/>
        <w:bottom w:val="none" w:sz="0" w:space="0" w:color="auto"/>
        <w:right w:val="none" w:sz="0" w:space="0" w:color="auto"/>
      </w:divBdr>
      <w:divsChild>
        <w:div w:id="2143231720">
          <w:marLeft w:val="0"/>
          <w:marRight w:val="0"/>
          <w:marTop w:val="0"/>
          <w:marBottom w:val="0"/>
          <w:divBdr>
            <w:top w:val="single" w:sz="2" w:space="0" w:color="FF0000"/>
            <w:left w:val="single" w:sz="2" w:space="0" w:color="FF0000"/>
            <w:bottom w:val="single" w:sz="2" w:space="0" w:color="FF0000"/>
            <w:right w:val="single" w:sz="2" w:space="0" w:color="FF0000"/>
          </w:divBdr>
          <w:divsChild>
            <w:div w:id="1865704451">
              <w:marLeft w:val="0"/>
              <w:marRight w:val="0"/>
              <w:marTop w:val="0"/>
              <w:marBottom w:val="0"/>
              <w:divBdr>
                <w:top w:val="none" w:sz="0" w:space="0" w:color="auto"/>
                <w:left w:val="single" w:sz="6" w:space="0" w:color="DDDDDD"/>
                <w:bottom w:val="none" w:sz="0" w:space="0" w:color="auto"/>
                <w:right w:val="none" w:sz="0" w:space="0" w:color="auto"/>
              </w:divBdr>
              <w:divsChild>
                <w:div w:id="117377578">
                  <w:marLeft w:val="0"/>
                  <w:marRight w:val="0"/>
                  <w:marTop w:val="0"/>
                  <w:marBottom w:val="0"/>
                  <w:divBdr>
                    <w:top w:val="single" w:sz="2" w:space="0" w:color="008000"/>
                    <w:left w:val="single" w:sz="2" w:space="0" w:color="008000"/>
                    <w:bottom w:val="single" w:sz="2" w:space="0" w:color="008000"/>
                    <w:right w:val="single" w:sz="2" w:space="0" w:color="008000"/>
                  </w:divBdr>
                  <w:divsChild>
                    <w:div w:id="1162888117">
                      <w:marLeft w:val="0"/>
                      <w:marRight w:val="0"/>
                      <w:marTop w:val="0"/>
                      <w:marBottom w:val="0"/>
                      <w:divBdr>
                        <w:top w:val="none" w:sz="0" w:space="0" w:color="auto"/>
                        <w:left w:val="none" w:sz="0" w:space="0" w:color="auto"/>
                        <w:bottom w:val="none" w:sz="0" w:space="0" w:color="auto"/>
                        <w:right w:val="none" w:sz="0" w:space="0" w:color="auto"/>
                      </w:divBdr>
                      <w:divsChild>
                        <w:div w:id="1310941559">
                          <w:marLeft w:val="0"/>
                          <w:marRight w:val="0"/>
                          <w:marTop w:val="0"/>
                          <w:marBottom w:val="0"/>
                          <w:divBdr>
                            <w:top w:val="none" w:sz="0" w:space="0" w:color="auto"/>
                            <w:left w:val="none" w:sz="0" w:space="0" w:color="auto"/>
                            <w:bottom w:val="none" w:sz="0" w:space="0" w:color="auto"/>
                            <w:right w:val="none" w:sz="0" w:space="0" w:color="auto"/>
                          </w:divBdr>
                          <w:divsChild>
                            <w:div w:id="709864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32236728">
      <w:bodyDiv w:val="1"/>
      <w:marLeft w:val="0"/>
      <w:marRight w:val="0"/>
      <w:marTop w:val="0"/>
      <w:marBottom w:val="0"/>
      <w:divBdr>
        <w:top w:val="single" w:sz="2" w:space="0" w:color="CC3640"/>
        <w:left w:val="none" w:sz="0" w:space="0" w:color="auto"/>
        <w:bottom w:val="none" w:sz="0" w:space="0" w:color="auto"/>
        <w:right w:val="none" w:sz="0" w:space="0" w:color="auto"/>
      </w:divBdr>
      <w:divsChild>
        <w:div w:id="1583880486">
          <w:marLeft w:val="0"/>
          <w:marRight w:val="0"/>
          <w:marTop w:val="0"/>
          <w:marBottom w:val="0"/>
          <w:divBdr>
            <w:top w:val="single" w:sz="2" w:space="0" w:color="FF0000"/>
            <w:left w:val="single" w:sz="2" w:space="0" w:color="FF0000"/>
            <w:bottom w:val="single" w:sz="2" w:space="0" w:color="FF0000"/>
            <w:right w:val="single" w:sz="2" w:space="0" w:color="FF0000"/>
          </w:divBdr>
          <w:divsChild>
            <w:div w:id="237830193">
              <w:marLeft w:val="0"/>
              <w:marRight w:val="0"/>
              <w:marTop w:val="0"/>
              <w:marBottom w:val="0"/>
              <w:divBdr>
                <w:top w:val="none" w:sz="0" w:space="0" w:color="auto"/>
                <w:left w:val="single" w:sz="6" w:space="0" w:color="DDDDDD"/>
                <w:bottom w:val="none" w:sz="0" w:space="0" w:color="auto"/>
                <w:right w:val="none" w:sz="0" w:space="0" w:color="auto"/>
              </w:divBdr>
              <w:divsChild>
                <w:div w:id="463355742">
                  <w:marLeft w:val="0"/>
                  <w:marRight w:val="0"/>
                  <w:marTop w:val="0"/>
                  <w:marBottom w:val="0"/>
                  <w:divBdr>
                    <w:top w:val="single" w:sz="2" w:space="0" w:color="008000"/>
                    <w:left w:val="single" w:sz="2" w:space="0" w:color="008000"/>
                    <w:bottom w:val="single" w:sz="2" w:space="0" w:color="008000"/>
                    <w:right w:val="single" w:sz="2" w:space="0" w:color="008000"/>
                  </w:divBdr>
                  <w:divsChild>
                    <w:div w:id="1743137025">
                      <w:marLeft w:val="0"/>
                      <w:marRight w:val="0"/>
                      <w:marTop w:val="0"/>
                      <w:marBottom w:val="0"/>
                      <w:divBdr>
                        <w:top w:val="none" w:sz="0" w:space="0" w:color="auto"/>
                        <w:left w:val="none" w:sz="0" w:space="0" w:color="auto"/>
                        <w:bottom w:val="none" w:sz="0" w:space="0" w:color="auto"/>
                        <w:right w:val="none" w:sz="0" w:space="0" w:color="auto"/>
                      </w:divBdr>
                      <w:divsChild>
                        <w:div w:id="157622277">
                          <w:marLeft w:val="0"/>
                          <w:marRight w:val="0"/>
                          <w:marTop w:val="0"/>
                          <w:marBottom w:val="0"/>
                          <w:divBdr>
                            <w:top w:val="none" w:sz="0" w:space="0" w:color="auto"/>
                            <w:left w:val="none" w:sz="0" w:space="0" w:color="auto"/>
                            <w:bottom w:val="none" w:sz="0" w:space="0" w:color="auto"/>
                            <w:right w:val="none" w:sz="0" w:space="0" w:color="auto"/>
                          </w:divBdr>
                          <w:divsChild>
                            <w:div w:id="33661802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82688180">
      <w:bodyDiv w:val="1"/>
      <w:marLeft w:val="0"/>
      <w:marRight w:val="0"/>
      <w:marTop w:val="0"/>
      <w:marBottom w:val="0"/>
      <w:divBdr>
        <w:top w:val="none" w:sz="0" w:space="0" w:color="auto"/>
        <w:left w:val="none" w:sz="0" w:space="0" w:color="auto"/>
        <w:bottom w:val="none" w:sz="0" w:space="0" w:color="auto"/>
        <w:right w:val="none" w:sz="0" w:space="0" w:color="auto"/>
      </w:divBdr>
    </w:div>
    <w:div w:id="1290470808">
      <w:bodyDiv w:val="1"/>
      <w:marLeft w:val="0"/>
      <w:marRight w:val="0"/>
      <w:marTop w:val="0"/>
      <w:marBottom w:val="0"/>
      <w:divBdr>
        <w:top w:val="single" w:sz="2" w:space="0" w:color="CC3640"/>
        <w:left w:val="none" w:sz="0" w:space="0" w:color="auto"/>
        <w:bottom w:val="none" w:sz="0" w:space="0" w:color="auto"/>
        <w:right w:val="none" w:sz="0" w:space="0" w:color="auto"/>
      </w:divBdr>
      <w:divsChild>
        <w:div w:id="905264761">
          <w:marLeft w:val="0"/>
          <w:marRight w:val="0"/>
          <w:marTop w:val="0"/>
          <w:marBottom w:val="0"/>
          <w:divBdr>
            <w:top w:val="single" w:sz="2" w:space="0" w:color="FF0000"/>
            <w:left w:val="single" w:sz="2" w:space="0" w:color="FF0000"/>
            <w:bottom w:val="single" w:sz="2" w:space="0" w:color="FF0000"/>
            <w:right w:val="single" w:sz="2" w:space="0" w:color="FF0000"/>
          </w:divBdr>
          <w:divsChild>
            <w:div w:id="1791168828">
              <w:marLeft w:val="0"/>
              <w:marRight w:val="0"/>
              <w:marTop w:val="0"/>
              <w:marBottom w:val="0"/>
              <w:divBdr>
                <w:top w:val="none" w:sz="0" w:space="0" w:color="auto"/>
                <w:left w:val="single" w:sz="6" w:space="0" w:color="DDDDDD"/>
                <w:bottom w:val="none" w:sz="0" w:space="0" w:color="auto"/>
                <w:right w:val="none" w:sz="0" w:space="0" w:color="auto"/>
              </w:divBdr>
              <w:divsChild>
                <w:div w:id="1854757086">
                  <w:marLeft w:val="0"/>
                  <w:marRight w:val="0"/>
                  <w:marTop w:val="0"/>
                  <w:marBottom w:val="0"/>
                  <w:divBdr>
                    <w:top w:val="single" w:sz="2" w:space="0" w:color="008000"/>
                    <w:left w:val="single" w:sz="2" w:space="0" w:color="008000"/>
                    <w:bottom w:val="single" w:sz="2" w:space="0" w:color="008000"/>
                    <w:right w:val="single" w:sz="2" w:space="0" w:color="008000"/>
                  </w:divBdr>
                  <w:divsChild>
                    <w:div w:id="1883710052">
                      <w:marLeft w:val="0"/>
                      <w:marRight w:val="0"/>
                      <w:marTop w:val="0"/>
                      <w:marBottom w:val="0"/>
                      <w:divBdr>
                        <w:top w:val="none" w:sz="0" w:space="0" w:color="auto"/>
                        <w:left w:val="none" w:sz="0" w:space="0" w:color="auto"/>
                        <w:bottom w:val="none" w:sz="0" w:space="0" w:color="auto"/>
                        <w:right w:val="none" w:sz="0" w:space="0" w:color="auto"/>
                      </w:divBdr>
                      <w:divsChild>
                        <w:div w:id="1118329785">
                          <w:marLeft w:val="0"/>
                          <w:marRight w:val="0"/>
                          <w:marTop w:val="0"/>
                          <w:marBottom w:val="0"/>
                          <w:divBdr>
                            <w:top w:val="none" w:sz="0" w:space="0" w:color="auto"/>
                            <w:left w:val="none" w:sz="0" w:space="0" w:color="auto"/>
                            <w:bottom w:val="none" w:sz="0" w:space="0" w:color="auto"/>
                            <w:right w:val="none" w:sz="0" w:space="0" w:color="auto"/>
                          </w:divBdr>
                          <w:divsChild>
                            <w:div w:id="124788308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93437835">
      <w:bodyDiv w:val="1"/>
      <w:marLeft w:val="0"/>
      <w:marRight w:val="0"/>
      <w:marTop w:val="0"/>
      <w:marBottom w:val="0"/>
      <w:divBdr>
        <w:top w:val="none" w:sz="0" w:space="0" w:color="auto"/>
        <w:left w:val="none" w:sz="0" w:space="0" w:color="auto"/>
        <w:bottom w:val="none" w:sz="0" w:space="0" w:color="auto"/>
        <w:right w:val="none" w:sz="0" w:space="0" w:color="auto"/>
      </w:divBdr>
      <w:divsChild>
        <w:div w:id="386151683">
          <w:marLeft w:val="0"/>
          <w:marRight w:val="0"/>
          <w:marTop w:val="0"/>
          <w:marBottom w:val="0"/>
          <w:divBdr>
            <w:top w:val="none" w:sz="0" w:space="0" w:color="auto"/>
            <w:left w:val="none" w:sz="0" w:space="0" w:color="auto"/>
            <w:bottom w:val="none" w:sz="0" w:space="0" w:color="auto"/>
            <w:right w:val="none" w:sz="0" w:space="0" w:color="auto"/>
          </w:divBdr>
          <w:divsChild>
            <w:div w:id="866990495">
              <w:marLeft w:val="0"/>
              <w:marRight w:val="0"/>
              <w:marTop w:val="0"/>
              <w:marBottom w:val="0"/>
              <w:divBdr>
                <w:top w:val="none" w:sz="0" w:space="0" w:color="auto"/>
                <w:left w:val="none" w:sz="0" w:space="0" w:color="auto"/>
                <w:bottom w:val="none" w:sz="0" w:space="0" w:color="auto"/>
                <w:right w:val="none" w:sz="0" w:space="0" w:color="auto"/>
              </w:divBdr>
            </w:div>
          </w:divsChild>
        </w:div>
        <w:div w:id="753356334">
          <w:marLeft w:val="0"/>
          <w:marRight w:val="0"/>
          <w:marTop w:val="0"/>
          <w:marBottom w:val="120"/>
          <w:divBdr>
            <w:top w:val="none" w:sz="0" w:space="0" w:color="auto"/>
            <w:left w:val="none" w:sz="0" w:space="0" w:color="auto"/>
            <w:bottom w:val="none" w:sz="0" w:space="0" w:color="auto"/>
            <w:right w:val="none" w:sz="0" w:space="0" w:color="auto"/>
          </w:divBdr>
          <w:divsChild>
            <w:div w:id="2039623928">
              <w:marLeft w:val="0"/>
              <w:marRight w:val="0"/>
              <w:marTop w:val="0"/>
              <w:marBottom w:val="0"/>
              <w:divBdr>
                <w:top w:val="none" w:sz="0" w:space="0" w:color="auto"/>
                <w:left w:val="none" w:sz="0" w:space="0" w:color="auto"/>
                <w:bottom w:val="none" w:sz="0" w:space="0" w:color="auto"/>
                <w:right w:val="none" w:sz="0" w:space="0" w:color="auto"/>
              </w:divBdr>
            </w:div>
          </w:divsChild>
        </w:div>
        <w:div w:id="1077484778">
          <w:marLeft w:val="0"/>
          <w:marRight w:val="0"/>
          <w:marTop w:val="0"/>
          <w:marBottom w:val="0"/>
          <w:divBdr>
            <w:top w:val="none" w:sz="0" w:space="0" w:color="auto"/>
            <w:left w:val="none" w:sz="0" w:space="0" w:color="auto"/>
            <w:bottom w:val="none" w:sz="0" w:space="0" w:color="auto"/>
            <w:right w:val="none" w:sz="0" w:space="0" w:color="auto"/>
          </w:divBdr>
          <w:divsChild>
            <w:div w:id="670715157">
              <w:marLeft w:val="0"/>
              <w:marRight w:val="0"/>
              <w:marTop w:val="0"/>
              <w:marBottom w:val="0"/>
              <w:divBdr>
                <w:top w:val="none" w:sz="0" w:space="0" w:color="auto"/>
                <w:left w:val="none" w:sz="0" w:space="0" w:color="auto"/>
                <w:bottom w:val="none" w:sz="0" w:space="0" w:color="auto"/>
                <w:right w:val="none" w:sz="0" w:space="0" w:color="auto"/>
              </w:divBdr>
            </w:div>
          </w:divsChild>
        </w:div>
        <w:div w:id="1650357574">
          <w:marLeft w:val="0"/>
          <w:marRight w:val="0"/>
          <w:marTop w:val="0"/>
          <w:marBottom w:val="240"/>
          <w:divBdr>
            <w:top w:val="none" w:sz="0" w:space="0" w:color="auto"/>
            <w:left w:val="none" w:sz="0" w:space="0" w:color="auto"/>
            <w:bottom w:val="none" w:sz="0" w:space="0" w:color="auto"/>
            <w:right w:val="none" w:sz="0" w:space="0" w:color="auto"/>
          </w:divBdr>
        </w:div>
        <w:div w:id="1936286697">
          <w:marLeft w:val="0"/>
          <w:marRight w:val="0"/>
          <w:marTop w:val="0"/>
          <w:marBottom w:val="0"/>
          <w:divBdr>
            <w:top w:val="none" w:sz="0" w:space="0" w:color="auto"/>
            <w:left w:val="none" w:sz="0" w:space="0" w:color="auto"/>
            <w:bottom w:val="none" w:sz="0" w:space="0" w:color="auto"/>
            <w:right w:val="none" w:sz="0" w:space="0" w:color="auto"/>
          </w:divBdr>
        </w:div>
      </w:divsChild>
    </w:div>
    <w:div w:id="1327054126">
      <w:bodyDiv w:val="1"/>
      <w:marLeft w:val="0"/>
      <w:marRight w:val="0"/>
      <w:marTop w:val="0"/>
      <w:marBottom w:val="0"/>
      <w:divBdr>
        <w:top w:val="single" w:sz="2" w:space="0" w:color="CC3640"/>
        <w:left w:val="none" w:sz="0" w:space="0" w:color="auto"/>
        <w:bottom w:val="none" w:sz="0" w:space="0" w:color="auto"/>
        <w:right w:val="none" w:sz="0" w:space="0" w:color="auto"/>
      </w:divBdr>
      <w:divsChild>
        <w:div w:id="520046899">
          <w:marLeft w:val="0"/>
          <w:marRight w:val="0"/>
          <w:marTop w:val="0"/>
          <w:marBottom w:val="0"/>
          <w:divBdr>
            <w:top w:val="single" w:sz="2" w:space="0" w:color="FF0000"/>
            <w:left w:val="single" w:sz="2" w:space="0" w:color="FF0000"/>
            <w:bottom w:val="single" w:sz="2" w:space="0" w:color="FF0000"/>
            <w:right w:val="single" w:sz="2" w:space="0" w:color="FF0000"/>
          </w:divBdr>
          <w:divsChild>
            <w:div w:id="340160781">
              <w:marLeft w:val="0"/>
              <w:marRight w:val="0"/>
              <w:marTop w:val="0"/>
              <w:marBottom w:val="0"/>
              <w:divBdr>
                <w:top w:val="none" w:sz="0" w:space="0" w:color="auto"/>
                <w:left w:val="single" w:sz="6" w:space="0" w:color="DDDDDD"/>
                <w:bottom w:val="none" w:sz="0" w:space="0" w:color="auto"/>
                <w:right w:val="none" w:sz="0" w:space="0" w:color="auto"/>
              </w:divBdr>
              <w:divsChild>
                <w:div w:id="818762728">
                  <w:marLeft w:val="0"/>
                  <w:marRight w:val="0"/>
                  <w:marTop w:val="0"/>
                  <w:marBottom w:val="0"/>
                  <w:divBdr>
                    <w:top w:val="single" w:sz="2" w:space="0" w:color="008000"/>
                    <w:left w:val="single" w:sz="2" w:space="0" w:color="008000"/>
                    <w:bottom w:val="single" w:sz="2" w:space="0" w:color="008000"/>
                    <w:right w:val="single" w:sz="2" w:space="0" w:color="008000"/>
                  </w:divBdr>
                  <w:divsChild>
                    <w:div w:id="1909530457">
                      <w:marLeft w:val="0"/>
                      <w:marRight w:val="0"/>
                      <w:marTop w:val="0"/>
                      <w:marBottom w:val="0"/>
                      <w:divBdr>
                        <w:top w:val="none" w:sz="0" w:space="0" w:color="auto"/>
                        <w:left w:val="none" w:sz="0" w:space="0" w:color="auto"/>
                        <w:bottom w:val="none" w:sz="0" w:space="0" w:color="auto"/>
                        <w:right w:val="none" w:sz="0" w:space="0" w:color="auto"/>
                      </w:divBdr>
                      <w:divsChild>
                        <w:div w:id="1315375895">
                          <w:marLeft w:val="0"/>
                          <w:marRight w:val="0"/>
                          <w:marTop w:val="0"/>
                          <w:marBottom w:val="0"/>
                          <w:divBdr>
                            <w:top w:val="none" w:sz="0" w:space="0" w:color="auto"/>
                            <w:left w:val="none" w:sz="0" w:space="0" w:color="auto"/>
                            <w:bottom w:val="none" w:sz="0" w:space="0" w:color="auto"/>
                            <w:right w:val="none" w:sz="0" w:space="0" w:color="auto"/>
                          </w:divBdr>
                          <w:divsChild>
                            <w:div w:id="64397099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343431011">
      <w:bodyDiv w:val="1"/>
      <w:marLeft w:val="0"/>
      <w:marRight w:val="0"/>
      <w:marTop w:val="0"/>
      <w:marBottom w:val="0"/>
      <w:divBdr>
        <w:top w:val="none" w:sz="0" w:space="0" w:color="auto"/>
        <w:left w:val="none" w:sz="0" w:space="0" w:color="auto"/>
        <w:bottom w:val="none" w:sz="0" w:space="0" w:color="auto"/>
        <w:right w:val="none" w:sz="0" w:space="0" w:color="auto"/>
      </w:divBdr>
      <w:divsChild>
        <w:div w:id="842669627">
          <w:marLeft w:val="0"/>
          <w:marRight w:val="0"/>
          <w:marTop w:val="0"/>
          <w:marBottom w:val="0"/>
          <w:divBdr>
            <w:top w:val="none" w:sz="0" w:space="0" w:color="auto"/>
            <w:left w:val="none" w:sz="0" w:space="0" w:color="auto"/>
            <w:bottom w:val="none" w:sz="0" w:space="0" w:color="auto"/>
            <w:right w:val="none" w:sz="0" w:space="0" w:color="auto"/>
          </w:divBdr>
        </w:div>
      </w:divsChild>
    </w:div>
    <w:div w:id="1349018939">
      <w:bodyDiv w:val="1"/>
      <w:marLeft w:val="0"/>
      <w:marRight w:val="0"/>
      <w:marTop w:val="0"/>
      <w:marBottom w:val="0"/>
      <w:divBdr>
        <w:top w:val="none" w:sz="0" w:space="0" w:color="auto"/>
        <w:left w:val="none" w:sz="0" w:space="0" w:color="auto"/>
        <w:bottom w:val="none" w:sz="0" w:space="0" w:color="auto"/>
        <w:right w:val="none" w:sz="0" w:space="0" w:color="auto"/>
      </w:divBdr>
    </w:div>
    <w:div w:id="1368599372">
      <w:bodyDiv w:val="1"/>
      <w:marLeft w:val="0"/>
      <w:marRight w:val="0"/>
      <w:marTop w:val="0"/>
      <w:marBottom w:val="0"/>
      <w:divBdr>
        <w:top w:val="single" w:sz="2" w:space="0" w:color="CC3640"/>
        <w:left w:val="none" w:sz="0" w:space="0" w:color="auto"/>
        <w:bottom w:val="none" w:sz="0" w:space="0" w:color="auto"/>
        <w:right w:val="none" w:sz="0" w:space="0" w:color="auto"/>
      </w:divBdr>
      <w:divsChild>
        <w:div w:id="528491638">
          <w:marLeft w:val="0"/>
          <w:marRight w:val="0"/>
          <w:marTop w:val="0"/>
          <w:marBottom w:val="0"/>
          <w:divBdr>
            <w:top w:val="single" w:sz="2" w:space="0" w:color="FF0000"/>
            <w:left w:val="single" w:sz="2" w:space="0" w:color="FF0000"/>
            <w:bottom w:val="single" w:sz="2" w:space="0" w:color="FF0000"/>
            <w:right w:val="single" w:sz="2" w:space="0" w:color="FF0000"/>
          </w:divBdr>
          <w:divsChild>
            <w:div w:id="993681259">
              <w:marLeft w:val="0"/>
              <w:marRight w:val="0"/>
              <w:marTop w:val="0"/>
              <w:marBottom w:val="0"/>
              <w:divBdr>
                <w:top w:val="none" w:sz="0" w:space="0" w:color="auto"/>
                <w:left w:val="single" w:sz="6" w:space="0" w:color="DDDDDD"/>
                <w:bottom w:val="none" w:sz="0" w:space="0" w:color="auto"/>
                <w:right w:val="none" w:sz="0" w:space="0" w:color="auto"/>
              </w:divBdr>
              <w:divsChild>
                <w:div w:id="1082918187">
                  <w:marLeft w:val="0"/>
                  <w:marRight w:val="0"/>
                  <w:marTop w:val="0"/>
                  <w:marBottom w:val="0"/>
                  <w:divBdr>
                    <w:top w:val="single" w:sz="2" w:space="0" w:color="008000"/>
                    <w:left w:val="single" w:sz="2" w:space="0" w:color="008000"/>
                    <w:bottom w:val="single" w:sz="2" w:space="0" w:color="008000"/>
                    <w:right w:val="single" w:sz="2" w:space="0" w:color="008000"/>
                  </w:divBdr>
                  <w:divsChild>
                    <w:div w:id="594557531">
                      <w:marLeft w:val="0"/>
                      <w:marRight w:val="0"/>
                      <w:marTop w:val="0"/>
                      <w:marBottom w:val="0"/>
                      <w:divBdr>
                        <w:top w:val="none" w:sz="0" w:space="0" w:color="auto"/>
                        <w:left w:val="none" w:sz="0" w:space="0" w:color="auto"/>
                        <w:bottom w:val="none" w:sz="0" w:space="0" w:color="auto"/>
                        <w:right w:val="none" w:sz="0" w:space="0" w:color="auto"/>
                      </w:divBdr>
                      <w:divsChild>
                        <w:div w:id="865212151">
                          <w:marLeft w:val="0"/>
                          <w:marRight w:val="0"/>
                          <w:marTop w:val="0"/>
                          <w:marBottom w:val="0"/>
                          <w:divBdr>
                            <w:top w:val="none" w:sz="0" w:space="0" w:color="auto"/>
                            <w:left w:val="none" w:sz="0" w:space="0" w:color="auto"/>
                            <w:bottom w:val="none" w:sz="0" w:space="0" w:color="auto"/>
                            <w:right w:val="none" w:sz="0" w:space="0" w:color="auto"/>
                          </w:divBdr>
                          <w:divsChild>
                            <w:div w:id="158448373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369262971">
      <w:bodyDiv w:val="1"/>
      <w:marLeft w:val="0"/>
      <w:marRight w:val="0"/>
      <w:marTop w:val="0"/>
      <w:marBottom w:val="0"/>
      <w:divBdr>
        <w:top w:val="none" w:sz="0" w:space="0" w:color="auto"/>
        <w:left w:val="none" w:sz="0" w:space="0" w:color="auto"/>
        <w:bottom w:val="none" w:sz="0" w:space="0" w:color="auto"/>
        <w:right w:val="none" w:sz="0" w:space="0" w:color="auto"/>
      </w:divBdr>
    </w:div>
    <w:div w:id="1380129178">
      <w:bodyDiv w:val="1"/>
      <w:marLeft w:val="0"/>
      <w:marRight w:val="0"/>
      <w:marTop w:val="0"/>
      <w:marBottom w:val="0"/>
      <w:divBdr>
        <w:top w:val="none" w:sz="0" w:space="0" w:color="auto"/>
        <w:left w:val="none" w:sz="0" w:space="0" w:color="auto"/>
        <w:bottom w:val="none" w:sz="0" w:space="0" w:color="auto"/>
        <w:right w:val="none" w:sz="0" w:space="0" w:color="auto"/>
      </w:divBdr>
    </w:div>
    <w:div w:id="1395466473">
      <w:bodyDiv w:val="1"/>
      <w:marLeft w:val="0"/>
      <w:marRight w:val="0"/>
      <w:marTop w:val="0"/>
      <w:marBottom w:val="0"/>
      <w:divBdr>
        <w:top w:val="none" w:sz="0" w:space="0" w:color="auto"/>
        <w:left w:val="none" w:sz="0" w:space="0" w:color="auto"/>
        <w:bottom w:val="none" w:sz="0" w:space="0" w:color="auto"/>
        <w:right w:val="none" w:sz="0" w:space="0" w:color="auto"/>
      </w:divBdr>
    </w:div>
    <w:div w:id="1399593616">
      <w:bodyDiv w:val="1"/>
      <w:marLeft w:val="0"/>
      <w:marRight w:val="0"/>
      <w:marTop w:val="0"/>
      <w:marBottom w:val="0"/>
      <w:divBdr>
        <w:top w:val="none" w:sz="0" w:space="0" w:color="auto"/>
        <w:left w:val="none" w:sz="0" w:space="0" w:color="auto"/>
        <w:bottom w:val="none" w:sz="0" w:space="0" w:color="auto"/>
        <w:right w:val="none" w:sz="0" w:space="0" w:color="auto"/>
      </w:divBdr>
    </w:div>
    <w:div w:id="1399668280">
      <w:bodyDiv w:val="1"/>
      <w:marLeft w:val="0"/>
      <w:marRight w:val="0"/>
      <w:marTop w:val="0"/>
      <w:marBottom w:val="0"/>
      <w:divBdr>
        <w:top w:val="none" w:sz="0" w:space="0" w:color="auto"/>
        <w:left w:val="none" w:sz="0" w:space="0" w:color="auto"/>
        <w:bottom w:val="none" w:sz="0" w:space="0" w:color="auto"/>
        <w:right w:val="none" w:sz="0" w:space="0" w:color="auto"/>
      </w:divBdr>
    </w:div>
    <w:div w:id="1428888228">
      <w:bodyDiv w:val="1"/>
      <w:marLeft w:val="0"/>
      <w:marRight w:val="0"/>
      <w:marTop w:val="0"/>
      <w:marBottom w:val="0"/>
      <w:divBdr>
        <w:top w:val="none" w:sz="0" w:space="0" w:color="auto"/>
        <w:left w:val="none" w:sz="0" w:space="0" w:color="auto"/>
        <w:bottom w:val="none" w:sz="0" w:space="0" w:color="auto"/>
        <w:right w:val="none" w:sz="0" w:space="0" w:color="auto"/>
      </w:divBdr>
    </w:div>
    <w:div w:id="1438327914">
      <w:bodyDiv w:val="1"/>
      <w:marLeft w:val="0"/>
      <w:marRight w:val="0"/>
      <w:marTop w:val="0"/>
      <w:marBottom w:val="0"/>
      <w:divBdr>
        <w:top w:val="none" w:sz="0" w:space="0" w:color="auto"/>
        <w:left w:val="none" w:sz="0" w:space="0" w:color="auto"/>
        <w:bottom w:val="none" w:sz="0" w:space="0" w:color="auto"/>
        <w:right w:val="none" w:sz="0" w:space="0" w:color="auto"/>
      </w:divBdr>
    </w:div>
    <w:div w:id="1445536846">
      <w:bodyDiv w:val="1"/>
      <w:marLeft w:val="0"/>
      <w:marRight w:val="0"/>
      <w:marTop w:val="0"/>
      <w:marBottom w:val="0"/>
      <w:divBdr>
        <w:top w:val="single" w:sz="2" w:space="0" w:color="CC3640"/>
        <w:left w:val="none" w:sz="0" w:space="0" w:color="auto"/>
        <w:bottom w:val="none" w:sz="0" w:space="0" w:color="auto"/>
        <w:right w:val="none" w:sz="0" w:space="0" w:color="auto"/>
      </w:divBdr>
      <w:divsChild>
        <w:div w:id="944387528">
          <w:marLeft w:val="0"/>
          <w:marRight w:val="0"/>
          <w:marTop w:val="0"/>
          <w:marBottom w:val="0"/>
          <w:divBdr>
            <w:top w:val="single" w:sz="2" w:space="0" w:color="FF0000"/>
            <w:left w:val="single" w:sz="2" w:space="0" w:color="FF0000"/>
            <w:bottom w:val="single" w:sz="2" w:space="0" w:color="FF0000"/>
            <w:right w:val="single" w:sz="2" w:space="0" w:color="FF0000"/>
          </w:divBdr>
          <w:divsChild>
            <w:div w:id="978270660">
              <w:marLeft w:val="0"/>
              <w:marRight w:val="0"/>
              <w:marTop w:val="0"/>
              <w:marBottom w:val="0"/>
              <w:divBdr>
                <w:top w:val="none" w:sz="0" w:space="0" w:color="auto"/>
                <w:left w:val="single" w:sz="6" w:space="0" w:color="DDDDDD"/>
                <w:bottom w:val="none" w:sz="0" w:space="0" w:color="auto"/>
                <w:right w:val="none" w:sz="0" w:space="0" w:color="auto"/>
              </w:divBdr>
              <w:divsChild>
                <w:div w:id="1038973565">
                  <w:marLeft w:val="0"/>
                  <w:marRight w:val="0"/>
                  <w:marTop w:val="0"/>
                  <w:marBottom w:val="0"/>
                  <w:divBdr>
                    <w:top w:val="single" w:sz="2" w:space="0" w:color="008000"/>
                    <w:left w:val="single" w:sz="2" w:space="0" w:color="008000"/>
                    <w:bottom w:val="single" w:sz="2" w:space="0" w:color="008000"/>
                    <w:right w:val="single" w:sz="2" w:space="0" w:color="008000"/>
                  </w:divBdr>
                  <w:divsChild>
                    <w:div w:id="1681620492">
                      <w:marLeft w:val="0"/>
                      <w:marRight w:val="0"/>
                      <w:marTop w:val="0"/>
                      <w:marBottom w:val="0"/>
                      <w:divBdr>
                        <w:top w:val="none" w:sz="0" w:space="0" w:color="auto"/>
                        <w:left w:val="none" w:sz="0" w:space="0" w:color="auto"/>
                        <w:bottom w:val="none" w:sz="0" w:space="0" w:color="auto"/>
                        <w:right w:val="none" w:sz="0" w:space="0" w:color="auto"/>
                      </w:divBdr>
                      <w:divsChild>
                        <w:div w:id="1327128075">
                          <w:marLeft w:val="0"/>
                          <w:marRight w:val="0"/>
                          <w:marTop w:val="0"/>
                          <w:marBottom w:val="0"/>
                          <w:divBdr>
                            <w:top w:val="none" w:sz="0" w:space="0" w:color="auto"/>
                            <w:left w:val="none" w:sz="0" w:space="0" w:color="auto"/>
                            <w:bottom w:val="none" w:sz="0" w:space="0" w:color="auto"/>
                            <w:right w:val="none" w:sz="0" w:space="0" w:color="auto"/>
                          </w:divBdr>
                          <w:divsChild>
                            <w:div w:id="124603997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461849458">
      <w:bodyDiv w:val="1"/>
      <w:marLeft w:val="0"/>
      <w:marRight w:val="0"/>
      <w:marTop w:val="0"/>
      <w:marBottom w:val="0"/>
      <w:divBdr>
        <w:top w:val="single" w:sz="2" w:space="0" w:color="CC3640"/>
        <w:left w:val="none" w:sz="0" w:space="0" w:color="auto"/>
        <w:bottom w:val="none" w:sz="0" w:space="0" w:color="auto"/>
        <w:right w:val="none" w:sz="0" w:space="0" w:color="auto"/>
      </w:divBdr>
      <w:divsChild>
        <w:div w:id="628366951">
          <w:marLeft w:val="0"/>
          <w:marRight w:val="0"/>
          <w:marTop w:val="0"/>
          <w:marBottom w:val="0"/>
          <w:divBdr>
            <w:top w:val="single" w:sz="2" w:space="0" w:color="FF0000"/>
            <w:left w:val="single" w:sz="2" w:space="0" w:color="FF0000"/>
            <w:bottom w:val="single" w:sz="2" w:space="0" w:color="FF0000"/>
            <w:right w:val="single" w:sz="2" w:space="0" w:color="FF0000"/>
          </w:divBdr>
          <w:divsChild>
            <w:div w:id="2034185848">
              <w:marLeft w:val="0"/>
              <w:marRight w:val="0"/>
              <w:marTop w:val="0"/>
              <w:marBottom w:val="0"/>
              <w:divBdr>
                <w:top w:val="none" w:sz="0" w:space="0" w:color="auto"/>
                <w:left w:val="single" w:sz="6" w:space="0" w:color="DDDDDD"/>
                <w:bottom w:val="none" w:sz="0" w:space="0" w:color="auto"/>
                <w:right w:val="none" w:sz="0" w:space="0" w:color="auto"/>
              </w:divBdr>
              <w:divsChild>
                <w:div w:id="1475944950">
                  <w:marLeft w:val="0"/>
                  <w:marRight w:val="0"/>
                  <w:marTop w:val="0"/>
                  <w:marBottom w:val="0"/>
                  <w:divBdr>
                    <w:top w:val="single" w:sz="2" w:space="0" w:color="008000"/>
                    <w:left w:val="single" w:sz="2" w:space="0" w:color="008000"/>
                    <w:bottom w:val="single" w:sz="2" w:space="0" w:color="008000"/>
                    <w:right w:val="single" w:sz="2" w:space="0" w:color="008000"/>
                  </w:divBdr>
                  <w:divsChild>
                    <w:div w:id="1400976627">
                      <w:marLeft w:val="0"/>
                      <w:marRight w:val="0"/>
                      <w:marTop w:val="0"/>
                      <w:marBottom w:val="0"/>
                      <w:divBdr>
                        <w:top w:val="none" w:sz="0" w:space="0" w:color="auto"/>
                        <w:left w:val="none" w:sz="0" w:space="0" w:color="auto"/>
                        <w:bottom w:val="none" w:sz="0" w:space="0" w:color="auto"/>
                        <w:right w:val="none" w:sz="0" w:space="0" w:color="auto"/>
                      </w:divBdr>
                      <w:divsChild>
                        <w:div w:id="1592811028">
                          <w:marLeft w:val="0"/>
                          <w:marRight w:val="0"/>
                          <w:marTop w:val="0"/>
                          <w:marBottom w:val="0"/>
                          <w:divBdr>
                            <w:top w:val="none" w:sz="0" w:space="0" w:color="auto"/>
                            <w:left w:val="none" w:sz="0" w:space="0" w:color="auto"/>
                            <w:bottom w:val="none" w:sz="0" w:space="0" w:color="auto"/>
                            <w:right w:val="none" w:sz="0" w:space="0" w:color="auto"/>
                          </w:divBdr>
                          <w:divsChild>
                            <w:div w:id="92735259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509519125">
      <w:bodyDiv w:val="1"/>
      <w:marLeft w:val="0"/>
      <w:marRight w:val="0"/>
      <w:marTop w:val="0"/>
      <w:marBottom w:val="0"/>
      <w:divBdr>
        <w:top w:val="none" w:sz="0" w:space="0" w:color="auto"/>
        <w:left w:val="none" w:sz="0" w:space="0" w:color="auto"/>
        <w:bottom w:val="none" w:sz="0" w:space="0" w:color="auto"/>
        <w:right w:val="none" w:sz="0" w:space="0" w:color="auto"/>
      </w:divBdr>
    </w:div>
    <w:div w:id="1568032378">
      <w:bodyDiv w:val="1"/>
      <w:marLeft w:val="0"/>
      <w:marRight w:val="0"/>
      <w:marTop w:val="0"/>
      <w:marBottom w:val="0"/>
      <w:divBdr>
        <w:top w:val="none" w:sz="0" w:space="0" w:color="auto"/>
        <w:left w:val="none" w:sz="0" w:space="0" w:color="auto"/>
        <w:bottom w:val="none" w:sz="0" w:space="0" w:color="auto"/>
        <w:right w:val="none" w:sz="0" w:space="0" w:color="auto"/>
      </w:divBdr>
    </w:div>
    <w:div w:id="1572816184">
      <w:bodyDiv w:val="1"/>
      <w:marLeft w:val="0"/>
      <w:marRight w:val="0"/>
      <w:marTop w:val="0"/>
      <w:marBottom w:val="0"/>
      <w:divBdr>
        <w:top w:val="none" w:sz="0" w:space="0" w:color="auto"/>
        <w:left w:val="none" w:sz="0" w:space="0" w:color="auto"/>
        <w:bottom w:val="none" w:sz="0" w:space="0" w:color="auto"/>
        <w:right w:val="none" w:sz="0" w:space="0" w:color="auto"/>
      </w:divBdr>
    </w:div>
    <w:div w:id="1580140918">
      <w:bodyDiv w:val="1"/>
      <w:marLeft w:val="0"/>
      <w:marRight w:val="0"/>
      <w:marTop w:val="0"/>
      <w:marBottom w:val="0"/>
      <w:divBdr>
        <w:top w:val="none" w:sz="0" w:space="0" w:color="auto"/>
        <w:left w:val="none" w:sz="0" w:space="0" w:color="auto"/>
        <w:bottom w:val="none" w:sz="0" w:space="0" w:color="auto"/>
        <w:right w:val="none" w:sz="0" w:space="0" w:color="auto"/>
      </w:divBdr>
    </w:div>
    <w:div w:id="1607813793">
      <w:bodyDiv w:val="1"/>
      <w:marLeft w:val="0"/>
      <w:marRight w:val="0"/>
      <w:marTop w:val="0"/>
      <w:marBottom w:val="0"/>
      <w:divBdr>
        <w:top w:val="none" w:sz="0" w:space="0" w:color="auto"/>
        <w:left w:val="none" w:sz="0" w:space="0" w:color="auto"/>
        <w:bottom w:val="none" w:sz="0" w:space="0" w:color="auto"/>
        <w:right w:val="none" w:sz="0" w:space="0" w:color="auto"/>
      </w:divBdr>
    </w:div>
    <w:div w:id="1612862185">
      <w:bodyDiv w:val="1"/>
      <w:marLeft w:val="0"/>
      <w:marRight w:val="0"/>
      <w:marTop w:val="0"/>
      <w:marBottom w:val="0"/>
      <w:divBdr>
        <w:top w:val="none" w:sz="0" w:space="0" w:color="auto"/>
        <w:left w:val="none" w:sz="0" w:space="0" w:color="auto"/>
        <w:bottom w:val="none" w:sz="0" w:space="0" w:color="auto"/>
        <w:right w:val="none" w:sz="0" w:space="0" w:color="auto"/>
      </w:divBdr>
    </w:div>
    <w:div w:id="1635527091">
      <w:bodyDiv w:val="1"/>
      <w:marLeft w:val="0"/>
      <w:marRight w:val="0"/>
      <w:marTop w:val="0"/>
      <w:marBottom w:val="0"/>
      <w:divBdr>
        <w:top w:val="none" w:sz="0" w:space="0" w:color="auto"/>
        <w:left w:val="none" w:sz="0" w:space="0" w:color="auto"/>
        <w:bottom w:val="none" w:sz="0" w:space="0" w:color="auto"/>
        <w:right w:val="none" w:sz="0" w:space="0" w:color="auto"/>
      </w:divBdr>
    </w:div>
    <w:div w:id="1639339567">
      <w:bodyDiv w:val="1"/>
      <w:marLeft w:val="0"/>
      <w:marRight w:val="0"/>
      <w:marTop w:val="0"/>
      <w:marBottom w:val="0"/>
      <w:divBdr>
        <w:top w:val="none" w:sz="0" w:space="0" w:color="auto"/>
        <w:left w:val="none" w:sz="0" w:space="0" w:color="auto"/>
        <w:bottom w:val="none" w:sz="0" w:space="0" w:color="auto"/>
        <w:right w:val="none" w:sz="0" w:space="0" w:color="auto"/>
      </w:divBdr>
    </w:div>
    <w:div w:id="1653563533">
      <w:bodyDiv w:val="1"/>
      <w:marLeft w:val="0"/>
      <w:marRight w:val="0"/>
      <w:marTop w:val="0"/>
      <w:marBottom w:val="0"/>
      <w:divBdr>
        <w:top w:val="none" w:sz="0" w:space="0" w:color="auto"/>
        <w:left w:val="none" w:sz="0" w:space="0" w:color="auto"/>
        <w:bottom w:val="none" w:sz="0" w:space="0" w:color="auto"/>
        <w:right w:val="none" w:sz="0" w:space="0" w:color="auto"/>
      </w:divBdr>
      <w:divsChild>
        <w:div w:id="1821844635">
          <w:marLeft w:val="0"/>
          <w:marRight w:val="0"/>
          <w:marTop w:val="0"/>
          <w:marBottom w:val="0"/>
          <w:divBdr>
            <w:top w:val="none" w:sz="0" w:space="0" w:color="auto"/>
            <w:left w:val="none" w:sz="0" w:space="0" w:color="auto"/>
            <w:bottom w:val="none" w:sz="0" w:space="0" w:color="auto"/>
            <w:right w:val="none" w:sz="0" w:space="0" w:color="auto"/>
          </w:divBdr>
          <w:divsChild>
            <w:div w:id="471018925">
              <w:marLeft w:val="0"/>
              <w:marRight w:val="0"/>
              <w:marTop w:val="0"/>
              <w:marBottom w:val="360"/>
              <w:divBdr>
                <w:top w:val="none" w:sz="0" w:space="0" w:color="auto"/>
                <w:left w:val="none" w:sz="0" w:space="0" w:color="auto"/>
                <w:bottom w:val="none" w:sz="0" w:space="0" w:color="auto"/>
                <w:right w:val="none" w:sz="0" w:space="0" w:color="auto"/>
              </w:divBdr>
              <w:divsChild>
                <w:div w:id="1217398128">
                  <w:marLeft w:val="0"/>
                  <w:marRight w:val="0"/>
                  <w:marTop w:val="0"/>
                  <w:marBottom w:val="0"/>
                  <w:divBdr>
                    <w:top w:val="none" w:sz="0" w:space="0" w:color="auto"/>
                    <w:left w:val="none" w:sz="0" w:space="0" w:color="auto"/>
                    <w:bottom w:val="none" w:sz="0" w:space="0" w:color="auto"/>
                    <w:right w:val="none" w:sz="0" w:space="0" w:color="auto"/>
                  </w:divBdr>
                  <w:divsChild>
                    <w:div w:id="916135796">
                      <w:marLeft w:val="0"/>
                      <w:marRight w:val="0"/>
                      <w:marTop w:val="0"/>
                      <w:marBottom w:val="0"/>
                      <w:divBdr>
                        <w:top w:val="none" w:sz="0" w:space="0" w:color="auto"/>
                        <w:left w:val="none" w:sz="0" w:space="0" w:color="auto"/>
                        <w:bottom w:val="none" w:sz="0" w:space="0" w:color="auto"/>
                        <w:right w:val="none" w:sz="0" w:space="0" w:color="auto"/>
                      </w:divBdr>
                      <w:divsChild>
                        <w:div w:id="309137797">
                          <w:marLeft w:val="0"/>
                          <w:marRight w:val="0"/>
                          <w:marTop w:val="0"/>
                          <w:marBottom w:val="0"/>
                          <w:divBdr>
                            <w:top w:val="none" w:sz="0" w:space="0" w:color="auto"/>
                            <w:left w:val="none" w:sz="0" w:space="0" w:color="auto"/>
                            <w:bottom w:val="none" w:sz="0" w:space="0" w:color="auto"/>
                            <w:right w:val="none" w:sz="0" w:space="0" w:color="auto"/>
                          </w:divBdr>
                          <w:divsChild>
                            <w:div w:id="1262953011">
                              <w:marLeft w:val="0"/>
                              <w:marRight w:val="0"/>
                              <w:marTop w:val="0"/>
                              <w:marBottom w:val="0"/>
                              <w:divBdr>
                                <w:top w:val="none" w:sz="0" w:space="0" w:color="auto"/>
                                <w:left w:val="none" w:sz="0" w:space="0" w:color="auto"/>
                                <w:bottom w:val="none" w:sz="0" w:space="0" w:color="auto"/>
                                <w:right w:val="none" w:sz="0" w:space="0" w:color="auto"/>
                              </w:divBdr>
                              <w:divsChild>
                                <w:div w:id="2281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6834">
      <w:bodyDiv w:val="1"/>
      <w:marLeft w:val="0"/>
      <w:marRight w:val="0"/>
      <w:marTop w:val="0"/>
      <w:marBottom w:val="0"/>
      <w:divBdr>
        <w:top w:val="none" w:sz="0" w:space="0" w:color="auto"/>
        <w:left w:val="none" w:sz="0" w:space="0" w:color="auto"/>
        <w:bottom w:val="none" w:sz="0" w:space="0" w:color="auto"/>
        <w:right w:val="none" w:sz="0" w:space="0" w:color="auto"/>
      </w:divBdr>
    </w:div>
    <w:div w:id="1683126452">
      <w:bodyDiv w:val="1"/>
      <w:marLeft w:val="0"/>
      <w:marRight w:val="0"/>
      <w:marTop w:val="0"/>
      <w:marBottom w:val="0"/>
      <w:divBdr>
        <w:top w:val="single" w:sz="2" w:space="0" w:color="CC3640"/>
        <w:left w:val="none" w:sz="0" w:space="0" w:color="auto"/>
        <w:bottom w:val="none" w:sz="0" w:space="0" w:color="auto"/>
        <w:right w:val="none" w:sz="0" w:space="0" w:color="auto"/>
      </w:divBdr>
      <w:divsChild>
        <w:div w:id="1818958215">
          <w:marLeft w:val="0"/>
          <w:marRight w:val="0"/>
          <w:marTop w:val="0"/>
          <w:marBottom w:val="0"/>
          <w:divBdr>
            <w:top w:val="single" w:sz="2" w:space="0" w:color="FF0000"/>
            <w:left w:val="single" w:sz="2" w:space="0" w:color="FF0000"/>
            <w:bottom w:val="single" w:sz="2" w:space="0" w:color="FF0000"/>
            <w:right w:val="single" w:sz="2" w:space="0" w:color="FF0000"/>
          </w:divBdr>
          <w:divsChild>
            <w:div w:id="1286697614">
              <w:marLeft w:val="0"/>
              <w:marRight w:val="0"/>
              <w:marTop w:val="0"/>
              <w:marBottom w:val="0"/>
              <w:divBdr>
                <w:top w:val="none" w:sz="0" w:space="0" w:color="auto"/>
                <w:left w:val="single" w:sz="6" w:space="0" w:color="DDDDDD"/>
                <w:bottom w:val="none" w:sz="0" w:space="0" w:color="auto"/>
                <w:right w:val="none" w:sz="0" w:space="0" w:color="auto"/>
              </w:divBdr>
              <w:divsChild>
                <w:div w:id="1041586534">
                  <w:marLeft w:val="0"/>
                  <w:marRight w:val="0"/>
                  <w:marTop w:val="0"/>
                  <w:marBottom w:val="0"/>
                  <w:divBdr>
                    <w:top w:val="single" w:sz="2" w:space="0" w:color="008000"/>
                    <w:left w:val="single" w:sz="2" w:space="0" w:color="008000"/>
                    <w:bottom w:val="single" w:sz="2" w:space="0" w:color="008000"/>
                    <w:right w:val="single" w:sz="2" w:space="0" w:color="008000"/>
                  </w:divBdr>
                  <w:divsChild>
                    <w:div w:id="1833788538">
                      <w:marLeft w:val="0"/>
                      <w:marRight w:val="0"/>
                      <w:marTop w:val="0"/>
                      <w:marBottom w:val="0"/>
                      <w:divBdr>
                        <w:top w:val="none" w:sz="0" w:space="0" w:color="auto"/>
                        <w:left w:val="none" w:sz="0" w:space="0" w:color="auto"/>
                        <w:bottom w:val="none" w:sz="0" w:space="0" w:color="auto"/>
                        <w:right w:val="none" w:sz="0" w:space="0" w:color="auto"/>
                      </w:divBdr>
                      <w:divsChild>
                        <w:div w:id="1229733592">
                          <w:marLeft w:val="0"/>
                          <w:marRight w:val="0"/>
                          <w:marTop w:val="0"/>
                          <w:marBottom w:val="0"/>
                          <w:divBdr>
                            <w:top w:val="none" w:sz="0" w:space="0" w:color="auto"/>
                            <w:left w:val="none" w:sz="0" w:space="0" w:color="auto"/>
                            <w:bottom w:val="none" w:sz="0" w:space="0" w:color="auto"/>
                            <w:right w:val="none" w:sz="0" w:space="0" w:color="auto"/>
                          </w:divBdr>
                          <w:divsChild>
                            <w:div w:id="190672466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745638310">
      <w:bodyDiv w:val="1"/>
      <w:marLeft w:val="0"/>
      <w:marRight w:val="0"/>
      <w:marTop w:val="0"/>
      <w:marBottom w:val="0"/>
      <w:divBdr>
        <w:top w:val="none" w:sz="0" w:space="0" w:color="auto"/>
        <w:left w:val="none" w:sz="0" w:space="0" w:color="auto"/>
        <w:bottom w:val="none" w:sz="0" w:space="0" w:color="auto"/>
        <w:right w:val="none" w:sz="0" w:space="0" w:color="auto"/>
      </w:divBdr>
    </w:div>
    <w:div w:id="1752462613">
      <w:bodyDiv w:val="1"/>
      <w:marLeft w:val="0"/>
      <w:marRight w:val="0"/>
      <w:marTop w:val="0"/>
      <w:marBottom w:val="0"/>
      <w:divBdr>
        <w:top w:val="none" w:sz="0" w:space="0" w:color="auto"/>
        <w:left w:val="none" w:sz="0" w:space="0" w:color="auto"/>
        <w:bottom w:val="none" w:sz="0" w:space="0" w:color="auto"/>
        <w:right w:val="none" w:sz="0" w:space="0" w:color="auto"/>
      </w:divBdr>
    </w:div>
    <w:div w:id="1766879534">
      <w:bodyDiv w:val="1"/>
      <w:marLeft w:val="0"/>
      <w:marRight w:val="0"/>
      <w:marTop w:val="0"/>
      <w:marBottom w:val="0"/>
      <w:divBdr>
        <w:top w:val="none" w:sz="0" w:space="0" w:color="auto"/>
        <w:left w:val="none" w:sz="0" w:space="0" w:color="auto"/>
        <w:bottom w:val="none" w:sz="0" w:space="0" w:color="auto"/>
        <w:right w:val="none" w:sz="0" w:space="0" w:color="auto"/>
      </w:divBdr>
      <w:divsChild>
        <w:div w:id="1857771015">
          <w:marLeft w:val="0"/>
          <w:marRight w:val="0"/>
          <w:marTop w:val="0"/>
          <w:marBottom w:val="0"/>
          <w:divBdr>
            <w:top w:val="none" w:sz="0" w:space="0" w:color="auto"/>
            <w:left w:val="none" w:sz="0" w:space="0" w:color="auto"/>
            <w:bottom w:val="none" w:sz="0" w:space="0" w:color="auto"/>
            <w:right w:val="none" w:sz="0" w:space="0" w:color="auto"/>
          </w:divBdr>
          <w:divsChild>
            <w:div w:id="280303640">
              <w:marLeft w:val="0"/>
              <w:marRight w:val="0"/>
              <w:marTop w:val="0"/>
              <w:marBottom w:val="0"/>
              <w:divBdr>
                <w:top w:val="none" w:sz="0" w:space="0" w:color="auto"/>
                <w:left w:val="none" w:sz="0" w:space="0" w:color="auto"/>
                <w:bottom w:val="none" w:sz="0" w:space="0" w:color="auto"/>
                <w:right w:val="none" w:sz="0" w:space="0" w:color="auto"/>
              </w:divBdr>
              <w:divsChild>
                <w:div w:id="4695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533">
          <w:marLeft w:val="0"/>
          <w:marRight w:val="0"/>
          <w:marTop w:val="0"/>
          <w:marBottom w:val="0"/>
          <w:divBdr>
            <w:top w:val="none" w:sz="0" w:space="0" w:color="auto"/>
            <w:left w:val="none" w:sz="0" w:space="0" w:color="auto"/>
            <w:bottom w:val="none" w:sz="0" w:space="0" w:color="auto"/>
            <w:right w:val="none" w:sz="0" w:space="0" w:color="auto"/>
          </w:divBdr>
          <w:divsChild>
            <w:div w:id="1340424993">
              <w:marLeft w:val="0"/>
              <w:marRight w:val="0"/>
              <w:marTop w:val="0"/>
              <w:marBottom w:val="0"/>
              <w:divBdr>
                <w:top w:val="none" w:sz="0" w:space="0" w:color="auto"/>
                <w:left w:val="none" w:sz="0" w:space="0" w:color="auto"/>
                <w:bottom w:val="none" w:sz="0" w:space="0" w:color="auto"/>
                <w:right w:val="none" w:sz="0" w:space="0" w:color="auto"/>
              </w:divBdr>
              <w:divsChild>
                <w:div w:id="7486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07904">
      <w:bodyDiv w:val="1"/>
      <w:marLeft w:val="0"/>
      <w:marRight w:val="0"/>
      <w:marTop w:val="0"/>
      <w:marBottom w:val="0"/>
      <w:divBdr>
        <w:top w:val="none" w:sz="0" w:space="0" w:color="auto"/>
        <w:left w:val="none" w:sz="0" w:space="0" w:color="auto"/>
        <w:bottom w:val="none" w:sz="0" w:space="0" w:color="auto"/>
        <w:right w:val="none" w:sz="0" w:space="0" w:color="auto"/>
      </w:divBdr>
    </w:div>
    <w:div w:id="1785342163">
      <w:bodyDiv w:val="1"/>
      <w:marLeft w:val="0"/>
      <w:marRight w:val="0"/>
      <w:marTop w:val="0"/>
      <w:marBottom w:val="0"/>
      <w:divBdr>
        <w:top w:val="none" w:sz="0" w:space="0" w:color="auto"/>
        <w:left w:val="none" w:sz="0" w:space="0" w:color="auto"/>
        <w:bottom w:val="none" w:sz="0" w:space="0" w:color="auto"/>
        <w:right w:val="none" w:sz="0" w:space="0" w:color="auto"/>
      </w:divBdr>
      <w:divsChild>
        <w:div w:id="1122266796">
          <w:marLeft w:val="0"/>
          <w:marRight w:val="0"/>
          <w:marTop w:val="0"/>
          <w:marBottom w:val="0"/>
          <w:divBdr>
            <w:top w:val="none" w:sz="0" w:space="0" w:color="auto"/>
            <w:left w:val="none" w:sz="0" w:space="0" w:color="auto"/>
            <w:bottom w:val="none" w:sz="0" w:space="0" w:color="auto"/>
            <w:right w:val="none" w:sz="0" w:space="0" w:color="auto"/>
          </w:divBdr>
          <w:divsChild>
            <w:div w:id="269627210">
              <w:marLeft w:val="0"/>
              <w:marRight w:val="0"/>
              <w:marTop w:val="0"/>
              <w:marBottom w:val="0"/>
              <w:divBdr>
                <w:top w:val="none" w:sz="0" w:space="0" w:color="auto"/>
                <w:left w:val="none" w:sz="0" w:space="0" w:color="auto"/>
                <w:bottom w:val="none" w:sz="0" w:space="0" w:color="auto"/>
                <w:right w:val="none" w:sz="0" w:space="0" w:color="auto"/>
              </w:divBdr>
            </w:div>
            <w:div w:id="1311638380">
              <w:marLeft w:val="0"/>
              <w:marRight w:val="0"/>
              <w:marTop w:val="0"/>
              <w:marBottom w:val="0"/>
              <w:divBdr>
                <w:top w:val="none" w:sz="0" w:space="0" w:color="auto"/>
                <w:left w:val="none" w:sz="0" w:space="0" w:color="auto"/>
                <w:bottom w:val="none" w:sz="0" w:space="0" w:color="auto"/>
                <w:right w:val="none" w:sz="0" w:space="0" w:color="auto"/>
              </w:divBdr>
            </w:div>
            <w:div w:id="1580362016">
              <w:marLeft w:val="0"/>
              <w:marRight w:val="0"/>
              <w:marTop w:val="0"/>
              <w:marBottom w:val="0"/>
              <w:divBdr>
                <w:top w:val="none" w:sz="0" w:space="0" w:color="auto"/>
                <w:left w:val="none" w:sz="0" w:space="0" w:color="auto"/>
                <w:bottom w:val="none" w:sz="0" w:space="0" w:color="auto"/>
                <w:right w:val="none" w:sz="0" w:space="0" w:color="auto"/>
              </w:divBdr>
            </w:div>
          </w:divsChild>
        </w:div>
        <w:div w:id="1703243205">
          <w:marLeft w:val="0"/>
          <w:marRight w:val="0"/>
          <w:marTop w:val="0"/>
          <w:marBottom w:val="0"/>
          <w:divBdr>
            <w:top w:val="none" w:sz="0" w:space="0" w:color="auto"/>
            <w:left w:val="none" w:sz="0" w:space="0" w:color="auto"/>
            <w:bottom w:val="none" w:sz="0" w:space="0" w:color="auto"/>
            <w:right w:val="none" w:sz="0" w:space="0" w:color="auto"/>
          </w:divBdr>
        </w:div>
        <w:div w:id="1869947799">
          <w:marLeft w:val="0"/>
          <w:marRight w:val="0"/>
          <w:marTop w:val="0"/>
          <w:marBottom w:val="170"/>
          <w:divBdr>
            <w:top w:val="none" w:sz="0" w:space="0" w:color="auto"/>
            <w:left w:val="none" w:sz="0" w:space="0" w:color="auto"/>
            <w:bottom w:val="none" w:sz="0" w:space="0" w:color="auto"/>
            <w:right w:val="none" w:sz="0" w:space="0" w:color="auto"/>
          </w:divBdr>
          <w:divsChild>
            <w:div w:id="1774471059">
              <w:marLeft w:val="0"/>
              <w:marRight w:val="0"/>
              <w:marTop w:val="170"/>
              <w:marBottom w:val="170"/>
              <w:divBdr>
                <w:top w:val="none" w:sz="0" w:space="0" w:color="auto"/>
                <w:left w:val="none" w:sz="0" w:space="0" w:color="auto"/>
                <w:bottom w:val="none" w:sz="0" w:space="0" w:color="auto"/>
                <w:right w:val="none" w:sz="0" w:space="0" w:color="auto"/>
              </w:divBdr>
            </w:div>
          </w:divsChild>
        </w:div>
        <w:div w:id="2001496337">
          <w:marLeft w:val="0"/>
          <w:marRight w:val="0"/>
          <w:marTop w:val="0"/>
          <w:marBottom w:val="0"/>
          <w:divBdr>
            <w:top w:val="none" w:sz="0" w:space="0" w:color="auto"/>
            <w:left w:val="none" w:sz="0" w:space="0" w:color="auto"/>
            <w:bottom w:val="none" w:sz="0" w:space="0" w:color="auto"/>
            <w:right w:val="none" w:sz="0" w:space="0" w:color="auto"/>
          </w:divBdr>
        </w:div>
      </w:divsChild>
    </w:div>
    <w:div w:id="1793593554">
      <w:bodyDiv w:val="1"/>
      <w:marLeft w:val="0"/>
      <w:marRight w:val="0"/>
      <w:marTop w:val="0"/>
      <w:marBottom w:val="0"/>
      <w:divBdr>
        <w:top w:val="single" w:sz="2" w:space="0" w:color="CC3640"/>
        <w:left w:val="none" w:sz="0" w:space="0" w:color="auto"/>
        <w:bottom w:val="none" w:sz="0" w:space="0" w:color="auto"/>
        <w:right w:val="none" w:sz="0" w:space="0" w:color="auto"/>
      </w:divBdr>
      <w:divsChild>
        <w:div w:id="966660807">
          <w:marLeft w:val="0"/>
          <w:marRight w:val="0"/>
          <w:marTop w:val="0"/>
          <w:marBottom w:val="0"/>
          <w:divBdr>
            <w:top w:val="single" w:sz="2" w:space="0" w:color="FF0000"/>
            <w:left w:val="single" w:sz="2" w:space="0" w:color="FF0000"/>
            <w:bottom w:val="single" w:sz="2" w:space="0" w:color="FF0000"/>
            <w:right w:val="single" w:sz="2" w:space="0" w:color="FF0000"/>
          </w:divBdr>
          <w:divsChild>
            <w:div w:id="1783918768">
              <w:marLeft w:val="0"/>
              <w:marRight w:val="0"/>
              <w:marTop w:val="0"/>
              <w:marBottom w:val="0"/>
              <w:divBdr>
                <w:top w:val="none" w:sz="0" w:space="0" w:color="auto"/>
                <w:left w:val="single" w:sz="6" w:space="0" w:color="DDDDDD"/>
                <w:bottom w:val="none" w:sz="0" w:space="0" w:color="auto"/>
                <w:right w:val="none" w:sz="0" w:space="0" w:color="auto"/>
              </w:divBdr>
              <w:divsChild>
                <w:div w:id="1740397670">
                  <w:marLeft w:val="0"/>
                  <w:marRight w:val="0"/>
                  <w:marTop w:val="0"/>
                  <w:marBottom w:val="0"/>
                  <w:divBdr>
                    <w:top w:val="single" w:sz="2" w:space="0" w:color="008000"/>
                    <w:left w:val="single" w:sz="2" w:space="0" w:color="008000"/>
                    <w:bottom w:val="single" w:sz="2" w:space="0" w:color="008000"/>
                    <w:right w:val="single" w:sz="2" w:space="0" w:color="008000"/>
                  </w:divBdr>
                  <w:divsChild>
                    <w:div w:id="595863057">
                      <w:marLeft w:val="0"/>
                      <w:marRight w:val="0"/>
                      <w:marTop w:val="0"/>
                      <w:marBottom w:val="0"/>
                      <w:divBdr>
                        <w:top w:val="none" w:sz="0" w:space="0" w:color="auto"/>
                        <w:left w:val="none" w:sz="0" w:space="0" w:color="auto"/>
                        <w:bottom w:val="none" w:sz="0" w:space="0" w:color="auto"/>
                        <w:right w:val="none" w:sz="0" w:space="0" w:color="auto"/>
                      </w:divBdr>
                      <w:divsChild>
                        <w:div w:id="1635986983">
                          <w:marLeft w:val="0"/>
                          <w:marRight w:val="0"/>
                          <w:marTop w:val="0"/>
                          <w:marBottom w:val="0"/>
                          <w:divBdr>
                            <w:top w:val="none" w:sz="0" w:space="0" w:color="auto"/>
                            <w:left w:val="none" w:sz="0" w:space="0" w:color="auto"/>
                            <w:bottom w:val="none" w:sz="0" w:space="0" w:color="auto"/>
                            <w:right w:val="none" w:sz="0" w:space="0" w:color="auto"/>
                          </w:divBdr>
                          <w:divsChild>
                            <w:div w:id="4398879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812484092">
      <w:bodyDiv w:val="1"/>
      <w:marLeft w:val="0"/>
      <w:marRight w:val="0"/>
      <w:marTop w:val="0"/>
      <w:marBottom w:val="0"/>
      <w:divBdr>
        <w:top w:val="single" w:sz="2" w:space="0" w:color="CC3640"/>
        <w:left w:val="none" w:sz="0" w:space="0" w:color="auto"/>
        <w:bottom w:val="none" w:sz="0" w:space="0" w:color="auto"/>
        <w:right w:val="none" w:sz="0" w:space="0" w:color="auto"/>
      </w:divBdr>
      <w:divsChild>
        <w:div w:id="994333071">
          <w:marLeft w:val="0"/>
          <w:marRight w:val="0"/>
          <w:marTop w:val="0"/>
          <w:marBottom w:val="0"/>
          <w:divBdr>
            <w:top w:val="single" w:sz="2" w:space="0" w:color="FF0000"/>
            <w:left w:val="single" w:sz="2" w:space="0" w:color="FF0000"/>
            <w:bottom w:val="single" w:sz="2" w:space="0" w:color="FF0000"/>
            <w:right w:val="single" w:sz="2" w:space="0" w:color="FF0000"/>
          </w:divBdr>
          <w:divsChild>
            <w:div w:id="1218667855">
              <w:marLeft w:val="0"/>
              <w:marRight w:val="0"/>
              <w:marTop w:val="0"/>
              <w:marBottom w:val="0"/>
              <w:divBdr>
                <w:top w:val="none" w:sz="0" w:space="0" w:color="auto"/>
                <w:left w:val="single" w:sz="6" w:space="0" w:color="DDDDDD"/>
                <w:bottom w:val="none" w:sz="0" w:space="0" w:color="auto"/>
                <w:right w:val="none" w:sz="0" w:space="0" w:color="auto"/>
              </w:divBdr>
              <w:divsChild>
                <w:div w:id="1703553579">
                  <w:marLeft w:val="0"/>
                  <w:marRight w:val="0"/>
                  <w:marTop w:val="0"/>
                  <w:marBottom w:val="0"/>
                  <w:divBdr>
                    <w:top w:val="single" w:sz="2" w:space="0" w:color="008000"/>
                    <w:left w:val="single" w:sz="2" w:space="0" w:color="008000"/>
                    <w:bottom w:val="single" w:sz="2" w:space="0" w:color="008000"/>
                    <w:right w:val="single" w:sz="2" w:space="0" w:color="008000"/>
                  </w:divBdr>
                  <w:divsChild>
                    <w:div w:id="640892311">
                      <w:marLeft w:val="0"/>
                      <w:marRight w:val="0"/>
                      <w:marTop w:val="0"/>
                      <w:marBottom w:val="0"/>
                      <w:divBdr>
                        <w:top w:val="none" w:sz="0" w:space="0" w:color="auto"/>
                        <w:left w:val="none" w:sz="0" w:space="0" w:color="auto"/>
                        <w:bottom w:val="none" w:sz="0" w:space="0" w:color="auto"/>
                        <w:right w:val="none" w:sz="0" w:space="0" w:color="auto"/>
                      </w:divBdr>
                      <w:divsChild>
                        <w:div w:id="225914334">
                          <w:marLeft w:val="0"/>
                          <w:marRight w:val="0"/>
                          <w:marTop w:val="0"/>
                          <w:marBottom w:val="0"/>
                          <w:divBdr>
                            <w:top w:val="none" w:sz="0" w:space="0" w:color="auto"/>
                            <w:left w:val="none" w:sz="0" w:space="0" w:color="auto"/>
                            <w:bottom w:val="none" w:sz="0" w:space="0" w:color="auto"/>
                            <w:right w:val="none" w:sz="0" w:space="0" w:color="auto"/>
                          </w:divBdr>
                          <w:divsChild>
                            <w:div w:id="206590313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833763136">
      <w:bodyDiv w:val="1"/>
      <w:marLeft w:val="0"/>
      <w:marRight w:val="0"/>
      <w:marTop w:val="0"/>
      <w:marBottom w:val="0"/>
      <w:divBdr>
        <w:top w:val="none" w:sz="0" w:space="0" w:color="auto"/>
        <w:left w:val="none" w:sz="0" w:space="0" w:color="auto"/>
        <w:bottom w:val="none" w:sz="0" w:space="0" w:color="auto"/>
        <w:right w:val="none" w:sz="0" w:space="0" w:color="auto"/>
      </w:divBdr>
    </w:div>
    <w:div w:id="1851135789">
      <w:bodyDiv w:val="1"/>
      <w:marLeft w:val="0"/>
      <w:marRight w:val="0"/>
      <w:marTop w:val="0"/>
      <w:marBottom w:val="0"/>
      <w:divBdr>
        <w:top w:val="none" w:sz="0" w:space="0" w:color="auto"/>
        <w:left w:val="none" w:sz="0" w:space="0" w:color="auto"/>
        <w:bottom w:val="none" w:sz="0" w:space="0" w:color="auto"/>
        <w:right w:val="none" w:sz="0" w:space="0" w:color="auto"/>
      </w:divBdr>
    </w:div>
    <w:div w:id="1852600281">
      <w:bodyDiv w:val="1"/>
      <w:marLeft w:val="0"/>
      <w:marRight w:val="0"/>
      <w:marTop w:val="0"/>
      <w:marBottom w:val="0"/>
      <w:divBdr>
        <w:top w:val="none" w:sz="0" w:space="0" w:color="auto"/>
        <w:left w:val="none" w:sz="0" w:space="0" w:color="auto"/>
        <w:bottom w:val="none" w:sz="0" w:space="0" w:color="auto"/>
        <w:right w:val="none" w:sz="0" w:space="0" w:color="auto"/>
      </w:divBdr>
    </w:div>
    <w:div w:id="1924954174">
      <w:bodyDiv w:val="1"/>
      <w:marLeft w:val="0"/>
      <w:marRight w:val="0"/>
      <w:marTop w:val="0"/>
      <w:marBottom w:val="0"/>
      <w:divBdr>
        <w:top w:val="none" w:sz="0" w:space="0" w:color="auto"/>
        <w:left w:val="none" w:sz="0" w:space="0" w:color="auto"/>
        <w:bottom w:val="none" w:sz="0" w:space="0" w:color="auto"/>
        <w:right w:val="none" w:sz="0" w:space="0" w:color="auto"/>
      </w:divBdr>
    </w:div>
    <w:div w:id="1925258741">
      <w:bodyDiv w:val="1"/>
      <w:marLeft w:val="0"/>
      <w:marRight w:val="0"/>
      <w:marTop w:val="0"/>
      <w:marBottom w:val="0"/>
      <w:divBdr>
        <w:top w:val="single" w:sz="2" w:space="0" w:color="CC3640"/>
        <w:left w:val="none" w:sz="0" w:space="0" w:color="auto"/>
        <w:bottom w:val="none" w:sz="0" w:space="0" w:color="auto"/>
        <w:right w:val="none" w:sz="0" w:space="0" w:color="auto"/>
      </w:divBdr>
      <w:divsChild>
        <w:div w:id="493567667">
          <w:marLeft w:val="0"/>
          <w:marRight w:val="0"/>
          <w:marTop w:val="0"/>
          <w:marBottom w:val="0"/>
          <w:divBdr>
            <w:top w:val="single" w:sz="2" w:space="0" w:color="FF0000"/>
            <w:left w:val="single" w:sz="2" w:space="0" w:color="FF0000"/>
            <w:bottom w:val="single" w:sz="2" w:space="0" w:color="FF0000"/>
            <w:right w:val="single" w:sz="2" w:space="0" w:color="FF0000"/>
          </w:divBdr>
          <w:divsChild>
            <w:div w:id="1055542732">
              <w:marLeft w:val="0"/>
              <w:marRight w:val="0"/>
              <w:marTop w:val="0"/>
              <w:marBottom w:val="0"/>
              <w:divBdr>
                <w:top w:val="none" w:sz="0" w:space="0" w:color="auto"/>
                <w:left w:val="single" w:sz="6" w:space="0" w:color="DDDDDD"/>
                <w:bottom w:val="none" w:sz="0" w:space="0" w:color="auto"/>
                <w:right w:val="none" w:sz="0" w:space="0" w:color="auto"/>
              </w:divBdr>
              <w:divsChild>
                <w:div w:id="1142773995">
                  <w:marLeft w:val="0"/>
                  <w:marRight w:val="0"/>
                  <w:marTop w:val="0"/>
                  <w:marBottom w:val="0"/>
                  <w:divBdr>
                    <w:top w:val="single" w:sz="2" w:space="0" w:color="008000"/>
                    <w:left w:val="single" w:sz="2" w:space="0" w:color="008000"/>
                    <w:bottom w:val="single" w:sz="2" w:space="0" w:color="008000"/>
                    <w:right w:val="single" w:sz="2" w:space="0" w:color="008000"/>
                  </w:divBdr>
                  <w:divsChild>
                    <w:div w:id="9570860">
                      <w:marLeft w:val="0"/>
                      <w:marRight w:val="0"/>
                      <w:marTop w:val="0"/>
                      <w:marBottom w:val="0"/>
                      <w:divBdr>
                        <w:top w:val="none" w:sz="0" w:space="0" w:color="auto"/>
                        <w:left w:val="none" w:sz="0" w:space="0" w:color="auto"/>
                        <w:bottom w:val="none" w:sz="0" w:space="0" w:color="auto"/>
                        <w:right w:val="none" w:sz="0" w:space="0" w:color="auto"/>
                      </w:divBdr>
                      <w:divsChild>
                        <w:div w:id="2047370891">
                          <w:marLeft w:val="0"/>
                          <w:marRight w:val="0"/>
                          <w:marTop w:val="0"/>
                          <w:marBottom w:val="0"/>
                          <w:divBdr>
                            <w:top w:val="none" w:sz="0" w:space="0" w:color="auto"/>
                            <w:left w:val="none" w:sz="0" w:space="0" w:color="auto"/>
                            <w:bottom w:val="none" w:sz="0" w:space="0" w:color="auto"/>
                            <w:right w:val="none" w:sz="0" w:space="0" w:color="auto"/>
                          </w:divBdr>
                          <w:divsChild>
                            <w:div w:id="114736149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66156598">
      <w:bodyDiv w:val="1"/>
      <w:marLeft w:val="0"/>
      <w:marRight w:val="0"/>
      <w:marTop w:val="0"/>
      <w:marBottom w:val="0"/>
      <w:divBdr>
        <w:top w:val="none" w:sz="0" w:space="0" w:color="auto"/>
        <w:left w:val="none" w:sz="0" w:space="0" w:color="auto"/>
        <w:bottom w:val="none" w:sz="0" w:space="0" w:color="auto"/>
        <w:right w:val="none" w:sz="0" w:space="0" w:color="auto"/>
      </w:divBdr>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sChild>
        <w:div w:id="1504541123">
          <w:marLeft w:val="0"/>
          <w:marRight w:val="0"/>
          <w:marTop w:val="120"/>
          <w:marBottom w:val="120"/>
          <w:divBdr>
            <w:top w:val="none" w:sz="0" w:space="0" w:color="auto"/>
            <w:left w:val="none" w:sz="0" w:space="0" w:color="auto"/>
            <w:bottom w:val="none" w:sz="0" w:space="0" w:color="auto"/>
            <w:right w:val="none" w:sz="0" w:space="0" w:color="auto"/>
          </w:divBdr>
        </w:div>
      </w:divsChild>
    </w:div>
    <w:div w:id="1987511835">
      <w:bodyDiv w:val="1"/>
      <w:marLeft w:val="0"/>
      <w:marRight w:val="0"/>
      <w:marTop w:val="0"/>
      <w:marBottom w:val="0"/>
      <w:divBdr>
        <w:top w:val="none" w:sz="0" w:space="0" w:color="auto"/>
        <w:left w:val="none" w:sz="0" w:space="0" w:color="auto"/>
        <w:bottom w:val="none" w:sz="0" w:space="0" w:color="auto"/>
        <w:right w:val="none" w:sz="0" w:space="0" w:color="auto"/>
      </w:divBdr>
    </w:div>
    <w:div w:id="2001342795">
      <w:bodyDiv w:val="1"/>
      <w:marLeft w:val="0"/>
      <w:marRight w:val="0"/>
      <w:marTop w:val="0"/>
      <w:marBottom w:val="0"/>
      <w:divBdr>
        <w:top w:val="none" w:sz="0" w:space="0" w:color="auto"/>
        <w:left w:val="none" w:sz="0" w:space="0" w:color="auto"/>
        <w:bottom w:val="none" w:sz="0" w:space="0" w:color="auto"/>
        <w:right w:val="none" w:sz="0" w:space="0" w:color="auto"/>
      </w:divBdr>
    </w:div>
    <w:div w:id="2024435196">
      <w:bodyDiv w:val="1"/>
      <w:marLeft w:val="0"/>
      <w:marRight w:val="0"/>
      <w:marTop w:val="0"/>
      <w:marBottom w:val="0"/>
      <w:divBdr>
        <w:top w:val="none" w:sz="0" w:space="0" w:color="auto"/>
        <w:left w:val="none" w:sz="0" w:space="0" w:color="auto"/>
        <w:bottom w:val="none" w:sz="0" w:space="0" w:color="auto"/>
        <w:right w:val="none" w:sz="0" w:space="0" w:color="auto"/>
      </w:divBdr>
    </w:div>
    <w:div w:id="2043626269">
      <w:bodyDiv w:val="1"/>
      <w:marLeft w:val="0"/>
      <w:marRight w:val="0"/>
      <w:marTop w:val="0"/>
      <w:marBottom w:val="0"/>
      <w:divBdr>
        <w:top w:val="none" w:sz="0" w:space="0" w:color="auto"/>
        <w:left w:val="none" w:sz="0" w:space="0" w:color="auto"/>
        <w:bottom w:val="none" w:sz="0" w:space="0" w:color="auto"/>
        <w:right w:val="none" w:sz="0" w:space="0" w:color="auto"/>
      </w:divBdr>
    </w:div>
    <w:div w:id="2077318481">
      <w:bodyDiv w:val="1"/>
      <w:marLeft w:val="0"/>
      <w:marRight w:val="0"/>
      <w:marTop w:val="0"/>
      <w:marBottom w:val="0"/>
      <w:divBdr>
        <w:top w:val="none" w:sz="0" w:space="0" w:color="auto"/>
        <w:left w:val="none" w:sz="0" w:space="0" w:color="auto"/>
        <w:bottom w:val="none" w:sz="0" w:space="0" w:color="auto"/>
        <w:right w:val="none" w:sz="0" w:space="0" w:color="auto"/>
      </w:divBdr>
    </w:div>
    <w:div w:id="2078505781">
      <w:bodyDiv w:val="1"/>
      <w:marLeft w:val="0"/>
      <w:marRight w:val="0"/>
      <w:marTop w:val="0"/>
      <w:marBottom w:val="0"/>
      <w:divBdr>
        <w:top w:val="single" w:sz="2" w:space="0" w:color="CC3640"/>
        <w:left w:val="none" w:sz="0" w:space="0" w:color="auto"/>
        <w:bottom w:val="none" w:sz="0" w:space="0" w:color="auto"/>
        <w:right w:val="none" w:sz="0" w:space="0" w:color="auto"/>
      </w:divBdr>
      <w:divsChild>
        <w:div w:id="2079472227">
          <w:marLeft w:val="0"/>
          <w:marRight w:val="0"/>
          <w:marTop w:val="0"/>
          <w:marBottom w:val="0"/>
          <w:divBdr>
            <w:top w:val="single" w:sz="2" w:space="0" w:color="FF0000"/>
            <w:left w:val="single" w:sz="2" w:space="0" w:color="FF0000"/>
            <w:bottom w:val="single" w:sz="2" w:space="0" w:color="FF0000"/>
            <w:right w:val="single" w:sz="2" w:space="0" w:color="FF0000"/>
          </w:divBdr>
          <w:divsChild>
            <w:div w:id="552892544">
              <w:marLeft w:val="0"/>
              <w:marRight w:val="0"/>
              <w:marTop w:val="0"/>
              <w:marBottom w:val="0"/>
              <w:divBdr>
                <w:top w:val="none" w:sz="0" w:space="0" w:color="auto"/>
                <w:left w:val="single" w:sz="6" w:space="0" w:color="DDDDDD"/>
                <w:bottom w:val="none" w:sz="0" w:space="0" w:color="auto"/>
                <w:right w:val="none" w:sz="0" w:space="0" w:color="auto"/>
              </w:divBdr>
              <w:divsChild>
                <w:div w:id="528418821">
                  <w:marLeft w:val="0"/>
                  <w:marRight w:val="0"/>
                  <w:marTop w:val="0"/>
                  <w:marBottom w:val="0"/>
                  <w:divBdr>
                    <w:top w:val="single" w:sz="2" w:space="0" w:color="008000"/>
                    <w:left w:val="single" w:sz="2" w:space="0" w:color="008000"/>
                    <w:bottom w:val="single" w:sz="2" w:space="0" w:color="008000"/>
                    <w:right w:val="single" w:sz="2" w:space="0" w:color="008000"/>
                  </w:divBdr>
                  <w:divsChild>
                    <w:div w:id="1492797723">
                      <w:marLeft w:val="0"/>
                      <w:marRight w:val="0"/>
                      <w:marTop w:val="0"/>
                      <w:marBottom w:val="0"/>
                      <w:divBdr>
                        <w:top w:val="none" w:sz="0" w:space="0" w:color="auto"/>
                        <w:left w:val="none" w:sz="0" w:space="0" w:color="auto"/>
                        <w:bottom w:val="none" w:sz="0" w:space="0" w:color="auto"/>
                        <w:right w:val="none" w:sz="0" w:space="0" w:color="auto"/>
                      </w:divBdr>
                      <w:divsChild>
                        <w:div w:id="918100349">
                          <w:marLeft w:val="0"/>
                          <w:marRight w:val="0"/>
                          <w:marTop w:val="0"/>
                          <w:marBottom w:val="0"/>
                          <w:divBdr>
                            <w:top w:val="none" w:sz="0" w:space="0" w:color="auto"/>
                            <w:left w:val="none" w:sz="0" w:space="0" w:color="auto"/>
                            <w:bottom w:val="none" w:sz="0" w:space="0" w:color="auto"/>
                            <w:right w:val="none" w:sz="0" w:space="0" w:color="auto"/>
                          </w:divBdr>
                          <w:divsChild>
                            <w:div w:id="729035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088183885">
      <w:bodyDiv w:val="1"/>
      <w:marLeft w:val="0"/>
      <w:marRight w:val="0"/>
      <w:marTop w:val="0"/>
      <w:marBottom w:val="0"/>
      <w:divBdr>
        <w:top w:val="none" w:sz="0" w:space="0" w:color="auto"/>
        <w:left w:val="none" w:sz="0" w:space="0" w:color="auto"/>
        <w:bottom w:val="none" w:sz="0" w:space="0" w:color="auto"/>
        <w:right w:val="none" w:sz="0" w:space="0" w:color="auto"/>
      </w:divBdr>
    </w:div>
    <w:div w:id="2088459981">
      <w:bodyDiv w:val="1"/>
      <w:marLeft w:val="0"/>
      <w:marRight w:val="0"/>
      <w:marTop w:val="0"/>
      <w:marBottom w:val="0"/>
      <w:divBdr>
        <w:top w:val="none" w:sz="0" w:space="0" w:color="auto"/>
        <w:left w:val="none" w:sz="0" w:space="0" w:color="auto"/>
        <w:bottom w:val="none" w:sz="0" w:space="0" w:color="auto"/>
        <w:right w:val="none" w:sz="0" w:space="0" w:color="auto"/>
      </w:divBdr>
    </w:div>
    <w:div w:id="2126266454">
      <w:bodyDiv w:val="1"/>
      <w:marLeft w:val="0"/>
      <w:marRight w:val="0"/>
      <w:marTop w:val="0"/>
      <w:marBottom w:val="0"/>
      <w:divBdr>
        <w:top w:val="none" w:sz="0" w:space="0" w:color="auto"/>
        <w:left w:val="none" w:sz="0" w:space="0" w:color="auto"/>
        <w:bottom w:val="none" w:sz="0" w:space="0" w:color="auto"/>
        <w:right w:val="none" w:sz="0" w:space="0" w:color="auto"/>
      </w:divBdr>
    </w:div>
    <w:div w:id="214481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173E6-9BF2-4865-93C1-F00C5D34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4205</Words>
  <Characters>22792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APUNTES SOBRE LA ACTUALIDAD FISCAL</vt:lpstr>
    </vt:vector>
  </TitlesOfParts>
  <Company>Atlantis Hotels</Company>
  <LinksUpToDate>false</LinksUpToDate>
  <CharactersWithSpaces>26944</CharactersWithSpaces>
  <SharedDoc>false</SharedDoc>
  <HLinks>
    <vt:vector size="6" baseType="variant">
      <vt:variant>
        <vt:i4>1310790</vt:i4>
      </vt:variant>
      <vt:variant>
        <vt:i4>0</vt:i4>
      </vt:variant>
      <vt:variant>
        <vt:i4>0</vt:i4>
      </vt:variant>
      <vt:variant>
        <vt:i4>5</vt:i4>
      </vt:variant>
      <vt:variant>
        <vt:lpwstr>http://www.poderjudicial.es/cgpj/es/Poder-Judicial/Noticias-Judiciales/El-Tribunal-Supremo-determina-el-alcance-de-la-sentencia-del-Constitucional-sobre-la-plusvalia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APUNTES SOBRE LA ACTUALIDAD FISCAL</dc:title>
  <dc:creator>JOAN LORENTE MONTAÑES</dc:creator>
  <cp:lastModifiedBy>Jose Luis Chico Bersabe</cp:lastModifiedBy>
  <cp:revision>8</cp:revision>
  <dcterms:created xsi:type="dcterms:W3CDTF">2025-08-17T15:38:00Z</dcterms:created>
  <dcterms:modified xsi:type="dcterms:W3CDTF">2025-09-01T07:22:00Z</dcterms:modified>
</cp:coreProperties>
</file>