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E3E1F" w14:textId="77777777" w:rsidR="0010284E" w:rsidRDefault="0010284E"/>
    <w:p w14:paraId="54573645" w14:textId="77777777" w:rsidR="0010284E" w:rsidRDefault="0010284E"/>
    <w:tbl>
      <w:tblPr>
        <w:tblW w:w="0" w:type="auto"/>
        <w:shd w:val="clear" w:color="auto" w:fill="800000"/>
        <w:tblCellMar>
          <w:left w:w="70" w:type="dxa"/>
          <w:right w:w="70" w:type="dxa"/>
        </w:tblCellMar>
        <w:tblLook w:val="0000" w:firstRow="0" w:lastRow="0" w:firstColumn="0" w:lastColumn="0" w:noHBand="0" w:noVBand="0"/>
      </w:tblPr>
      <w:tblGrid>
        <w:gridCol w:w="1199"/>
        <w:gridCol w:w="7163"/>
      </w:tblGrid>
      <w:tr w:rsidR="00341BFE" w14:paraId="3F728BAD" w14:textId="77777777" w:rsidTr="0010284E">
        <w:trPr>
          <w:trHeight w:val="889"/>
        </w:trPr>
        <w:tc>
          <w:tcPr>
            <w:tcW w:w="1199" w:type="dxa"/>
            <w:shd w:val="clear" w:color="auto" w:fill="000000"/>
            <w:vAlign w:val="center"/>
          </w:tcPr>
          <w:p w14:paraId="57267E50" w14:textId="0A697E0B" w:rsidR="00341BFE" w:rsidRPr="00005F73" w:rsidRDefault="000903FD" w:rsidP="003735A6">
            <w:pPr>
              <w:pStyle w:val="Ttulo9"/>
              <w:jc w:val="left"/>
              <w:rPr>
                <w:rFonts w:ascii="Verdana" w:hAnsi="Verdana"/>
                <w:szCs w:val="20"/>
              </w:rPr>
            </w:pPr>
            <w:r>
              <w:rPr>
                <w:rFonts w:ascii="Verdana" w:hAnsi="Verdana"/>
                <w:szCs w:val="20"/>
              </w:rPr>
              <w:t>OCTUBRE</w:t>
            </w:r>
          </w:p>
          <w:p w14:paraId="7AC8946E" w14:textId="28069C96" w:rsidR="00341BFE" w:rsidRDefault="00341BFE" w:rsidP="006B081E">
            <w:pPr>
              <w:jc w:val="center"/>
              <w:rPr>
                <w:rFonts w:ascii="Verdana" w:hAnsi="Verdana"/>
                <w:b/>
                <w:bCs/>
                <w:sz w:val="22"/>
                <w:szCs w:val="32"/>
              </w:rPr>
            </w:pPr>
            <w:r w:rsidRPr="00005F73">
              <w:rPr>
                <w:rFonts w:ascii="Verdana" w:hAnsi="Verdana"/>
                <w:b/>
                <w:bCs/>
              </w:rPr>
              <w:t>20</w:t>
            </w:r>
            <w:r w:rsidR="003800C3">
              <w:rPr>
                <w:rFonts w:ascii="Verdana" w:hAnsi="Verdana"/>
                <w:b/>
                <w:bCs/>
              </w:rPr>
              <w:t>2</w:t>
            </w:r>
            <w:r w:rsidR="00782CA3">
              <w:rPr>
                <w:rFonts w:ascii="Verdana" w:hAnsi="Verdana"/>
                <w:b/>
                <w:bCs/>
              </w:rPr>
              <w:t>6</w:t>
            </w:r>
          </w:p>
        </w:tc>
        <w:tc>
          <w:tcPr>
            <w:tcW w:w="7305" w:type="dxa"/>
            <w:shd w:val="clear" w:color="auto" w:fill="993300"/>
            <w:vAlign w:val="center"/>
          </w:tcPr>
          <w:p w14:paraId="7BF34A33" w14:textId="77777777" w:rsidR="00341BFE" w:rsidRPr="00005F73" w:rsidRDefault="00341BFE">
            <w:pPr>
              <w:jc w:val="center"/>
              <w:rPr>
                <w:rFonts w:ascii="Verdana" w:hAnsi="Verdana"/>
                <w:b/>
                <w:bCs/>
                <w:color w:val="FFFFFF"/>
                <w:sz w:val="24"/>
                <w:szCs w:val="24"/>
              </w:rPr>
            </w:pPr>
            <w:r w:rsidRPr="00005F73">
              <w:rPr>
                <w:rFonts w:ascii="Verdana" w:hAnsi="Verdana"/>
                <w:b/>
                <w:bCs/>
                <w:color w:val="FFFFFF"/>
                <w:sz w:val="24"/>
                <w:szCs w:val="24"/>
              </w:rPr>
              <w:t>APUNTES SOBRE LA ACTUALIDAD FISCAL</w:t>
            </w:r>
          </w:p>
        </w:tc>
      </w:tr>
    </w:tbl>
    <w:p w14:paraId="28653D26" w14:textId="77777777" w:rsidR="00341BFE" w:rsidRDefault="00341BFE">
      <w:pPr>
        <w:jc w:val="both"/>
        <w:rPr>
          <w:rFonts w:ascii="Verdana" w:hAnsi="Verdana"/>
          <w:b/>
          <w:sz w:val="22"/>
        </w:rPr>
      </w:pPr>
    </w:p>
    <w:p w14:paraId="4EE7915A" w14:textId="77777777" w:rsidR="00341BFE" w:rsidRDefault="00341BFE">
      <w:pPr>
        <w:jc w:val="both"/>
        <w:rPr>
          <w:rFonts w:ascii="Verdana" w:hAnsi="Verdana"/>
          <w:b/>
          <w:sz w:val="22"/>
        </w:rPr>
      </w:pPr>
    </w:p>
    <w:p w14:paraId="24C00C87" w14:textId="77777777" w:rsidR="00341BFE" w:rsidRPr="00005F73" w:rsidRDefault="00341BFE" w:rsidP="00DC2BC0">
      <w:pPr>
        <w:tabs>
          <w:tab w:val="left" w:pos="284"/>
        </w:tabs>
        <w:jc w:val="center"/>
        <w:rPr>
          <w:rFonts w:ascii="Verdana" w:hAnsi="Verdana"/>
          <w:color w:val="800000"/>
          <w:u w:val="single"/>
        </w:rPr>
      </w:pPr>
      <w:r w:rsidRPr="00005F73">
        <w:rPr>
          <w:rFonts w:ascii="Verdana" w:hAnsi="Verdana"/>
          <w:b/>
          <w:bCs/>
          <w:color w:val="800000"/>
          <w:u w:val="single"/>
        </w:rPr>
        <w:t>SUMARIO</w:t>
      </w:r>
    </w:p>
    <w:p w14:paraId="280B7F57" w14:textId="5C210206" w:rsidR="00572E2A" w:rsidRDefault="00572E2A">
      <w:pPr>
        <w:jc w:val="center"/>
        <w:rPr>
          <w:rFonts w:ascii="Verdana" w:hAnsi="Verdana"/>
          <w:b/>
          <w:bCs/>
          <w:i/>
          <w:iCs/>
          <w:color w:val="800000"/>
          <w:sz w:val="18"/>
          <w:szCs w:val="18"/>
          <w:u w:val="single"/>
        </w:rPr>
      </w:pPr>
    </w:p>
    <w:p w14:paraId="773506E2" w14:textId="356AF9F7" w:rsidR="00450D64" w:rsidRDefault="000C0017" w:rsidP="00365B0E">
      <w:pPr>
        <w:pStyle w:val="Prrafodelista"/>
        <w:numPr>
          <w:ilvl w:val="0"/>
          <w:numId w:val="3"/>
        </w:numPr>
        <w:ind w:left="284" w:hanging="284"/>
        <w:jc w:val="both"/>
        <w:rPr>
          <w:rFonts w:ascii="Verdana" w:hAnsi="Verdana"/>
          <w:b/>
          <w:bCs/>
          <w:i/>
          <w:iCs/>
          <w:color w:val="800000"/>
          <w:sz w:val="18"/>
          <w:szCs w:val="18"/>
        </w:rPr>
      </w:pPr>
      <w:r w:rsidRPr="000C0017">
        <w:rPr>
          <w:rFonts w:ascii="Verdana" w:hAnsi="Verdana"/>
          <w:b/>
          <w:bCs/>
          <w:i/>
          <w:iCs/>
          <w:color w:val="800000"/>
          <w:sz w:val="18"/>
          <w:szCs w:val="18"/>
        </w:rPr>
        <w:t>IVA. LA ADMINISTRACIÓN PUEDE COMPROBAR SALDOS DE IVA GENERADOS EN PERÍODOS PRESCRITOS CUANDO SE COMPENSAN EN PERÍODOS NO PRESCRITOS</w:t>
      </w:r>
    </w:p>
    <w:p w14:paraId="300BE929" w14:textId="7C983AAB" w:rsidR="000C0017" w:rsidRDefault="000C0017" w:rsidP="000C0017">
      <w:pPr>
        <w:pStyle w:val="Prrafodelista"/>
        <w:spacing w:line="240" w:lineRule="auto"/>
        <w:ind w:left="284"/>
        <w:contextualSpacing w:val="0"/>
        <w:jc w:val="both"/>
        <w:rPr>
          <w:rFonts w:ascii="Verdana" w:hAnsi="Verdana"/>
          <w:b/>
          <w:bCs/>
          <w:i/>
          <w:iCs/>
          <w:color w:val="800000"/>
          <w:sz w:val="18"/>
          <w:szCs w:val="18"/>
        </w:rPr>
      </w:pPr>
      <w:r w:rsidRPr="000C0017">
        <w:rPr>
          <w:rFonts w:ascii="Verdana" w:hAnsi="Verdana"/>
          <w:b/>
          <w:bCs/>
          <w:i/>
          <w:iCs/>
          <w:color w:val="800000"/>
          <w:sz w:val="18"/>
          <w:szCs w:val="18"/>
        </w:rPr>
        <w:t>El Tribunal Supremo determina que, tras la reforma de la Ley 34/2015, la Administración puede comprobar y, en su caso, rectificar los saldos de IVA pendientes de compensación generados en períodos prescritos cuando estos se proyecten sobre ejercicios posteriores no prescritos, al constituir créditos fiscales cuya realidad y cuantía pueden ser verificadas para determinar correctamente la obligación tributaria.</w:t>
      </w:r>
    </w:p>
    <w:p w14:paraId="58C433DE" w14:textId="19C8B737" w:rsidR="007B2223" w:rsidRDefault="007B2223" w:rsidP="00365B0E">
      <w:pPr>
        <w:pStyle w:val="Prrafodelista"/>
        <w:numPr>
          <w:ilvl w:val="0"/>
          <w:numId w:val="3"/>
        </w:numPr>
        <w:spacing w:line="240" w:lineRule="auto"/>
        <w:ind w:left="284" w:hanging="284"/>
        <w:jc w:val="both"/>
        <w:rPr>
          <w:rFonts w:ascii="Verdana" w:hAnsi="Verdana"/>
          <w:b/>
          <w:bCs/>
          <w:i/>
          <w:iCs/>
          <w:color w:val="800000"/>
          <w:sz w:val="18"/>
          <w:szCs w:val="18"/>
        </w:rPr>
      </w:pPr>
      <w:r w:rsidRPr="007B2223">
        <w:rPr>
          <w:rFonts w:ascii="Verdana" w:hAnsi="Verdana"/>
          <w:b/>
          <w:bCs/>
          <w:i/>
          <w:iCs/>
          <w:color w:val="800000"/>
          <w:sz w:val="18"/>
          <w:szCs w:val="18"/>
        </w:rPr>
        <w:t>IVA E IRPF EN EL ALQUILER DE VIVIENDAS TURÍSTICAS A TRAVÉS DE UNA COMUNIDAD DE BIENES</w:t>
      </w:r>
    </w:p>
    <w:p w14:paraId="0876F08A" w14:textId="744D5BB9" w:rsidR="007B2223" w:rsidRDefault="007B2223" w:rsidP="007B2223">
      <w:pPr>
        <w:pStyle w:val="Prrafodelista"/>
        <w:spacing w:line="240" w:lineRule="auto"/>
        <w:ind w:left="284"/>
        <w:jc w:val="both"/>
        <w:rPr>
          <w:rFonts w:ascii="Verdana" w:hAnsi="Verdana"/>
          <w:b/>
          <w:bCs/>
          <w:i/>
          <w:iCs/>
          <w:color w:val="800000"/>
          <w:sz w:val="18"/>
          <w:szCs w:val="18"/>
        </w:rPr>
      </w:pPr>
      <w:r w:rsidRPr="007B2223">
        <w:rPr>
          <w:rFonts w:ascii="Verdana" w:hAnsi="Verdana"/>
          <w:b/>
          <w:bCs/>
          <w:i/>
          <w:iCs/>
          <w:color w:val="800000"/>
          <w:sz w:val="18"/>
          <w:szCs w:val="18"/>
        </w:rPr>
        <w:t>La Dirección General de Tributos analiza el tratamiento fiscal de una comunidad de bienes constituida por dos copropietarios de viviendas destinadas al uso turístico</w:t>
      </w:r>
      <w:r w:rsidR="00BE6CB5">
        <w:rPr>
          <w:rFonts w:ascii="Verdana" w:hAnsi="Verdana"/>
          <w:b/>
          <w:bCs/>
          <w:i/>
          <w:iCs/>
          <w:color w:val="800000"/>
          <w:sz w:val="18"/>
          <w:szCs w:val="18"/>
        </w:rPr>
        <w:t>.</w:t>
      </w:r>
    </w:p>
    <w:p w14:paraId="2859ABBA" w14:textId="77777777" w:rsidR="007B2223" w:rsidRPr="007B2223" w:rsidRDefault="007B2223" w:rsidP="007B2223">
      <w:pPr>
        <w:pStyle w:val="Prrafodelista"/>
        <w:spacing w:line="240" w:lineRule="auto"/>
        <w:ind w:left="284"/>
        <w:jc w:val="both"/>
        <w:rPr>
          <w:rFonts w:ascii="Verdana" w:hAnsi="Verdana"/>
          <w:b/>
          <w:bCs/>
          <w:i/>
          <w:iCs/>
          <w:color w:val="800000"/>
          <w:sz w:val="18"/>
          <w:szCs w:val="18"/>
        </w:rPr>
      </w:pPr>
    </w:p>
    <w:p w14:paraId="32468383" w14:textId="6629DE49" w:rsidR="00532A55" w:rsidRPr="005F27E5" w:rsidRDefault="005F27E5" w:rsidP="00365B0E">
      <w:pPr>
        <w:pStyle w:val="Prrafodelista"/>
        <w:numPr>
          <w:ilvl w:val="0"/>
          <w:numId w:val="3"/>
        </w:numPr>
        <w:spacing w:line="240" w:lineRule="auto"/>
        <w:ind w:left="284" w:hanging="284"/>
        <w:jc w:val="both"/>
        <w:rPr>
          <w:rFonts w:ascii="Verdana" w:hAnsi="Verdana"/>
          <w:b/>
          <w:bCs/>
          <w:i/>
          <w:iCs/>
          <w:color w:val="800000"/>
          <w:sz w:val="18"/>
          <w:szCs w:val="18"/>
        </w:rPr>
      </w:pPr>
      <w:r w:rsidRPr="005F27E5">
        <w:rPr>
          <w:rFonts w:ascii="Verdana" w:hAnsi="Verdana"/>
          <w:b/>
          <w:bCs/>
          <w:i/>
          <w:iCs/>
          <w:color w:val="800000"/>
          <w:sz w:val="18"/>
          <w:szCs w:val="18"/>
        </w:rPr>
        <w:t>IRPF.  RÉGIMEN ESPECIAL DE FUSIONES, ESCISIONES, APORTACIONES Y CANJE DE VALORES (FEAC)</w:t>
      </w:r>
    </w:p>
    <w:p w14:paraId="7A3E1135" w14:textId="795A33C3" w:rsidR="00532A55" w:rsidRDefault="00532A55" w:rsidP="00532A55">
      <w:pPr>
        <w:pStyle w:val="Prrafodelista"/>
        <w:spacing w:line="240" w:lineRule="auto"/>
        <w:ind w:left="284"/>
        <w:jc w:val="both"/>
        <w:rPr>
          <w:rFonts w:ascii="Verdana" w:hAnsi="Verdana"/>
          <w:b/>
          <w:bCs/>
          <w:i/>
          <w:iCs/>
          <w:color w:val="800000"/>
          <w:sz w:val="18"/>
          <w:szCs w:val="18"/>
        </w:rPr>
      </w:pPr>
      <w:r w:rsidRPr="00532A55">
        <w:rPr>
          <w:rFonts w:ascii="Verdana" w:hAnsi="Verdana"/>
          <w:b/>
          <w:bCs/>
          <w:i/>
          <w:iCs/>
          <w:color w:val="800000"/>
          <w:sz w:val="18"/>
          <w:szCs w:val="18"/>
        </w:rPr>
        <w:t xml:space="preserve">Se valida </w:t>
      </w:r>
      <w:r>
        <w:rPr>
          <w:rFonts w:ascii="Verdana" w:hAnsi="Verdana"/>
          <w:b/>
          <w:bCs/>
          <w:i/>
          <w:iCs/>
          <w:color w:val="800000"/>
          <w:sz w:val="18"/>
          <w:szCs w:val="18"/>
        </w:rPr>
        <w:t xml:space="preserve">por </w:t>
      </w:r>
      <w:r w:rsidR="00815490">
        <w:rPr>
          <w:rFonts w:ascii="Verdana" w:hAnsi="Verdana"/>
          <w:b/>
          <w:bCs/>
          <w:i/>
          <w:iCs/>
          <w:color w:val="800000"/>
          <w:sz w:val="18"/>
          <w:szCs w:val="18"/>
        </w:rPr>
        <w:t>p</w:t>
      </w:r>
      <w:r>
        <w:rPr>
          <w:rFonts w:ascii="Verdana" w:hAnsi="Verdana"/>
          <w:b/>
          <w:bCs/>
          <w:i/>
          <w:iCs/>
          <w:color w:val="800000"/>
          <w:sz w:val="18"/>
          <w:szCs w:val="18"/>
        </w:rPr>
        <w:t>arte del Tribunal Supremo la</w:t>
      </w:r>
      <w:r w:rsidRPr="00532A55">
        <w:rPr>
          <w:rFonts w:ascii="Verdana" w:hAnsi="Verdana"/>
          <w:b/>
          <w:bCs/>
          <w:i/>
          <w:iCs/>
          <w:color w:val="800000"/>
          <w:sz w:val="18"/>
          <w:szCs w:val="18"/>
        </w:rPr>
        <w:t xml:space="preserve"> doctrina sobre la no regularización del diferimiento implícito en este tipo de operaciones</w:t>
      </w:r>
      <w:r w:rsidR="00B823F1">
        <w:rPr>
          <w:rFonts w:ascii="Verdana" w:hAnsi="Verdana"/>
          <w:b/>
          <w:bCs/>
          <w:i/>
          <w:iCs/>
          <w:color w:val="800000"/>
          <w:sz w:val="18"/>
          <w:szCs w:val="18"/>
        </w:rPr>
        <w:t>.</w:t>
      </w:r>
    </w:p>
    <w:p w14:paraId="620BBF48" w14:textId="77777777" w:rsidR="00B823F1" w:rsidRDefault="00B823F1" w:rsidP="00532A55">
      <w:pPr>
        <w:pStyle w:val="Prrafodelista"/>
        <w:spacing w:line="240" w:lineRule="auto"/>
        <w:ind w:left="284"/>
        <w:jc w:val="both"/>
        <w:rPr>
          <w:rFonts w:ascii="Verdana" w:hAnsi="Verdana"/>
          <w:b/>
          <w:bCs/>
          <w:i/>
          <w:iCs/>
          <w:color w:val="800000"/>
          <w:sz w:val="18"/>
          <w:szCs w:val="18"/>
        </w:rPr>
      </w:pPr>
    </w:p>
    <w:p w14:paraId="209E2F20" w14:textId="5E09D355" w:rsidR="00B823F1" w:rsidRDefault="00B823F1" w:rsidP="00365B0E">
      <w:pPr>
        <w:pStyle w:val="Prrafodelista"/>
        <w:numPr>
          <w:ilvl w:val="0"/>
          <w:numId w:val="3"/>
        </w:numPr>
        <w:spacing w:line="240" w:lineRule="auto"/>
        <w:ind w:left="284" w:hanging="284"/>
        <w:jc w:val="both"/>
        <w:rPr>
          <w:rFonts w:ascii="Verdana" w:hAnsi="Verdana"/>
          <w:b/>
          <w:bCs/>
          <w:i/>
          <w:iCs/>
          <w:color w:val="800000"/>
          <w:sz w:val="18"/>
          <w:szCs w:val="18"/>
        </w:rPr>
      </w:pPr>
      <w:r>
        <w:rPr>
          <w:rFonts w:ascii="Verdana" w:hAnsi="Verdana"/>
          <w:b/>
          <w:bCs/>
          <w:i/>
          <w:iCs/>
          <w:color w:val="800000"/>
          <w:sz w:val="18"/>
          <w:szCs w:val="18"/>
        </w:rPr>
        <w:t xml:space="preserve">ITP Y AJD. </w:t>
      </w:r>
      <w:r w:rsidR="00D61BA7" w:rsidRPr="00D61BA7">
        <w:rPr>
          <w:rFonts w:ascii="Verdana" w:hAnsi="Verdana"/>
          <w:b/>
          <w:bCs/>
          <w:i/>
          <w:iCs/>
          <w:color w:val="800000"/>
          <w:sz w:val="18"/>
          <w:szCs w:val="18"/>
        </w:rPr>
        <w:t>EXTINCIÓN DE CONDOMINIO: CUÁNDO TRIBUTA POR AJD Y CUÁNDO POR TPO</w:t>
      </w:r>
    </w:p>
    <w:p w14:paraId="4AE44558" w14:textId="5BF3AC39" w:rsidR="00B823F1" w:rsidRDefault="00265275" w:rsidP="00B823F1">
      <w:pPr>
        <w:pStyle w:val="Prrafodelista"/>
        <w:spacing w:line="240" w:lineRule="auto"/>
        <w:ind w:left="284"/>
        <w:jc w:val="both"/>
        <w:rPr>
          <w:rFonts w:ascii="Verdana" w:hAnsi="Verdana"/>
          <w:b/>
          <w:bCs/>
          <w:i/>
          <w:iCs/>
          <w:color w:val="800000"/>
          <w:sz w:val="18"/>
          <w:szCs w:val="18"/>
        </w:rPr>
      </w:pPr>
      <w:r w:rsidRPr="00265275">
        <w:rPr>
          <w:rFonts w:ascii="Verdana" w:hAnsi="Verdana"/>
          <w:b/>
          <w:bCs/>
          <w:i/>
          <w:iCs/>
          <w:color w:val="800000"/>
          <w:sz w:val="18"/>
          <w:szCs w:val="18"/>
        </w:rPr>
        <w:t>Ante la existencia de varios inmuebles en la adjudicación de la herencia entre los mismos comuneros, la forma de adjudicación de los inmuebles va a determinar la tributación, resultando determinante si existe o no extinción del condominio.</w:t>
      </w:r>
    </w:p>
    <w:p w14:paraId="18532C57" w14:textId="77777777" w:rsidR="00AA2793" w:rsidRDefault="00AA2793" w:rsidP="00B823F1">
      <w:pPr>
        <w:pStyle w:val="Prrafodelista"/>
        <w:spacing w:line="240" w:lineRule="auto"/>
        <w:ind w:left="284"/>
        <w:jc w:val="both"/>
        <w:rPr>
          <w:rFonts w:ascii="Verdana" w:hAnsi="Verdana"/>
          <w:b/>
          <w:bCs/>
          <w:i/>
          <w:iCs/>
          <w:color w:val="800000"/>
          <w:sz w:val="18"/>
          <w:szCs w:val="18"/>
        </w:rPr>
      </w:pPr>
    </w:p>
    <w:p w14:paraId="1D1B4B74" w14:textId="539D8474" w:rsidR="00AA2793" w:rsidRDefault="00AA2793" w:rsidP="00365B0E">
      <w:pPr>
        <w:pStyle w:val="Prrafodelista"/>
        <w:numPr>
          <w:ilvl w:val="0"/>
          <w:numId w:val="3"/>
        </w:numPr>
        <w:spacing w:line="240" w:lineRule="auto"/>
        <w:ind w:left="284" w:hanging="284"/>
        <w:jc w:val="both"/>
        <w:rPr>
          <w:rFonts w:ascii="Verdana" w:hAnsi="Verdana"/>
          <w:b/>
          <w:bCs/>
          <w:i/>
          <w:iCs/>
          <w:color w:val="800000"/>
          <w:sz w:val="18"/>
          <w:szCs w:val="18"/>
        </w:rPr>
      </w:pPr>
      <w:r w:rsidRPr="00AA2793">
        <w:rPr>
          <w:rFonts w:ascii="Verdana" w:hAnsi="Verdana"/>
          <w:b/>
          <w:bCs/>
          <w:i/>
          <w:iCs/>
          <w:color w:val="800000"/>
          <w:sz w:val="18"/>
          <w:szCs w:val="18"/>
        </w:rPr>
        <w:t>IAJD – OBRA NUEVA: NO PROCEDE ACTUALIZAR MONETARIAMENTE EL COSTE DE CONSTRUCCIÓN</w:t>
      </w:r>
    </w:p>
    <w:p w14:paraId="62BE1259" w14:textId="406DD3BC" w:rsidR="00AA2793" w:rsidRPr="00532A55" w:rsidRDefault="00AA2793" w:rsidP="00AA2793">
      <w:pPr>
        <w:pStyle w:val="Prrafodelista"/>
        <w:spacing w:line="240" w:lineRule="auto"/>
        <w:ind w:left="284"/>
        <w:jc w:val="both"/>
        <w:rPr>
          <w:rFonts w:ascii="Verdana" w:hAnsi="Verdana"/>
          <w:b/>
          <w:bCs/>
          <w:i/>
          <w:iCs/>
          <w:color w:val="800000"/>
          <w:sz w:val="18"/>
          <w:szCs w:val="18"/>
        </w:rPr>
      </w:pPr>
      <w:r>
        <w:rPr>
          <w:rFonts w:ascii="Verdana" w:hAnsi="Verdana"/>
          <w:b/>
          <w:bCs/>
          <w:i/>
          <w:iCs/>
          <w:color w:val="800000"/>
          <w:sz w:val="18"/>
          <w:szCs w:val="18"/>
        </w:rPr>
        <w:t>Una sentencia del TS</w:t>
      </w:r>
      <w:r w:rsidRPr="00AA2793">
        <w:rPr>
          <w:rFonts w:ascii="Verdana" w:hAnsi="Verdana"/>
          <w:b/>
          <w:bCs/>
          <w:i/>
          <w:iCs/>
          <w:color w:val="800000"/>
          <w:sz w:val="18"/>
          <w:szCs w:val="18"/>
        </w:rPr>
        <w:t xml:space="preserve"> </w:t>
      </w:r>
      <w:r>
        <w:rPr>
          <w:rFonts w:ascii="Verdana" w:hAnsi="Verdana"/>
          <w:b/>
          <w:bCs/>
          <w:i/>
          <w:iCs/>
          <w:color w:val="800000"/>
          <w:sz w:val="18"/>
          <w:szCs w:val="18"/>
        </w:rPr>
        <w:t xml:space="preserve">limita </w:t>
      </w:r>
      <w:r w:rsidRPr="00AA2793">
        <w:rPr>
          <w:rFonts w:ascii="Verdana" w:hAnsi="Verdana"/>
          <w:b/>
          <w:bCs/>
          <w:i/>
          <w:iCs/>
          <w:color w:val="800000"/>
          <w:sz w:val="18"/>
          <w:szCs w:val="18"/>
        </w:rPr>
        <w:t xml:space="preserve">las posibilidades de la Administración de incrementar la tributación de obras antiguas mediante la actualización del coste histórico de construcción y refuerza la diferenciación entre coste de ejecución y valor de </w:t>
      </w:r>
      <w:r>
        <w:rPr>
          <w:rFonts w:ascii="Verdana" w:hAnsi="Verdana"/>
          <w:b/>
          <w:bCs/>
          <w:i/>
          <w:iCs/>
          <w:color w:val="800000"/>
          <w:sz w:val="18"/>
          <w:szCs w:val="18"/>
        </w:rPr>
        <w:t>m</w:t>
      </w:r>
      <w:r w:rsidRPr="00AA2793">
        <w:rPr>
          <w:rFonts w:ascii="Verdana" w:hAnsi="Verdana"/>
          <w:b/>
          <w:bCs/>
          <w:i/>
          <w:iCs/>
          <w:color w:val="800000"/>
          <w:sz w:val="18"/>
          <w:szCs w:val="18"/>
        </w:rPr>
        <w:t>ercado del inmueble.</w:t>
      </w:r>
    </w:p>
    <w:p w14:paraId="3E2BAFBE" w14:textId="77777777" w:rsidR="00B42DB7" w:rsidRDefault="00B42DB7" w:rsidP="00BB76B2">
      <w:pPr>
        <w:pStyle w:val="Prrafodelista"/>
        <w:tabs>
          <w:tab w:val="left" w:pos="360"/>
        </w:tabs>
        <w:ind w:left="1080"/>
        <w:jc w:val="both"/>
        <w:rPr>
          <w:rFonts w:ascii="Verdana" w:hAnsi="Verdana"/>
          <w:b/>
          <w:bCs/>
          <w:i/>
          <w:iCs/>
          <w:color w:val="800000"/>
          <w:sz w:val="18"/>
          <w:szCs w:val="18"/>
        </w:rPr>
      </w:pPr>
    </w:p>
    <w:p w14:paraId="0063DD28" w14:textId="77777777" w:rsidR="00D7191B" w:rsidRDefault="00D7191B" w:rsidP="00BB76B2">
      <w:pPr>
        <w:pStyle w:val="Prrafodelista"/>
        <w:tabs>
          <w:tab w:val="left" w:pos="360"/>
        </w:tabs>
        <w:ind w:left="1080"/>
        <w:jc w:val="both"/>
        <w:rPr>
          <w:rFonts w:ascii="Verdana" w:hAnsi="Verdana"/>
          <w:b/>
          <w:bCs/>
          <w:i/>
          <w:iCs/>
          <w:color w:val="800000"/>
          <w:sz w:val="18"/>
          <w:szCs w:val="18"/>
        </w:rPr>
      </w:pPr>
    </w:p>
    <w:p w14:paraId="204BAAA1" w14:textId="77777777" w:rsidR="00D7191B" w:rsidRDefault="00D7191B" w:rsidP="00BB76B2">
      <w:pPr>
        <w:pStyle w:val="Prrafodelista"/>
        <w:tabs>
          <w:tab w:val="left" w:pos="360"/>
        </w:tabs>
        <w:ind w:left="1080"/>
        <w:jc w:val="both"/>
        <w:rPr>
          <w:rFonts w:ascii="Verdana" w:hAnsi="Verdana"/>
          <w:b/>
          <w:bCs/>
          <w:i/>
          <w:iCs/>
          <w:color w:val="800000"/>
          <w:sz w:val="18"/>
          <w:szCs w:val="18"/>
        </w:rPr>
      </w:pPr>
    </w:p>
    <w:p w14:paraId="51C487D8" w14:textId="77777777" w:rsidR="00D7191B" w:rsidRPr="00BB76B2" w:rsidRDefault="00D7191B" w:rsidP="00BB76B2">
      <w:pPr>
        <w:pStyle w:val="Prrafodelista"/>
        <w:tabs>
          <w:tab w:val="left" w:pos="360"/>
        </w:tabs>
        <w:ind w:left="1080"/>
        <w:jc w:val="both"/>
        <w:rPr>
          <w:rFonts w:ascii="Verdana" w:hAnsi="Verdana"/>
          <w:b/>
          <w:bCs/>
          <w:i/>
          <w:iCs/>
          <w:color w:val="800000"/>
          <w:sz w:val="18"/>
          <w:szCs w:val="18"/>
        </w:rPr>
      </w:pP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E911DE" w:rsidRPr="00532A55" w14:paraId="23620F45" w14:textId="77777777" w:rsidTr="00B90A97">
        <w:tc>
          <w:tcPr>
            <w:tcW w:w="180" w:type="dxa"/>
            <w:shd w:val="clear" w:color="auto" w:fill="FF6600"/>
          </w:tcPr>
          <w:p w14:paraId="272ED0EC" w14:textId="77777777" w:rsidR="00E911DE" w:rsidRPr="00532A55" w:rsidRDefault="00E911DE" w:rsidP="00365B0E">
            <w:pPr>
              <w:pStyle w:val="Prrafodelista"/>
              <w:numPr>
                <w:ilvl w:val="0"/>
                <w:numId w:val="1"/>
              </w:numPr>
              <w:rPr>
                <w:rFonts w:ascii="Verdana" w:hAnsi="Verdana"/>
                <w:b/>
                <w:bCs/>
                <w:color w:val="800000"/>
                <w:sz w:val="18"/>
                <w:szCs w:val="18"/>
              </w:rPr>
            </w:pPr>
            <w:bookmarkStart w:id="0" w:name="_Hlk82881305"/>
          </w:p>
        </w:tc>
        <w:tc>
          <w:tcPr>
            <w:tcW w:w="8460" w:type="dxa"/>
          </w:tcPr>
          <w:p w14:paraId="4A11AE8C" w14:textId="6237E4D0" w:rsidR="00E911DE" w:rsidRPr="00532A55" w:rsidRDefault="000C0017" w:rsidP="00365B0E">
            <w:pPr>
              <w:pStyle w:val="Prrafodelista"/>
              <w:numPr>
                <w:ilvl w:val="0"/>
                <w:numId w:val="2"/>
              </w:numPr>
              <w:ind w:left="384" w:hanging="283"/>
              <w:jc w:val="both"/>
              <w:rPr>
                <w:rFonts w:ascii="Verdana" w:hAnsi="Verdana"/>
                <w:b/>
                <w:bCs/>
                <w:color w:val="800000"/>
                <w:sz w:val="18"/>
                <w:szCs w:val="18"/>
              </w:rPr>
            </w:pPr>
            <w:r w:rsidRPr="00532A55">
              <w:rPr>
                <w:rFonts w:ascii="Verdana" w:hAnsi="Verdana"/>
                <w:b/>
                <w:bCs/>
                <w:color w:val="800000"/>
                <w:sz w:val="18"/>
                <w:szCs w:val="18"/>
              </w:rPr>
              <w:t>IVA. LA ADMINISTRACIÓN PUEDE COMPROBAR SALDOS DE IVA GENERADOS EN PERÍODOS PRESCRITOS CUANDO SE COMPENSAN EN PERÍODOS NO PRESCRITOS</w:t>
            </w:r>
          </w:p>
        </w:tc>
      </w:tr>
      <w:bookmarkEnd w:id="0"/>
    </w:tbl>
    <w:p w14:paraId="505829C4" w14:textId="77777777" w:rsidR="00D7191B" w:rsidRDefault="00D7191B" w:rsidP="000C0017">
      <w:pPr>
        <w:ind w:left="284"/>
        <w:jc w:val="both"/>
        <w:rPr>
          <w:rFonts w:ascii="Verdana" w:hAnsi="Verdana"/>
          <w:b/>
          <w:bCs/>
          <w:iCs/>
          <w:sz w:val="18"/>
          <w:szCs w:val="18"/>
        </w:rPr>
      </w:pPr>
    </w:p>
    <w:p w14:paraId="7266EC6F" w14:textId="20E3704E" w:rsidR="000C0017" w:rsidRDefault="000C0017" w:rsidP="000C0017">
      <w:pPr>
        <w:ind w:left="284"/>
        <w:jc w:val="both"/>
        <w:rPr>
          <w:rFonts w:ascii="Verdana" w:hAnsi="Verdana"/>
          <w:bCs/>
          <w:iCs/>
          <w:sz w:val="18"/>
          <w:szCs w:val="18"/>
        </w:rPr>
      </w:pPr>
      <w:r w:rsidRPr="000C0017">
        <w:rPr>
          <w:rFonts w:ascii="Verdana" w:hAnsi="Verdana"/>
          <w:b/>
          <w:bCs/>
          <w:iCs/>
          <w:sz w:val="18"/>
          <w:szCs w:val="18"/>
        </w:rPr>
        <w:t>El Tribunal Supremo,</w:t>
      </w:r>
      <w:r>
        <w:rPr>
          <w:rFonts w:ascii="Verdana" w:hAnsi="Verdana"/>
          <w:b/>
          <w:bCs/>
          <w:iCs/>
          <w:sz w:val="18"/>
          <w:szCs w:val="18"/>
        </w:rPr>
        <w:t xml:space="preserve"> en su s</w:t>
      </w:r>
      <w:r w:rsidRPr="000C0017">
        <w:rPr>
          <w:rFonts w:ascii="Verdana" w:hAnsi="Verdana"/>
          <w:b/>
          <w:bCs/>
          <w:iCs/>
          <w:sz w:val="18"/>
          <w:szCs w:val="18"/>
        </w:rPr>
        <w:t>entencia 988/2026, de 23 de julio de 2026 (</w:t>
      </w:r>
      <w:proofErr w:type="spellStart"/>
      <w:r w:rsidRPr="000C0017">
        <w:rPr>
          <w:rFonts w:ascii="Verdana" w:hAnsi="Verdana"/>
          <w:b/>
          <w:bCs/>
          <w:iCs/>
          <w:sz w:val="18"/>
          <w:szCs w:val="18"/>
        </w:rPr>
        <w:t>rec.</w:t>
      </w:r>
      <w:proofErr w:type="spellEnd"/>
      <w:r w:rsidRPr="000C0017">
        <w:rPr>
          <w:rFonts w:ascii="Verdana" w:hAnsi="Verdana"/>
          <w:b/>
          <w:bCs/>
          <w:iCs/>
          <w:sz w:val="18"/>
          <w:szCs w:val="18"/>
        </w:rPr>
        <w:t xml:space="preserve"> 5852/2023) establece que la prescripción del derecho de la Administración a liquidar un período de IVA no impide que pueda comprobar los saldos de IVA pendientes de compensación generados en dicho período</w:t>
      </w:r>
      <w:r w:rsidRPr="000C0017">
        <w:rPr>
          <w:rFonts w:ascii="Verdana" w:hAnsi="Verdana"/>
          <w:bCs/>
          <w:iCs/>
          <w:sz w:val="18"/>
          <w:szCs w:val="18"/>
        </w:rPr>
        <w:t xml:space="preserve">, cuando esos saldos se aplican posteriormente en períodos cuyo derecho a liquidar todavía no ha prescrito. </w:t>
      </w:r>
    </w:p>
    <w:p w14:paraId="5669A245" w14:textId="77777777" w:rsidR="000C0017" w:rsidRPr="000C0017" w:rsidRDefault="000C0017" w:rsidP="000C0017">
      <w:pPr>
        <w:ind w:left="284"/>
        <w:jc w:val="both"/>
        <w:rPr>
          <w:rFonts w:ascii="Verdana" w:hAnsi="Verdana"/>
          <w:bCs/>
          <w:iCs/>
          <w:sz w:val="18"/>
          <w:szCs w:val="18"/>
        </w:rPr>
      </w:pPr>
    </w:p>
    <w:p w14:paraId="71894619" w14:textId="77777777" w:rsidR="000C0017" w:rsidRPr="000C0017" w:rsidRDefault="000C0017" w:rsidP="000C0017">
      <w:pPr>
        <w:ind w:left="284"/>
        <w:jc w:val="both"/>
        <w:rPr>
          <w:rFonts w:ascii="Verdana" w:hAnsi="Verdana"/>
          <w:b/>
          <w:bCs/>
          <w:iCs/>
          <w:sz w:val="18"/>
          <w:szCs w:val="18"/>
        </w:rPr>
      </w:pPr>
      <w:r w:rsidRPr="000C0017">
        <w:rPr>
          <w:rFonts w:ascii="Verdana" w:hAnsi="Verdana"/>
          <w:b/>
          <w:bCs/>
          <w:iCs/>
          <w:sz w:val="18"/>
          <w:szCs w:val="18"/>
        </w:rPr>
        <w:lastRenderedPageBreak/>
        <w:t>Antecedentes</w:t>
      </w:r>
    </w:p>
    <w:p w14:paraId="3A532B56" w14:textId="75EA0311"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El asunto se refiere a </w:t>
      </w:r>
      <w:r>
        <w:rPr>
          <w:rFonts w:ascii="Verdana" w:hAnsi="Verdana"/>
          <w:b/>
          <w:bCs/>
          <w:iCs/>
          <w:sz w:val="18"/>
          <w:szCs w:val="18"/>
        </w:rPr>
        <w:t>XXX</w:t>
      </w:r>
      <w:r w:rsidRPr="000C0017">
        <w:rPr>
          <w:rFonts w:ascii="Verdana" w:hAnsi="Verdana"/>
          <w:b/>
          <w:bCs/>
          <w:iCs/>
          <w:sz w:val="18"/>
          <w:szCs w:val="18"/>
        </w:rPr>
        <w:t>, S.L.</w:t>
      </w:r>
      <w:r w:rsidRPr="000C0017">
        <w:rPr>
          <w:rFonts w:ascii="Verdana" w:hAnsi="Verdana"/>
          <w:bCs/>
          <w:iCs/>
          <w:sz w:val="18"/>
          <w:szCs w:val="18"/>
        </w:rPr>
        <w:t xml:space="preserve"> y a unas liquidaciones de IVA correspondientes a los períodos 2015 a 2018. Durante la inspección, la Administración declaró prescrito el derecho a liquidar el IVA correspondiente al </w:t>
      </w:r>
      <w:r w:rsidRPr="000C0017">
        <w:rPr>
          <w:rFonts w:ascii="Verdana" w:hAnsi="Verdana"/>
          <w:b/>
          <w:bCs/>
          <w:iCs/>
          <w:sz w:val="18"/>
          <w:szCs w:val="18"/>
        </w:rPr>
        <w:t>primer, segundo y tercer trimestre de 2015</w:t>
      </w:r>
      <w:r w:rsidRPr="000C0017">
        <w:rPr>
          <w:rFonts w:ascii="Verdana" w:hAnsi="Verdana"/>
          <w:bCs/>
          <w:iCs/>
          <w:sz w:val="18"/>
          <w:szCs w:val="18"/>
        </w:rPr>
        <w:t xml:space="preserve">, debido a la superación del plazo máximo de duración de las actuaciones inspectoras. No obstante, procedió a comprobar el saldo de IVA pendiente de compensación que se trasladaba al </w:t>
      </w:r>
      <w:r w:rsidRPr="000C0017">
        <w:rPr>
          <w:rFonts w:ascii="Verdana" w:hAnsi="Verdana"/>
          <w:b/>
          <w:bCs/>
          <w:iCs/>
          <w:sz w:val="18"/>
          <w:szCs w:val="18"/>
        </w:rPr>
        <w:t>cuarto trimestre de 2015</w:t>
      </w:r>
      <w:r w:rsidRPr="000C0017">
        <w:rPr>
          <w:rFonts w:ascii="Verdana" w:hAnsi="Verdana"/>
          <w:bCs/>
          <w:iCs/>
          <w:sz w:val="18"/>
          <w:szCs w:val="18"/>
        </w:rPr>
        <w:t xml:space="preserve">. </w:t>
      </w:r>
    </w:p>
    <w:p w14:paraId="516D4543" w14:textId="77777777" w:rsidR="000C0017" w:rsidRPr="000C0017" w:rsidRDefault="000C0017" w:rsidP="000C0017">
      <w:pPr>
        <w:ind w:left="284"/>
        <w:jc w:val="both"/>
        <w:rPr>
          <w:rFonts w:ascii="Verdana" w:hAnsi="Verdana"/>
          <w:bCs/>
          <w:iCs/>
          <w:sz w:val="18"/>
          <w:szCs w:val="18"/>
        </w:rPr>
      </w:pPr>
    </w:p>
    <w:p w14:paraId="23B25EA1" w14:textId="77777777"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La cuestión planteada al Supremo consistía en determinar si, tras la reforma de la LGT operada por la </w:t>
      </w:r>
      <w:r w:rsidRPr="000C0017">
        <w:rPr>
          <w:rFonts w:ascii="Verdana" w:hAnsi="Verdana"/>
          <w:b/>
          <w:bCs/>
          <w:iCs/>
          <w:sz w:val="18"/>
          <w:szCs w:val="18"/>
        </w:rPr>
        <w:t>Ley 34/2015</w:t>
      </w:r>
      <w:r w:rsidRPr="000C0017">
        <w:rPr>
          <w:rFonts w:ascii="Verdana" w:hAnsi="Verdana"/>
          <w:bCs/>
          <w:iCs/>
          <w:sz w:val="18"/>
          <w:szCs w:val="18"/>
        </w:rPr>
        <w:t xml:space="preserve">, la Administración podía comprobar saldos de IVA generados en períodos prescritos cuando fueran utilizados para regularizar períodos posteriores no prescritos. </w:t>
      </w:r>
    </w:p>
    <w:p w14:paraId="71097413" w14:textId="77777777" w:rsidR="000C0017" w:rsidRPr="000C0017" w:rsidRDefault="000C0017" w:rsidP="000C0017">
      <w:pPr>
        <w:ind w:left="284"/>
        <w:jc w:val="both"/>
        <w:rPr>
          <w:rFonts w:ascii="Verdana" w:hAnsi="Verdana"/>
          <w:bCs/>
          <w:iCs/>
          <w:sz w:val="18"/>
          <w:szCs w:val="18"/>
        </w:rPr>
      </w:pPr>
    </w:p>
    <w:p w14:paraId="0CE51EE8" w14:textId="77777777" w:rsidR="000C0017" w:rsidRPr="000C0017" w:rsidRDefault="000C0017" w:rsidP="000C0017">
      <w:pPr>
        <w:ind w:left="284"/>
        <w:jc w:val="both"/>
        <w:rPr>
          <w:rFonts w:ascii="Verdana" w:hAnsi="Verdana"/>
          <w:b/>
          <w:bCs/>
          <w:iCs/>
          <w:sz w:val="18"/>
          <w:szCs w:val="18"/>
        </w:rPr>
      </w:pPr>
      <w:r w:rsidRPr="000C0017">
        <w:rPr>
          <w:rFonts w:ascii="Verdana" w:hAnsi="Verdana"/>
          <w:b/>
          <w:bCs/>
          <w:iCs/>
          <w:sz w:val="18"/>
          <w:szCs w:val="18"/>
        </w:rPr>
        <w:t>Criterio del Tribunal Supremo</w:t>
      </w:r>
    </w:p>
    <w:p w14:paraId="4CDF6AA5" w14:textId="77777777" w:rsidR="000C0017" w:rsidRPr="000C0017" w:rsidRDefault="000C0017" w:rsidP="000C0017">
      <w:pPr>
        <w:ind w:left="284"/>
        <w:jc w:val="both"/>
        <w:rPr>
          <w:rFonts w:ascii="Verdana" w:hAnsi="Verdana"/>
          <w:bCs/>
          <w:iCs/>
          <w:sz w:val="18"/>
          <w:szCs w:val="18"/>
        </w:rPr>
      </w:pPr>
      <w:r w:rsidRPr="000C0017">
        <w:rPr>
          <w:rFonts w:ascii="Verdana" w:hAnsi="Verdana"/>
          <w:bCs/>
          <w:iCs/>
          <w:sz w:val="18"/>
          <w:szCs w:val="18"/>
        </w:rPr>
        <w:t>El Supremo parte de la distinción entre:</w:t>
      </w:r>
    </w:p>
    <w:p w14:paraId="320B16E8" w14:textId="3A2C203F" w:rsidR="000C0017" w:rsidRPr="000C0017" w:rsidRDefault="00815490" w:rsidP="00365B0E">
      <w:pPr>
        <w:numPr>
          <w:ilvl w:val="0"/>
          <w:numId w:val="4"/>
        </w:numPr>
        <w:jc w:val="both"/>
        <w:rPr>
          <w:rFonts w:ascii="Verdana" w:hAnsi="Verdana"/>
          <w:bCs/>
          <w:iCs/>
          <w:sz w:val="18"/>
          <w:szCs w:val="18"/>
        </w:rPr>
      </w:pPr>
      <w:r>
        <w:rPr>
          <w:rFonts w:ascii="Verdana" w:hAnsi="Verdana"/>
          <w:b/>
          <w:bCs/>
          <w:iCs/>
          <w:sz w:val="18"/>
          <w:szCs w:val="18"/>
        </w:rPr>
        <w:t>E</w:t>
      </w:r>
      <w:r w:rsidR="000C0017" w:rsidRPr="000C0017">
        <w:rPr>
          <w:rFonts w:ascii="Verdana" w:hAnsi="Verdana"/>
          <w:b/>
          <w:bCs/>
          <w:iCs/>
          <w:sz w:val="18"/>
          <w:szCs w:val="18"/>
        </w:rPr>
        <w:t>l derecho a liquidar</w:t>
      </w:r>
      <w:r w:rsidR="000C0017" w:rsidRPr="000C0017">
        <w:rPr>
          <w:rFonts w:ascii="Verdana" w:hAnsi="Verdana"/>
          <w:bCs/>
          <w:iCs/>
          <w:sz w:val="18"/>
          <w:szCs w:val="18"/>
        </w:rPr>
        <w:t xml:space="preserve">, que está sujeto a los plazos de prescripción del artículo 66 LGT; y </w:t>
      </w:r>
    </w:p>
    <w:p w14:paraId="6E7A8963" w14:textId="5FDF061F" w:rsidR="000C0017" w:rsidRPr="000C0017" w:rsidRDefault="00815490" w:rsidP="00365B0E">
      <w:pPr>
        <w:numPr>
          <w:ilvl w:val="0"/>
          <w:numId w:val="4"/>
        </w:numPr>
        <w:jc w:val="both"/>
        <w:rPr>
          <w:rFonts w:ascii="Verdana" w:hAnsi="Verdana"/>
          <w:bCs/>
          <w:iCs/>
          <w:sz w:val="18"/>
          <w:szCs w:val="18"/>
        </w:rPr>
      </w:pPr>
      <w:r>
        <w:rPr>
          <w:rFonts w:ascii="Verdana" w:hAnsi="Verdana"/>
          <w:b/>
          <w:bCs/>
          <w:iCs/>
          <w:sz w:val="18"/>
          <w:szCs w:val="18"/>
        </w:rPr>
        <w:t>L</w:t>
      </w:r>
      <w:r w:rsidR="000C0017" w:rsidRPr="000C0017">
        <w:rPr>
          <w:rFonts w:ascii="Verdana" w:hAnsi="Verdana"/>
          <w:b/>
          <w:bCs/>
          <w:iCs/>
          <w:sz w:val="18"/>
          <w:szCs w:val="18"/>
        </w:rPr>
        <w:t>a potestad de comprobación e investigación</w:t>
      </w:r>
      <w:r w:rsidR="000C0017" w:rsidRPr="000C0017">
        <w:rPr>
          <w:rFonts w:ascii="Verdana" w:hAnsi="Verdana"/>
          <w:bCs/>
          <w:iCs/>
          <w:sz w:val="18"/>
          <w:szCs w:val="18"/>
        </w:rPr>
        <w:t xml:space="preserve">, que tiene carácter autónomo y puede proyectarse sobre hechos o créditos fiscales originados en períodos prescritos cuando produzcan efectos en períodos no prescritos. </w:t>
      </w:r>
    </w:p>
    <w:p w14:paraId="078B11CA" w14:textId="77777777" w:rsidR="00D7191B" w:rsidRDefault="00D7191B" w:rsidP="000C0017">
      <w:pPr>
        <w:ind w:left="284"/>
        <w:jc w:val="both"/>
        <w:rPr>
          <w:rFonts w:ascii="Verdana" w:hAnsi="Verdana"/>
          <w:bCs/>
          <w:iCs/>
          <w:sz w:val="18"/>
          <w:szCs w:val="18"/>
        </w:rPr>
      </w:pPr>
    </w:p>
    <w:p w14:paraId="6DF58343" w14:textId="2A6F3683"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Esta diferenciación fue reforzada por la </w:t>
      </w:r>
      <w:r w:rsidRPr="000C0017">
        <w:rPr>
          <w:rFonts w:ascii="Verdana" w:hAnsi="Verdana"/>
          <w:b/>
          <w:bCs/>
          <w:iCs/>
          <w:sz w:val="18"/>
          <w:szCs w:val="18"/>
        </w:rPr>
        <w:t>Ley 34/2015</w:t>
      </w:r>
      <w:r w:rsidRPr="000C0017">
        <w:rPr>
          <w:rFonts w:ascii="Verdana" w:hAnsi="Verdana"/>
          <w:bCs/>
          <w:iCs/>
          <w:sz w:val="18"/>
          <w:szCs w:val="18"/>
        </w:rPr>
        <w:t xml:space="preserve">, mediante los artículos </w:t>
      </w:r>
      <w:r w:rsidRPr="000C0017">
        <w:rPr>
          <w:rFonts w:ascii="Verdana" w:hAnsi="Verdana"/>
          <w:b/>
          <w:bCs/>
          <w:iCs/>
          <w:sz w:val="18"/>
          <w:szCs w:val="18"/>
        </w:rPr>
        <w:t>66 bis y 115 LGT</w:t>
      </w:r>
      <w:r w:rsidRPr="000C0017">
        <w:rPr>
          <w:rFonts w:ascii="Verdana" w:hAnsi="Verdana"/>
          <w:bCs/>
          <w:iCs/>
          <w:sz w:val="18"/>
          <w:szCs w:val="18"/>
        </w:rPr>
        <w:t xml:space="preserve">. El artículo 66 bis establece, en particular, un plazo de </w:t>
      </w:r>
      <w:r w:rsidRPr="000C0017">
        <w:rPr>
          <w:rFonts w:ascii="Verdana" w:hAnsi="Verdana"/>
          <w:b/>
          <w:bCs/>
          <w:iCs/>
          <w:sz w:val="18"/>
          <w:szCs w:val="18"/>
        </w:rPr>
        <w:t>diez años</w:t>
      </w:r>
      <w:r w:rsidRPr="000C0017">
        <w:rPr>
          <w:rFonts w:ascii="Verdana" w:hAnsi="Verdana"/>
          <w:bCs/>
          <w:iCs/>
          <w:sz w:val="18"/>
          <w:szCs w:val="18"/>
        </w:rPr>
        <w:t xml:space="preserve"> para que la Administración pueda iniciar la comprobación de determinadas bases o cuotas compensadas o pendientes de compensación y deducciones. </w:t>
      </w:r>
    </w:p>
    <w:p w14:paraId="0F277D02" w14:textId="77777777" w:rsidR="000C0017" w:rsidRPr="000C0017" w:rsidRDefault="000C0017" w:rsidP="000C0017">
      <w:pPr>
        <w:ind w:left="284"/>
        <w:jc w:val="both"/>
        <w:rPr>
          <w:rFonts w:ascii="Verdana" w:hAnsi="Verdana"/>
          <w:bCs/>
          <w:iCs/>
          <w:sz w:val="18"/>
          <w:szCs w:val="18"/>
        </w:rPr>
      </w:pPr>
    </w:p>
    <w:p w14:paraId="7EB99B8B" w14:textId="77777777" w:rsidR="000C0017" w:rsidRPr="000C0017" w:rsidRDefault="000C0017" w:rsidP="000C0017">
      <w:pPr>
        <w:ind w:left="284"/>
        <w:jc w:val="both"/>
        <w:rPr>
          <w:rFonts w:ascii="Verdana" w:hAnsi="Verdana"/>
          <w:b/>
          <w:bCs/>
          <w:iCs/>
          <w:sz w:val="18"/>
          <w:szCs w:val="18"/>
        </w:rPr>
      </w:pPr>
      <w:r w:rsidRPr="000C0017">
        <w:rPr>
          <w:rFonts w:ascii="Verdana" w:hAnsi="Verdana"/>
          <w:b/>
          <w:bCs/>
          <w:iCs/>
          <w:sz w:val="18"/>
          <w:szCs w:val="18"/>
        </w:rPr>
        <w:t>Los saldos de IVA son créditos fiscales</w:t>
      </w:r>
    </w:p>
    <w:p w14:paraId="31912D97" w14:textId="77777777"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Una de las cuestiones centrales era determinar si los saldos de IVA pendientes de compensación podían quedar incluidos en el artículo 66 bis LGT, puesto que técnicamente en el IVA se traslada un </w:t>
      </w:r>
      <w:r w:rsidRPr="000C0017">
        <w:rPr>
          <w:rFonts w:ascii="Verdana" w:hAnsi="Verdana"/>
          <w:b/>
          <w:bCs/>
          <w:iCs/>
          <w:sz w:val="18"/>
          <w:szCs w:val="18"/>
        </w:rPr>
        <w:t>saldo resultante del exceso de cuotas soportadas deducibles sobre las cuotas devengadas</w:t>
      </w:r>
      <w:r w:rsidRPr="000C0017">
        <w:rPr>
          <w:rFonts w:ascii="Verdana" w:hAnsi="Verdana"/>
          <w:bCs/>
          <w:iCs/>
          <w:sz w:val="18"/>
          <w:szCs w:val="18"/>
        </w:rPr>
        <w:t>.</w:t>
      </w:r>
    </w:p>
    <w:p w14:paraId="2CB8E5D5" w14:textId="77777777" w:rsidR="000C0017" w:rsidRPr="000C0017" w:rsidRDefault="000C0017" w:rsidP="000C0017">
      <w:pPr>
        <w:ind w:left="284"/>
        <w:jc w:val="both"/>
        <w:rPr>
          <w:rFonts w:ascii="Verdana" w:hAnsi="Verdana"/>
          <w:bCs/>
          <w:iCs/>
          <w:sz w:val="18"/>
          <w:szCs w:val="18"/>
        </w:rPr>
      </w:pPr>
    </w:p>
    <w:p w14:paraId="298ECAB4" w14:textId="77777777"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El Tribunal considera que la denominación utilizada por la normativa del IVA no puede impedir la aplicación del régimen de comprobación de créditos fiscales. Desde una perspectiva sustancial, el saldo pendiente de compensación constituye un </w:t>
      </w:r>
      <w:r w:rsidRPr="000C0017">
        <w:rPr>
          <w:rFonts w:ascii="Verdana" w:hAnsi="Verdana"/>
          <w:b/>
          <w:bCs/>
          <w:iCs/>
          <w:sz w:val="18"/>
          <w:szCs w:val="18"/>
        </w:rPr>
        <w:t>auténtico crédito fiscal</w:t>
      </w:r>
      <w:r w:rsidRPr="000C0017">
        <w:rPr>
          <w:rFonts w:ascii="Verdana" w:hAnsi="Verdana"/>
          <w:bCs/>
          <w:iCs/>
          <w:sz w:val="18"/>
          <w:szCs w:val="18"/>
        </w:rPr>
        <w:t xml:space="preserve">, cuya aplicación afecta directamente a la deuda tributaria del período posterior. </w:t>
      </w:r>
    </w:p>
    <w:p w14:paraId="162772CC" w14:textId="77777777" w:rsidR="000C0017" w:rsidRPr="000C0017" w:rsidRDefault="000C0017" w:rsidP="000C0017">
      <w:pPr>
        <w:ind w:left="284"/>
        <w:jc w:val="both"/>
        <w:rPr>
          <w:rFonts w:ascii="Verdana" w:hAnsi="Verdana"/>
          <w:bCs/>
          <w:iCs/>
          <w:sz w:val="18"/>
          <w:szCs w:val="18"/>
        </w:rPr>
      </w:pPr>
    </w:p>
    <w:p w14:paraId="660334DA" w14:textId="77777777"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Por tanto, estos saldos están sometidos al régimen del artículo 66 bis LGT y </w:t>
      </w:r>
      <w:r w:rsidRPr="000C0017">
        <w:rPr>
          <w:rFonts w:ascii="Verdana" w:hAnsi="Verdana"/>
          <w:b/>
          <w:bCs/>
          <w:iCs/>
          <w:sz w:val="18"/>
          <w:szCs w:val="18"/>
        </w:rPr>
        <w:t>pueden ser comprobados respecto de su realidad y cuantía</w:t>
      </w:r>
      <w:r w:rsidRPr="000C0017">
        <w:rPr>
          <w:rFonts w:ascii="Verdana" w:hAnsi="Verdana"/>
          <w:bCs/>
          <w:iCs/>
          <w:sz w:val="18"/>
          <w:szCs w:val="18"/>
        </w:rPr>
        <w:t xml:space="preserve">, aunque se hayan generado en períodos respecto de los cuales haya prescrito el derecho a liquidar. </w:t>
      </w:r>
    </w:p>
    <w:p w14:paraId="7B6C3A6F" w14:textId="77777777" w:rsidR="000C0017" w:rsidRPr="000C0017" w:rsidRDefault="000C0017" w:rsidP="000C0017">
      <w:pPr>
        <w:ind w:left="284"/>
        <w:jc w:val="both"/>
        <w:rPr>
          <w:rFonts w:ascii="Verdana" w:hAnsi="Verdana"/>
          <w:bCs/>
          <w:iCs/>
          <w:sz w:val="18"/>
          <w:szCs w:val="18"/>
        </w:rPr>
      </w:pPr>
    </w:p>
    <w:p w14:paraId="240F8AC1" w14:textId="77777777" w:rsidR="000C0017" w:rsidRPr="000C0017" w:rsidRDefault="000C0017" w:rsidP="000C0017">
      <w:pPr>
        <w:ind w:left="284"/>
        <w:jc w:val="both"/>
        <w:rPr>
          <w:rFonts w:ascii="Verdana" w:hAnsi="Verdana"/>
          <w:b/>
          <w:bCs/>
          <w:iCs/>
          <w:sz w:val="18"/>
          <w:szCs w:val="18"/>
        </w:rPr>
      </w:pPr>
      <w:r w:rsidRPr="000C0017">
        <w:rPr>
          <w:rFonts w:ascii="Verdana" w:hAnsi="Verdana"/>
          <w:b/>
          <w:bCs/>
          <w:iCs/>
          <w:sz w:val="18"/>
          <w:szCs w:val="18"/>
        </w:rPr>
        <w:t>Doctrina jurisprudencial</w:t>
      </w:r>
    </w:p>
    <w:p w14:paraId="034AD5C0" w14:textId="77777777" w:rsidR="000C0017" w:rsidRPr="000C0017" w:rsidRDefault="000C0017" w:rsidP="000C0017">
      <w:pPr>
        <w:ind w:left="284"/>
        <w:jc w:val="both"/>
        <w:rPr>
          <w:rFonts w:ascii="Verdana" w:hAnsi="Verdana"/>
          <w:bCs/>
          <w:iCs/>
          <w:sz w:val="18"/>
          <w:szCs w:val="18"/>
        </w:rPr>
      </w:pPr>
      <w:r w:rsidRPr="000C0017">
        <w:rPr>
          <w:rFonts w:ascii="Verdana" w:hAnsi="Verdana"/>
          <w:bCs/>
          <w:iCs/>
          <w:sz w:val="18"/>
          <w:szCs w:val="18"/>
        </w:rPr>
        <w:t>El Tribunal Supremo fija expresamente la siguiente doctrina:</w:t>
      </w:r>
    </w:p>
    <w:p w14:paraId="68F6CCBD" w14:textId="77777777"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Tras la reforma de la Ley 34/2015, la Administración tributaria </w:t>
      </w:r>
      <w:r w:rsidRPr="000C0017">
        <w:rPr>
          <w:rFonts w:ascii="Verdana" w:hAnsi="Verdana"/>
          <w:b/>
          <w:bCs/>
          <w:iCs/>
          <w:sz w:val="18"/>
          <w:szCs w:val="18"/>
        </w:rPr>
        <w:t>puede comprobar los saldos de IVA pendientes de compensación generados en períodos prescritos cuando se apliquen en períodos posteriores no prescritos</w:t>
      </w:r>
      <w:r w:rsidRPr="000C0017">
        <w:rPr>
          <w:rFonts w:ascii="Verdana" w:hAnsi="Verdana"/>
          <w:bCs/>
          <w:iCs/>
          <w:sz w:val="18"/>
          <w:szCs w:val="18"/>
        </w:rPr>
        <w:t xml:space="preserve">, siempre que la regularización de estos últimos exija verificar su realidad y cuantía y se respeten los límites del artículo 66 bis LGT. </w:t>
      </w:r>
    </w:p>
    <w:p w14:paraId="6CBFEA1E" w14:textId="77777777" w:rsidR="000C0017" w:rsidRPr="000C0017" w:rsidRDefault="000C0017" w:rsidP="000C0017">
      <w:pPr>
        <w:ind w:left="284"/>
        <w:jc w:val="both"/>
        <w:rPr>
          <w:rFonts w:ascii="Verdana" w:hAnsi="Verdana"/>
          <w:bCs/>
          <w:iCs/>
          <w:sz w:val="18"/>
          <w:szCs w:val="18"/>
        </w:rPr>
      </w:pPr>
    </w:p>
    <w:p w14:paraId="5F194C06" w14:textId="77777777"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En consecuencia, </w:t>
      </w:r>
      <w:r w:rsidRPr="000C0017">
        <w:rPr>
          <w:rFonts w:ascii="Verdana" w:hAnsi="Verdana"/>
          <w:b/>
          <w:bCs/>
          <w:iCs/>
          <w:sz w:val="18"/>
          <w:szCs w:val="18"/>
        </w:rPr>
        <w:t>la prescripción del período en el que se originó el saldo impide liquidar dicho período, pero no impide comprobar el crédito fiscal cuando continúa produciendo efectos en un período posterior abierto a regularización</w:t>
      </w:r>
      <w:r w:rsidRPr="000C0017">
        <w:rPr>
          <w:rFonts w:ascii="Verdana" w:hAnsi="Verdana"/>
          <w:bCs/>
          <w:iCs/>
          <w:sz w:val="18"/>
          <w:szCs w:val="18"/>
        </w:rPr>
        <w:t xml:space="preserve">. </w:t>
      </w:r>
    </w:p>
    <w:p w14:paraId="2DD6F7D0" w14:textId="77777777" w:rsidR="000C0017" w:rsidRPr="000C0017" w:rsidRDefault="000C0017" w:rsidP="000C0017">
      <w:pPr>
        <w:ind w:left="284"/>
        <w:jc w:val="both"/>
        <w:rPr>
          <w:rFonts w:ascii="Verdana" w:hAnsi="Verdana"/>
          <w:bCs/>
          <w:iCs/>
          <w:sz w:val="18"/>
          <w:szCs w:val="18"/>
        </w:rPr>
      </w:pPr>
    </w:p>
    <w:p w14:paraId="68865918" w14:textId="77777777" w:rsidR="000C0017" w:rsidRPr="000C0017" w:rsidRDefault="000C0017" w:rsidP="000C0017">
      <w:pPr>
        <w:ind w:left="284"/>
        <w:jc w:val="both"/>
        <w:rPr>
          <w:rFonts w:ascii="Verdana" w:hAnsi="Verdana"/>
          <w:b/>
          <w:bCs/>
          <w:iCs/>
          <w:sz w:val="18"/>
          <w:szCs w:val="18"/>
        </w:rPr>
      </w:pPr>
      <w:r w:rsidRPr="000C0017">
        <w:rPr>
          <w:rFonts w:ascii="Verdana" w:hAnsi="Verdana"/>
          <w:b/>
          <w:bCs/>
          <w:iCs/>
          <w:sz w:val="18"/>
          <w:szCs w:val="18"/>
        </w:rPr>
        <w:t>Aplicación al caso</w:t>
      </w:r>
    </w:p>
    <w:p w14:paraId="251EC36D" w14:textId="3966D7AA"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El Tribunal desestima el recurso de casación de </w:t>
      </w:r>
      <w:r>
        <w:rPr>
          <w:rFonts w:ascii="Verdana" w:hAnsi="Verdana"/>
          <w:bCs/>
          <w:iCs/>
          <w:sz w:val="18"/>
          <w:szCs w:val="18"/>
        </w:rPr>
        <w:t>XXX</w:t>
      </w:r>
      <w:r w:rsidRPr="000C0017">
        <w:rPr>
          <w:rFonts w:ascii="Verdana" w:hAnsi="Verdana"/>
          <w:bCs/>
          <w:iCs/>
          <w:sz w:val="18"/>
          <w:szCs w:val="18"/>
        </w:rPr>
        <w:t>, S.L. y confirma la sentencia recurrida. Considera correcta la actuación inspectora al comprobar el saldo de IVA trasladado al cuarto trimestre de 2015, pese a que los tres primeros trimestres de ese año estaban prescritos</w:t>
      </w:r>
      <w:r w:rsidR="00815490">
        <w:rPr>
          <w:rFonts w:ascii="Verdana" w:hAnsi="Verdana"/>
          <w:bCs/>
          <w:iCs/>
          <w:sz w:val="18"/>
          <w:szCs w:val="18"/>
        </w:rPr>
        <w:t>.</w:t>
      </w:r>
    </w:p>
    <w:p w14:paraId="0514E289" w14:textId="49EE0D57" w:rsidR="000C0017" w:rsidRDefault="000C0017" w:rsidP="000C0017">
      <w:pPr>
        <w:ind w:left="284"/>
        <w:jc w:val="both"/>
        <w:rPr>
          <w:rFonts w:ascii="Verdana" w:hAnsi="Verdana"/>
          <w:bCs/>
          <w:iCs/>
          <w:sz w:val="18"/>
          <w:szCs w:val="18"/>
        </w:rPr>
      </w:pPr>
    </w:p>
    <w:p w14:paraId="23F6AC67" w14:textId="77777777" w:rsidR="00D7191B" w:rsidRPr="000C0017" w:rsidRDefault="00D7191B" w:rsidP="000C0017">
      <w:pPr>
        <w:ind w:left="284"/>
        <w:jc w:val="both"/>
        <w:rPr>
          <w:rFonts w:ascii="Verdana" w:hAnsi="Verdana"/>
          <w:bCs/>
          <w:iCs/>
          <w:sz w:val="18"/>
          <w:szCs w:val="18"/>
        </w:rPr>
      </w:pPr>
    </w:p>
    <w:p w14:paraId="0D435C11" w14:textId="283BE240" w:rsidR="000C0017" w:rsidRPr="000C0017" w:rsidRDefault="000C0017" w:rsidP="000C0017">
      <w:pPr>
        <w:ind w:left="284"/>
        <w:jc w:val="both"/>
        <w:rPr>
          <w:rFonts w:ascii="Verdana" w:hAnsi="Verdana"/>
          <w:b/>
          <w:bCs/>
          <w:iCs/>
          <w:sz w:val="18"/>
          <w:szCs w:val="18"/>
        </w:rPr>
      </w:pPr>
      <w:r w:rsidRPr="000C0017">
        <w:rPr>
          <w:rFonts w:ascii="Verdana" w:hAnsi="Verdana"/>
          <w:b/>
          <w:bCs/>
          <w:iCs/>
          <w:sz w:val="18"/>
          <w:szCs w:val="18"/>
        </w:rPr>
        <w:lastRenderedPageBreak/>
        <w:t xml:space="preserve">Conclusión </w:t>
      </w:r>
    </w:p>
    <w:p w14:paraId="18ADAF33" w14:textId="77777777" w:rsidR="007C7557" w:rsidRDefault="000C0017" w:rsidP="000C0017">
      <w:pPr>
        <w:ind w:left="284"/>
        <w:jc w:val="both"/>
        <w:rPr>
          <w:rFonts w:ascii="Verdana" w:hAnsi="Verdana"/>
          <w:bCs/>
          <w:iCs/>
          <w:sz w:val="18"/>
          <w:szCs w:val="18"/>
        </w:rPr>
      </w:pPr>
      <w:r w:rsidRPr="000C0017">
        <w:rPr>
          <w:rFonts w:ascii="Verdana" w:hAnsi="Verdana"/>
          <w:b/>
          <w:bCs/>
          <w:iCs/>
          <w:sz w:val="18"/>
          <w:szCs w:val="18"/>
        </w:rPr>
        <w:t>La prescripción no “blinda” los saldos de IVA pendientes de compensación.</w:t>
      </w:r>
      <w:r w:rsidRPr="000C0017">
        <w:rPr>
          <w:rFonts w:ascii="Verdana" w:hAnsi="Verdana"/>
          <w:bCs/>
          <w:iCs/>
          <w:sz w:val="18"/>
          <w:szCs w:val="18"/>
        </w:rPr>
        <w:t xml:space="preserve"> Cuando un saldo generado en un período prescrito se arrastra y se utiliza en un período posterior no prescrito, la Administración puede comprobar su </w:t>
      </w:r>
      <w:r w:rsidRPr="000C0017">
        <w:rPr>
          <w:rFonts w:ascii="Verdana" w:hAnsi="Verdana"/>
          <w:b/>
          <w:bCs/>
          <w:iCs/>
          <w:sz w:val="18"/>
          <w:szCs w:val="18"/>
        </w:rPr>
        <w:t>procedencia, realidad y cuantía</w:t>
      </w:r>
      <w:r w:rsidRPr="000C0017">
        <w:rPr>
          <w:rFonts w:ascii="Verdana" w:hAnsi="Verdana"/>
          <w:bCs/>
          <w:iCs/>
          <w:sz w:val="18"/>
          <w:szCs w:val="18"/>
        </w:rPr>
        <w:t xml:space="preserve">, dentro de los límites temporales y materiales del artículo 66 bis LGT. La sentencia refuerza así la separación entre </w:t>
      </w:r>
      <w:r w:rsidRPr="000C0017">
        <w:rPr>
          <w:rFonts w:ascii="Verdana" w:hAnsi="Verdana"/>
          <w:b/>
          <w:bCs/>
          <w:iCs/>
          <w:sz w:val="18"/>
          <w:szCs w:val="18"/>
        </w:rPr>
        <w:t>prescripción del derecho a liquidar</w:t>
      </w:r>
      <w:r w:rsidRPr="000C0017">
        <w:rPr>
          <w:rFonts w:ascii="Verdana" w:hAnsi="Verdana"/>
          <w:bCs/>
          <w:iCs/>
          <w:sz w:val="18"/>
          <w:szCs w:val="18"/>
        </w:rPr>
        <w:t xml:space="preserve"> y </w:t>
      </w:r>
      <w:r w:rsidRPr="000C0017">
        <w:rPr>
          <w:rFonts w:ascii="Verdana" w:hAnsi="Verdana"/>
          <w:b/>
          <w:bCs/>
          <w:iCs/>
          <w:sz w:val="18"/>
          <w:szCs w:val="18"/>
        </w:rPr>
        <w:t>potestad de comprobación tributaria</w:t>
      </w:r>
      <w:r w:rsidRPr="000C0017">
        <w:rPr>
          <w:rFonts w:ascii="Verdana" w:hAnsi="Verdana"/>
          <w:bCs/>
          <w:iCs/>
          <w:sz w:val="18"/>
          <w:szCs w:val="18"/>
        </w:rPr>
        <w:t>.</w:t>
      </w:r>
    </w:p>
    <w:p w14:paraId="21A51BF4" w14:textId="77777777" w:rsidR="007C7557" w:rsidRDefault="007C7557" w:rsidP="000C0017">
      <w:pPr>
        <w:ind w:left="284"/>
        <w:jc w:val="both"/>
        <w:rPr>
          <w:rFonts w:ascii="Verdana" w:hAnsi="Verdana"/>
          <w:bCs/>
          <w:iCs/>
          <w:sz w:val="18"/>
          <w:szCs w:val="18"/>
        </w:rPr>
      </w:pPr>
    </w:p>
    <w:p w14:paraId="4B6D7F6E" w14:textId="77777777" w:rsidR="00815490" w:rsidRDefault="00815490" w:rsidP="000C0017">
      <w:pPr>
        <w:ind w:left="284"/>
        <w:jc w:val="both"/>
        <w:rPr>
          <w:rFonts w:ascii="Verdana" w:hAnsi="Verdana"/>
          <w:bCs/>
          <w:iCs/>
          <w:sz w:val="18"/>
          <w:szCs w:val="18"/>
        </w:rPr>
      </w:pP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7B2223" w:rsidRPr="00DC4EC2" w14:paraId="0A8869FB" w14:textId="77777777" w:rsidTr="0031423D">
        <w:tc>
          <w:tcPr>
            <w:tcW w:w="180" w:type="dxa"/>
            <w:shd w:val="clear" w:color="auto" w:fill="FF6600"/>
          </w:tcPr>
          <w:p w14:paraId="10B36803" w14:textId="77777777" w:rsidR="007B2223" w:rsidRPr="00DC4EC2" w:rsidRDefault="007B2223" w:rsidP="00365B0E">
            <w:pPr>
              <w:pStyle w:val="Prrafodelista"/>
              <w:numPr>
                <w:ilvl w:val="0"/>
                <w:numId w:val="1"/>
              </w:numPr>
              <w:rPr>
                <w:rFonts w:ascii="Verdana" w:hAnsi="Verdana"/>
                <w:b/>
                <w:bCs/>
                <w:color w:val="800000"/>
                <w:sz w:val="18"/>
                <w:szCs w:val="18"/>
              </w:rPr>
            </w:pPr>
          </w:p>
        </w:tc>
        <w:tc>
          <w:tcPr>
            <w:tcW w:w="8460" w:type="dxa"/>
          </w:tcPr>
          <w:p w14:paraId="4DA9EA25" w14:textId="619CE9F1" w:rsidR="007B2223" w:rsidRPr="00DC4EC2" w:rsidRDefault="007B2223" w:rsidP="00365B0E">
            <w:pPr>
              <w:pStyle w:val="Prrafodelista"/>
              <w:numPr>
                <w:ilvl w:val="0"/>
                <w:numId w:val="2"/>
              </w:numPr>
              <w:ind w:left="384" w:hanging="283"/>
              <w:jc w:val="both"/>
              <w:rPr>
                <w:rFonts w:ascii="Verdana" w:hAnsi="Verdana"/>
                <w:b/>
                <w:bCs/>
                <w:color w:val="800000"/>
                <w:sz w:val="18"/>
                <w:szCs w:val="18"/>
              </w:rPr>
            </w:pPr>
            <w:r w:rsidRPr="00DC4EC2">
              <w:rPr>
                <w:rFonts w:ascii="Verdana" w:hAnsi="Verdana"/>
                <w:b/>
                <w:bCs/>
                <w:color w:val="800000"/>
                <w:sz w:val="18"/>
                <w:szCs w:val="18"/>
              </w:rPr>
              <w:t xml:space="preserve">IVA E IRPF EN EL ALQUILER DE VIVIENDAS TURÍSTICAS A TRAVÉS DE UNA COMUNIDAD DE BIENES </w:t>
            </w:r>
          </w:p>
        </w:tc>
      </w:tr>
    </w:tbl>
    <w:p w14:paraId="29033B06" w14:textId="77777777" w:rsidR="00D7191B" w:rsidRDefault="00D7191B" w:rsidP="007C7557">
      <w:pPr>
        <w:ind w:left="284"/>
        <w:jc w:val="both"/>
        <w:rPr>
          <w:rFonts w:ascii="Verdana" w:hAnsi="Verdana"/>
          <w:b/>
          <w:bCs/>
          <w:iCs/>
          <w:sz w:val="18"/>
          <w:szCs w:val="18"/>
        </w:rPr>
      </w:pPr>
    </w:p>
    <w:p w14:paraId="24AFD8FB" w14:textId="70091F50" w:rsidR="007C7557" w:rsidRPr="007C7557" w:rsidRDefault="007C7557" w:rsidP="007C7557">
      <w:pPr>
        <w:ind w:left="284"/>
        <w:jc w:val="both"/>
        <w:rPr>
          <w:rFonts w:ascii="Verdana" w:hAnsi="Verdana"/>
          <w:b/>
          <w:bCs/>
          <w:iCs/>
          <w:sz w:val="18"/>
          <w:szCs w:val="18"/>
        </w:rPr>
      </w:pPr>
      <w:r w:rsidRPr="007C7557">
        <w:rPr>
          <w:rFonts w:ascii="Verdana" w:hAnsi="Verdana"/>
          <w:b/>
          <w:bCs/>
          <w:iCs/>
          <w:sz w:val="18"/>
          <w:szCs w:val="18"/>
        </w:rPr>
        <w:t xml:space="preserve">DGT V1544/2026, de 15 de junio de 2026: </w:t>
      </w:r>
      <w:bookmarkStart w:id="1" w:name="_Hlk240909961"/>
      <w:r w:rsidRPr="007C7557">
        <w:rPr>
          <w:rFonts w:ascii="Verdana" w:hAnsi="Verdana"/>
          <w:b/>
          <w:bCs/>
          <w:iCs/>
          <w:sz w:val="18"/>
          <w:szCs w:val="18"/>
        </w:rPr>
        <w:t>IVA e IRPF en el alquiler de viviendas turísticas a través de una comunidad de bienes</w:t>
      </w:r>
      <w:bookmarkEnd w:id="1"/>
    </w:p>
    <w:p w14:paraId="62B4253F" w14:textId="77777777" w:rsidR="007C7557" w:rsidRDefault="007C7557" w:rsidP="007C7557">
      <w:pPr>
        <w:ind w:left="284"/>
        <w:jc w:val="both"/>
        <w:rPr>
          <w:rFonts w:ascii="Verdana" w:hAnsi="Verdana"/>
          <w:bCs/>
          <w:iCs/>
          <w:sz w:val="18"/>
          <w:szCs w:val="18"/>
        </w:rPr>
      </w:pPr>
    </w:p>
    <w:p w14:paraId="0923CDE8" w14:textId="1B898D66" w:rsidR="007C7557" w:rsidRDefault="007C7557" w:rsidP="007C7557">
      <w:pPr>
        <w:ind w:left="284"/>
        <w:jc w:val="both"/>
        <w:rPr>
          <w:rFonts w:ascii="Verdana" w:hAnsi="Verdana"/>
          <w:bCs/>
          <w:iCs/>
          <w:sz w:val="18"/>
          <w:szCs w:val="18"/>
        </w:rPr>
      </w:pPr>
      <w:bookmarkStart w:id="2" w:name="_Hlk240910082"/>
      <w:r w:rsidRPr="007C7557">
        <w:rPr>
          <w:rFonts w:ascii="Verdana" w:hAnsi="Verdana"/>
          <w:bCs/>
          <w:iCs/>
          <w:sz w:val="18"/>
          <w:szCs w:val="18"/>
        </w:rPr>
        <w:t>La Dirección General de Tributos</w:t>
      </w:r>
      <w:r w:rsidR="007B2223">
        <w:rPr>
          <w:rFonts w:ascii="Verdana" w:hAnsi="Verdana"/>
          <w:bCs/>
          <w:iCs/>
          <w:sz w:val="18"/>
          <w:szCs w:val="18"/>
        </w:rPr>
        <w:t xml:space="preserve">, en su consulta vinculante V1544/2026, </w:t>
      </w:r>
      <w:r w:rsidRPr="007C7557">
        <w:rPr>
          <w:rFonts w:ascii="Verdana" w:hAnsi="Verdana"/>
          <w:bCs/>
          <w:iCs/>
          <w:sz w:val="18"/>
          <w:szCs w:val="18"/>
        </w:rPr>
        <w:t xml:space="preserve">analiza el tratamiento fiscal de una </w:t>
      </w:r>
      <w:r w:rsidRPr="007C7557">
        <w:rPr>
          <w:rFonts w:ascii="Verdana" w:hAnsi="Verdana"/>
          <w:b/>
          <w:bCs/>
          <w:iCs/>
          <w:sz w:val="18"/>
          <w:szCs w:val="18"/>
        </w:rPr>
        <w:t>comunidad de bienes constituida por dos copropietarios de viviendas destinadas al uso turístico</w:t>
      </w:r>
      <w:bookmarkEnd w:id="2"/>
      <w:r w:rsidRPr="007C7557">
        <w:rPr>
          <w:rFonts w:ascii="Verdana" w:hAnsi="Verdana"/>
          <w:bCs/>
          <w:iCs/>
          <w:sz w:val="18"/>
          <w:szCs w:val="18"/>
        </w:rPr>
        <w:t xml:space="preserve">, abordando tanto la tributación de las obras de construcción en el IVA como la calificación de los rendimientos obtenidos en el IRPF. </w:t>
      </w:r>
    </w:p>
    <w:p w14:paraId="7C0E6597" w14:textId="77777777" w:rsidR="007B2223" w:rsidRPr="007C7557" w:rsidRDefault="007B2223" w:rsidP="007C7557">
      <w:pPr>
        <w:ind w:left="284"/>
        <w:jc w:val="both"/>
        <w:rPr>
          <w:rFonts w:ascii="Verdana" w:hAnsi="Verdana"/>
          <w:bCs/>
          <w:iCs/>
          <w:sz w:val="18"/>
          <w:szCs w:val="18"/>
        </w:rPr>
      </w:pPr>
    </w:p>
    <w:p w14:paraId="3D9F0404" w14:textId="77777777" w:rsidR="007C7557" w:rsidRPr="007C7557" w:rsidRDefault="007C7557" w:rsidP="007C7557">
      <w:pPr>
        <w:ind w:left="284"/>
        <w:jc w:val="both"/>
        <w:rPr>
          <w:rFonts w:ascii="Verdana" w:hAnsi="Verdana"/>
          <w:bCs/>
          <w:iCs/>
          <w:sz w:val="18"/>
          <w:szCs w:val="18"/>
        </w:rPr>
      </w:pPr>
      <w:r w:rsidRPr="007C7557">
        <w:rPr>
          <w:rFonts w:ascii="Verdana" w:hAnsi="Verdana"/>
          <w:b/>
          <w:bCs/>
          <w:iCs/>
          <w:sz w:val="18"/>
          <w:szCs w:val="18"/>
        </w:rPr>
        <w:t>IVA – Inversión del sujeto pasivo en las obras de construcción</w:t>
      </w:r>
    </w:p>
    <w:p w14:paraId="1869D2EA" w14:textId="77777777" w:rsidR="007C7557" w:rsidRDefault="007C7557" w:rsidP="007C7557">
      <w:pPr>
        <w:ind w:left="284"/>
        <w:jc w:val="both"/>
        <w:rPr>
          <w:rFonts w:ascii="Verdana" w:hAnsi="Verdana"/>
          <w:bCs/>
          <w:iCs/>
          <w:sz w:val="18"/>
          <w:szCs w:val="18"/>
        </w:rPr>
      </w:pPr>
      <w:r w:rsidRPr="007C7557">
        <w:rPr>
          <w:rFonts w:ascii="Verdana" w:hAnsi="Verdana"/>
          <w:bCs/>
          <w:iCs/>
          <w:sz w:val="18"/>
          <w:szCs w:val="18"/>
        </w:rPr>
        <w:t xml:space="preserve">La DGT confirma que una </w:t>
      </w:r>
      <w:r w:rsidRPr="007C7557">
        <w:rPr>
          <w:rFonts w:ascii="Verdana" w:hAnsi="Verdana"/>
          <w:b/>
          <w:bCs/>
          <w:iCs/>
          <w:sz w:val="18"/>
          <w:szCs w:val="18"/>
        </w:rPr>
        <w:t>comunidad de bienes puede tener la condición de empresario o profesional y, por tanto, de sujeto pasivo del IVA</w:t>
      </w:r>
      <w:r w:rsidRPr="007C7557">
        <w:rPr>
          <w:rFonts w:ascii="Verdana" w:hAnsi="Verdana"/>
          <w:bCs/>
          <w:iCs/>
          <w:sz w:val="18"/>
          <w:szCs w:val="18"/>
        </w:rPr>
        <w:t xml:space="preserve">, siempre que actúe como una unidad económica independiente, ordenando conjuntamente medios materiales y/o personales para desarrollar una actividad empresarial y asumiendo conjuntamente el riesgo de la actividad. </w:t>
      </w:r>
    </w:p>
    <w:p w14:paraId="23859E0B" w14:textId="77777777" w:rsidR="007B2223" w:rsidRPr="007C7557" w:rsidRDefault="007B2223" w:rsidP="007C7557">
      <w:pPr>
        <w:ind w:left="284"/>
        <w:jc w:val="both"/>
        <w:rPr>
          <w:rFonts w:ascii="Verdana" w:hAnsi="Verdana"/>
          <w:bCs/>
          <w:iCs/>
          <w:sz w:val="18"/>
          <w:szCs w:val="18"/>
        </w:rPr>
      </w:pPr>
    </w:p>
    <w:p w14:paraId="2ECD1D19" w14:textId="4E3A95A2" w:rsidR="007C7557" w:rsidRDefault="007C7557" w:rsidP="007C7557">
      <w:pPr>
        <w:ind w:left="284"/>
        <w:jc w:val="both"/>
        <w:rPr>
          <w:rFonts w:ascii="Verdana" w:hAnsi="Verdana"/>
          <w:bCs/>
          <w:iCs/>
          <w:sz w:val="18"/>
          <w:szCs w:val="18"/>
        </w:rPr>
      </w:pPr>
      <w:r w:rsidRPr="007C7557">
        <w:rPr>
          <w:rFonts w:ascii="Verdana" w:hAnsi="Verdana"/>
          <w:bCs/>
          <w:iCs/>
          <w:sz w:val="18"/>
          <w:szCs w:val="18"/>
        </w:rPr>
        <w:t xml:space="preserve">En consecuencia, en las ejecuciones de obra destinadas a la </w:t>
      </w:r>
      <w:r w:rsidRPr="007C7557">
        <w:rPr>
          <w:rFonts w:ascii="Verdana" w:hAnsi="Verdana"/>
          <w:b/>
          <w:bCs/>
          <w:iCs/>
          <w:sz w:val="18"/>
          <w:szCs w:val="18"/>
        </w:rPr>
        <w:t>construcción del inmueble</w:t>
      </w:r>
      <w:r w:rsidRPr="007C7557">
        <w:rPr>
          <w:rFonts w:ascii="Verdana" w:hAnsi="Verdana"/>
          <w:bCs/>
          <w:iCs/>
          <w:sz w:val="18"/>
          <w:szCs w:val="18"/>
        </w:rPr>
        <w:t xml:space="preserve"> puede resultar aplicable la </w:t>
      </w:r>
      <w:r w:rsidRPr="007C7557">
        <w:rPr>
          <w:rFonts w:ascii="Verdana" w:hAnsi="Verdana"/>
          <w:b/>
          <w:bCs/>
          <w:iCs/>
          <w:sz w:val="18"/>
          <w:szCs w:val="18"/>
        </w:rPr>
        <w:t xml:space="preserve">inversión del sujeto pasivo prevista en el artículo </w:t>
      </w:r>
      <w:r w:rsidR="007B2223" w:rsidRPr="007C7557">
        <w:rPr>
          <w:rFonts w:ascii="Verdana" w:hAnsi="Verdana"/>
          <w:b/>
          <w:bCs/>
          <w:iCs/>
          <w:sz w:val="18"/>
          <w:szCs w:val="18"/>
        </w:rPr>
        <w:t>84. Uno.2.º. f</w:t>
      </w:r>
      <w:r w:rsidRPr="007C7557">
        <w:rPr>
          <w:rFonts w:ascii="Verdana" w:hAnsi="Verdana"/>
          <w:b/>
          <w:bCs/>
          <w:iCs/>
          <w:sz w:val="18"/>
          <w:szCs w:val="18"/>
        </w:rPr>
        <w:t>) de la LIVA</w:t>
      </w:r>
      <w:r w:rsidRPr="007C7557">
        <w:rPr>
          <w:rFonts w:ascii="Verdana" w:hAnsi="Verdana"/>
          <w:bCs/>
          <w:iCs/>
          <w:sz w:val="18"/>
          <w:szCs w:val="18"/>
        </w:rPr>
        <w:t xml:space="preserve">, siempre que se cumplan sus requisitos: que el destinatario actúe como empresario o profesional, que las obras tengan por objeto la construcción, rehabilitación o urbanización y que se trate de ejecuciones de obra. </w:t>
      </w:r>
    </w:p>
    <w:p w14:paraId="7C93C8C0" w14:textId="77777777" w:rsidR="00D7191B" w:rsidRPr="007C7557" w:rsidRDefault="00D7191B" w:rsidP="007C7557">
      <w:pPr>
        <w:ind w:left="284"/>
        <w:jc w:val="both"/>
        <w:rPr>
          <w:rFonts w:ascii="Verdana" w:hAnsi="Verdana"/>
          <w:bCs/>
          <w:iCs/>
          <w:sz w:val="18"/>
          <w:szCs w:val="18"/>
        </w:rPr>
      </w:pPr>
    </w:p>
    <w:p w14:paraId="0DE20381" w14:textId="77777777" w:rsidR="007C7557" w:rsidRDefault="007C7557" w:rsidP="007C7557">
      <w:pPr>
        <w:ind w:left="284"/>
        <w:jc w:val="both"/>
        <w:rPr>
          <w:rFonts w:ascii="Verdana" w:hAnsi="Verdana"/>
          <w:bCs/>
          <w:iCs/>
          <w:sz w:val="18"/>
          <w:szCs w:val="18"/>
        </w:rPr>
      </w:pPr>
      <w:r w:rsidRPr="007C7557">
        <w:rPr>
          <w:rFonts w:ascii="Verdana" w:hAnsi="Verdana"/>
          <w:bCs/>
          <w:iCs/>
          <w:sz w:val="18"/>
          <w:szCs w:val="18"/>
        </w:rPr>
        <w:t xml:space="preserve">La DGT considera que, en el supuesto analizado, procede la inversión del sujeto pasivo al tratarse de ejecuciones de obra realizadas para la construcción de un inmueble cuyo promotor es la propia comunidad de bienes, </w:t>
      </w:r>
      <w:r w:rsidRPr="007C7557">
        <w:rPr>
          <w:rFonts w:ascii="Verdana" w:hAnsi="Verdana"/>
          <w:b/>
          <w:bCs/>
          <w:iCs/>
          <w:sz w:val="18"/>
          <w:szCs w:val="18"/>
        </w:rPr>
        <w:t>siempre que se cumplan las condiciones exigidas</w:t>
      </w:r>
      <w:r w:rsidRPr="007C7557">
        <w:rPr>
          <w:rFonts w:ascii="Verdana" w:hAnsi="Verdana"/>
          <w:bCs/>
          <w:iCs/>
          <w:sz w:val="18"/>
          <w:szCs w:val="18"/>
        </w:rPr>
        <w:t xml:space="preserve">. </w:t>
      </w:r>
    </w:p>
    <w:p w14:paraId="538BDC24" w14:textId="77777777" w:rsidR="007B2223" w:rsidRPr="007C7557" w:rsidRDefault="007B2223" w:rsidP="007C7557">
      <w:pPr>
        <w:ind w:left="284"/>
        <w:jc w:val="both"/>
        <w:rPr>
          <w:rFonts w:ascii="Verdana" w:hAnsi="Verdana"/>
          <w:bCs/>
          <w:iCs/>
          <w:sz w:val="18"/>
          <w:szCs w:val="18"/>
        </w:rPr>
      </w:pPr>
    </w:p>
    <w:p w14:paraId="32AD20EA" w14:textId="77777777" w:rsidR="007C7557" w:rsidRDefault="007C7557" w:rsidP="007C7557">
      <w:pPr>
        <w:ind w:left="284"/>
        <w:jc w:val="both"/>
        <w:rPr>
          <w:rFonts w:ascii="Verdana" w:hAnsi="Verdana"/>
          <w:bCs/>
          <w:iCs/>
          <w:sz w:val="18"/>
          <w:szCs w:val="18"/>
        </w:rPr>
      </w:pPr>
      <w:r w:rsidRPr="007C7557">
        <w:rPr>
          <w:rFonts w:ascii="Verdana" w:hAnsi="Verdana"/>
          <w:bCs/>
          <w:iCs/>
          <w:sz w:val="18"/>
          <w:szCs w:val="18"/>
        </w:rPr>
        <w:t xml:space="preserve">Un aspecto especialmente relevante es que </w:t>
      </w:r>
      <w:r w:rsidRPr="007C7557">
        <w:rPr>
          <w:rFonts w:ascii="Verdana" w:hAnsi="Verdana"/>
          <w:b/>
          <w:bCs/>
          <w:iCs/>
          <w:sz w:val="18"/>
          <w:szCs w:val="18"/>
        </w:rPr>
        <w:t>el alta individual de uno de los comuneros en el censo de empresarios no atribuye por sí sola a la comunidad de bienes la condición de sujeto pasivo del IVA</w:t>
      </w:r>
      <w:r w:rsidRPr="007C7557">
        <w:rPr>
          <w:rFonts w:ascii="Verdana" w:hAnsi="Verdana"/>
          <w:bCs/>
          <w:iCs/>
          <w:sz w:val="18"/>
          <w:szCs w:val="18"/>
        </w:rPr>
        <w:t xml:space="preserve">. La comunidad debe figurar formalmente de alta, disponer de NIF y cumplir autónomamente sus obligaciones censales, registrales y formales. </w:t>
      </w:r>
    </w:p>
    <w:p w14:paraId="2656F2FD" w14:textId="77777777" w:rsidR="007B2223" w:rsidRPr="007C7557" w:rsidRDefault="007B2223" w:rsidP="007C7557">
      <w:pPr>
        <w:ind w:left="284"/>
        <w:jc w:val="both"/>
        <w:rPr>
          <w:rFonts w:ascii="Verdana" w:hAnsi="Verdana"/>
          <w:bCs/>
          <w:iCs/>
          <w:sz w:val="18"/>
          <w:szCs w:val="18"/>
        </w:rPr>
      </w:pPr>
    </w:p>
    <w:p w14:paraId="5E85EFE7" w14:textId="77777777" w:rsidR="007B2223" w:rsidRDefault="007C7557" w:rsidP="007C7557">
      <w:pPr>
        <w:ind w:left="284"/>
        <w:jc w:val="both"/>
        <w:rPr>
          <w:rFonts w:ascii="Verdana" w:hAnsi="Verdana"/>
          <w:bCs/>
          <w:iCs/>
          <w:sz w:val="18"/>
          <w:szCs w:val="18"/>
        </w:rPr>
      </w:pPr>
      <w:r w:rsidRPr="007C7557">
        <w:rPr>
          <w:rFonts w:ascii="Verdana" w:hAnsi="Verdana"/>
          <w:bCs/>
          <w:iCs/>
          <w:sz w:val="18"/>
          <w:szCs w:val="18"/>
        </w:rPr>
        <w:t xml:space="preserve">Además, el destinatario debe comunicar al contratista, </w:t>
      </w:r>
      <w:r w:rsidRPr="007C7557">
        <w:rPr>
          <w:rFonts w:ascii="Verdana" w:hAnsi="Verdana"/>
          <w:b/>
          <w:bCs/>
          <w:iCs/>
          <w:sz w:val="18"/>
          <w:szCs w:val="18"/>
        </w:rPr>
        <w:t>con carácter previo o simultáneo a la operación</w:t>
      </w:r>
      <w:r w:rsidRPr="007C7557">
        <w:rPr>
          <w:rFonts w:ascii="Verdana" w:hAnsi="Verdana"/>
          <w:bCs/>
          <w:iCs/>
          <w:sz w:val="18"/>
          <w:szCs w:val="18"/>
        </w:rPr>
        <w:t>, que actúa como empresario o profesional y que las obras se realizan en el marco de la construcción o rehabilitación de edificaciones.</w:t>
      </w:r>
    </w:p>
    <w:p w14:paraId="36D47B90" w14:textId="70B4AE0C" w:rsidR="007C7557" w:rsidRPr="007C7557" w:rsidRDefault="007C7557" w:rsidP="007C7557">
      <w:pPr>
        <w:ind w:left="284"/>
        <w:jc w:val="both"/>
        <w:rPr>
          <w:rFonts w:ascii="Verdana" w:hAnsi="Verdana"/>
          <w:bCs/>
          <w:iCs/>
          <w:sz w:val="18"/>
          <w:szCs w:val="18"/>
        </w:rPr>
      </w:pPr>
      <w:r w:rsidRPr="007C7557">
        <w:rPr>
          <w:rFonts w:ascii="Verdana" w:hAnsi="Verdana"/>
          <w:bCs/>
          <w:iCs/>
          <w:sz w:val="18"/>
          <w:szCs w:val="18"/>
        </w:rPr>
        <w:t xml:space="preserve"> </w:t>
      </w:r>
    </w:p>
    <w:p w14:paraId="109512E4" w14:textId="77777777" w:rsidR="007C7557" w:rsidRPr="007C7557" w:rsidRDefault="007C7557" w:rsidP="007C7557">
      <w:pPr>
        <w:ind w:left="284"/>
        <w:jc w:val="both"/>
        <w:rPr>
          <w:rFonts w:ascii="Verdana" w:hAnsi="Verdana"/>
          <w:bCs/>
          <w:iCs/>
          <w:sz w:val="18"/>
          <w:szCs w:val="18"/>
        </w:rPr>
      </w:pPr>
      <w:r w:rsidRPr="007C7557">
        <w:rPr>
          <w:rFonts w:ascii="Verdana" w:hAnsi="Verdana"/>
          <w:b/>
          <w:bCs/>
          <w:iCs/>
          <w:sz w:val="18"/>
          <w:szCs w:val="18"/>
        </w:rPr>
        <w:t>IRPF – Rendimientos del alquiler de viviendas turísticas</w:t>
      </w:r>
    </w:p>
    <w:p w14:paraId="4202648F" w14:textId="77777777" w:rsidR="007C7557" w:rsidRDefault="007C7557" w:rsidP="007C7557">
      <w:pPr>
        <w:ind w:left="284"/>
        <w:jc w:val="both"/>
        <w:rPr>
          <w:rFonts w:ascii="Verdana" w:hAnsi="Verdana"/>
          <w:bCs/>
          <w:iCs/>
          <w:sz w:val="18"/>
          <w:szCs w:val="18"/>
        </w:rPr>
      </w:pPr>
      <w:r w:rsidRPr="007C7557">
        <w:rPr>
          <w:rFonts w:ascii="Verdana" w:hAnsi="Verdana"/>
          <w:bCs/>
          <w:iCs/>
          <w:sz w:val="18"/>
          <w:szCs w:val="18"/>
        </w:rPr>
        <w:t xml:space="preserve">En el IRPF, la comunidad de bienes </w:t>
      </w:r>
      <w:r w:rsidRPr="007C7557">
        <w:rPr>
          <w:rFonts w:ascii="Verdana" w:hAnsi="Verdana"/>
          <w:b/>
          <w:bCs/>
          <w:iCs/>
          <w:sz w:val="18"/>
          <w:szCs w:val="18"/>
        </w:rPr>
        <w:t>no es contribuyente</w:t>
      </w:r>
      <w:r w:rsidRPr="007C7557">
        <w:rPr>
          <w:rFonts w:ascii="Verdana" w:hAnsi="Verdana"/>
          <w:bCs/>
          <w:iCs/>
          <w:sz w:val="18"/>
          <w:szCs w:val="18"/>
        </w:rPr>
        <w:t xml:space="preserve">, sino que las rentas se atribuyen a sus comuneros, conservando dichas rentas la naturaleza que corresponda a la actividad o fuente de la que procedan. </w:t>
      </w:r>
    </w:p>
    <w:p w14:paraId="73E9A0E6" w14:textId="77777777" w:rsidR="007B2223" w:rsidRPr="007C7557" w:rsidRDefault="007B2223" w:rsidP="007C7557">
      <w:pPr>
        <w:ind w:left="284"/>
        <w:jc w:val="both"/>
        <w:rPr>
          <w:rFonts w:ascii="Verdana" w:hAnsi="Verdana"/>
          <w:bCs/>
          <w:iCs/>
          <w:sz w:val="18"/>
          <w:szCs w:val="18"/>
        </w:rPr>
      </w:pPr>
    </w:p>
    <w:p w14:paraId="70D89079" w14:textId="77777777" w:rsidR="007C7557" w:rsidRDefault="007C7557" w:rsidP="007C7557">
      <w:pPr>
        <w:ind w:left="284"/>
        <w:jc w:val="both"/>
        <w:rPr>
          <w:rFonts w:ascii="Verdana" w:hAnsi="Verdana"/>
          <w:bCs/>
          <w:iCs/>
          <w:sz w:val="18"/>
          <w:szCs w:val="18"/>
        </w:rPr>
      </w:pPr>
      <w:r w:rsidRPr="007C7557">
        <w:rPr>
          <w:rFonts w:ascii="Verdana" w:hAnsi="Verdana"/>
          <w:bCs/>
          <w:iCs/>
          <w:sz w:val="18"/>
          <w:szCs w:val="18"/>
        </w:rPr>
        <w:t xml:space="preserve">Respecto del alquiler de viviendas de uso turístico, la regla general es que los ingresos tengan la consideración de </w:t>
      </w:r>
      <w:r w:rsidRPr="007C7557">
        <w:rPr>
          <w:rFonts w:ascii="Verdana" w:hAnsi="Verdana"/>
          <w:b/>
          <w:bCs/>
          <w:iCs/>
          <w:sz w:val="18"/>
          <w:szCs w:val="18"/>
        </w:rPr>
        <w:t>rendimientos del capital inmobiliario</w:t>
      </w:r>
      <w:r w:rsidRPr="007C7557">
        <w:rPr>
          <w:rFonts w:ascii="Verdana" w:hAnsi="Verdana"/>
          <w:bCs/>
          <w:iCs/>
          <w:sz w:val="18"/>
          <w:szCs w:val="18"/>
        </w:rPr>
        <w:t xml:space="preserve"> cuando no exista una actividad económica.</w:t>
      </w:r>
    </w:p>
    <w:p w14:paraId="64EB7BDC" w14:textId="77777777" w:rsidR="007B2223" w:rsidRPr="007C7557" w:rsidRDefault="007B2223" w:rsidP="007C7557">
      <w:pPr>
        <w:ind w:left="284"/>
        <w:jc w:val="both"/>
        <w:rPr>
          <w:rFonts w:ascii="Verdana" w:hAnsi="Verdana"/>
          <w:bCs/>
          <w:iCs/>
          <w:sz w:val="18"/>
          <w:szCs w:val="18"/>
        </w:rPr>
      </w:pPr>
    </w:p>
    <w:p w14:paraId="25B2518E" w14:textId="77777777" w:rsidR="007B2223" w:rsidRDefault="007C7557" w:rsidP="007C7557">
      <w:pPr>
        <w:ind w:left="284"/>
        <w:jc w:val="both"/>
        <w:rPr>
          <w:rFonts w:ascii="Verdana" w:hAnsi="Verdana"/>
          <w:bCs/>
          <w:iCs/>
          <w:sz w:val="18"/>
          <w:szCs w:val="18"/>
        </w:rPr>
      </w:pPr>
      <w:r w:rsidRPr="007C7557">
        <w:rPr>
          <w:rFonts w:ascii="Verdana" w:hAnsi="Verdana"/>
          <w:bCs/>
          <w:iCs/>
          <w:sz w:val="18"/>
          <w:szCs w:val="18"/>
        </w:rPr>
        <w:t xml:space="preserve">El arrendamiento únicamente se considera actividad económica, a estos efectos, cuando se utiliza </w:t>
      </w:r>
      <w:r w:rsidRPr="007C7557">
        <w:rPr>
          <w:rFonts w:ascii="Verdana" w:hAnsi="Verdana"/>
          <w:b/>
          <w:bCs/>
          <w:iCs/>
          <w:sz w:val="18"/>
          <w:szCs w:val="18"/>
        </w:rPr>
        <w:t>al menos una persona empleada con contrato laboral y a jornada completa</w:t>
      </w:r>
      <w:r w:rsidRPr="007C7557">
        <w:rPr>
          <w:rFonts w:ascii="Verdana" w:hAnsi="Verdana"/>
          <w:bCs/>
          <w:iCs/>
          <w:sz w:val="18"/>
          <w:szCs w:val="18"/>
        </w:rPr>
        <w:t xml:space="preserve">. Asimismo, la prestación de servicios propios de la industria hotelera —como </w:t>
      </w:r>
      <w:r w:rsidRPr="007C7557">
        <w:rPr>
          <w:rFonts w:ascii="Verdana" w:hAnsi="Verdana"/>
          <w:bCs/>
          <w:iCs/>
          <w:sz w:val="18"/>
          <w:szCs w:val="18"/>
        </w:rPr>
        <w:lastRenderedPageBreak/>
        <w:t xml:space="preserve">restaurante, limpieza, lavado de ropa u otros análogos— determina la calificación de los rendimientos como </w:t>
      </w:r>
      <w:r w:rsidRPr="007C7557">
        <w:rPr>
          <w:rFonts w:ascii="Verdana" w:hAnsi="Verdana"/>
          <w:b/>
          <w:bCs/>
          <w:iCs/>
          <w:sz w:val="18"/>
          <w:szCs w:val="18"/>
        </w:rPr>
        <w:t>rendimientos de actividades económicas</w:t>
      </w:r>
      <w:r w:rsidRPr="007C7557">
        <w:rPr>
          <w:rFonts w:ascii="Verdana" w:hAnsi="Verdana"/>
          <w:bCs/>
          <w:iCs/>
          <w:sz w:val="18"/>
          <w:szCs w:val="18"/>
        </w:rPr>
        <w:t>.</w:t>
      </w:r>
    </w:p>
    <w:p w14:paraId="3F2B5995" w14:textId="38FB8F39" w:rsidR="007C7557" w:rsidRPr="007C7557" w:rsidRDefault="007C7557" w:rsidP="007C7557">
      <w:pPr>
        <w:ind w:left="284"/>
        <w:jc w:val="both"/>
        <w:rPr>
          <w:rFonts w:ascii="Verdana" w:hAnsi="Verdana"/>
          <w:bCs/>
          <w:iCs/>
          <w:sz w:val="18"/>
          <w:szCs w:val="18"/>
        </w:rPr>
      </w:pPr>
      <w:r w:rsidRPr="007C7557">
        <w:rPr>
          <w:rFonts w:ascii="Verdana" w:hAnsi="Verdana"/>
          <w:bCs/>
          <w:iCs/>
          <w:sz w:val="18"/>
          <w:szCs w:val="18"/>
        </w:rPr>
        <w:t xml:space="preserve"> </w:t>
      </w:r>
    </w:p>
    <w:p w14:paraId="30F08E8B" w14:textId="77777777" w:rsidR="007B2223" w:rsidRDefault="007C7557" w:rsidP="007C7557">
      <w:pPr>
        <w:ind w:left="284"/>
        <w:jc w:val="both"/>
        <w:rPr>
          <w:rFonts w:ascii="Verdana" w:hAnsi="Verdana"/>
          <w:bCs/>
          <w:iCs/>
          <w:sz w:val="18"/>
          <w:szCs w:val="18"/>
        </w:rPr>
      </w:pPr>
      <w:r w:rsidRPr="007C7557">
        <w:rPr>
          <w:rFonts w:ascii="Verdana" w:hAnsi="Verdana"/>
          <w:bCs/>
          <w:iCs/>
          <w:sz w:val="18"/>
          <w:szCs w:val="18"/>
        </w:rPr>
        <w:t xml:space="preserve">En el caso concreto, al </w:t>
      </w:r>
      <w:r w:rsidRPr="007C7557">
        <w:rPr>
          <w:rFonts w:ascii="Verdana" w:hAnsi="Verdana"/>
          <w:b/>
          <w:bCs/>
          <w:iCs/>
          <w:sz w:val="18"/>
          <w:szCs w:val="18"/>
        </w:rPr>
        <w:t>no prestarse servicios propios de la industria hotelera ni disponerse de empleados</w:t>
      </w:r>
      <w:r w:rsidRPr="007C7557">
        <w:rPr>
          <w:rFonts w:ascii="Verdana" w:hAnsi="Verdana"/>
          <w:bCs/>
          <w:iCs/>
          <w:sz w:val="18"/>
          <w:szCs w:val="18"/>
        </w:rPr>
        <w:t xml:space="preserve">, la DGT concluye que los ingresos derivados de las viviendas turísticas deben calificarse como </w:t>
      </w:r>
      <w:r w:rsidRPr="007C7557">
        <w:rPr>
          <w:rFonts w:ascii="Verdana" w:hAnsi="Verdana"/>
          <w:b/>
          <w:bCs/>
          <w:iCs/>
          <w:sz w:val="18"/>
          <w:szCs w:val="18"/>
        </w:rPr>
        <w:t>rendimientos del capital inmobiliario</w:t>
      </w:r>
      <w:r w:rsidRPr="007C7557">
        <w:rPr>
          <w:rFonts w:ascii="Verdana" w:hAnsi="Verdana"/>
          <w:bCs/>
          <w:iCs/>
          <w:sz w:val="18"/>
          <w:szCs w:val="18"/>
        </w:rPr>
        <w:t>.</w:t>
      </w:r>
    </w:p>
    <w:p w14:paraId="7D188B0F" w14:textId="44EF71E1" w:rsidR="007C7557" w:rsidRPr="007C7557" w:rsidRDefault="007C7557" w:rsidP="007C7557">
      <w:pPr>
        <w:ind w:left="284"/>
        <w:jc w:val="both"/>
        <w:rPr>
          <w:rFonts w:ascii="Verdana" w:hAnsi="Verdana"/>
          <w:bCs/>
          <w:iCs/>
          <w:sz w:val="18"/>
          <w:szCs w:val="18"/>
        </w:rPr>
      </w:pPr>
      <w:r w:rsidRPr="007C7557">
        <w:rPr>
          <w:rFonts w:ascii="Verdana" w:hAnsi="Verdana"/>
          <w:bCs/>
          <w:iCs/>
          <w:sz w:val="18"/>
          <w:szCs w:val="18"/>
        </w:rPr>
        <w:t xml:space="preserve"> </w:t>
      </w:r>
    </w:p>
    <w:p w14:paraId="319BA7CD" w14:textId="1799411E" w:rsidR="007C7557" w:rsidRPr="007C7557" w:rsidRDefault="007C7557" w:rsidP="007C7557">
      <w:pPr>
        <w:ind w:left="284"/>
        <w:jc w:val="both"/>
        <w:rPr>
          <w:rFonts w:ascii="Verdana" w:hAnsi="Verdana"/>
          <w:b/>
          <w:bCs/>
          <w:iCs/>
          <w:sz w:val="18"/>
          <w:szCs w:val="18"/>
        </w:rPr>
      </w:pPr>
      <w:r w:rsidRPr="007C7557">
        <w:rPr>
          <w:rFonts w:ascii="Verdana" w:hAnsi="Verdana"/>
          <w:b/>
          <w:bCs/>
          <w:iCs/>
          <w:sz w:val="18"/>
          <w:szCs w:val="18"/>
        </w:rPr>
        <w:t xml:space="preserve">Conclusión </w:t>
      </w:r>
    </w:p>
    <w:p w14:paraId="6F0B358B" w14:textId="77777777" w:rsidR="00815490" w:rsidRDefault="007C7557" w:rsidP="000C0017">
      <w:pPr>
        <w:ind w:left="284"/>
        <w:jc w:val="both"/>
        <w:rPr>
          <w:rFonts w:ascii="Verdana" w:hAnsi="Verdana"/>
          <w:b/>
          <w:bCs/>
          <w:iCs/>
          <w:sz w:val="18"/>
          <w:szCs w:val="18"/>
        </w:rPr>
      </w:pPr>
      <w:r w:rsidRPr="007C7557">
        <w:rPr>
          <w:rFonts w:ascii="Verdana" w:hAnsi="Verdana"/>
          <w:b/>
          <w:bCs/>
          <w:iCs/>
          <w:sz w:val="18"/>
          <w:szCs w:val="18"/>
        </w:rPr>
        <w:t>La DGT admite la inversión del sujeto pasivo del IVA en las obras de construcción realizadas para una comunidad de bienes cuando esta actúa como empresario o profesional y asume conjuntamente la actividad y sus riesgos. En el IRPF, los ingresos de viviendas turísticas explotadas por la comunidad se atribuyen a los comuneros y, si no existen empleados a jornada completa ni servicios propios de la industria hotelera, mantienen la consideración de rendimientos del capital</w:t>
      </w:r>
      <w:r w:rsidR="00815490">
        <w:rPr>
          <w:rFonts w:ascii="Verdana" w:hAnsi="Verdana"/>
          <w:b/>
          <w:bCs/>
          <w:iCs/>
          <w:sz w:val="18"/>
          <w:szCs w:val="18"/>
        </w:rPr>
        <w:t>.</w:t>
      </w:r>
      <w:r w:rsidRPr="007C7557">
        <w:rPr>
          <w:rFonts w:ascii="Verdana" w:hAnsi="Verdana"/>
          <w:b/>
          <w:bCs/>
          <w:iCs/>
          <w:sz w:val="18"/>
          <w:szCs w:val="18"/>
        </w:rPr>
        <w:t xml:space="preserve"> </w:t>
      </w:r>
      <w:r w:rsidR="00815490">
        <w:rPr>
          <w:rFonts w:ascii="Verdana" w:hAnsi="Verdana"/>
          <w:b/>
          <w:bCs/>
          <w:iCs/>
          <w:sz w:val="18"/>
          <w:szCs w:val="18"/>
        </w:rPr>
        <w:t xml:space="preserve">           </w:t>
      </w:r>
    </w:p>
    <w:p w14:paraId="4C61602F" w14:textId="2209DA5F" w:rsidR="007C7557" w:rsidRDefault="00815490" w:rsidP="000C0017">
      <w:pPr>
        <w:ind w:left="284"/>
        <w:jc w:val="both"/>
        <w:rPr>
          <w:rFonts w:ascii="Verdana" w:hAnsi="Verdana"/>
          <w:bCs/>
          <w:iCs/>
          <w:sz w:val="18"/>
          <w:szCs w:val="18"/>
        </w:rPr>
      </w:pPr>
      <w:r>
        <w:rPr>
          <w:rFonts w:ascii="Verdana" w:hAnsi="Verdana"/>
          <w:b/>
          <w:bCs/>
          <w:iCs/>
          <w:sz w:val="18"/>
          <w:szCs w:val="18"/>
        </w:rPr>
        <w:t xml:space="preserve">                                                                                                                                                                                                                                                                                                                                                                                                                                                                                                                                                                                                                                                                                                                                                                                                                                                                                                                                                                                                                                                     </w:t>
      </w:r>
    </w:p>
    <w:p w14:paraId="6C2FB7CA" w14:textId="29FE7180" w:rsidR="000C0017" w:rsidRDefault="000C0017" w:rsidP="000C0017">
      <w:pPr>
        <w:ind w:left="284"/>
        <w:jc w:val="both"/>
        <w:rPr>
          <w:rFonts w:ascii="Verdana" w:hAnsi="Verdana"/>
          <w:bCs/>
          <w:iCs/>
          <w:sz w:val="18"/>
          <w:szCs w:val="18"/>
        </w:rPr>
      </w:pPr>
      <w:r w:rsidRPr="000C0017">
        <w:rPr>
          <w:rFonts w:ascii="Verdana" w:hAnsi="Verdana"/>
          <w:bCs/>
          <w:iCs/>
          <w:sz w:val="18"/>
          <w:szCs w:val="18"/>
        </w:rPr>
        <w:t xml:space="preserve"> </w:t>
      </w: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B823F1" w:rsidRPr="00532A55" w14:paraId="324D0806" w14:textId="77777777" w:rsidTr="00B823F1">
        <w:trPr>
          <w:trHeight w:val="426"/>
        </w:trPr>
        <w:tc>
          <w:tcPr>
            <w:tcW w:w="180" w:type="dxa"/>
            <w:shd w:val="clear" w:color="auto" w:fill="FF6600"/>
          </w:tcPr>
          <w:p w14:paraId="721E5D56" w14:textId="77777777" w:rsidR="00B823F1" w:rsidRPr="00532A55" w:rsidRDefault="00B823F1" w:rsidP="00365B0E">
            <w:pPr>
              <w:pStyle w:val="Prrafodelista"/>
              <w:numPr>
                <w:ilvl w:val="0"/>
                <w:numId w:val="1"/>
              </w:numPr>
              <w:rPr>
                <w:rFonts w:ascii="Verdana" w:hAnsi="Verdana"/>
                <w:b/>
                <w:bCs/>
                <w:color w:val="800000"/>
                <w:sz w:val="18"/>
                <w:szCs w:val="18"/>
              </w:rPr>
            </w:pPr>
            <w:bookmarkStart w:id="3" w:name="_Hlk240283690"/>
          </w:p>
        </w:tc>
        <w:tc>
          <w:tcPr>
            <w:tcW w:w="8460" w:type="dxa"/>
          </w:tcPr>
          <w:p w14:paraId="11EFA9AD" w14:textId="77777777" w:rsidR="00B823F1" w:rsidRPr="00532A55" w:rsidRDefault="00B823F1" w:rsidP="00365B0E">
            <w:pPr>
              <w:pStyle w:val="Prrafodelista"/>
              <w:numPr>
                <w:ilvl w:val="0"/>
                <w:numId w:val="2"/>
              </w:numPr>
              <w:ind w:left="384" w:hanging="283"/>
              <w:jc w:val="both"/>
              <w:rPr>
                <w:rFonts w:ascii="Verdana" w:hAnsi="Verdana"/>
                <w:b/>
                <w:bCs/>
                <w:color w:val="800000"/>
                <w:sz w:val="18"/>
                <w:szCs w:val="18"/>
              </w:rPr>
            </w:pPr>
            <w:r w:rsidRPr="00532A55">
              <w:rPr>
                <w:rFonts w:ascii="Verdana" w:hAnsi="Verdana"/>
                <w:b/>
                <w:bCs/>
                <w:color w:val="800000"/>
                <w:sz w:val="18"/>
                <w:szCs w:val="18"/>
              </w:rPr>
              <w:t>IRPF.  RÉGIMEN ESPECIAL DE FUSIONES, ESCISIONES, APORTACIONES Y CANJE DE VALORES (FEAC)</w:t>
            </w:r>
          </w:p>
        </w:tc>
      </w:tr>
      <w:bookmarkEnd w:id="3"/>
    </w:tbl>
    <w:p w14:paraId="74C1B115" w14:textId="77777777" w:rsidR="00D7191B" w:rsidRDefault="00D7191B" w:rsidP="00B31D60">
      <w:pPr>
        <w:ind w:left="284"/>
        <w:jc w:val="both"/>
        <w:rPr>
          <w:rFonts w:ascii="Verdana" w:hAnsi="Verdana"/>
          <w:b/>
          <w:bCs/>
          <w:iCs/>
          <w:sz w:val="18"/>
          <w:szCs w:val="18"/>
        </w:rPr>
      </w:pPr>
    </w:p>
    <w:p w14:paraId="3B740DE3" w14:textId="3A94AD1B" w:rsidR="00532A55" w:rsidRPr="00B31D60" w:rsidRDefault="00B823F1" w:rsidP="00B31D60">
      <w:pPr>
        <w:ind w:left="284"/>
        <w:jc w:val="both"/>
        <w:rPr>
          <w:rFonts w:ascii="Verdana" w:hAnsi="Verdana"/>
          <w:b/>
          <w:bCs/>
          <w:iCs/>
          <w:sz w:val="18"/>
          <w:szCs w:val="18"/>
        </w:rPr>
      </w:pPr>
      <w:r>
        <w:rPr>
          <w:rFonts w:ascii="Verdana" w:hAnsi="Verdana"/>
          <w:b/>
          <w:bCs/>
          <w:iCs/>
          <w:sz w:val="18"/>
          <w:szCs w:val="18"/>
        </w:rPr>
        <w:t>C</w:t>
      </w:r>
      <w:r w:rsidR="00532A55" w:rsidRPr="00B31D60">
        <w:rPr>
          <w:rFonts w:ascii="Verdana" w:hAnsi="Verdana"/>
          <w:b/>
          <w:bCs/>
          <w:iCs/>
          <w:sz w:val="18"/>
          <w:szCs w:val="18"/>
        </w:rPr>
        <w:t>riterio del Tribunal Supremo</w:t>
      </w:r>
      <w:r w:rsidR="00B31D60">
        <w:rPr>
          <w:rFonts w:ascii="Verdana" w:hAnsi="Verdana"/>
          <w:b/>
          <w:bCs/>
          <w:iCs/>
          <w:sz w:val="18"/>
          <w:szCs w:val="18"/>
        </w:rPr>
        <w:t xml:space="preserve"> en su sentencia </w:t>
      </w:r>
      <w:r w:rsidR="00B31D60" w:rsidRPr="00B31D60">
        <w:rPr>
          <w:rFonts w:ascii="Verdana" w:hAnsi="Verdana"/>
          <w:b/>
          <w:bCs/>
          <w:iCs/>
          <w:sz w:val="18"/>
          <w:szCs w:val="18"/>
        </w:rPr>
        <w:t>3529/2026 – Recurso de casación 6518/2023</w:t>
      </w:r>
    </w:p>
    <w:p w14:paraId="6E458372" w14:textId="4A8E5ED2" w:rsid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El Tribunal Supremo establece una importante doctrina sobre el alcance de la </w:t>
      </w:r>
      <w:r w:rsidRPr="00532A55">
        <w:rPr>
          <w:rFonts w:ascii="Verdana" w:hAnsi="Verdana"/>
          <w:b/>
          <w:bCs/>
          <w:iCs/>
          <w:sz w:val="18"/>
          <w:szCs w:val="18"/>
        </w:rPr>
        <w:t xml:space="preserve">cláusula antiabuso del artículo 96.2 </w:t>
      </w:r>
      <w:r w:rsidR="00815490">
        <w:rPr>
          <w:rFonts w:ascii="Verdana" w:hAnsi="Verdana"/>
          <w:b/>
          <w:bCs/>
          <w:iCs/>
          <w:sz w:val="18"/>
          <w:szCs w:val="18"/>
        </w:rPr>
        <w:t xml:space="preserve"> TRLIS  </w:t>
      </w:r>
      <w:r w:rsidR="00115D6A">
        <w:rPr>
          <w:rFonts w:ascii="Verdana" w:hAnsi="Verdana"/>
          <w:b/>
          <w:bCs/>
          <w:iCs/>
          <w:sz w:val="18"/>
          <w:szCs w:val="18"/>
        </w:rPr>
        <w:t>“</w:t>
      </w:r>
      <w:r w:rsidR="00115D6A" w:rsidRPr="00115D6A">
        <w:rPr>
          <w:rFonts w:ascii="Verdana" w:hAnsi="Verdana"/>
          <w:i/>
          <w:iCs/>
          <w:color w:val="000000"/>
          <w:sz w:val="16"/>
          <w:szCs w:val="16"/>
          <w:shd w:val="clear" w:color="auto" w:fill="FFFFFF"/>
        </w:rPr>
        <w:t>No se aplicará el régimen establecido en el presente capítulo cuando la operación realizada tenga como principal objetivo el fraude o la evasión fiscal. En particular, el régimen no se aplicará cuando la operación no se efectúe por motivos económicos válidos, tales como la reestructuración o la racionalización de las actividades de las entidades que participan en la operación, sino con la mera finalidad de conseguir una ventaja fiscal</w:t>
      </w:r>
      <w:r w:rsidRPr="00532A55">
        <w:rPr>
          <w:rFonts w:ascii="Verdana" w:hAnsi="Verdana"/>
          <w:bCs/>
          <w:i/>
          <w:iCs/>
          <w:sz w:val="16"/>
          <w:szCs w:val="16"/>
        </w:rPr>
        <w:t>, aplicable al régimen FEAC</w:t>
      </w:r>
      <w:r w:rsidR="00815490" w:rsidRPr="00115D6A">
        <w:rPr>
          <w:rFonts w:ascii="Verdana" w:hAnsi="Verdana"/>
          <w:bCs/>
          <w:i/>
          <w:iCs/>
          <w:sz w:val="16"/>
          <w:szCs w:val="16"/>
        </w:rPr>
        <w:t>……</w:t>
      </w:r>
      <w:r w:rsidR="00115D6A" w:rsidRPr="00115D6A">
        <w:rPr>
          <w:rFonts w:ascii="Verdana" w:hAnsi="Verdana"/>
          <w:bCs/>
          <w:i/>
          <w:iCs/>
          <w:sz w:val="16"/>
          <w:szCs w:val="16"/>
        </w:rPr>
        <w:t>”</w:t>
      </w:r>
      <w:r w:rsidRPr="00532A55">
        <w:rPr>
          <w:rFonts w:ascii="Verdana" w:hAnsi="Verdana"/>
          <w:bCs/>
          <w:iCs/>
          <w:sz w:val="18"/>
          <w:szCs w:val="18"/>
        </w:rPr>
        <w:t>.</w:t>
      </w:r>
    </w:p>
    <w:p w14:paraId="2AC1A1A4" w14:textId="77777777" w:rsidR="00532A55" w:rsidRPr="00532A55" w:rsidRDefault="00532A55" w:rsidP="00B31D60">
      <w:pPr>
        <w:ind w:left="284"/>
        <w:jc w:val="both"/>
        <w:rPr>
          <w:rFonts w:ascii="Verdana" w:hAnsi="Verdana"/>
          <w:bCs/>
          <w:iCs/>
          <w:sz w:val="18"/>
          <w:szCs w:val="18"/>
        </w:rPr>
      </w:pPr>
    </w:p>
    <w:p w14:paraId="6DECBD1D" w14:textId="2FE90725" w:rsidR="00532A55" w:rsidRDefault="00532A55" w:rsidP="00B31D60">
      <w:pPr>
        <w:ind w:left="284"/>
        <w:jc w:val="both"/>
        <w:rPr>
          <w:rFonts w:ascii="Verdana" w:hAnsi="Verdana"/>
          <w:bCs/>
          <w:iCs/>
          <w:sz w:val="18"/>
          <w:szCs w:val="18"/>
        </w:rPr>
      </w:pPr>
      <w:r>
        <w:rPr>
          <w:rFonts w:ascii="Verdana" w:hAnsi="Verdana"/>
          <w:bCs/>
          <w:iCs/>
          <w:sz w:val="18"/>
          <w:szCs w:val="18"/>
        </w:rPr>
        <w:t xml:space="preserve">1. </w:t>
      </w:r>
      <w:r w:rsidRPr="00532A55">
        <w:rPr>
          <w:rFonts w:ascii="Verdana" w:hAnsi="Verdana"/>
          <w:bCs/>
          <w:iCs/>
          <w:sz w:val="18"/>
          <w:szCs w:val="18"/>
        </w:rPr>
        <w:t xml:space="preserve">La Sala declara que </w:t>
      </w:r>
      <w:r w:rsidRPr="00532A55">
        <w:rPr>
          <w:rFonts w:ascii="Verdana" w:hAnsi="Verdana"/>
          <w:b/>
          <w:bCs/>
          <w:iCs/>
          <w:sz w:val="18"/>
          <w:szCs w:val="18"/>
        </w:rPr>
        <w:t>el principio de proporcionalidad está implícito en el artículo 96.2 TRLIS</w:t>
      </w:r>
      <w:r w:rsidRPr="00532A55">
        <w:rPr>
          <w:rFonts w:ascii="Verdana" w:hAnsi="Verdana"/>
          <w:bCs/>
          <w:iCs/>
          <w:sz w:val="18"/>
          <w:szCs w:val="18"/>
        </w:rPr>
        <w:t xml:space="preserve">, por lo que la Administración </w:t>
      </w:r>
      <w:r w:rsidRPr="00532A55">
        <w:rPr>
          <w:rFonts w:ascii="Verdana" w:hAnsi="Verdana"/>
          <w:b/>
          <w:bCs/>
          <w:iCs/>
          <w:sz w:val="18"/>
          <w:szCs w:val="18"/>
        </w:rPr>
        <w:t>no puede rechazar automáticamente la totalidad de los beneficios del régimen especial</w:t>
      </w:r>
      <w:r w:rsidRPr="00532A55">
        <w:rPr>
          <w:rFonts w:ascii="Verdana" w:hAnsi="Verdana"/>
          <w:bCs/>
          <w:iCs/>
          <w:sz w:val="18"/>
          <w:szCs w:val="18"/>
        </w:rPr>
        <w:t xml:space="preserve"> cuando aprecie la existencia de abuso. La inaplicación puede ser </w:t>
      </w:r>
      <w:r w:rsidRPr="00532A55">
        <w:rPr>
          <w:rFonts w:ascii="Verdana" w:hAnsi="Verdana"/>
          <w:b/>
          <w:bCs/>
          <w:iCs/>
          <w:sz w:val="18"/>
          <w:szCs w:val="18"/>
        </w:rPr>
        <w:t>parcial</w:t>
      </w:r>
      <w:r w:rsidRPr="00532A55">
        <w:rPr>
          <w:rFonts w:ascii="Verdana" w:hAnsi="Verdana"/>
          <w:bCs/>
          <w:iCs/>
          <w:sz w:val="18"/>
          <w:szCs w:val="18"/>
        </w:rPr>
        <w:t xml:space="preserve">, limitada a las ventajas fiscales que hayan sido buscadas abusivamente y que estén </w:t>
      </w:r>
      <w:r w:rsidRPr="00532A55">
        <w:rPr>
          <w:rFonts w:ascii="Verdana" w:hAnsi="Verdana"/>
          <w:b/>
          <w:bCs/>
          <w:iCs/>
          <w:sz w:val="18"/>
          <w:szCs w:val="18"/>
        </w:rPr>
        <w:t>concretamente identificadas en el acuerdo de liquidación</w:t>
      </w:r>
      <w:r w:rsidRPr="00532A55">
        <w:rPr>
          <w:rFonts w:ascii="Verdana" w:hAnsi="Verdana"/>
          <w:bCs/>
          <w:iCs/>
          <w:sz w:val="18"/>
          <w:szCs w:val="18"/>
        </w:rPr>
        <w:t>.</w:t>
      </w:r>
    </w:p>
    <w:p w14:paraId="7BD09F47" w14:textId="3AFBEE2B" w:rsidR="00532A55" w:rsidRP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 </w:t>
      </w:r>
    </w:p>
    <w:p w14:paraId="0D7B522B" w14:textId="77777777" w:rsidR="00532A55" w:rsidRPr="00532A55" w:rsidRDefault="00532A55" w:rsidP="00B31D60">
      <w:pPr>
        <w:ind w:left="284"/>
        <w:jc w:val="both"/>
        <w:rPr>
          <w:rFonts w:ascii="Verdana" w:hAnsi="Verdana"/>
          <w:b/>
          <w:bCs/>
          <w:iCs/>
          <w:sz w:val="18"/>
          <w:szCs w:val="18"/>
        </w:rPr>
      </w:pPr>
      <w:r w:rsidRPr="00532A55">
        <w:rPr>
          <w:rFonts w:ascii="Verdana" w:hAnsi="Verdana"/>
          <w:b/>
          <w:bCs/>
          <w:iCs/>
          <w:sz w:val="18"/>
          <w:szCs w:val="18"/>
        </w:rPr>
        <w:t>2. El diferimiento de las plusvalías no se elimina automáticamente</w:t>
      </w:r>
    </w:p>
    <w:p w14:paraId="4F0BFA56" w14:textId="77777777" w:rsid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Una de las cuestiones fundamentales de la sentencia es determinar si la Administración puede, por el mero hecho de apreciar que una operación carece de motivos económicos válidos, </w:t>
      </w:r>
      <w:r w:rsidRPr="00532A55">
        <w:rPr>
          <w:rFonts w:ascii="Verdana" w:hAnsi="Verdana"/>
          <w:b/>
          <w:bCs/>
          <w:iCs/>
          <w:sz w:val="18"/>
          <w:szCs w:val="18"/>
        </w:rPr>
        <w:t>hacer tributar inmediatamente las plusvalías latentes</w:t>
      </w:r>
      <w:r w:rsidRPr="00532A55">
        <w:rPr>
          <w:rFonts w:ascii="Verdana" w:hAnsi="Verdana"/>
          <w:bCs/>
          <w:iCs/>
          <w:sz w:val="18"/>
          <w:szCs w:val="18"/>
        </w:rPr>
        <w:t xml:space="preserve"> derivadas de la aportación no dineraria.</w:t>
      </w:r>
    </w:p>
    <w:p w14:paraId="79EB2666" w14:textId="77777777" w:rsidR="00616788" w:rsidRPr="00532A55" w:rsidRDefault="00616788" w:rsidP="00B31D60">
      <w:pPr>
        <w:ind w:left="284"/>
        <w:jc w:val="both"/>
        <w:rPr>
          <w:rFonts w:ascii="Verdana" w:hAnsi="Verdana"/>
          <w:bCs/>
          <w:iCs/>
          <w:sz w:val="18"/>
          <w:szCs w:val="18"/>
        </w:rPr>
      </w:pPr>
    </w:p>
    <w:p w14:paraId="198F905C" w14:textId="77777777" w:rsid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El Supremo responde que </w:t>
      </w:r>
      <w:r w:rsidRPr="00532A55">
        <w:rPr>
          <w:rFonts w:ascii="Verdana" w:hAnsi="Verdana"/>
          <w:b/>
          <w:bCs/>
          <w:iCs/>
          <w:sz w:val="18"/>
          <w:szCs w:val="18"/>
        </w:rPr>
        <w:t>no cabe hacerlo automáticamente</w:t>
      </w:r>
      <w:r w:rsidRPr="00532A55">
        <w:rPr>
          <w:rFonts w:ascii="Verdana" w:hAnsi="Verdana"/>
          <w:bCs/>
          <w:iCs/>
          <w:sz w:val="18"/>
          <w:szCs w:val="18"/>
        </w:rPr>
        <w:t>.</w:t>
      </w:r>
    </w:p>
    <w:p w14:paraId="1656AB8A" w14:textId="77777777" w:rsidR="002A441A" w:rsidRPr="00532A55" w:rsidRDefault="002A441A" w:rsidP="00B31D60">
      <w:pPr>
        <w:ind w:left="284"/>
        <w:jc w:val="both"/>
        <w:rPr>
          <w:rFonts w:ascii="Verdana" w:hAnsi="Verdana"/>
          <w:bCs/>
          <w:iCs/>
          <w:sz w:val="18"/>
          <w:szCs w:val="18"/>
        </w:rPr>
      </w:pPr>
    </w:p>
    <w:p w14:paraId="4A434888" w14:textId="77777777" w:rsidR="002A441A" w:rsidRDefault="00532A55" w:rsidP="00B31D60">
      <w:pPr>
        <w:ind w:left="284"/>
        <w:jc w:val="both"/>
        <w:rPr>
          <w:rFonts w:ascii="Verdana" w:hAnsi="Verdana"/>
          <w:bCs/>
          <w:iCs/>
          <w:sz w:val="18"/>
          <w:szCs w:val="18"/>
        </w:rPr>
      </w:pPr>
      <w:r w:rsidRPr="00532A55">
        <w:rPr>
          <w:rFonts w:ascii="Verdana" w:hAnsi="Verdana"/>
          <w:bCs/>
          <w:iCs/>
          <w:sz w:val="18"/>
          <w:szCs w:val="18"/>
        </w:rPr>
        <w:t xml:space="preserve">El diferimiento propio del régimen FEAC </w:t>
      </w:r>
      <w:r w:rsidRPr="00532A55">
        <w:rPr>
          <w:rFonts w:ascii="Verdana" w:hAnsi="Verdana"/>
          <w:b/>
          <w:bCs/>
          <w:iCs/>
          <w:sz w:val="18"/>
          <w:szCs w:val="18"/>
        </w:rPr>
        <w:t>solo puede eliminarse cuando la Administración acredite que dicho diferimiento constituyó el principal objetivo buscado mediante la operación</w:t>
      </w:r>
      <w:r w:rsidRPr="00532A55">
        <w:rPr>
          <w:rFonts w:ascii="Verdana" w:hAnsi="Verdana"/>
          <w:bCs/>
          <w:iCs/>
          <w:sz w:val="18"/>
          <w:szCs w:val="18"/>
        </w:rPr>
        <w:t xml:space="preserve">. Para ello se exige una </w:t>
      </w:r>
      <w:r w:rsidRPr="00532A55">
        <w:rPr>
          <w:rFonts w:ascii="Verdana" w:hAnsi="Verdana"/>
          <w:b/>
          <w:bCs/>
          <w:iCs/>
          <w:sz w:val="18"/>
          <w:szCs w:val="18"/>
        </w:rPr>
        <w:t>motivación reforzada</w:t>
      </w:r>
      <w:r w:rsidRPr="00532A55">
        <w:rPr>
          <w:rFonts w:ascii="Verdana" w:hAnsi="Verdana"/>
          <w:bCs/>
          <w:iCs/>
          <w:sz w:val="18"/>
          <w:szCs w:val="18"/>
        </w:rPr>
        <w:t>, que debe identificar los elementos probatorios que demuestren claramente esa finalidad.</w:t>
      </w:r>
    </w:p>
    <w:p w14:paraId="33A1C81A" w14:textId="3A4D8064" w:rsidR="00532A55" w:rsidRP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 </w:t>
      </w:r>
    </w:p>
    <w:p w14:paraId="60866D80" w14:textId="77777777" w:rsidR="00532A55" w:rsidRDefault="00532A55" w:rsidP="00B31D60">
      <w:pPr>
        <w:ind w:left="284"/>
        <w:jc w:val="both"/>
        <w:rPr>
          <w:rFonts w:ascii="Verdana" w:hAnsi="Verdana"/>
          <w:bCs/>
          <w:iCs/>
          <w:sz w:val="18"/>
          <w:szCs w:val="18"/>
        </w:rPr>
      </w:pPr>
      <w:r w:rsidRPr="00532A55">
        <w:rPr>
          <w:rFonts w:ascii="Verdana" w:hAnsi="Verdana"/>
          <w:bCs/>
          <w:iCs/>
          <w:sz w:val="18"/>
          <w:szCs w:val="18"/>
        </w:rPr>
        <w:t>Por tanto:</w:t>
      </w:r>
    </w:p>
    <w:p w14:paraId="2023C276" w14:textId="77777777" w:rsidR="00532A55" w:rsidRDefault="00532A55" w:rsidP="00B31D60">
      <w:pPr>
        <w:ind w:left="284"/>
        <w:jc w:val="both"/>
        <w:rPr>
          <w:rFonts w:ascii="Verdana" w:hAnsi="Verdana"/>
          <w:b/>
          <w:bCs/>
          <w:iCs/>
          <w:sz w:val="18"/>
          <w:szCs w:val="18"/>
        </w:rPr>
      </w:pPr>
      <w:r w:rsidRPr="00532A55">
        <w:rPr>
          <w:rFonts w:ascii="Verdana" w:hAnsi="Verdana"/>
          <w:b/>
          <w:bCs/>
          <w:iCs/>
          <w:sz w:val="18"/>
          <w:szCs w:val="18"/>
        </w:rPr>
        <w:t>La ausencia de motivos económicos válidos no permite, por sí sola, eliminar automáticamente el diferimiento de las plusvalías latentes.</w:t>
      </w:r>
    </w:p>
    <w:p w14:paraId="6A39FC65" w14:textId="77777777" w:rsidR="00616788" w:rsidRPr="00532A55" w:rsidRDefault="00616788" w:rsidP="00B31D60">
      <w:pPr>
        <w:ind w:left="284"/>
        <w:jc w:val="both"/>
        <w:rPr>
          <w:rFonts w:ascii="Verdana" w:hAnsi="Verdana"/>
          <w:bCs/>
          <w:iCs/>
          <w:sz w:val="18"/>
          <w:szCs w:val="18"/>
        </w:rPr>
      </w:pPr>
    </w:p>
    <w:p w14:paraId="16E7DF1E" w14:textId="77777777" w:rsid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La sentencia considera que esa eliminación automática no respeta el principio de proporcionalidad ni la finalidad de neutralidad fiscal del régimen FEAC. </w:t>
      </w:r>
    </w:p>
    <w:p w14:paraId="5A516C85" w14:textId="77777777" w:rsidR="00616788" w:rsidRPr="00532A55" w:rsidRDefault="00616788" w:rsidP="00B31D60">
      <w:pPr>
        <w:ind w:left="284"/>
        <w:jc w:val="both"/>
        <w:rPr>
          <w:rFonts w:ascii="Verdana" w:hAnsi="Verdana"/>
          <w:bCs/>
          <w:iCs/>
          <w:sz w:val="18"/>
          <w:szCs w:val="18"/>
        </w:rPr>
      </w:pPr>
    </w:p>
    <w:p w14:paraId="586748DB" w14:textId="77777777" w:rsidR="00532A55" w:rsidRPr="00532A55" w:rsidRDefault="00532A55" w:rsidP="00B31D60">
      <w:pPr>
        <w:ind w:left="284"/>
        <w:jc w:val="both"/>
        <w:rPr>
          <w:rFonts w:ascii="Verdana" w:hAnsi="Verdana"/>
          <w:b/>
          <w:bCs/>
          <w:iCs/>
          <w:sz w:val="18"/>
          <w:szCs w:val="18"/>
        </w:rPr>
      </w:pPr>
      <w:r w:rsidRPr="00532A55">
        <w:rPr>
          <w:rFonts w:ascii="Verdana" w:hAnsi="Verdana"/>
          <w:b/>
          <w:bCs/>
          <w:iCs/>
          <w:sz w:val="18"/>
          <w:szCs w:val="18"/>
        </w:rPr>
        <w:t>3. Ventajas fiscales que sí pueden ser objeto de regularización</w:t>
      </w:r>
    </w:p>
    <w:p w14:paraId="0D62D3ED" w14:textId="77777777" w:rsidR="00532A55" w:rsidRP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La regularización debe dirigirse exclusivamente contra las </w:t>
      </w:r>
      <w:r w:rsidRPr="00532A55">
        <w:rPr>
          <w:rFonts w:ascii="Verdana" w:hAnsi="Verdana"/>
          <w:b/>
          <w:bCs/>
          <w:iCs/>
          <w:sz w:val="18"/>
          <w:szCs w:val="18"/>
        </w:rPr>
        <w:t>ventajas fiscales abusivas que hayan sido identificadas por la Administración en el acuerdo de liquidación</w:t>
      </w:r>
      <w:r w:rsidRPr="00532A55">
        <w:rPr>
          <w:rFonts w:ascii="Verdana" w:hAnsi="Verdana"/>
          <w:bCs/>
          <w:iCs/>
          <w:sz w:val="18"/>
          <w:szCs w:val="18"/>
        </w:rPr>
        <w:t>.</w:t>
      </w:r>
    </w:p>
    <w:p w14:paraId="2368E0D3" w14:textId="77777777" w:rsidR="00532A55" w:rsidRPr="00532A55" w:rsidRDefault="00532A55" w:rsidP="00B31D60">
      <w:pPr>
        <w:ind w:left="284"/>
        <w:jc w:val="both"/>
        <w:rPr>
          <w:rFonts w:ascii="Verdana" w:hAnsi="Verdana"/>
          <w:bCs/>
          <w:iCs/>
          <w:sz w:val="18"/>
          <w:szCs w:val="18"/>
        </w:rPr>
      </w:pPr>
      <w:r w:rsidRPr="00532A55">
        <w:rPr>
          <w:rFonts w:ascii="Verdana" w:hAnsi="Verdana"/>
          <w:bCs/>
          <w:iCs/>
          <w:sz w:val="18"/>
          <w:szCs w:val="18"/>
        </w:rPr>
        <w:t>En el caso analizado, la AEAT había identificado como finalidades fiscales:</w:t>
      </w:r>
    </w:p>
    <w:p w14:paraId="0985BB33" w14:textId="77777777" w:rsidR="00532A55" w:rsidRPr="00532A55" w:rsidRDefault="00532A55" w:rsidP="00365B0E">
      <w:pPr>
        <w:numPr>
          <w:ilvl w:val="0"/>
          <w:numId w:val="5"/>
        </w:numPr>
        <w:jc w:val="both"/>
        <w:rPr>
          <w:rFonts w:ascii="Verdana" w:hAnsi="Verdana"/>
          <w:bCs/>
          <w:iCs/>
          <w:sz w:val="18"/>
          <w:szCs w:val="18"/>
        </w:rPr>
      </w:pPr>
      <w:r w:rsidRPr="00532A55">
        <w:rPr>
          <w:rFonts w:ascii="Verdana" w:hAnsi="Verdana"/>
          <w:bCs/>
          <w:iCs/>
          <w:sz w:val="18"/>
          <w:szCs w:val="18"/>
        </w:rPr>
        <w:lastRenderedPageBreak/>
        <w:t xml:space="preserve">Reducir la tributación de los dividendos. </w:t>
      </w:r>
    </w:p>
    <w:p w14:paraId="6A6B3E02" w14:textId="77777777" w:rsidR="00532A55" w:rsidRPr="00532A55" w:rsidRDefault="00532A55" w:rsidP="00365B0E">
      <w:pPr>
        <w:numPr>
          <w:ilvl w:val="0"/>
          <w:numId w:val="5"/>
        </w:numPr>
        <w:jc w:val="both"/>
        <w:rPr>
          <w:rFonts w:ascii="Verdana" w:hAnsi="Verdana"/>
          <w:bCs/>
          <w:iCs/>
          <w:sz w:val="18"/>
          <w:szCs w:val="18"/>
        </w:rPr>
      </w:pPr>
      <w:r w:rsidRPr="00532A55">
        <w:rPr>
          <w:rFonts w:ascii="Verdana" w:hAnsi="Verdana"/>
          <w:bCs/>
          <w:iCs/>
          <w:sz w:val="18"/>
          <w:szCs w:val="18"/>
        </w:rPr>
        <w:t xml:space="preserve">Reducir la tributación por el Impuesto sobre el Patrimonio. </w:t>
      </w:r>
    </w:p>
    <w:p w14:paraId="2F36D28E" w14:textId="77777777" w:rsidR="00532A55" w:rsidRDefault="00532A55" w:rsidP="00365B0E">
      <w:pPr>
        <w:numPr>
          <w:ilvl w:val="0"/>
          <w:numId w:val="5"/>
        </w:numPr>
        <w:jc w:val="both"/>
        <w:rPr>
          <w:rFonts w:ascii="Verdana" w:hAnsi="Verdana"/>
          <w:bCs/>
          <w:iCs/>
          <w:sz w:val="18"/>
          <w:szCs w:val="18"/>
        </w:rPr>
      </w:pPr>
      <w:r w:rsidRPr="00532A55">
        <w:rPr>
          <w:rFonts w:ascii="Verdana" w:hAnsi="Verdana"/>
          <w:bCs/>
          <w:iCs/>
          <w:sz w:val="18"/>
          <w:szCs w:val="18"/>
        </w:rPr>
        <w:t xml:space="preserve">Reducir en el futuro la tributación por el Impuesto sobre Sucesiones y Donaciones. </w:t>
      </w:r>
    </w:p>
    <w:p w14:paraId="7026EF40" w14:textId="77777777" w:rsidR="00616788" w:rsidRPr="00532A55" w:rsidRDefault="00616788" w:rsidP="00DC4EC2">
      <w:pPr>
        <w:ind w:left="720"/>
        <w:jc w:val="both"/>
        <w:rPr>
          <w:rFonts w:ascii="Verdana" w:hAnsi="Verdana"/>
          <w:bCs/>
          <w:iCs/>
          <w:sz w:val="18"/>
          <w:szCs w:val="18"/>
        </w:rPr>
      </w:pPr>
    </w:p>
    <w:p w14:paraId="653866C7" w14:textId="77777777" w:rsidR="00532A55" w:rsidRP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Sin embargo, </w:t>
      </w:r>
      <w:r w:rsidRPr="00532A55">
        <w:rPr>
          <w:rFonts w:ascii="Verdana" w:hAnsi="Verdana"/>
          <w:b/>
          <w:bCs/>
          <w:iCs/>
          <w:sz w:val="18"/>
          <w:szCs w:val="18"/>
        </w:rPr>
        <w:t>el diferimiento de las plusvalías latentes no había sido identificado como una ventaja fiscal abusiva concreta</w:t>
      </w:r>
      <w:r w:rsidRPr="00532A55">
        <w:rPr>
          <w:rFonts w:ascii="Verdana" w:hAnsi="Verdana"/>
          <w:bCs/>
          <w:iCs/>
          <w:sz w:val="18"/>
          <w:szCs w:val="18"/>
        </w:rPr>
        <w:t xml:space="preserve">. La Administración se limitó a eliminarlo automáticamente como consecuencia de la inaplicación del régimen FEAC. </w:t>
      </w:r>
    </w:p>
    <w:p w14:paraId="3FCBCE4A" w14:textId="77777777" w:rsidR="00532A55" w:rsidRDefault="00532A55" w:rsidP="00B31D60">
      <w:pPr>
        <w:ind w:left="284"/>
        <w:jc w:val="both"/>
        <w:rPr>
          <w:rFonts w:ascii="Verdana" w:hAnsi="Verdana"/>
          <w:bCs/>
          <w:iCs/>
          <w:sz w:val="18"/>
          <w:szCs w:val="18"/>
        </w:rPr>
      </w:pPr>
      <w:r w:rsidRPr="00532A55">
        <w:rPr>
          <w:rFonts w:ascii="Verdana" w:hAnsi="Verdana"/>
          <w:bCs/>
          <w:iCs/>
          <w:sz w:val="18"/>
          <w:szCs w:val="18"/>
        </w:rPr>
        <w:t>El Tribunal considera que esta actuación excedió de lo permitido por la cláusula antiabuso.</w:t>
      </w:r>
    </w:p>
    <w:p w14:paraId="68605CD7" w14:textId="77777777" w:rsidR="00616788" w:rsidRDefault="00616788" w:rsidP="00B31D60">
      <w:pPr>
        <w:ind w:left="284"/>
        <w:jc w:val="both"/>
        <w:rPr>
          <w:rFonts w:ascii="Verdana" w:hAnsi="Verdana"/>
          <w:bCs/>
          <w:iCs/>
          <w:sz w:val="18"/>
          <w:szCs w:val="18"/>
        </w:rPr>
      </w:pPr>
    </w:p>
    <w:p w14:paraId="68D51B43" w14:textId="77777777" w:rsidR="00D7191B" w:rsidRPr="00532A55" w:rsidRDefault="00D7191B" w:rsidP="00B31D60">
      <w:pPr>
        <w:ind w:left="284"/>
        <w:jc w:val="both"/>
        <w:rPr>
          <w:rFonts w:ascii="Verdana" w:hAnsi="Verdana"/>
          <w:bCs/>
          <w:iCs/>
          <w:sz w:val="18"/>
          <w:szCs w:val="18"/>
        </w:rPr>
      </w:pPr>
    </w:p>
    <w:p w14:paraId="08B5B93D" w14:textId="77777777" w:rsidR="00532A55" w:rsidRPr="00532A55" w:rsidRDefault="00532A55" w:rsidP="00B31D60">
      <w:pPr>
        <w:ind w:left="284"/>
        <w:jc w:val="both"/>
        <w:rPr>
          <w:rFonts w:ascii="Verdana" w:hAnsi="Verdana"/>
          <w:b/>
          <w:bCs/>
          <w:iCs/>
          <w:sz w:val="18"/>
          <w:szCs w:val="18"/>
        </w:rPr>
      </w:pPr>
      <w:r w:rsidRPr="00532A55">
        <w:rPr>
          <w:rFonts w:ascii="Verdana" w:hAnsi="Verdana"/>
          <w:b/>
          <w:bCs/>
          <w:iCs/>
          <w:sz w:val="18"/>
          <w:szCs w:val="18"/>
        </w:rPr>
        <w:t>4. Importancia del acuerdo de liquidación</w:t>
      </w:r>
    </w:p>
    <w:p w14:paraId="3E901028" w14:textId="77777777" w:rsidR="00532A55" w:rsidRP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La sentencia concede especial relevancia al contenido del </w:t>
      </w:r>
      <w:r w:rsidRPr="00532A55">
        <w:rPr>
          <w:rFonts w:ascii="Verdana" w:hAnsi="Verdana"/>
          <w:b/>
          <w:bCs/>
          <w:iCs/>
          <w:sz w:val="18"/>
          <w:szCs w:val="18"/>
        </w:rPr>
        <w:t>acuerdo de liquidación</w:t>
      </w:r>
      <w:r w:rsidRPr="00532A55">
        <w:rPr>
          <w:rFonts w:ascii="Verdana" w:hAnsi="Verdana"/>
          <w:bCs/>
          <w:iCs/>
          <w:sz w:val="18"/>
          <w:szCs w:val="18"/>
        </w:rPr>
        <w:t>.</w:t>
      </w:r>
    </w:p>
    <w:p w14:paraId="6BEEA1EE" w14:textId="77777777" w:rsidR="00616788" w:rsidRDefault="00616788" w:rsidP="00B31D60">
      <w:pPr>
        <w:ind w:left="284"/>
        <w:jc w:val="both"/>
        <w:rPr>
          <w:rFonts w:ascii="Verdana" w:hAnsi="Verdana"/>
          <w:bCs/>
          <w:iCs/>
          <w:sz w:val="18"/>
          <w:szCs w:val="18"/>
        </w:rPr>
      </w:pPr>
    </w:p>
    <w:p w14:paraId="37C8B4CF" w14:textId="53D6A116" w:rsidR="00532A55" w:rsidRPr="00532A55" w:rsidRDefault="00532A55" w:rsidP="00B31D60">
      <w:pPr>
        <w:ind w:left="284"/>
        <w:jc w:val="both"/>
        <w:rPr>
          <w:rFonts w:ascii="Verdana" w:hAnsi="Verdana"/>
          <w:bCs/>
          <w:iCs/>
          <w:sz w:val="18"/>
          <w:szCs w:val="18"/>
        </w:rPr>
      </w:pPr>
      <w:r w:rsidRPr="00532A55">
        <w:rPr>
          <w:rFonts w:ascii="Verdana" w:hAnsi="Verdana"/>
          <w:bCs/>
          <w:iCs/>
          <w:sz w:val="18"/>
          <w:szCs w:val="18"/>
        </w:rPr>
        <w:t>La Administración debe identificar:</w:t>
      </w:r>
    </w:p>
    <w:p w14:paraId="29CD40B8" w14:textId="77777777" w:rsidR="00532A55" w:rsidRPr="00532A55" w:rsidRDefault="00532A55" w:rsidP="00365B0E">
      <w:pPr>
        <w:numPr>
          <w:ilvl w:val="0"/>
          <w:numId w:val="6"/>
        </w:numPr>
        <w:jc w:val="both"/>
        <w:rPr>
          <w:rFonts w:ascii="Verdana" w:hAnsi="Verdana"/>
          <w:bCs/>
          <w:iCs/>
          <w:sz w:val="18"/>
          <w:szCs w:val="18"/>
        </w:rPr>
      </w:pPr>
      <w:r w:rsidRPr="00532A55">
        <w:rPr>
          <w:rFonts w:ascii="Verdana" w:hAnsi="Verdana"/>
          <w:b/>
          <w:bCs/>
          <w:iCs/>
          <w:sz w:val="18"/>
          <w:szCs w:val="18"/>
        </w:rPr>
        <w:t>Qué ventaja fiscal considera abusiva.</w:t>
      </w:r>
      <w:r w:rsidRPr="00532A55">
        <w:rPr>
          <w:rFonts w:ascii="Verdana" w:hAnsi="Verdana"/>
          <w:bCs/>
          <w:iCs/>
          <w:sz w:val="18"/>
          <w:szCs w:val="18"/>
        </w:rPr>
        <w:t xml:space="preserve"> </w:t>
      </w:r>
    </w:p>
    <w:p w14:paraId="42388C50" w14:textId="77777777" w:rsidR="00532A55" w:rsidRPr="00532A55" w:rsidRDefault="00532A55" w:rsidP="00365B0E">
      <w:pPr>
        <w:numPr>
          <w:ilvl w:val="0"/>
          <w:numId w:val="6"/>
        </w:numPr>
        <w:jc w:val="both"/>
        <w:rPr>
          <w:rFonts w:ascii="Verdana" w:hAnsi="Verdana"/>
          <w:bCs/>
          <w:iCs/>
          <w:sz w:val="18"/>
          <w:szCs w:val="18"/>
        </w:rPr>
      </w:pPr>
      <w:r w:rsidRPr="00532A55">
        <w:rPr>
          <w:rFonts w:ascii="Verdana" w:hAnsi="Verdana"/>
          <w:b/>
          <w:bCs/>
          <w:iCs/>
          <w:sz w:val="18"/>
          <w:szCs w:val="18"/>
        </w:rPr>
        <w:t>Que dicha ventaja fue pretendida mediante la operación.</w:t>
      </w:r>
      <w:r w:rsidRPr="00532A55">
        <w:rPr>
          <w:rFonts w:ascii="Verdana" w:hAnsi="Verdana"/>
          <w:bCs/>
          <w:iCs/>
          <w:sz w:val="18"/>
          <w:szCs w:val="18"/>
        </w:rPr>
        <w:t xml:space="preserve"> </w:t>
      </w:r>
    </w:p>
    <w:p w14:paraId="0E6BBF1E" w14:textId="77777777" w:rsidR="00532A55" w:rsidRPr="00532A55" w:rsidRDefault="00532A55" w:rsidP="00365B0E">
      <w:pPr>
        <w:numPr>
          <w:ilvl w:val="0"/>
          <w:numId w:val="6"/>
        </w:numPr>
        <w:jc w:val="both"/>
        <w:rPr>
          <w:rFonts w:ascii="Verdana" w:hAnsi="Verdana"/>
          <w:bCs/>
          <w:iCs/>
          <w:sz w:val="18"/>
          <w:szCs w:val="18"/>
        </w:rPr>
      </w:pPr>
      <w:r w:rsidRPr="00532A55">
        <w:rPr>
          <w:rFonts w:ascii="Verdana" w:hAnsi="Verdana"/>
          <w:b/>
          <w:bCs/>
          <w:iCs/>
          <w:sz w:val="18"/>
          <w:szCs w:val="18"/>
        </w:rPr>
        <w:t>La relación entre la ventaja y la finalidad abusiva.</w:t>
      </w:r>
      <w:r w:rsidRPr="00532A55">
        <w:rPr>
          <w:rFonts w:ascii="Verdana" w:hAnsi="Verdana"/>
          <w:bCs/>
          <w:iCs/>
          <w:sz w:val="18"/>
          <w:szCs w:val="18"/>
        </w:rPr>
        <w:t xml:space="preserve"> </w:t>
      </w:r>
    </w:p>
    <w:p w14:paraId="568FA482" w14:textId="77777777" w:rsidR="00532A55" w:rsidRPr="00532A55" w:rsidRDefault="00532A55" w:rsidP="00365B0E">
      <w:pPr>
        <w:numPr>
          <w:ilvl w:val="0"/>
          <w:numId w:val="6"/>
        </w:numPr>
        <w:jc w:val="both"/>
        <w:rPr>
          <w:rFonts w:ascii="Verdana" w:hAnsi="Verdana"/>
          <w:bCs/>
          <w:iCs/>
          <w:sz w:val="18"/>
          <w:szCs w:val="18"/>
        </w:rPr>
      </w:pPr>
      <w:r w:rsidRPr="00532A55">
        <w:rPr>
          <w:rFonts w:ascii="Verdana" w:hAnsi="Verdana"/>
          <w:bCs/>
          <w:iCs/>
          <w:sz w:val="18"/>
          <w:szCs w:val="18"/>
        </w:rPr>
        <w:t xml:space="preserve">Y, si pretende eliminar el diferimiento de las plusvalías, debe justificar específicamente que </w:t>
      </w:r>
      <w:r w:rsidRPr="00532A55">
        <w:rPr>
          <w:rFonts w:ascii="Verdana" w:hAnsi="Verdana"/>
          <w:b/>
          <w:bCs/>
          <w:iCs/>
          <w:sz w:val="18"/>
          <w:szCs w:val="18"/>
        </w:rPr>
        <w:t>el diferimiento fue el principal objetivo de la operación</w:t>
      </w:r>
      <w:r w:rsidRPr="00532A55">
        <w:rPr>
          <w:rFonts w:ascii="Verdana" w:hAnsi="Verdana"/>
          <w:bCs/>
          <w:iCs/>
          <w:sz w:val="18"/>
          <w:szCs w:val="18"/>
        </w:rPr>
        <w:t xml:space="preserve">, mediante una motivación reforzada y elementos probatorios claros. </w:t>
      </w:r>
    </w:p>
    <w:p w14:paraId="1B0552DA" w14:textId="77777777" w:rsidR="00DC4EC2" w:rsidRDefault="00DC4EC2" w:rsidP="00B31D60">
      <w:pPr>
        <w:ind w:left="284"/>
        <w:jc w:val="both"/>
        <w:rPr>
          <w:rFonts w:ascii="Verdana" w:hAnsi="Verdana"/>
          <w:b/>
          <w:bCs/>
          <w:iCs/>
          <w:sz w:val="18"/>
          <w:szCs w:val="18"/>
        </w:rPr>
      </w:pPr>
    </w:p>
    <w:p w14:paraId="5FA6FB6C" w14:textId="5ECDDF88" w:rsidR="00532A55" w:rsidRPr="00532A55" w:rsidRDefault="00532A55" w:rsidP="00B31D60">
      <w:pPr>
        <w:ind w:left="284"/>
        <w:jc w:val="both"/>
        <w:rPr>
          <w:rFonts w:ascii="Verdana" w:hAnsi="Verdana"/>
          <w:b/>
          <w:bCs/>
          <w:iCs/>
          <w:sz w:val="18"/>
          <w:szCs w:val="18"/>
        </w:rPr>
      </w:pPr>
      <w:r w:rsidRPr="00532A55">
        <w:rPr>
          <w:rFonts w:ascii="Verdana" w:hAnsi="Verdana"/>
          <w:b/>
          <w:bCs/>
          <w:iCs/>
          <w:sz w:val="18"/>
          <w:szCs w:val="18"/>
        </w:rPr>
        <w:t>5. Exención por doble imposición del artículo 21 TRLIS</w:t>
      </w:r>
    </w:p>
    <w:p w14:paraId="2408432A" w14:textId="77777777" w:rsidR="00532A55" w:rsidRP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El Tribunal Supremo </w:t>
      </w:r>
      <w:r w:rsidRPr="00532A55">
        <w:rPr>
          <w:rFonts w:ascii="Verdana" w:hAnsi="Verdana"/>
          <w:b/>
          <w:bCs/>
          <w:iCs/>
          <w:sz w:val="18"/>
          <w:szCs w:val="18"/>
        </w:rPr>
        <w:t>no entra a determinar</w:t>
      </w:r>
      <w:r w:rsidRPr="00532A55">
        <w:rPr>
          <w:rFonts w:ascii="Verdana" w:hAnsi="Verdana"/>
          <w:bCs/>
          <w:iCs/>
          <w:sz w:val="18"/>
          <w:szCs w:val="18"/>
        </w:rPr>
        <w:t xml:space="preserve"> si la exención del artículo 21 TRLIS constituye una ventaja fiscal abusiva susceptible de regularización.</w:t>
      </w:r>
    </w:p>
    <w:p w14:paraId="6C056F6E" w14:textId="77777777" w:rsid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La razón es procesal: esta cuestión </w:t>
      </w:r>
      <w:r w:rsidRPr="00532A55">
        <w:rPr>
          <w:rFonts w:ascii="Verdana" w:hAnsi="Verdana"/>
          <w:b/>
          <w:bCs/>
          <w:iCs/>
          <w:sz w:val="18"/>
          <w:szCs w:val="18"/>
        </w:rPr>
        <w:t>no había sido objeto de debate en la instancia</w:t>
      </w:r>
      <w:r w:rsidRPr="00532A55">
        <w:rPr>
          <w:rFonts w:ascii="Verdana" w:hAnsi="Verdana"/>
          <w:bCs/>
          <w:iCs/>
          <w:sz w:val="18"/>
          <w:szCs w:val="18"/>
        </w:rPr>
        <w:t xml:space="preserve">, por lo que resolverla en casación supondría exceder los límites del recurso. Además, el artículo 21 TRLIS se refiere a dividendos y rentas de entidades no residentes, mientras que las operaciones del caso se realizaron entre sociedades españolas. </w:t>
      </w:r>
    </w:p>
    <w:p w14:paraId="2D8814B3" w14:textId="77777777" w:rsidR="00616788" w:rsidRPr="00532A55" w:rsidRDefault="00616788" w:rsidP="00B31D60">
      <w:pPr>
        <w:ind w:left="284"/>
        <w:jc w:val="both"/>
        <w:rPr>
          <w:rFonts w:ascii="Verdana" w:hAnsi="Verdana"/>
          <w:bCs/>
          <w:iCs/>
          <w:sz w:val="18"/>
          <w:szCs w:val="18"/>
        </w:rPr>
      </w:pPr>
    </w:p>
    <w:p w14:paraId="2790D29D" w14:textId="77777777" w:rsidR="00532A55" w:rsidRPr="00532A55" w:rsidRDefault="00532A55" w:rsidP="00B31D60">
      <w:pPr>
        <w:ind w:left="284"/>
        <w:jc w:val="both"/>
        <w:rPr>
          <w:rFonts w:ascii="Verdana" w:hAnsi="Verdana"/>
          <w:b/>
          <w:bCs/>
          <w:iCs/>
          <w:sz w:val="18"/>
          <w:szCs w:val="18"/>
        </w:rPr>
      </w:pPr>
      <w:r w:rsidRPr="00532A55">
        <w:rPr>
          <w:rFonts w:ascii="Verdana" w:hAnsi="Verdana"/>
          <w:b/>
          <w:bCs/>
          <w:iCs/>
          <w:sz w:val="18"/>
          <w:szCs w:val="18"/>
        </w:rPr>
        <w:t>6. Resolución del caso</w:t>
      </w:r>
    </w:p>
    <w:p w14:paraId="79EC8A0D" w14:textId="77777777" w:rsid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El Tribunal Supremo </w:t>
      </w:r>
      <w:r w:rsidRPr="00532A55">
        <w:rPr>
          <w:rFonts w:ascii="Verdana" w:hAnsi="Verdana"/>
          <w:b/>
          <w:bCs/>
          <w:iCs/>
          <w:sz w:val="18"/>
          <w:szCs w:val="18"/>
        </w:rPr>
        <w:t>estima el recurso de casación</w:t>
      </w:r>
      <w:r w:rsidRPr="00532A55">
        <w:rPr>
          <w:rFonts w:ascii="Verdana" w:hAnsi="Verdana"/>
          <w:bCs/>
          <w:iCs/>
          <w:sz w:val="18"/>
          <w:szCs w:val="18"/>
        </w:rPr>
        <w:t>, casa la sentencia de la Audiencia Nacional y estima el recurso contencioso-administrativo.</w:t>
      </w:r>
    </w:p>
    <w:p w14:paraId="7CC15D14" w14:textId="77777777" w:rsidR="00616788" w:rsidRPr="00532A55" w:rsidRDefault="00616788" w:rsidP="00B31D60">
      <w:pPr>
        <w:ind w:left="284"/>
        <w:jc w:val="both"/>
        <w:rPr>
          <w:rFonts w:ascii="Verdana" w:hAnsi="Verdana"/>
          <w:bCs/>
          <w:iCs/>
          <w:sz w:val="18"/>
          <w:szCs w:val="18"/>
        </w:rPr>
      </w:pPr>
    </w:p>
    <w:p w14:paraId="02791DB2" w14:textId="77777777" w:rsidR="00532A55" w:rsidRPr="00532A55" w:rsidRDefault="00532A55" w:rsidP="00B31D60">
      <w:pPr>
        <w:ind w:left="284"/>
        <w:jc w:val="both"/>
        <w:rPr>
          <w:rFonts w:ascii="Verdana" w:hAnsi="Verdana"/>
          <w:bCs/>
          <w:iCs/>
          <w:sz w:val="18"/>
          <w:szCs w:val="18"/>
        </w:rPr>
      </w:pPr>
      <w:r w:rsidRPr="00532A55">
        <w:rPr>
          <w:rFonts w:ascii="Verdana" w:hAnsi="Verdana"/>
          <w:bCs/>
          <w:iCs/>
          <w:sz w:val="18"/>
          <w:szCs w:val="18"/>
        </w:rPr>
        <w:t xml:space="preserve">En consecuencia, </w:t>
      </w:r>
      <w:r w:rsidRPr="00532A55">
        <w:rPr>
          <w:rFonts w:ascii="Verdana" w:hAnsi="Verdana"/>
          <w:b/>
          <w:bCs/>
          <w:iCs/>
          <w:sz w:val="18"/>
          <w:szCs w:val="18"/>
        </w:rPr>
        <w:t>anula los actos administrativos impugnados</w:t>
      </w:r>
      <w:r w:rsidRPr="00532A55">
        <w:rPr>
          <w:rFonts w:ascii="Verdana" w:hAnsi="Verdana"/>
          <w:bCs/>
          <w:iCs/>
          <w:sz w:val="18"/>
          <w:szCs w:val="18"/>
        </w:rPr>
        <w:t xml:space="preserve">, al considerar que la eliminación del régimen de diferimiento aplicada a la contribuyente había excedido de las ventajas fiscales abusivas identificadas en el acuerdo de liquidación. </w:t>
      </w:r>
    </w:p>
    <w:p w14:paraId="7B74EAA3" w14:textId="17F6BA68" w:rsidR="00532A55" w:rsidRDefault="00532A55" w:rsidP="00B31D60">
      <w:pPr>
        <w:ind w:left="284"/>
        <w:jc w:val="both"/>
        <w:rPr>
          <w:rFonts w:ascii="Verdana" w:hAnsi="Verdana"/>
          <w:bCs/>
          <w:iCs/>
          <w:sz w:val="18"/>
          <w:szCs w:val="18"/>
        </w:rPr>
      </w:pPr>
    </w:p>
    <w:p w14:paraId="250A1485" w14:textId="77777777" w:rsidR="00D7191B" w:rsidRPr="00532A55" w:rsidRDefault="00D7191B" w:rsidP="00B31D60">
      <w:pPr>
        <w:ind w:left="284"/>
        <w:jc w:val="both"/>
        <w:rPr>
          <w:rFonts w:ascii="Verdana" w:hAnsi="Verdana"/>
          <w:bCs/>
          <w:iCs/>
          <w:sz w:val="18"/>
          <w:szCs w:val="18"/>
        </w:rPr>
      </w:pPr>
    </w:p>
    <w:p w14:paraId="4F5A592A" w14:textId="211CC46D" w:rsidR="00532A55" w:rsidRPr="00532A55" w:rsidRDefault="00532A55" w:rsidP="00B31D60">
      <w:pPr>
        <w:ind w:left="284"/>
        <w:jc w:val="both"/>
        <w:rPr>
          <w:rFonts w:ascii="Verdana" w:hAnsi="Verdana"/>
          <w:b/>
          <w:bCs/>
          <w:iCs/>
          <w:sz w:val="18"/>
          <w:szCs w:val="18"/>
        </w:rPr>
      </w:pPr>
      <w:r w:rsidRPr="00532A55">
        <w:rPr>
          <w:rFonts w:ascii="Verdana" w:hAnsi="Verdana"/>
          <w:b/>
          <w:bCs/>
          <w:iCs/>
          <w:sz w:val="18"/>
          <w:szCs w:val="18"/>
        </w:rPr>
        <w:t xml:space="preserve">CONCLUSIÓN </w:t>
      </w:r>
    </w:p>
    <w:p w14:paraId="581B8B08" w14:textId="77777777" w:rsidR="00532A55" w:rsidRPr="00532A55" w:rsidRDefault="00532A55" w:rsidP="00B31D60">
      <w:pPr>
        <w:ind w:left="284"/>
        <w:jc w:val="both"/>
        <w:rPr>
          <w:rFonts w:ascii="Verdana" w:hAnsi="Verdana"/>
          <w:bCs/>
          <w:iCs/>
          <w:sz w:val="18"/>
          <w:szCs w:val="18"/>
        </w:rPr>
      </w:pPr>
      <w:r w:rsidRPr="00532A55">
        <w:rPr>
          <w:rFonts w:ascii="Verdana" w:hAnsi="Verdana"/>
          <w:b/>
          <w:bCs/>
          <w:iCs/>
          <w:sz w:val="18"/>
          <w:szCs w:val="18"/>
        </w:rPr>
        <w:t>El Tribunal Supremo establece que la cláusula antiabuso del artículo 96.2 TRLIS está sometida al principio de proporcionalidad, incluso respecto de operaciones realizadas bajo la vigencia del antiguo TRLIS. La inaplicación del régimen FEAC no tiene por qué ser total, sino que debe limitarse a las ventajas fiscales abusivas concretamente identificadas por la Administración en el acuerdo de liquidación.</w:t>
      </w:r>
    </w:p>
    <w:p w14:paraId="42BAF2BC" w14:textId="77777777" w:rsidR="00C32396" w:rsidRDefault="00C32396" w:rsidP="00B31D60">
      <w:pPr>
        <w:ind w:left="284"/>
        <w:jc w:val="both"/>
        <w:rPr>
          <w:rFonts w:ascii="Verdana" w:hAnsi="Verdana"/>
          <w:b/>
          <w:bCs/>
          <w:iCs/>
          <w:sz w:val="18"/>
          <w:szCs w:val="18"/>
        </w:rPr>
      </w:pPr>
    </w:p>
    <w:p w14:paraId="33B18587" w14:textId="5CE11A4D" w:rsidR="00532A55" w:rsidRDefault="00532A55" w:rsidP="00B31D60">
      <w:pPr>
        <w:ind w:left="284"/>
        <w:jc w:val="both"/>
        <w:rPr>
          <w:rFonts w:ascii="Verdana" w:hAnsi="Verdana"/>
          <w:bCs/>
          <w:iCs/>
          <w:sz w:val="18"/>
          <w:szCs w:val="18"/>
        </w:rPr>
      </w:pPr>
      <w:r w:rsidRPr="00532A55">
        <w:rPr>
          <w:rFonts w:ascii="Verdana" w:hAnsi="Verdana"/>
          <w:b/>
          <w:bCs/>
          <w:iCs/>
          <w:sz w:val="18"/>
          <w:szCs w:val="18"/>
        </w:rPr>
        <w:t>En particular, la eliminación del diferimiento de las plusvalías latentes no puede producirse automáticamente por la mera inexistencia de motivos económicos válidos. Para hacer tributar inmediatamente dichas plusvalías, la Administración debe acreditar, mediante una motivación reforzada y la identificación de pruebas claras, que el diferimiento constituía el principal objetivo buscado con la operación.</w:t>
      </w:r>
      <w:r w:rsidRPr="00532A55">
        <w:rPr>
          <w:rFonts w:ascii="Verdana" w:hAnsi="Verdana"/>
          <w:bCs/>
          <w:iCs/>
          <w:sz w:val="18"/>
          <w:szCs w:val="18"/>
        </w:rPr>
        <w:t xml:space="preserve"> </w:t>
      </w:r>
    </w:p>
    <w:p w14:paraId="3C1F14DE" w14:textId="77777777" w:rsidR="00616788" w:rsidRPr="00532A55" w:rsidRDefault="00616788" w:rsidP="00B31D60">
      <w:pPr>
        <w:ind w:left="284"/>
        <w:jc w:val="both"/>
        <w:rPr>
          <w:rFonts w:ascii="Verdana" w:hAnsi="Verdana"/>
          <w:bCs/>
          <w:iCs/>
          <w:sz w:val="18"/>
          <w:szCs w:val="18"/>
        </w:rPr>
      </w:pPr>
    </w:p>
    <w:p w14:paraId="65DB22F1" w14:textId="77777777" w:rsidR="00616788" w:rsidRDefault="00532A55" w:rsidP="00B31D60">
      <w:pPr>
        <w:ind w:left="284"/>
        <w:jc w:val="both"/>
        <w:rPr>
          <w:rFonts w:ascii="Verdana" w:hAnsi="Verdana"/>
          <w:bCs/>
          <w:iCs/>
          <w:sz w:val="18"/>
          <w:szCs w:val="18"/>
        </w:rPr>
      </w:pPr>
      <w:r w:rsidRPr="00532A55">
        <w:rPr>
          <w:rFonts w:ascii="Verdana" w:hAnsi="Verdana"/>
          <w:b/>
          <w:bCs/>
          <w:iCs/>
          <w:sz w:val="18"/>
          <w:szCs w:val="18"/>
        </w:rPr>
        <w:t>Relevancia práctica:</w:t>
      </w:r>
      <w:r w:rsidRPr="00532A55">
        <w:rPr>
          <w:rFonts w:ascii="Verdana" w:hAnsi="Verdana"/>
          <w:bCs/>
          <w:iCs/>
          <w:sz w:val="18"/>
          <w:szCs w:val="18"/>
        </w:rPr>
        <w:t xml:space="preserve"> </w:t>
      </w:r>
    </w:p>
    <w:p w14:paraId="3C5C5ACB" w14:textId="34C7A1B0" w:rsidR="00532A55" w:rsidRPr="00532A55" w:rsidRDefault="00815490" w:rsidP="00B31D60">
      <w:pPr>
        <w:ind w:left="284"/>
        <w:jc w:val="both"/>
        <w:rPr>
          <w:rFonts w:ascii="Verdana" w:hAnsi="Verdana"/>
          <w:bCs/>
          <w:iCs/>
          <w:sz w:val="18"/>
          <w:szCs w:val="18"/>
        </w:rPr>
      </w:pPr>
      <w:r>
        <w:rPr>
          <w:rFonts w:ascii="Verdana" w:hAnsi="Verdana"/>
          <w:bCs/>
          <w:iCs/>
          <w:sz w:val="18"/>
          <w:szCs w:val="18"/>
        </w:rPr>
        <w:t>L</w:t>
      </w:r>
      <w:r w:rsidR="00532A55" w:rsidRPr="00532A55">
        <w:rPr>
          <w:rFonts w:ascii="Verdana" w:hAnsi="Verdana"/>
          <w:bCs/>
          <w:iCs/>
          <w:sz w:val="18"/>
          <w:szCs w:val="18"/>
        </w:rPr>
        <w:t xml:space="preserve">a sentencia refuerza las exigencias de </w:t>
      </w:r>
      <w:r w:rsidR="00532A55" w:rsidRPr="00532A55">
        <w:rPr>
          <w:rFonts w:ascii="Verdana" w:hAnsi="Verdana"/>
          <w:b/>
          <w:bCs/>
          <w:iCs/>
          <w:sz w:val="18"/>
          <w:szCs w:val="18"/>
        </w:rPr>
        <w:t>motivación y proporcionalidad de las regularizaciones tributarias</w:t>
      </w:r>
      <w:r w:rsidR="00532A55" w:rsidRPr="00532A55">
        <w:rPr>
          <w:rFonts w:ascii="Verdana" w:hAnsi="Verdana"/>
          <w:bCs/>
          <w:iCs/>
          <w:sz w:val="18"/>
          <w:szCs w:val="18"/>
        </w:rPr>
        <w:t xml:space="preserve"> en operaciones de reestructuración empresarial y limita la posibilidad de que la Administración transforme automáticamente la inaplicación del régimen FEAC en la tributación inmediata de todas las plusvalías latentes.</w:t>
      </w:r>
    </w:p>
    <w:p w14:paraId="1E36906B" w14:textId="3E13F3EA" w:rsidR="00BB76B2" w:rsidRPr="00BB76B2" w:rsidRDefault="00BB76B2" w:rsidP="00B31D60">
      <w:pPr>
        <w:ind w:left="284"/>
        <w:jc w:val="both"/>
        <w:rPr>
          <w:rFonts w:ascii="Verdana" w:hAnsi="Verdana"/>
          <w:bCs/>
          <w:iCs/>
          <w:sz w:val="18"/>
          <w:szCs w:val="18"/>
        </w:rPr>
      </w:pPr>
    </w:p>
    <w:p w14:paraId="2E4F2BF8" w14:textId="77777777" w:rsidR="00BB76B2" w:rsidRPr="00BB76B2" w:rsidRDefault="00BB76B2" w:rsidP="00BB76B2">
      <w:pPr>
        <w:ind w:left="284"/>
        <w:jc w:val="both"/>
        <w:rPr>
          <w:rFonts w:ascii="Verdana" w:hAnsi="Verdana"/>
          <w:bCs/>
          <w:iCs/>
          <w:sz w:val="18"/>
          <w:szCs w:val="18"/>
        </w:rPr>
      </w:pP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B823F1" w:rsidRPr="00B823F1" w14:paraId="27A4995B" w14:textId="77777777" w:rsidTr="00E17079">
        <w:trPr>
          <w:trHeight w:val="426"/>
        </w:trPr>
        <w:tc>
          <w:tcPr>
            <w:tcW w:w="180" w:type="dxa"/>
            <w:shd w:val="clear" w:color="auto" w:fill="FF6600"/>
          </w:tcPr>
          <w:p w14:paraId="5DB91C07" w14:textId="77777777" w:rsidR="00B823F1" w:rsidRPr="00B823F1" w:rsidRDefault="00B823F1" w:rsidP="00365B0E">
            <w:pPr>
              <w:pStyle w:val="Prrafodelista"/>
              <w:numPr>
                <w:ilvl w:val="0"/>
                <w:numId w:val="1"/>
              </w:numPr>
              <w:rPr>
                <w:rFonts w:ascii="Verdana" w:hAnsi="Verdana"/>
                <w:b/>
                <w:bCs/>
                <w:color w:val="800000"/>
                <w:sz w:val="18"/>
                <w:szCs w:val="18"/>
              </w:rPr>
            </w:pPr>
            <w:bookmarkStart w:id="4" w:name="_Hlk241422546"/>
          </w:p>
        </w:tc>
        <w:tc>
          <w:tcPr>
            <w:tcW w:w="8460" w:type="dxa"/>
          </w:tcPr>
          <w:p w14:paraId="21752F4E" w14:textId="78BE4D62" w:rsidR="00B823F1" w:rsidRPr="00B823F1" w:rsidRDefault="00B823F1" w:rsidP="00365B0E">
            <w:pPr>
              <w:pStyle w:val="Prrafodelista"/>
              <w:numPr>
                <w:ilvl w:val="0"/>
                <w:numId w:val="2"/>
              </w:numPr>
              <w:ind w:left="384" w:hanging="283"/>
              <w:jc w:val="both"/>
              <w:rPr>
                <w:rFonts w:ascii="Verdana" w:hAnsi="Verdana"/>
                <w:b/>
                <w:bCs/>
                <w:color w:val="800000"/>
                <w:sz w:val="18"/>
                <w:szCs w:val="18"/>
              </w:rPr>
            </w:pPr>
            <w:r w:rsidRPr="00B823F1">
              <w:rPr>
                <w:rFonts w:ascii="Verdana" w:hAnsi="Verdana"/>
                <w:b/>
                <w:bCs/>
                <w:color w:val="800000"/>
                <w:sz w:val="18"/>
                <w:szCs w:val="18"/>
              </w:rPr>
              <w:t xml:space="preserve">ITP Y AJD. </w:t>
            </w:r>
            <w:bookmarkStart w:id="5" w:name="_Hlk240283846"/>
            <w:r w:rsidRPr="00B823F1">
              <w:rPr>
                <w:rFonts w:ascii="Verdana" w:hAnsi="Verdana"/>
                <w:b/>
                <w:bCs/>
                <w:color w:val="800000"/>
                <w:sz w:val="18"/>
                <w:szCs w:val="18"/>
              </w:rPr>
              <w:t>EXTINCIÓN DE CONDOMINIO: CUÁNDO TRIBUTA POR AJD Y CUÁNDO POR TPO</w:t>
            </w:r>
            <w:bookmarkEnd w:id="5"/>
          </w:p>
        </w:tc>
      </w:tr>
      <w:bookmarkEnd w:id="4"/>
    </w:tbl>
    <w:p w14:paraId="5F68459F" w14:textId="77777777" w:rsidR="00D7191B" w:rsidRDefault="00D7191B" w:rsidP="00D61BA7">
      <w:pPr>
        <w:ind w:left="284"/>
        <w:jc w:val="both"/>
        <w:rPr>
          <w:rFonts w:ascii="Verdana" w:hAnsi="Verdana"/>
          <w:b/>
          <w:bCs/>
          <w:iCs/>
          <w:sz w:val="18"/>
          <w:szCs w:val="18"/>
        </w:rPr>
      </w:pPr>
    </w:p>
    <w:p w14:paraId="1E8CCAF8" w14:textId="68C818B2" w:rsidR="00D61BA7" w:rsidRDefault="00D61BA7" w:rsidP="00D61BA7">
      <w:pPr>
        <w:ind w:left="284"/>
        <w:jc w:val="both"/>
        <w:rPr>
          <w:rFonts w:ascii="Verdana" w:hAnsi="Verdana"/>
          <w:b/>
          <w:bCs/>
          <w:iCs/>
          <w:sz w:val="18"/>
          <w:szCs w:val="18"/>
        </w:rPr>
      </w:pPr>
      <w:r w:rsidRPr="00D61BA7">
        <w:rPr>
          <w:rFonts w:ascii="Verdana" w:hAnsi="Verdana"/>
          <w:b/>
          <w:bCs/>
          <w:iCs/>
          <w:sz w:val="18"/>
          <w:szCs w:val="18"/>
        </w:rPr>
        <w:t>DGT, Consulta Vinculante V1020-26, de 6 de mayo de 2026</w:t>
      </w:r>
    </w:p>
    <w:p w14:paraId="52244D13" w14:textId="77777777" w:rsidR="00D61BA7" w:rsidRPr="00D61BA7" w:rsidRDefault="00D61BA7" w:rsidP="00D61BA7">
      <w:pPr>
        <w:ind w:left="284"/>
        <w:jc w:val="both"/>
        <w:rPr>
          <w:rFonts w:ascii="Verdana" w:hAnsi="Verdana"/>
          <w:bCs/>
          <w:iCs/>
          <w:sz w:val="18"/>
          <w:szCs w:val="18"/>
        </w:rPr>
      </w:pPr>
    </w:p>
    <w:p w14:paraId="1A535B85" w14:textId="77777777" w:rsidR="00D61BA7" w:rsidRPr="00D61BA7" w:rsidRDefault="00D61BA7" w:rsidP="00265275">
      <w:pPr>
        <w:ind w:left="284"/>
        <w:jc w:val="both"/>
        <w:rPr>
          <w:rFonts w:ascii="Verdana" w:hAnsi="Verdana"/>
          <w:b/>
          <w:bCs/>
          <w:iCs/>
          <w:sz w:val="18"/>
          <w:szCs w:val="18"/>
        </w:rPr>
      </w:pPr>
      <w:r w:rsidRPr="00D61BA7">
        <w:rPr>
          <w:rFonts w:ascii="Verdana" w:hAnsi="Verdana"/>
          <w:b/>
          <w:bCs/>
          <w:iCs/>
          <w:sz w:val="18"/>
          <w:szCs w:val="18"/>
        </w:rPr>
        <w:t>1. Supuesto planteado</w:t>
      </w:r>
    </w:p>
    <w:p w14:paraId="0AEAC57A"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Cuatro hermanos son propietarios en proindiviso, por herencia de su padre, de </w:t>
      </w:r>
      <w:r w:rsidRPr="00D61BA7">
        <w:rPr>
          <w:rFonts w:ascii="Verdana" w:hAnsi="Verdana"/>
          <w:b/>
          <w:bCs/>
          <w:iCs/>
          <w:sz w:val="18"/>
          <w:szCs w:val="18"/>
        </w:rPr>
        <w:t>dos inmuebles</w:t>
      </w:r>
      <w:r w:rsidRPr="00D61BA7">
        <w:rPr>
          <w:rFonts w:ascii="Verdana" w:hAnsi="Verdana"/>
          <w:bCs/>
          <w:iCs/>
          <w:sz w:val="18"/>
          <w:szCs w:val="18"/>
        </w:rPr>
        <w:t>.</w:t>
      </w:r>
    </w:p>
    <w:p w14:paraId="04FB2EAC" w14:textId="77777777" w:rsidR="00D61BA7" w:rsidRPr="00D61BA7" w:rsidRDefault="00D61BA7" w:rsidP="00265275">
      <w:pPr>
        <w:ind w:left="284"/>
        <w:jc w:val="both"/>
        <w:rPr>
          <w:rFonts w:ascii="Verdana" w:hAnsi="Verdana"/>
          <w:bCs/>
          <w:iCs/>
          <w:sz w:val="18"/>
          <w:szCs w:val="18"/>
        </w:rPr>
      </w:pPr>
    </w:p>
    <w:p w14:paraId="6BA689B9" w14:textId="77777777" w:rsidR="00D61BA7" w:rsidRPr="00D61BA7" w:rsidRDefault="00D61BA7" w:rsidP="00265275">
      <w:pPr>
        <w:ind w:left="284"/>
        <w:jc w:val="both"/>
        <w:rPr>
          <w:rFonts w:ascii="Verdana" w:hAnsi="Verdana"/>
          <w:bCs/>
          <w:iCs/>
          <w:sz w:val="18"/>
          <w:szCs w:val="18"/>
        </w:rPr>
      </w:pPr>
      <w:r w:rsidRPr="00D61BA7">
        <w:rPr>
          <w:rFonts w:ascii="Verdana" w:hAnsi="Verdana"/>
          <w:bCs/>
          <w:iCs/>
          <w:sz w:val="18"/>
          <w:szCs w:val="18"/>
        </w:rPr>
        <w:t>Se pretende realizar una operación por la que:</w:t>
      </w:r>
    </w:p>
    <w:p w14:paraId="6EFE6515" w14:textId="77777777" w:rsidR="00D61BA7" w:rsidRPr="00D61BA7" w:rsidRDefault="00D61BA7" w:rsidP="00365B0E">
      <w:pPr>
        <w:numPr>
          <w:ilvl w:val="0"/>
          <w:numId w:val="7"/>
        </w:numPr>
        <w:jc w:val="both"/>
        <w:rPr>
          <w:rFonts w:ascii="Verdana" w:hAnsi="Verdana"/>
          <w:bCs/>
          <w:iCs/>
          <w:sz w:val="18"/>
          <w:szCs w:val="18"/>
        </w:rPr>
      </w:pPr>
      <w:r w:rsidRPr="00D61BA7">
        <w:rPr>
          <w:rFonts w:ascii="Verdana" w:hAnsi="Verdana"/>
          <w:bCs/>
          <w:iCs/>
          <w:sz w:val="18"/>
          <w:szCs w:val="18"/>
        </w:rPr>
        <w:t xml:space="preserve">El </w:t>
      </w:r>
      <w:r w:rsidRPr="00D61BA7">
        <w:rPr>
          <w:rFonts w:ascii="Verdana" w:hAnsi="Verdana"/>
          <w:b/>
          <w:bCs/>
          <w:iCs/>
          <w:sz w:val="18"/>
          <w:szCs w:val="18"/>
        </w:rPr>
        <w:t>inmueble 1</w:t>
      </w:r>
      <w:r w:rsidRPr="00D61BA7">
        <w:rPr>
          <w:rFonts w:ascii="Verdana" w:hAnsi="Verdana"/>
          <w:bCs/>
          <w:iCs/>
          <w:sz w:val="18"/>
          <w:szCs w:val="18"/>
        </w:rPr>
        <w:t xml:space="preserve"> se adjudica íntegramente a uno de los hermanos, que compensa en metálico a los restantes por el valor de sus respectivas participaciones. </w:t>
      </w:r>
    </w:p>
    <w:p w14:paraId="3078BF9B" w14:textId="77777777" w:rsidR="00D61BA7" w:rsidRDefault="00D61BA7" w:rsidP="00365B0E">
      <w:pPr>
        <w:numPr>
          <w:ilvl w:val="0"/>
          <w:numId w:val="7"/>
        </w:numPr>
        <w:jc w:val="both"/>
        <w:rPr>
          <w:rFonts w:ascii="Verdana" w:hAnsi="Verdana"/>
          <w:bCs/>
          <w:iCs/>
          <w:sz w:val="18"/>
          <w:szCs w:val="18"/>
        </w:rPr>
      </w:pPr>
      <w:r w:rsidRPr="00D61BA7">
        <w:rPr>
          <w:rFonts w:ascii="Verdana" w:hAnsi="Verdana"/>
          <w:bCs/>
          <w:iCs/>
          <w:sz w:val="18"/>
          <w:szCs w:val="18"/>
        </w:rPr>
        <w:t xml:space="preserve">El </w:t>
      </w:r>
      <w:r w:rsidRPr="00D61BA7">
        <w:rPr>
          <w:rFonts w:ascii="Verdana" w:hAnsi="Verdana"/>
          <w:b/>
          <w:bCs/>
          <w:iCs/>
          <w:sz w:val="18"/>
          <w:szCs w:val="18"/>
        </w:rPr>
        <w:t>inmueble 2</w:t>
      </w:r>
      <w:r w:rsidRPr="00D61BA7">
        <w:rPr>
          <w:rFonts w:ascii="Verdana" w:hAnsi="Verdana"/>
          <w:bCs/>
          <w:iCs/>
          <w:sz w:val="18"/>
          <w:szCs w:val="18"/>
        </w:rPr>
        <w:t xml:space="preserve"> queda en proindiviso entre otros dos hermanos, que compensan a los demás por sus cuotas. </w:t>
      </w:r>
    </w:p>
    <w:p w14:paraId="57A580B0" w14:textId="77777777" w:rsidR="00D61BA7" w:rsidRPr="00D61BA7" w:rsidRDefault="00D61BA7" w:rsidP="00265275">
      <w:pPr>
        <w:ind w:left="720"/>
        <w:jc w:val="both"/>
        <w:rPr>
          <w:rFonts w:ascii="Verdana" w:hAnsi="Verdana"/>
          <w:bCs/>
          <w:iCs/>
          <w:sz w:val="18"/>
          <w:szCs w:val="18"/>
        </w:rPr>
      </w:pPr>
    </w:p>
    <w:p w14:paraId="235B6338"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La cuestión planteada a la DGT es la tributación de estas operaciones en el </w:t>
      </w:r>
      <w:r w:rsidRPr="00D61BA7">
        <w:rPr>
          <w:rFonts w:ascii="Verdana" w:hAnsi="Verdana"/>
          <w:b/>
          <w:bCs/>
          <w:iCs/>
          <w:sz w:val="18"/>
          <w:szCs w:val="18"/>
        </w:rPr>
        <w:t>ITP y AJD</w:t>
      </w:r>
      <w:r w:rsidRPr="00D61BA7">
        <w:rPr>
          <w:rFonts w:ascii="Verdana" w:hAnsi="Verdana"/>
          <w:bCs/>
          <w:iCs/>
          <w:sz w:val="18"/>
          <w:szCs w:val="18"/>
        </w:rPr>
        <w:t xml:space="preserve">. </w:t>
      </w:r>
    </w:p>
    <w:p w14:paraId="4DE41B59" w14:textId="77777777" w:rsidR="00D61BA7" w:rsidRPr="00D61BA7" w:rsidRDefault="00D61BA7" w:rsidP="00265275">
      <w:pPr>
        <w:ind w:left="284"/>
        <w:jc w:val="both"/>
        <w:rPr>
          <w:rFonts w:ascii="Verdana" w:hAnsi="Verdana"/>
          <w:bCs/>
          <w:iCs/>
          <w:sz w:val="18"/>
          <w:szCs w:val="18"/>
        </w:rPr>
      </w:pPr>
    </w:p>
    <w:p w14:paraId="03FA20E2" w14:textId="77777777" w:rsidR="00D61BA7" w:rsidRPr="00D61BA7" w:rsidRDefault="00D61BA7" w:rsidP="00265275">
      <w:pPr>
        <w:ind w:left="284"/>
        <w:jc w:val="both"/>
        <w:rPr>
          <w:rFonts w:ascii="Verdana" w:hAnsi="Verdana"/>
          <w:b/>
          <w:bCs/>
          <w:iCs/>
          <w:sz w:val="18"/>
          <w:szCs w:val="18"/>
        </w:rPr>
      </w:pPr>
      <w:r w:rsidRPr="00D61BA7">
        <w:rPr>
          <w:rFonts w:ascii="Verdana" w:hAnsi="Verdana"/>
          <w:b/>
          <w:bCs/>
          <w:iCs/>
          <w:sz w:val="18"/>
          <w:szCs w:val="18"/>
        </w:rPr>
        <w:t>2. Criterio general sobre la extinción del condominio</w:t>
      </w:r>
    </w:p>
    <w:p w14:paraId="2DCC20CB"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La DGT recuerda que la verdadera </w:t>
      </w:r>
      <w:r w:rsidRPr="00D61BA7">
        <w:rPr>
          <w:rFonts w:ascii="Verdana" w:hAnsi="Verdana"/>
          <w:b/>
          <w:bCs/>
          <w:iCs/>
          <w:sz w:val="18"/>
          <w:szCs w:val="18"/>
        </w:rPr>
        <w:t>extinción de un condominio no constituye, en principio, una transmisión patrimonial</w:t>
      </w:r>
      <w:r w:rsidRPr="00D61BA7">
        <w:rPr>
          <w:rFonts w:ascii="Verdana" w:hAnsi="Verdana"/>
          <w:bCs/>
          <w:iCs/>
          <w:sz w:val="18"/>
          <w:szCs w:val="18"/>
        </w:rPr>
        <w:t>, sino la concreción o especificación de un derecho que ya pertenecía al comunero.</w:t>
      </w:r>
    </w:p>
    <w:p w14:paraId="222674B6" w14:textId="77777777" w:rsidR="00265275" w:rsidRPr="00D61BA7" w:rsidRDefault="00265275" w:rsidP="00265275">
      <w:pPr>
        <w:ind w:left="284"/>
        <w:jc w:val="both"/>
        <w:rPr>
          <w:rFonts w:ascii="Verdana" w:hAnsi="Verdana"/>
          <w:bCs/>
          <w:iCs/>
          <w:sz w:val="18"/>
          <w:szCs w:val="18"/>
        </w:rPr>
      </w:pPr>
    </w:p>
    <w:p w14:paraId="0B12E969"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Por ello, cuando la adjudicación respeta la cuota de participación y no existen excesos de adjudicación, la operación </w:t>
      </w:r>
      <w:r w:rsidRPr="00D61BA7">
        <w:rPr>
          <w:rFonts w:ascii="Verdana" w:hAnsi="Verdana"/>
          <w:b/>
          <w:bCs/>
          <w:iCs/>
          <w:sz w:val="18"/>
          <w:szCs w:val="18"/>
        </w:rPr>
        <w:t>no queda sujeta a TPO</w:t>
      </w:r>
      <w:r w:rsidRPr="00D61BA7">
        <w:rPr>
          <w:rFonts w:ascii="Verdana" w:hAnsi="Verdana"/>
          <w:bCs/>
          <w:iCs/>
          <w:sz w:val="18"/>
          <w:szCs w:val="18"/>
        </w:rPr>
        <w:t xml:space="preserve">, aunque la escritura pueda quedar sometida a la </w:t>
      </w:r>
      <w:r w:rsidRPr="00D61BA7">
        <w:rPr>
          <w:rFonts w:ascii="Verdana" w:hAnsi="Verdana"/>
          <w:b/>
          <w:bCs/>
          <w:iCs/>
          <w:sz w:val="18"/>
          <w:szCs w:val="18"/>
        </w:rPr>
        <w:t>cuota gradual de AJD</w:t>
      </w:r>
      <w:r w:rsidRPr="00D61BA7">
        <w:rPr>
          <w:rFonts w:ascii="Verdana" w:hAnsi="Verdana"/>
          <w:bCs/>
          <w:iCs/>
          <w:sz w:val="18"/>
          <w:szCs w:val="18"/>
        </w:rPr>
        <w:t xml:space="preserve">, siempre que concurran los requisitos del artículo 31.2 del TRLITPAJD. </w:t>
      </w:r>
    </w:p>
    <w:p w14:paraId="0DFB29ED" w14:textId="77777777" w:rsidR="00D61BA7" w:rsidRPr="00D61BA7" w:rsidRDefault="00D61BA7" w:rsidP="00265275">
      <w:pPr>
        <w:ind w:left="284"/>
        <w:jc w:val="both"/>
        <w:rPr>
          <w:rFonts w:ascii="Verdana" w:hAnsi="Verdana"/>
          <w:bCs/>
          <w:iCs/>
          <w:sz w:val="18"/>
          <w:szCs w:val="18"/>
        </w:rPr>
      </w:pPr>
    </w:p>
    <w:p w14:paraId="6F911691" w14:textId="77777777" w:rsidR="00D61BA7" w:rsidRPr="00D61BA7" w:rsidRDefault="00D61BA7" w:rsidP="00265275">
      <w:pPr>
        <w:ind w:left="284"/>
        <w:jc w:val="both"/>
        <w:rPr>
          <w:rFonts w:ascii="Verdana" w:hAnsi="Verdana"/>
          <w:b/>
          <w:bCs/>
          <w:iCs/>
          <w:sz w:val="18"/>
          <w:szCs w:val="18"/>
        </w:rPr>
      </w:pPr>
      <w:r w:rsidRPr="00D61BA7">
        <w:rPr>
          <w:rFonts w:ascii="Verdana" w:hAnsi="Verdana"/>
          <w:b/>
          <w:bCs/>
          <w:iCs/>
          <w:sz w:val="18"/>
          <w:szCs w:val="18"/>
        </w:rPr>
        <w:t>3. Excesos de adjudicación</w:t>
      </w:r>
    </w:p>
    <w:p w14:paraId="2C1BA613"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Cuando un comunero recibe más de lo que le corresponde, existe un </w:t>
      </w:r>
      <w:r w:rsidRPr="00D61BA7">
        <w:rPr>
          <w:rFonts w:ascii="Verdana" w:hAnsi="Verdana"/>
          <w:b/>
          <w:bCs/>
          <w:iCs/>
          <w:sz w:val="18"/>
          <w:szCs w:val="18"/>
        </w:rPr>
        <w:t>exceso de adjudicación</w:t>
      </w:r>
      <w:r w:rsidRPr="00D61BA7">
        <w:rPr>
          <w:rFonts w:ascii="Verdana" w:hAnsi="Verdana"/>
          <w:bCs/>
          <w:iCs/>
          <w:sz w:val="18"/>
          <w:szCs w:val="18"/>
        </w:rPr>
        <w:t>.</w:t>
      </w:r>
    </w:p>
    <w:p w14:paraId="2470EC3F" w14:textId="77777777" w:rsidR="00D61BA7" w:rsidRPr="00D61BA7" w:rsidRDefault="00D61BA7" w:rsidP="00265275">
      <w:pPr>
        <w:ind w:left="284"/>
        <w:jc w:val="both"/>
        <w:rPr>
          <w:rFonts w:ascii="Verdana" w:hAnsi="Verdana"/>
          <w:bCs/>
          <w:iCs/>
          <w:sz w:val="18"/>
          <w:szCs w:val="18"/>
        </w:rPr>
      </w:pPr>
    </w:p>
    <w:p w14:paraId="3BBEE1DF"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Si existe compensación económica al comunero que recibe de menos, el exceso tiene carácter oneroso y, como regla general, estaría sujeto a TPO. Sin embargo, existe una importante excepción cuando el exceso deriva de la adjudicación a un solo comunero de un bien </w:t>
      </w:r>
      <w:r w:rsidRPr="00D61BA7">
        <w:rPr>
          <w:rFonts w:ascii="Verdana" w:hAnsi="Verdana"/>
          <w:b/>
          <w:bCs/>
          <w:iCs/>
          <w:sz w:val="18"/>
          <w:szCs w:val="18"/>
        </w:rPr>
        <w:t>indivisible o que desmerezca mucho por su división</w:t>
      </w:r>
      <w:r w:rsidRPr="00D61BA7">
        <w:rPr>
          <w:rFonts w:ascii="Verdana" w:hAnsi="Verdana"/>
          <w:bCs/>
          <w:iCs/>
          <w:sz w:val="18"/>
          <w:szCs w:val="18"/>
        </w:rPr>
        <w:t xml:space="preserve">, con compensación al resto. </w:t>
      </w:r>
    </w:p>
    <w:p w14:paraId="4C7F8925" w14:textId="77777777" w:rsidR="00D61BA7" w:rsidRPr="00D61BA7" w:rsidRDefault="00D61BA7" w:rsidP="00265275">
      <w:pPr>
        <w:ind w:left="284"/>
        <w:jc w:val="both"/>
        <w:rPr>
          <w:rFonts w:ascii="Verdana" w:hAnsi="Verdana"/>
          <w:bCs/>
          <w:iCs/>
          <w:sz w:val="18"/>
          <w:szCs w:val="18"/>
        </w:rPr>
      </w:pPr>
    </w:p>
    <w:p w14:paraId="24EBFFFB" w14:textId="77777777" w:rsidR="00D61BA7" w:rsidRPr="00D61BA7" w:rsidRDefault="00D61BA7" w:rsidP="00265275">
      <w:pPr>
        <w:ind w:left="284"/>
        <w:jc w:val="both"/>
        <w:rPr>
          <w:rFonts w:ascii="Verdana" w:hAnsi="Verdana"/>
          <w:bCs/>
          <w:iCs/>
          <w:sz w:val="18"/>
          <w:szCs w:val="18"/>
        </w:rPr>
      </w:pPr>
      <w:r w:rsidRPr="00D61BA7">
        <w:rPr>
          <w:rFonts w:ascii="Verdana" w:hAnsi="Verdana"/>
          <w:bCs/>
          <w:iCs/>
          <w:sz w:val="18"/>
          <w:szCs w:val="18"/>
        </w:rPr>
        <w:t>Para aplicar esta excepción deben concurrir esencialmente tres requisitos:</w:t>
      </w:r>
    </w:p>
    <w:p w14:paraId="0CC7FD1B" w14:textId="77777777" w:rsidR="00D61BA7" w:rsidRPr="00D61BA7" w:rsidRDefault="00D61BA7" w:rsidP="00365B0E">
      <w:pPr>
        <w:numPr>
          <w:ilvl w:val="0"/>
          <w:numId w:val="8"/>
        </w:numPr>
        <w:jc w:val="both"/>
        <w:rPr>
          <w:rFonts w:ascii="Verdana" w:hAnsi="Verdana"/>
          <w:bCs/>
          <w:iCs/>
          <w:sz w:val="18"/>
          <w:szCs w:val="18"/>
        </w:rPr>
      </w:pPr>
      <w:r w:rsidRPr="00D61BA7">
        <w:rPr>
          <w:rFonts w:ascii="Verdana" w:hAnsi="Verdana"/>
          <w:b/>
          <w:bCs/>
          <w:iCs/>
          <w:sz w:val="18"/>
          <w:szCs w:val="18"/>
        </w:rPr>
        <w:t>Indivisibilidad o desmerecimiento</w:t>
      </w:r>
      <w:r w:rsidRPr="00D61BA7">
        <w:rPr>
          <w:rFonts w:ascii="Verdana" w:hAnsi="Verdana"/>
          <w:bCs/>
          <w:iCs/>
          <w:sz w:val="18"/>
          <w:szCs w:val="18"/>
        </w:rPr>
        <w:t xml:space="preserve"> del bien. </w:t>
      </w:r>
    </w:p>
    <w:p w14:paraId="6F459BC5" w14:textId="77777777" w:rsidR="00D61BA7" w:rsidRPr="00D61BA7" w:rsidRDefault="00D61BA7" w:rsidP="00365B0E">
      <w:pPr>
        <w:numPr>
          <w:ilvl w:val="0"/>
          <w:numId w:val="8"/>
        </w:numPr>
        <w:jc w:val="both"/>
        <w:rPr>
          <w:rFonts w:ascii="Verdana" w:hAnsi="Verdana"/>
          <w:bCs/>
          <w:iCs/>
          <w:sz w:val="18"/>
          <w:szCs w:val="18"/>
        </w:rPr>
      </w:pPr>
      <w:r w:rsidRPr="00D61BA7">
        <w:rPr>
          <w:rFonts w:ascii="Verdana" w:hAnsi="Verdana"/>
          <w:b/>
          <w:bCs/>
          <w:iCs/>
          <w:sz w:val="18"/>
          <w:szCs w:val="18"/>
        </w:rPr>
        <w:t>Adjudicación a uno solo de los comuneros</w:t>
      </w:r>
      <w:r w:rsidRPr="00D61BA7">
        <w:rPr>
          <w:rFonts w:ascii="Verdana" w:hAnsi="Verdana"/>
          <w:bCs/>
          <w:iCs/>
          <w:sz w:val="18"/>
          <w:szCs w:val="18"/>
        </w:rPr>
        <w:t xml:space="preserve">. </w:t>
      </w:r>
    </w:p>
    <w:p w14:paraId="5C75BFCA" w14:textId="77777777" w:rsidR="00D61BA7" w:rsidRDefault="00D61BA7" w:rsidP="00365B0E">
      <w:pPr>
        <w:numPr>
          <w:ilvl w:val="0"/>
          <w:numId w:val="8"/>
        </w:numPr>
        <w:jc w:val="both"/>
        <w:rPr>
          <w:rFonts w:ascii="Verdana" w:hAnsi="Verdana"/>
          <w:bCs/>
          <w:iCs/>
          <w:sz w:val="18"/>
          <w:szCs w:val="18"/>
        </w:rPr>
      </w:pPr>
      <w:r w:rsidRPr="00D61BA7">
        <w:rPr>
          <w:rFonts w:ascii="Verdana" w:hAnsi="Verdana"/>
          <w:b/>
          <w:bCs/>
          <w:iCs/>
          <w:sz w:val="18"/>
          <w:szCs w:val="18"/>
        </w:rPr>
        <w:t>Compensación al resto en términos equivalentes</w:t>
      </w:r>
      <w:r w:rsidRPr="00D61BA7">
        <w:rPr>
          <w:rFonts w:ascii="Verdana" w:hAnsi="Verdana"/>
          <w:bCs/>
          <w:iCs/>
          <w:sz w:val="18"/>
          <w:szCs w:val="18"/>
        </w:rPr>
        <w:t xml:space="preserve">. </w:t>
      </w:r>
    </w:p>
    <w:p w14:paraId="19DB2B8A" w14:textId="77777777" w:rsidR="00D61BA7" w:rsidRPr="00D61BA7" w:rsidRDefault="00D61BA7" w:rsidP="00265275">
      <w:pPr>
        <w:ind w:left="720"/>
        <w:jc w:val="both"/>
        <w:rPr>
          <w:rFonts w:ascii="Verdana" w:hAnsi="Verdana"/>
          <w:bCs/>
          <w:iCs/>
          <w:sz w:val="18"/>
          <w:szCs w:val="18"/>
        </w:rPr>
      </w:pPr>
    </w:p>
    <w:p w14:paraId="2C4B7F87"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En estos casos, el exceso no tributa por TPO y la escritura queda sujeta, si se cumplen los requisitos del artículo 31.2, a </w:t>
      </w:r>
      <w:r w:rsidRPr="00D61BA7">
        <w:rPr>
          <w:rFonts w:ascii="Verdana" w:hAnsi="Verdana"/>
          <w:b/>
          <w:bCs/>
          <w:iCs/>
          <w:sz w:val="18"/>
          <w:szCs w:val="18"/>
        </w:rPr>
        <w:t>AJD</w:t>
      </w:r>
      <w:r w:rsidRPr="00D61BA7">
        <w:rPr>
          <w:rFonts w:ascii="Verdana" w:hAnsi="Verdana"/>
          <w:bCs/>
          <w:iCs/>
          <w:sz w:val="18"/>
          <w:szCs w:val="18"/>
        </w:rPr>
        <w:t>.</w:t>
      </w:r>
    </w:p>
    <w:p w14:paraId="1DA61984" w14:textId="77777777" w:rsidR="00D61BA7" w:rsidRPr="00D61BA7" w:rsidRDefault="00D61BA7" w:rsidP="00265275">
      <w:pPr>
        <w:ind w:left="284"/>
        <w:jc w:val="both"/>
        <w:rPr>
          <w:rFonts w:ascii="Verdana" w:hAnsi="Verdana"/>
          <w:bCs/>
          <w:iCs/>
          <w:sz w:val="18"/>
          <w:szCs w:val="18"/>
        </w:rPr>
      </w:pPr>
    </w:p>
    <w:p w14:paraId="67681B08" w14:textId="77777777" w:rsidR="00D61BA7" w:rsidRPr="00D61BA7" w:rsidRDefault="00D61BA7" w:rsidP="00265275">
      <w:pPr>
        <w:ind w:left="284"/>
        <w:jc w:val="both"/>
        <w:rPr>
          <w:rFonts w:ascii="Verdana" w:hAnsi="Verdana"/>
          <w:b/>
          <w:bCs/>
          <w:iCs/>
          <w:sz w:val="18"/>
          <w:szCs w:val="18"/>
        </w:rPr>
      </w:pPr>
      <w:r w:rsidRPr="00D61BA7">
        <w:rPr>
          <w:rFonts w:ascii="Verdana" w:hAnsi="Verdana"/>
          <w:b/>
          <w:bCs/>
          <w:iCs/>
          <w:sz w:val="18"/>
          <w:szCs w:val="18"/>
        </w:rPr>
        <w:t>4. Importancia de que la comunidad quede realmente extinguida</w:t>
      </w:r>
    </w:p>
    <w:p w14:paraId="1FE1FC91" w14:textId="77777777" w:rsidR="00D61BA7" w:rsidRPr="00D61BA7" w:rsidRDefault="00D61BA7" w:rsidP="00265275">
      <w:pPr>
        <w:ind w:left="284"/>
        <w:jc w:val="both"/>
        <w:rPr>
          <w:rFonts w:ascii="Verdana" w:hAnsi="Verdana"/>
          <w:bCs/>
          <w:iCs/>
          <w:sz w:val="18"/>
          <w:szCs w:val="18"/>
        </w:rPr>
      </w:pPr>
      <w:r w:rsidRPr="00D61BA7">
        <w:rPr>
          <w:rFonts w:ascii="Verdana" w:hAnsi="Verdana"/>
          <w:bCs/>
          <w:iCs/>
          <w:sz w:val="18"/>
          <w:szCs w:val="18"/>
        </w:rPr>
        <w:t>La DGT distingue claramente entre:</w:t>
      </w:r>
    </w:p>
    <w:p w14:paraId="3BA3076A" w14:textId="77777777" w:rsidR="00D61BA7" w:rsidRPr="00D61BA7" w:rsidRDefault="00D61BA7" w:rsidP="00365B0E">
      <w:pPr>
        <w:numPr>
          <w:ilvl w:val="0"/>
          <w:numId w:val="9"/>
        </w:numPr>
        <w:jc w:val="both"/>
        <w:rPr>
          <w:rFonts w:ascii="Verdana" w:hAnsi="Verdana"/>
          <w:bCs/>
          <w:iCs/>
          <w:sz w:val="18"/>
          <w:szCs w:val="18"/>
        </w:rPr>
      </w:pPr>
      <w:r w:rsidRPr="00D61BA7">
        <w:rPr>
          <w:rFonts w:ascii="Verdana" w:hAnsi="Verdana"/>
          <w:b/>
          <w:bCs/>
          <w:iCs/>
          <w:sz w:val="18"/>
          <w:szCs w:val="18"/>
        </w:rPr>
        <w:t>Extinción del condominio</w:t>
      </w:r>
      <w:r w:rsidRPr="00D61BA7">
        <w:rPr>
          <w:rFonts w:ascii="Verdana" w:hAnsi="Verdana"/>
          <w:bCs/>
          <w:iCs/>
          <w:sz w:val="18"/>
          <w:szCs w:val="18"/>
        </w:rPr>
        <w:t xml:space="preserve">, que puede tributar por AJD. </w:t>
      </w:r>
    </w:p>
    <w:p w14:paraId="786044F2" w14:textId="77777777" w:rsidR="00D61BA7" w:rsidRDefault="00D61BA7" w:rsidP="00365B0E">
      <w:pPr>
        <w:numPr>
          <w:ilvl w:val="0"/>
          <w:numId w:val="9"/>
        </w:numPr>
        <w:jc w:val="both"/>
        <w:rPr>
          <w:rFonts w:ascii="Verdana" w:hAnsi="Verdana"/>
          <w:bCs/>
          <w:iCs/>
          <w:sz w:val="18"/>
          <w:szCs w:val="18"/>
        </w:rPr>
      </w:pPr>
      <w:r w:rsidRPr="00D61BA7">
        <w:rPr>
          <w:rFonts w:ascii="Verdana" w:hAnsi="Verdana"/>
          <w:b/>
          <w:bCs/>
          <w:iCs/>
          <w:sz w:val="18"/>
          <w:szCs w:val="18"/>
        </w:rPr>
        <w:t>Mera modificación del número de comuneros</w:t>
      </w:r>
      <w:r w:rsidRPr="00D61BA7">
        <w:rPr>
          <w:rFonts w:ascii="Verdana" w:hAnsi="Verdana"/>
          <w:bCs/>
          <w:iCs/>
          <w:sz w:val="18"/>
          <w:szCs w:val="18"/>
        </w:rPr>
        <w:t xml:space="preserve">, que constituye una transmisión de cuotas y tributa por TPO. </w:t>
      </w:r>
    </w:p>
    <w:p w14:paraId="59214594" w14:textId="77777777" w:rsidR="00D61BA7" w:rsidRPr="00D61BA7" w:rsidRDefault="00D61BA7" w:rsidP="00265275">
      <w:pPr>
        <w:ind w:left="720"/>
        <w:jc w:val="both"/>
        <w:rPr>
          <w:rFonts w:ascii="Verdana" w:hAnsi="Verdana"/>
          <w:bCs/>
          <w:iCs/>
          <w:sz w:val="18"/>
          <w:szCs w:val="18"/>
        </w:rPr>
      </w:pPr>
    </w:p>
    <w:p w14:paraId="2041F725"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Así, si un inmueble continúa perteneciendo proindiviso a varios comuneros, </w:t>
      </w:r>
      <w:r w:rsidRPr="00D61BA7">
        <w:rPr>
          <w:rFonts w:ascii="Verdana" w:hAnsi="Verdana"/>
          <w:b/>
          <w:bCs/>
          <w:iCs/>
          <w:sz w:val="18"/>
          <w:szCs w:val="18"/>
        </w:rPr>
        <w:t>no existe extinción del condominio</w:t>
      </w:r>
      <w:r w:rsidRPr="00D61BA7">
        <w:rPr>
          <w:rFonts w:ascii="Verdana" w:hAnsi="Verdana"/>
          <w:bCs/>
          <w:iCs/>
          <w:sz w:val="18"/>
          <w:szCs w:val="18"/>
        </w:rPr>
        <w:t xml:space="preserve">, aunque algunos de los copropietarios hayan salido de la comunidad. En este caso se produce una transmisión de sus cuotas a los comuneros que permanecen. </w:t>
      </w:r>
    </w:p>
    <w:p w14:paraId="30034377" w14:textId="77777777" w:rsidR="00D61BA7" w:rsidRPr="00D61BA7" w:rsidRDefault="00D61BA7" w:rsidP="00265275">
      <w:pPr>
        <w:ind w:left="284"/>
        <w:jc w:val="both"/>
        <w:rPr>
          <w:rFonts w:ascii="Verdana" w:hAnsi="Verdana"/>
          <w:bCs/>
          <w:iCs/>
          <w:sz w:val="18"/>
          <w:szCs w:val="18"/>
        </w:rPr>
      </w:pPr>
    </w:p>
    <w:p w14:paraId="1DB30A67" w14:textId="77777777" w:rsidR="00D61BA7" w:rsidRPr="00D61BA7" w:rsidRDefault="00D61BA7" w:rsidP="00265275">
      <w:pPr>
        <w:ind w:left="284"/>
        <w:jc w:val="both"/>
        <w:rPr>
          <w:rFonts w:ascii="Verdana" w:hAnsi="Verdana"/>
          <w:b/>
          <w:bCs/>
          <w:iCs/>
          <w:sz w:val="18"/>
          <w:szCs w:val="18"/>
        </w:rPr>
      </w:pPr>
      <w:r w:rsidRPr="00D61BA7">
        <w:rPr>
          <w:rFonts w:ascii="Verdana" w:hAnsi="Verdana"/>
          <w:b/>
          <w:bCs/>
          <w:iCs/>
          <w:sz w:val="18"/>
          <w:szCs w:val="18"/>
        </w:rPr>
        <w:t>5. Aplicación al caso concreto</w:t>
      </w:r>
    </w:p>
    <w:p w14:paraId="78A2E197"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La DGT considera que existen </w:t>
      </w:r>
      <w:r w:rsidRPr="00D61BA7">
        <w:rPr>
          <w:rFonts w:ascii="Verdana" w:hAnsi="Verdana"/>
          <w:b/>
          <w:bCs/>
          <w:iCs/>
          <w:sz w:val="18"/>
          <w:szCs w:val="18"/>
        </w:rPr>
        <w:t>dos comunidades de bienes diferenciadas</w:t>
      </w:r>
      <w:r w:rsidRPr="00D61BA7">
        <w:rPr>
          <w:rFonts w:ascii="Verdana" w:hAnsi="Verdana"/>
          <w:bCs/>
          <w:iCs/>
          <w:sz w:val="18"/>
          <w:szCs w:val="18"/>
        </w:rPr>
        <w:t>, una sobre cada inmueble.</w:t>
      </w:r>
    </w:p>
    <w:p w14:paraId="18B1CF2F" w14:textId="77777777" w:rsidR="00D61BA7" w:rsidRPr="00D61BA7" w:rsidRDefault="00D61BA7" w:rsidP="00265275">
      <w:pPr>
        <w:ind w:left="284"/>
        <w:jc w:val="both"/>
        <w:rPr>
          <w:rFonts w:ascii="Verdana" w:hAnsi="Verdana"/>
          <w:bCs/>
          <w:iCs/>
          <w:sz w:val="18"/>
          <w:szCs w:val="18"/>
        </w:rPr>
      </w:pPr>
    </w:p>
    <w:p w14:paraId="1BB54556" w14:textId="77777777" w:rsidR="00D61BA7" w:rsidRDefault="00D61BA7" w:rsidP="00D7191B">
      <w:pPr>
        <w:ind w:left="284"/>
        <w:jc w:val="both"/>
        <w:rPr>
          <w:rFonts w:ascii="Verdana" w:hAnsi="Verdana"/>
          <w:bCs/>
          <w:iCs/>
          <w:sz w:val="18"/>
          <w:szCs w:val="18"/>
        </w:rPr>
      </w:pPr>
      <w:r w:rsidRPr="00D61BA7">
        <w:rPr>
          <w:rFonts w:ascii="Verdana" w:hAnsi="Verdana"/>
          <w:b/>
          <w:bCs/>
          <w:iCs/>
          <w:sz w:val="18"/>
          <w:szCs w:val="18"/>
        </w:rPr>
        <w:t>Inmueble 1:</w:t>
      </w:r>
      <w:r w:rsidRPr="00D61BA7">
        <w:rPr>
          <w:rFonts w:ascii="Verdana" w:hAnsi="Verdana"/>
          <w:bCs/>
          <w:iCs/>
          <w:sz w:val="18"/>
          <w:szCs w:val="18"/>
        </w:rPr>
        <w:br/>
        <w:t xml:space="preserve">Al adjudicarse íntegramente a uno de los cuatro hermanos y compensarse a los restantes, se produce la </w:t>
      </w:r>
      <w:r w:rsidRPr="00D61BA7">
        <w:rPr>
          <w:rFonts w:ascii="Verdana" w:hAnsi="Verdana"/>
          <w:b/>
          <w:bCs/>
          <w:iCs/>
          <w:sz w:val="18"/>
          <w:szCs w:val="18"/>
        </w:rPr>
        <w:t>extinción del condominio</w:t>
      </w:r>
      <w:r w:rsidRPr="00D61BA7">
        <w:rPr>
          <w:rFonts w:ascii="Verdana" w:hAnsi="Verdana"/>
          <w:bCs/>
          <w:iCs/>
          <w:sz w:val="18"/>
          <w:szCs w:val="18"/>
        </w:rPr>
        <w:t xml:space="preserve">, con exceso de adjudicación oneroso. Al tratarse, en principio, de un inmueble indivisible y cumplirse los requisitos exigidos, la operación </w:t>
      </w:r>
      <w:r w:rsidRPr="00D61BA7">
        <w:rPr>
          <w:rFonts w:ascii="Verdana" w:hAnsi="Verdana"/>
          <w:b/>
          <w:bCs/>
          <w:iCs/>
          <w:sz w:val="18"/>
          <w:szCs w:val="18"/>
        </w:rPr>
        <w:t>no queda sujeta a TPO y tributa por AJD</w:t>
      </w:r>
      <w:r w:rsidRPr="00D61BA7">
        <w:rPr>
          <w:rFonts w:ascii="Verdana" w:hAnsi="Verdana"/>
          <w:bCs/>
          <w:iCs/>
          <w:sz w:val="18"/>
          <w:szCs w:val="18"/>
        </w:rPr>
        <w:t xml:space="preserve">. </w:t>
      </w:r>
    </w:p>
    <w:p w14:paraId="7A3B3C87" w14:textId="77777777" w:rsidR="00D61BA7" w:rsidRPr="00D61BA7" w:rsidRDefault="00D61BA7" w:rsidP="00D7191B">
      <w:pPr>
        <w:ind w:left="284"/>
        <w:jc w:val="both"/>
        <w:rPr>
          <w:rFonts w:ascii="Verdana" w:hAnsi="Verdana"/>
          <w:bCs/>
          <w:iCs/>
          <w:sz w:val="18"/>
          <w:szCs w:val="18"/>
        </w:rPr>
      </w:pPr>
    </w:p>
    <w:p w14:paraId="1431A1E0" w14:textId="77777777" w:rsidR="00D61BA7" w:rsidRDefault="00D61BA7" w:rsidP="00D7191B">
      <w:pPr>
        <w:ind w:left="284"/>
        <w:jc w:val="both"/>
        <w:rPr>
          <w:rFonts w:ascii="Verdana" w:hAnsi="Verdana"/>
          <w:bCs/>
          <w:iCs/>
          <w:sz w:val="18"/>
          <w:szCs w:val="18"/>
        </w:rPr>
      </w:pPr>
      <w:r w:rsidRPr="00D61BA7">
        <w:rPr>
          <w:rFonts w:ascii="Verdana" w:hAnsi="Verdana"/>
          <w:b/>
          <w:bCs/>
          <w:iCs/>
          <w:sz w:val="18"/>
          <w:szCs w:val="18"/>
        </w:rPr>
        <w:t>Inmueble 2:</w:t>
      </w:r>
      <w:r w:rsidRPr="00D61BA7">
        <w:rPr>
          <w:rFonts w:ascii="Verdana" w:hAnsi="Verdana"/>
          <w:bCs/>
          <w:iCs/>
          <w:sz w:val="18"/>
          <w:szCs w:val="18"/>
        </w:rPr>
        <w:br/>
        <w:t xml:space="preserve">Al quedar el inmueble en proindiviso entre dos hermanos, </w:t>
      </w:r>
      <w:r w:rsidRPr="00D61BA7">
        <w:rPr>
          <w:rFonts w:ascii="Verdana" w:hAnsi="Verdana"/>
          <w:b/>
          <w:bCs/>
          <w:iCs/>
          <w:sz w:val="18"/>
          <w:szCs w:val="18"/>
        </w:rPr>
        <w:t>la comunidad no se extingue</w:t>
      </w:r>
      <w:r w:rsidRPr="00D61BA7">
        <w:rPr>
          <w:rFonts w:ascii="Verdana" w:hAnsi="Verdana"/>
          <w:bCs/>
          <w:iCs/>
          <w:sz w:val="18"/>
          <w:szCs w:val="18"/>
        </w:rPr>
        <w:t xml:space="preserve">. Simplemente se reduce el número de comuneros de cuatro a dos. Por tanto, la operación constituye una </w:t>
      </w:r>
      <w:r w:rsidRPr="00D61BA7">
        <w:rPr>
          <w:rFonts w:ascii="Verdana" w:hAnsi="Verdana"/>
          <w:b/>
          <w:bCs/>
          <w:iCs/>
          <w:sz w:val="18"/>
          <w:szCs w:val="18"/>
        </w:rPr>
        <w:t>transmisión de cuotas de participación</w:t>
      </w:r>
      <w:r w:rsidRPr="00D61BA7">
        <w:rPr>
          <w:rFonts w:ascii="Verdana" w:hAnsi="Verdana"/>
          <w:bCs/>
          <w:iCs/>
          <w:sz w:val="18"/>
          <w:szCs w:val="18"/>
        </w:rPr>
        <w:t xml:space="preserve">, sujeta a </w:t>
      </w:r>
      <w:r w:rsidRPr="00D61BA7">
        <w:rPr>
          <w:rFonts w:ascii="Verdana" w:hAnsi="Verdana"/>
          <w:b/>
          <w:bCs/>
          <w:iCs/>
          <w:sz w:val="18"/>
          <w:szCs w:val="18"/>
        </w:rPr>
        <w:t>TPO</w:t>
      </w:r>
      <w:r w:rsidRPr="00D61BA7">
        <w:rPr>
          <w:rFonts w:ascii="Verdana" w:hAnsi="Verdana"/>
          <w:bCs/>
          <w:iCs/>
          <w:sz w:val="18"/>
          <w:szCs w:val="18"/>
        </w:rPr>
        <w:t xml:space="preserve">, siendo sujetos pasivos los hermanos que adquieren una mayor participación. </w:t>
      </w:r>
    </w:p>
    <w:p w14:paraId="66E06661" w14:textId="77777777" w:rsidR="00D61BA7" w:rsidRPr="00D61BA7" w:rsidRDefault="00D61BA7" w:rsidP="00265275">
      <w:pPr>
        <w:ind w:left="284"/>
        <w:jc w:val="both"/>
        <w:rPr>
          <w:rFonts w:ascii="Verdana" w:hAnsi="Verdana"/>
          <w:bCs/>
          <w:iCs/>
          <w:sz w:val="18"/>
          <w:szCs w:val="18"/>
        </w:rPr>
      </w:pPr>
    </w:p>
    <w:p w14:paraId="4F1BD99A" w14:textId="77777777" w:rsidR="00D61BA7" w:rsidRPr="00D61BA7" w:rsidRDefault="00D61BA7" w:rsidP="00265275">
      <w:pPr>
        <w:ind w:left="284"/>
        <w:jc w:val="both"/>
        <w:rPr>
          <w:rFonts w:ascii="Verdana" w:hAnsi="Verdana"/>
          <w:b/>
          <w:bCs/>
          <w:iCs/>
          <w:sz w:val="18"/>
          <w:szCs w:val="18"/>
        </w:rPr>
      </w:pPr>
      <w:r w:rsidRPr="00D61BA7">
        <w:rPr>
          <w:rFonts w:ascii="Verdana" w:hAnsi="Verdana"/>
          <w:b/>
          <w:bCs/>
          <w:iCs/>
          <w:sz w:val="18"/>
          <w:szCs w:val="18"/>
        </w:rPr>
        <w:t>6. Una o varias escrituras</w:t>
      </w:r>
    </w:p>
    <w:p w14:paraId="7A77D0DE"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La DGT señala que el hecho de formalizar ambas operaciones </w:t>
      </w:r>
      <w:r w:rsidRPr="00D61BA7">
        <w:rPr>
          <w:rFonts w:ascii="Verdana" w:hAnsi="Verdana"/>
          <w:b/>
          <w:bCs/>
          <w:iCs/>
          <w:sz w:val="18"/>
          <w:szCs w:val="18"/>
        </w:rPr>
        <w:t>en una única escritura o en escrituras diferentes no modifica su tratamiento fiscal</w:t>
      </w:r>
      <w:r w:rsidRPr="00D61BA7">
        <w:rPr>
          <w:rFonts w:ascii="Verdana" w:hAnsi="Verdana"/>
          <w:bCs/>
          <w:iCs/>
          <w:sz w:val="18"/>
          <w:szCs w:val="18"/>
        </w:rPr>
        <w:t xml:space="preserve">. Si el mismo documento contiene varias convenciones sujetas separadamente al impuesto, cada una debe tributar conforme a su propia naturaleza. </w:t>
      </w:r>
    </w:p>
    <w:p w14:paraId="5C2A838A" w14:textId="77777777" w:rsidR="00D61BA7" w:rsidRPr="00D61BA7" w:rsidRDefault="00D61BA7" w:rsidP="00265275">
      <w:pPr>
        <w:ind w:left="284"/>
        <w:jc w:val="both"/>
        <w:rPr>
          <w:rFonts w:ascii="Verdana" w:hAnsi="Verdana"/>
          <w:bCs/>
          <w:iCs/>
          <w:sz w:val="18"/>
          <w:szCs w:val="18"/>
        </w:rPr>
      </w:pPr>
    </w:p>
    <w:p w14:paraId="6194D260" w14:textId="7FA3AECC" w:rsidR="00D61BA7" w:rsidRPr="00D61BA7" w:rsidRDefault="00D61BA7" w:rsidP="00265275">
      <w:pPr>
        <w:ind w:left="284"/>
        <w:jc w:val="both"/>
        <w:rPr>
          <w:rFonts w:ascii="Verdana" w:hAnsi="Verdana"/>
          <w:b/>
          <w:bCs/>
          <w:iCs/>
          <w:sz w:val="18"/>
          <w:szCs w:val="18"/>
        </w:rPr>
      </w:pPr>
      <w:r w:rsidRPr="00D61BA7">
        <w:rPr>
          <w:rFonts w:ascii="Verdana" w:hAnsi="Verdana"/>
          <w:b/>
          <w:bCs/>
          <w:iCs/>
          <w:sz w:val="18"/>
          <w:szCs w:val="18"/>
        </w:rPr>
        <w:t>CONCLUSIÓN</w:t>
      </w:r>
    </w:p>
    <w:p w14:paraId="6E14A188" w14:textId="77777777" w:rsid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La </w:t>
      </w:r>
      <w:r w:rsidRPr="00D61BA7">
        <w:rPr>
          <w:rFonts w:ascii="Verdana" w:hAnsi="Verdana"/>
          <w:b/>
          <w:bCs/>
          <w:iCs/>
          <w:sz w:val="18"/>
          <w:szCs w:val="18"/>
        </w:rPr>
        <w:t>Consulta Vinculante V1020-26</w:t>
      </w:r>
      <w:r w:rsidRPr="00D61BA7">
        <w:rPr>
          <w:rFonts w:ascii="Verdana" w:hAnsi="Verdana"/>
          <w:bCs/>
          <w:iCs/>
          <w:sz w:val="18"/>
          <w:szCs w:val="18"/>
        </w:rPr>
        <w:t xml:space="preserve"> confirma la importancia de diferenciar entre la </w:t>
      </w:r>
      <w:r w:rsidRPr="00D61BA7">
        <w:rPr>
          <w:rFonts w:ascii="Verdana" w:hAnsi="Verdana"/>
          <w:b/>
          <w:bCs/>
          <w:iCs/>
          <w:sz w:val="18"/>
          <w:szCs w:val="18"/>
        </w:rPr>
        <w:t>auténtica extinción del condominio</w:t>
      </w:r>
      <w:r w:rsidRPr="00D61BA7">
        <w:rPr>
          <w:rFonts w:ascii="Verdana" w:hAnsi="Verdana"/>
          <w:bCs/>
          <w:iCs/>
          <w:sz w:val="18"/>
          <w:szCs w:val="18"/>
        </w:rPr>
        <w:t xml:space="preserve"> y la mera transmisión de cuotas entre comuneros. La adjudicación íntegra de un inmueble indivisible a uno de los copropietarios, con compensación equivalente al resto, puede quedar </w:t>
      </w:r>
      <w:r w:rsidRPr="00D61BA7">
        <w:rPr>
          <w:rFonts w:ascii="Verdana" w:hAnsi="Verdana"/>
          <w:b/>
          <w:bCs/>
          <w:iCs/>
          <w:sz w:val="18"/>
          <w:szCs w:val="18"/>
        </w:rPr>
        <w:t>no sujeta a TPO y sometida a AJD</w:t>
      </w:r>
      <w:r w:rsidRPr="00D61BA7">
        <w:rPr>
          <w:rFonts w:ascii="Verdana" w:hAnsi="Verdana"/>
          <w:bCs/>
          <w:iCs/>
          <w:sz w:val="18"/>
          <w:szCs w:val="18"/>
        </w:rPr>
        <w:t xml:space="preserve">. </w:t>
      </w:r>
    </w:p>
    <w:p w14:paraId="2FE858CE" w14:textId="77777777" w:rsidR="00D61BA7" w:rsidRDefault="00D61BA7" w:rsidP="00265275">
      <w:pPr>
        <w:ind w:left="284"/>
        <w:jc w:val="both"/>
        <w:rPr>
          <w:rFonts w:ascii="Verdana" w:hAnsi="Verdana"/>
          <w:bCs/>
          <w:iCs/>
          <w:sz w:val="18"/>
          <w:szCs w:val="18"/>
        </w:rPr>
      </w:pPr>
    </w:p>
    <w:p w14:paraId="2557A549" w14:textId="660522CB" w:rsidR="00D61BA7" w:rsidRPr="00D61BA7" w:rsidRDefault="00D61BA7" w:rsidP="00265275">
      <w:pPr>
        <w:ind w:left="284"/>
        <w:jc w:val="both"/>
        <w:rPr>
          <w:rFonts w:ascii="Verdana" w:hAnsi="Verdana"/>
          <w:bCs/>
          <w:iCs/>
          <w:sz w:val="18"/>
          <w:szCs w:val="18"/>
        </w:rPr>
      </w:pPr>
      <w:r w:rsidRPr="00D61BA7">
        <w:rPr>
          <w:rFonts w:ascii="Verdana" w:hAnsi="Verdana"/>
          <w:bCs/>
          <w:iCs/>
          <w:sz w:val="18"/>
          <w:szCs w:val="18"/>
        </w:rPr>
        <w:t xml:space="preserve">En cambio, si el inmueble continúa en proindiviso entre varios comuneros, aunque algunos abandonen la comunidad, existe una </w:t>
      </w:r>
      <w:r w:rsidRPr="00D61BA7">
        <w:rPr>
          <w:rFonts w:ascii="Verdana" w:hAnsi="Verdana"/>
          <w:b/>
          <w:bCs/>
          <w:iCs/>
          <w:sz w:val="18"/>
          <w:szCs w:val="18"/>
        </w:rPr>
        <w:t>transmisión de cuotas sujeta a TPO</w:t>
      </w:r>
      <w:r w:rsidRPr="00D61BA7">
        <w:rPr>
          <w:rFonts w:ascii="Verdana" w:hAnsi="Verdana"/>
          <w:bCs/>
          <w:iCs/>
          <w:sz w:val="18"/>
          <w:szCs w:val="18"/>
        </w:rPr>
        <w:t xml:space="preserve">. </w:t>
      </w:r>
    </w:p>
    <w:p w14:paraId="0DD6A0DE" w14:textId="77777777" w:rsidR="00D7191B" w:rsidRDefault="00D7191B" w:rsidP="00265275">
      <w:pPr>
        <w:ind w:left="284"/>
        <w:jc w:val="both"/>
        <w:rPr>
          <w:rFonts w:ascii="Verdana" w:hAnsi="Verdana"/>
          <w:b/>
          <w:bCs/>
          <w:iCs/>
          <w:sz w:val="18"/>
          <w:szCs w:val="18"/>
        </w:rPr>
      </w:pPr>
    </w:p>
    <w:p w14:paraId="2E6CB764" w14:textId="35F1870C" w:rsidR="00D61BA7" w:rsidRPr="00D61BA7" w:rsidRDefault="00D61BA7" w:rsidP="00265275">
      <w:pPr>
        <w:ind w:left="284"/>
        <w:jc w:val="both"/>
        <w:rPr>
          <w:rFonts w:ascii="Verdana" w:hAnsi="Verdana"/>
          <w:bCs/>
          <w:iCs/>
          <w:sz w:val="18"/>
          <w:szCs w:val="18"/>
        </w:rPr>
      </w:pPr>
      <w:r w:rsidRPr="00D61BA7">
        <w:rPr>
          <w:rFonts w:ascii="Verdana" w:hAnsi="Verdana"/>
          <w:b/>
          <w:bCs/>
          <w:iCs/>
          <w:sz w:val="18"/>
          <w:szCs w:val="18"/>
        </w:rPr>
        <w:t>Interés práctico:</w:t>
      </w:r>
      <w:r w:rsidRPr="00D61BA7">
        <w:rPr>
          <w:rFonts w:ascii="Verdana" w:hAnsi="Verdana"/>
          <w:bCs/>
          <w:iCs/>
          <w:sz w:val="18"/>
          <w:szCs w:val="18"/>
        </w:rPr>
        <w:t xml:space="preserve"> en operaciones de reparto de varios inmuebles entre herederos o copropietarios, resulta esencial analizar </w:t>
      </w:r>
      <w:r w:rsidRPr="00D61BA7">
        <w:rPr>
          <w:rFonts w:ascii="Verdana" w:hAnsi="Verdana"/>
          <w:b/>
          <w:bCs/>
          <w:iCs/>
          <w:sz w:val="18"/>
          <w:szCs w:val="18"/>
        </w:rPr>
        <w:t>cada comunidad y cada inmueble de forma independiente</w:t>
      </w:r>
      <w:r w:rsidRPr="00D61BA7">
        <w:rPr>
          <w:rFonts w:ascii="Verdana" w:hAnsi="Verdana"/>
          <w:bCs/>
          <w:iCs/>
          <w:sz w:val="18"/>
          <w:szCs w:val="18"/>
        </w:rPr>
        <w:t xml:space="preserve">, evitando estructurar como extinción de condominio una operación que, materialmente, suponga una transmisión de participaciones. La DGT se apoya expresamente en la doctrina del </w:t>
      </w:r>
      <w:r w:rsidRPr="00D61BA7">
        <w:rPr>
          <w:rFonts w:ascii="Verdana" w:hAnsi="Verdana"/>
          <w:b/>
          <w:bCs/>
          <w:iCs/>
          <w:sz w:val="18"/>
          <w:szCs w:val="18"/>
        </w:rPr>
        <w:t>Tribunal Supremo, especialmente la STS 719/2024 y la STS 1502/2019</w:t>
      </w:r>
      <w:r w:rsidRPr="00D61BA7">
        <w:rPr>
          <w:rFonts w:ascii="Verdana" w:hAnsi="Verdana"/>
          <w:bCs/>
          <w:iCs/>
          <w:sz w:val="18"/>
          <w:szCs w:val="18"/>
        </w:rPr>
        <w:t xml:space="preserve">, sobre extinción de condominios y excesos de adjudicación. </w:t>
      </w:r>
    </w:p>
    <w:p w14:paraId="60E9F732" w14:textId="77777777" w:rsidR="001B4760" w:rsidRDefault="001B4760" w:rsidP="003464F1">
      <w:pPr>
        <w:ind w:left="284"/>
        <w:jc w:val="both"/>
        <w:rPr>
          <w:rFonts w:ascii="Verdana" w:hAnsi="Verdana"/>
          <w:bCs/>
          <w:iCs/>
          <w:sz w:val="18"/>
          <w:szCs w:val="18"/>
        </w:rPr>
      </w:pPr>
    </w:p>
    <w:p w14:paraId="135543C0" w14:textId="77777777" w:rsidR="001B4760" w:rsidRDefault="001B4760" w:rsidP="003464F1">
      <w:pPr>
        <w:ind w:left="284"/>
        <w:jc w:val="both"/>
        <w:rPr>
          <w:rFonts w:ascii="Verdana" w:hAnsi="Verdana"/>
          <w:bCs/>
          <w:iCs/>
          <w:sz w:val="18"/>
          <w:szCs w:val="18"/>
        </w:rPr>
      </w:pP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AA2793" w:rsidRPr="00B823F1" w14:paraId="2FE62C68" w14:textId="77777777" w:rsidTr="001C79C3">
        <w:trPr>
          <w:trHeight w:val="426"/>
        </w:trPr>
        <w:tc>
          <w:tcPr>
            <w:tcW w:w="180" w:type="dxa"/>
            <w:shd w:val="clear" w:color="auto" w:fill="FF6600"/>
          </w:tcPr>
          <w:p w14:paraId="1EC3FD21" w14:textId="77777777" w:rsidR="00AA2793" w:rsidRPr="00B823F1" w:rsidRDefault="00AA2793" w:rsidP="00365B0E">
            <w:pPr>
              <w:pStyle w:val="Prrafodelista"/>
              <w:numPr>
                <w:ilvl w:val="0"/>
                <w:numId w:val="1"/>
              </w:numPr>
              <w:rPr>
                <w:rFonts w:ascii="Verdana" w:hAnsi="Verdana"/>
                <w:b/>
                <w:bCs/>
                <w:color w:val="800000"/>
                <w:sz w:val="18"/>
                <w:szCs w:val="18"/>
              </w:rPr>
            </w:pPr>
          </w:p>
        </w:tc>
        <w:tc>
          <w:tcPr>
            <w:tcW w:w="8460" w:type="dxa"/>
          </w:tcPr>
          <w:p w14:paraId="5FD2AA8F" w14:textId="21927D71" w:rsidR="00AA2793" w:rsidRPr="00B823F1" w:rsidRDefault="00AA2793" w:rsidP="00365B0E">
            <w:pPr>
              <w:pStyle w:val="Prrafodelista"/>
              <w:numPr>
                <w:ilvl w:val="0"/>
                <w:numId w:val="2"/>
              </w:numPr>
              <w:ind w:left="384" w:hanging="283"/>
              <w:jc w:val="both"/>
              <w:rPr>
                <w:rFonts w:ascii="Verdana" w:hAnsi="Verdana"/>
                <w:b/>
                <w:bCs/>
                <w:color w:val="800000"/>
                <w:sz w:val="18"/>
                <w:szCs w:val="18"/>
              </w:rPr>
            </w:pPr>
            <w:bookmarkStart w:id="6" w:name="_Hlk241422746"/>
            <w:r w:rsidRPr="00AA2793">
              <w:rPr>
                <w:rFonts w:ascii="Verdana" w:hAnsi="Verdana"/>
                <w:b/>
                <w:bCs/>
                <w:color w:val="800000"/>
                <w:sz w:val="18"/>
                <w:szCs w:val="18"/>
              </w:rPr>
              <w:t>IAJD – OBRA NUEVA: NO PROCEDE ACTUALIZAR MONETARIAMENTE EL COSTE DE CONSTRUCCIÓN</w:t>
            </w:r>
            <w:bookmarkEnd w:id="6"/>
          </w:p>
        </w:tc>
      </w:tr>
    </w:tbl>
    <w:p w14:paraId="38B9F69A" w14:textId="77777777" w:rsidR="00D7191B" w:rsidRDefault="00D7191B" w:rsidP="00BE6CB5">
      <w:pPr>
        <w:ind w:left="284"/>
        <w:jc w:val="both"/>
        <w:rPr>
          <w:rFonts w:ascii="Verdana" w:hAnsi="Verdana"/>
          <w:bCs/>
          <w:iCs/>
          <w:sz w:val="18"/>
          <w:szCs w:val="18"/>
        </w:rPr>
      </w:pPr>
    </w:p>
    <w:p w14:paraId="273E19AF" w14:textId="0B82EC90" w:rsidR="00BE6CB5" w:rsidRDefault="00BE6CB5" w:rsidP="00BE6CB5">
      <w:pPr>
        <w:ind w:left="284"/>
        <w:jc w:val="both"/>
        <w:rPr>
          <w:rFonts w:ascii="Verdana" w:hAnsi="Verdana"/>
          <w:bCs/>
          <w:iCs/>
          <w:sz w:val="18"/>
          <w:szCs w:val="18"/>
        </w:rPr>
      </w:pPr>
      <w:r w:rsidRPr="00BE6CB5">
        <w:rPr>
          <w:rFonts w:ascii="Verdana" w:hAnsi="Verdana"/>
          <w:bCs/>
          <w:iCs/>
          <w:sz w:val="18"/>
          <w:szCs w:val="18"/>
        </w:rPr>
        <w:t>El Tribunal Supremo</w:t>
      </w:r>
      <w:r w:rsidR="00AA2793">
        <w:rPr>
          <w:rFonts w:ascii="Verdana" w:hAnsi="Verdana"/>
          <w:bCs/>
          <w:iCs/>
          <w:sz w:val="18"/>
          <w:szCs w:val="18"/>
        </w:rPr>
        <w:t>, en su s</w:t>
      </w:r>
      <w:r w:rsidR="00AA2793" w:rsidRPr="00BE6CB5">
        <w:rPr>
          <w:rFonts w:ascii="Verdana" w:hAnsi="Verdana"/>
          <w:bCs/>
          <w:iCs/>
          <w:sz w:val="18"/>
          <w:szCs w:val="18"/>
        </w:rPr>
        <w:t>entencia</w:t>
      </w:r>
      <w:r w:rsidR="00AA2793" w:rsidRPr="00BE6CB5">
        <w:rPr>
          <w:rFonts w:ascii="Verdana" w:hAnsi="Verdana"/>
          <w:b/>
          <w:bCs/>
          <w:iCs/>
          <w:sz w:val="18"/>
          <w:szCs w:val="18"/>
        </w:rPr>
        <w:t xml:space="preserve"> </w:t>
      </w:r>
      <w:r w:rsidR="00AA2793" w:rsidRPr="00AA2793">
        <w:rPr>
          <w:rFonts w:ascii="Verdana" w:hAnsi="Verdana"/>
          <w:iCs/>
          <w:sz w:val="18"/>
          <w:szCs w:val="18"/>
        </w:rPr>
        <w:t>617/2026, de 18 de mayo de 2026 (</w:t>
      </w:r>
      <w:proofErr w:type="spellStart"/>
      <w:r w:rsidR="00AA2793" w:rsidRPr="00AA2793">
        <w:rPr>
          <w:rFonts w:ascii="Verdana" w:hAnsi="Verdana"/>
          <w:iCs/>
          <w:sz w:val="18"/>
          <w:szCs w:val="18"/>
        </w:rPr>
        <w:t>rec.</w:t>
      </w:r>
      <w:proofErr w:type="spellEnd"/>
      <w:r w:rsidR="00AA2793" w:rsidRPr="00AA2793">
        <w:rPr>
          <w:rFonts w:ascii="Verdana" w:hAnsi="Verdana"/>
          <w:iCs/>
          <w:sz w:val="18"/>
          <w:szCs w:val="18"/>
        </w:rPr>
        <w:t xml:space="preserve"> 8043/2023)</w:t>
      </w:r>
      <w:r w:rsidR="00AA2793">
        <w:rPr>
          <w:rFonts w:ascii="Verdana" w:hAnsi="Verdana"/>
          <w:b/>
          <w:bCs/>
          <w:iCs/>
          <w:sz w:val="18"/>
          <w:szCs w:val="18"/>
        </w:rPr>
        <w:t xml:space="preserve">, </w:t>
      </w:r>
      <w:r w:rsidRPr="00BE6CB5">
        <w:rPr>
          <w:rFonts w:ascii="Verdana" w:hAnsi="Verdana"/>
          <w:bCs/>
          <w:iCs/>
          <w:sz w:val="18"/>
          <w:szCs w:val="18"/>
        </w:rPr>
        <w:t xml:space="preserve">fija doctrina sobre la determinación de la </w:t>
      </w:r>
      <w:r w:rsidRPr="00BE6CB5">
        <w:rPr>
          <w:rFonts w:ascii="Verdana" w:hAnsi="Verdana"/>
          <w:b/>
          <w:bCs/>
          <w:iCs/>
          <w:sz w:val="18"/>
          <w:szCs w:val="18"/>
        </w:rPr>
        <w:t>base imponible del Impuesto sobre Actos Jurídicos Documentados (IAJD)</w:t>
      </w:r>
      <w:r w:rsidRPr="00BE6CB5">
        <w:rPr>
          <w:rFonts w:ascii="Verdana" w:hAnsi="Verdana"/>
          <w:bCs/>
          <w:iCs/>
          <w:sz w:val="18"/>
          <w:szCs w:val="18"/>
        </w:rPr>
        <w:t xml:space="preserve"> en las escrituras de declaración de obra nueva cuando ha transcurrido un período prolongado entre la construcción y su posterior formalización documental.</w:t>
      </w:r>
    </w:p>
    <w:p w14:paraId="741B841D" w14:textId="77777777" w:rsidR="00AA2793" w:rsidRPr="00BE6CB5" w:rsidRDefault="00AA2793" w:rsidP="00BE6CB5">
      <w:pPr>
        <w:ind w:left="284"/>
        <w:jc w:val="both"/>
        <w:rPr>
          <w:rFonts w:ascii="Verdana" w:hAnsi="Verdana"/>
          <w:bCs/>
          <w:iCs/>
          <w:sz w:val="18"/>
          <w:szCs w:val="18"/>
        </w:rPr>
      </w:pPr>
    </w:p>
    <w:p w14:paraId="146C12C3" w14:textId="77777777" w:rsidR="00BE6CB5" w:rsidRDefault="00BE6CB5" w:rsidP="00BE6CB5">
      <w:pPr>
        <w:ind w:left="284"/>
        <w:jc w:val="both"/>
        <w:rPr>
          <w:rFonts w:ascii="Verdana" w:hAnsi="Verdana"/>
          <w:bCs/>
          <w:iCs/>
          <w:sz w:val="18"/>
          <w:szCs w:val="18"/>
        </w:rPr>
      </w:pPr>
      <w:r w:rsidRPr="00BE6CB5">
        <w:rPr>
          <w:rFonts w:ascii="Verdana" w:hAnsi="Verdana"/>
          <w:bCs/>
          <w:iCs/>
          <w:sz w:val="18"/>
          <w:szCs w:val="18"/>
        </w:rPr>
        <w:t xml:space="preserve">La cuestión planteada consistía en determinar si, cuando la escritura de declaración de obra nueva se otorga muchos años después de la construcción —en el caso analizado, aproximadamente </w:t>
      </w:r>
      <w:r w:rsidRPr="00BE6CB5">
        <w:rPr>
          <w:rFonts w:ascii="Verdana" w:hAnsi="Verdana"/>
          <w:b/>
          <w:bCs/>
          <w:iCs/>
          <w:sz w:val="18"/>
          <w:szCs w:val="18"/>
        </w:rPr>
        <w:t>55 años</w:t>
      </w:r>
      <w:r w:rsidRPr="00BE6CB5">
        <w:rPr>
          <w:rFonts w:ascii="Verdana" w:hAnsi="Verdana"/>
          <w:bCs/>
          <w:iCs/>
          <w:sz w:val="18"/>
          <w:szCs w:val="18"/>
        </w:rPr>
        <w:t xml:space="preserve">—, puede actualizarse monetariamente el coste histórico de ejecución de la obra para determinar la base imponible. </w:t>
      </w:r>
    </w:p>
    <w:p w14:paraId="7A891556" w14:textId="77777777" w:rsidR="00AA2793" w:rsidRPr="00BE6CB5" w:rsidRDefault="00AA2793" w:rsidP="00BE6CB5">
      <w:pPr>
        <w:ind w:left="284"/>
        <w:jc w:val="both"/>
        <w:rPr>
          <w:rFonts w:ascii="Verdana" w:hAnsi="Verdana"/>
          <w:bCs/>
          <w:iCs/>
          <w:sz w:val="18"/>
          <w:szCs w:val="18"/>
        </w:rPr>
      </w:pPr>
    </w:p>
    <w:p w14:paraId="1118818F" w14:textId="77777777" w:rsidR="00BE6CB5" w:rsidRDefault="00BE6CB5" w:rsidP="00BE6CB5">
      <w:pPr>
        <w:ind w:left="284"/>
        <w:jc w:val="both"/>
        <w:rPr>
          <w:rFonts w:ascii="Verdana" w:hAnsi="Verdana"/>
          <w:bCs/>
          <w:iCs/>
          <w:sz w:val="18"/>
          <w:szCs w:val="18"/>
        </w:rPr>
      </w:pPr>
      <w:r w:rsidRPr="00BE6CB5">
        <w:rPr>
          <w:rFonts w:ascii="Verdana" w:hAnsi="Verdana"/>
          <w:bCs/>
          <w:iCs/>
          <w:sz w:val="18"/>
          <w:szCs w:val="18"/>
        </w:rPr>
        <w:t xml:space="preserve">El Tribunal Supremo concluye que </w:t>
      </w:r>
      <w:r w:rsidRPr="00BE6CB5">
        <w:rPr>
          <w:rFonts w:ascii="Verdana" w:hAnsi="Verdana"/>
          <w:b/>
          <w:bCs/>
          <w:iCs/>
          <w:sz w:val="18"/>
          <w:szCs w:val="18"/>
        </w:rPr>
        <w:t>no procede aplicar coeficientes de actualización monetaria, coeficientes correctores por antigüedad ni otros mecanismos de actualización</w:t>
      </w:r>
      <w:r w:rsidRPr="00BE6CB5">
        <w:rPr>
          <w:rFonts w:ascii="Verdana" w:hAnsi="Verdana"/>
          <w:bCs/>
          <w:iCs/>
          <w:sz w:val="18"/>
          <w:szCs w:val="18"/>
        </w:rPr>
        <w:t xml:space="preserve">. La base imponible debe estar constituida por el </w:t>
      </w:r>
      <w:r w:rsidRPr="00BE6CB5">
        <w:rPr>
          <w:rFonts w:ascii="Verdana" w:hAnsi="Verdana"/>
          <w:b/>
          <w:bCs/>
          <w:iCs/>
          <w:sz w:val="18"/>
          <w:szCs w:val="18"/>
        </w:rPr>
        <w:t>valor real del coste de ejecución de la obra nueva</w:t>
      </w:r>
      <w:r w:rsidRPr="00BE6CB5">
        <w:rPr>
          <w:rFonts w:ascii="Verdana" w:hAnsi="Verdana"/>
          <w:bCs/>
          <w:iCs/>
          <w:sz w:val="18"/>
          <w:szCs w:val="18"/>
        </w:rPr>
        <w:t xml:space="preserve">, con independencia del tiempo transcurrido hasta el otorgamiento de la escritura. </w:t>
      </w:r>
    </w:p>
    <w:p w14:paraId="5F8804AD" w14:textId="77777777" w:rsidR="00AA2793" w:rsidRPr="00BE6CB5" w:rsidRDefault="00AA2793" w:rsidP="00BE6CB5">
      <w:pPr>
        <w:ind w:left="284"/>
        <w:jc w:val="both"/>
        <w:rPr>
          <w:rFonts w:ascii="Verdana" w:hAnsi="Verdana"/>
          <w:bCs/>
          <w:iCs/>
          <w:sz w:val="18"/>
          <w:szCs w:val="18"/>
        </w:rPr>
      </w:pPr>
    </w:p>
    <w:p w14:paraId="742EFFB2" w14:textId="77777777" w:rsidR="00BE6CB5" w:rsidRPr="00BE6CB5" w:rsidRDefault="00BE6CB5" w:rsidP="00BE6CB5">
      <w:pPr>
        <w:ind w:left="284"/>
        <w:jc w:val="both"/>
        <w:rPr>
          <w:rFonts w:ascii="Verdana" w:hAnsi="Verdana"/>
          <w:b/>
          <w:bCs/>
          <w:iCs/>
          <w:sz w:val="18"/>
          <w:szCs w:val="18"/>
        </w:rPr>
      </w:pPr>
      <w:r w:rsidRPr="00BE6CB5">
        <w:rPr>
          <w:rFonts w:ascii="Verdana" w:hAnsi="Verdana"/>
          <w:b/>
          <w:bCs/>
          <w:iCs/>
          <w:sz w:val="18"/>
          <w:szCs w:val="18"/>
        </w:rPr>
        <w:t>Fundamento</w:t>
      </w:r>
    </w:p>
    <w:p w14:paraId="4A144B12" w14:textId="77777777" w:rsidR="00BE6CB5" w:rsidRDefault="00BE6CB5" w:rsidP="00BE6CB5">
      <w:pPr>
        <w:ind w:left="284"/>
        <w:jc w:val="both"/>
        <w:rPr>
          <w:rFonts w:ascii="Verdana" w:hAnsi="Verdana"/>
          <w:bCs/>
          <w:iCs/>
          <w:sz w:val="18"/>
          <w:szCs w:val="18"/>
        </w:rPr>
      </w:pPr>
      <w:r w:rsidRPr="00BE6CB5">
        <w:rPr>
          <w:rFonts w:ascii="Verdana" w:hAnsi="Verdana"/>
          <w:bCs/>
          <w:iCs/>
          <w:sz w:val="18"/>
          <w:szCs w:val="18"/>
        </w:rPr>
        <w:t xml:space="preserve">El artículo 70.1 del Reglamento del ITP y AJD establece que la base imponible de las escrituras de declaración de obra nueva está constituida por el </w:t>
      </w:r>
      <w:r w:rsidRPr="00BE6CB5">
        <w:rPr>
          <w:rFonts w:ascii="Verdana" w:hAnsi="Verdana"/>
          <w:b/>
          <w:bCs/>
          <w:iCs/>
          <w:sz w:val="18"/>
          <w:szCs w:val="18"/>
        </w:rPr>
        <w:t>«valor real de coste de la obra nueva»</w:t>
      </w:r>
      <w:r w:rsidRPr="00BE6CB5">
        <w:rPr>
          <w:rFonts w:ascii="Verdana" w:hAnsi="Verdana"/>
          <w:bCs/>
          <w:iCs/>
          <w:sz w:val="18"/>
          <w:szCs w:val="18"/>
        </w:rPr>
        <w:t xml:space="preserve">. Para el Tribunal, esta referencia debe entenderse como el </w:t>
      </w:r>
      <w:r w:rsidRPr="00BE6CB5">
        <w:rPr>
          <w:rFonts w:ascii="Verdana" w:hAnsi="Verdana"/>
          <w:b/>
          <w:bCs/>
          <w:iCs/>
          <w:sz w:val="18"/>
          <w:szCs w:val="18"/>
        </w:rPr>
        <w:t xml:space="preserve">importe </w:t>
      </w:r>
      <w:r w:rsidRPr="00BE6CB5">
        <w:rPr>
          <w:rFonts w:ascii="Verdana" w:hAnsi="Verdana"/>
          <w:b/>
          <w:bCs/>
          <w:iCs/>
          <w:sz w:val="18"/>
          <w:szCs w:val="18"/>
        </w:rPr>
        <w:lastRenderedPageBreak/>
        <w:t>efectivamente satisfecho por la ejecución material de la obra</w:t>
      </w:r>
      <w:r w:rsidRPr="00BE6CB5">
        <w:rPr>
          <w:rFonts w:ascii="Verdana" w:hAnsi="Verdana"/>
          <w:bCs/>
          <w:iCs/>
          <w:sz w:val="18"/>
          <w:szCs w:val="18"/>
        </w:rPr>
        <w:t xml:space="preserve">, sin que pueda sustituirse por el valor de mercado del inmueble ni actualizarse por el transcurso del tiempo. </w:t>
      </w:r>
    </w:p>
    <w:p w14:paraId="237FB6AE" w14:textId="77777777" w:rsidR="00AA2793" w:rsidRPr="00BE6CB5" w:rsidRDefault="00AA2793" w:rsidP="00BE6CB5">
      <w:pPr>
        <w:ind w:left="284"/>
        <w:jc w:val="both"/>
        <w:rPr>
          <w:rFonts w:ascii="Verdana" w:hAnsi="Verdana"/>
          <w:bCs/>
          <w:iCs/>
          <w:sz w:val="18"/>
          <w:szCs w:val="18"/>
        </w:rPr>
      </w:pPr>
    </w:p>
    <w:p w14:paraId="0790D1AD" w14:textId="77777777" w:rsidR="00BE6CB5" w:rsidRDefault="00BE6CB5" w:rsidP="00BE6CB5">
      <w:pPr>
        <w:ind w:left="284"/>
        <w:jc w:val="both"/>
        <w:rPr>
          <w:rFonts w:ascii="Verdana" w:hAnsi="Verdana"/>
          <w:bCs/>
          <w:iCs/>
          <w:sz w:val="18"/>
          <w:szCs w:val="18"/>
        </w:rPr>
      </w:pPr>
      <w:r w:rsidRPr="00BE6CB5">
        <w:rPr>
          <w:rFonts w:ascii="Verdana" w:hAnsi="Verdana"/>
          <w:bCs/>
          <w:iCs/>
          <w:sz w:val="18"/>
          <w:szCs w:val="18"/>
        </w:rPr>
        <w:t xml:space="preserve">En consecuencia, no pueden incorporarse elementos ajenos al coste efectivo de construcción, como el incremento del valor del inmueble derivado de su localización, evolución del mercado o expectativas de beneficio. La sentencia recuerda asimismo que la jurisprudencia anterior ya había diferenciado entre </w:t>
      </w:r>
      <w:r w:rsidRPr="00BE6CB5">
        <w:rPr>
          <w:rFonts w:ascii="Verdana" w:hAnsi="Verdana"/>
          <w:b/>
          <w:bCs/>
          <w:iCs/>
          <w:sz w:val="18"/>
          <w:szCs w:val="18"/>
        </w:rPr>
        <w:t>coste de ejecución de la obra</w:t>
      </w:r>
      <w:r w:rsidRPr="00BE6CB5">
        <w:rPr>
          <w:rFonts w:ascii="Verdana" w:hAnsi="Verdana"/>
          <w:bCs/>
          <w:iCs/>
          <w:sz w:val="18"/>
          <w:szCs w:val="18"/>
        </w:rPr>
        <w:t xml:space="preserve"> y </w:t>
      </w:r>
      <w:r w:rsidRPr="00BE6CB5">
        <w:rPr>
          <w:rFonts w:ascii="Verdana" w:hAnsi="Verdana"/>
          <w:b/>
          <w:bCs/>
          <w:iCs/>
          <w:sz w:val="18"/>
          <w:szCs w:val="18"/>
        </w:rPr>
        <w:t>valor del inmueble terminado</w:t>
      </w:r>
      <w:r w:rsidRPr="00BE6CB5">
        <w:rPr>
          <w:rFonts w:ascii="Verdana" w:hAnsi="Verdana"/>
          <w:bCs/>
          <w:iCs/>
          <w:sz w:val="18"/>
          <w:szCs w:val="18"/>
        </w:rPr>
        <w:t xml:space="preserve">. </w:t>
      </w:r>
    </w:p>
    <w:p w14:paraId="2DAF43B4" w14:textId="77777777" w:rsidR="00AA2793" w:rsidRPr="00BE6CB5" w:rsidRDefault="00AA2793" w:rsidP="00BE6CB5">
      <w:pPr>
        <w:ind w:left="284"/>
        <w:jc w:val="both"/>
        <w:rPr>
          <w:rFonts w:ascii="Verdana" w:hAnsi="Verdana"/>
          <w:bCs/>
          <w:iCs/>
          <w:sz w:val="18"/>
          <w:szCs w:val="18"/>
        </w:rPr>
      </w:pPr>
    </w:p>
    <w:p w14:paraId="59C88F0C" w14:textId="77777777" w:rsidR="00BE6CB5" w:rsidRPr="00BE6CB5" w:rsidRDefault="00BE6CB5" w:rsidP="00BE6CB5">
      <w:pPr>
        <w:ind w:left="284"/>
        <w:jc w:val="both"/>
        <w:rPr>
          <w:rFonts w:ascii="Verdana" w:hAnsi="Verdana"/>
          <w:b/>
          <w:bCs/>
          <w:iCs/>
          <w:sz w:val="18"/>
          <w:szCs w:val="18"/>
        </w:rPr>
      </w:pPr>
      <w:r w:rsidRPr="00BE6CB5">
        <w:rPr>
          <w:rFonts w:ascii="Verdana" w:hAnsi="Verdana"/>
          <w:b/>
          <w:bCs/>
          <w:iCs/>
          <w:sz w:val="18"/>
          <w:szCs w:val="18"/>
        </w:rPr>
        <w:t>Conceptos que quedan fuera de la base imponible</w:t>
      </w:r>
    </w:p>
    <w:p w14:paraId="7E2497D9" w14:textId="77777777" w:rsidR="00BE6CB5" w:rsidRPr="00BE6CB5" w:rsidRDefault="00BE6CB5" w:rsidP="00BE6CB5">
      <w:pPr>
        <w:ind w:left="284"/>
        <w:jc w:val="both"/>
        <w:rPr>
          <w:rFonts w:ascii="Verdana" w:hAnsi="Verdana"/>
          <w:bCs/>
          <w:iCs/>
          <w:sz w:val="18"/>
          <w:szCs w:val="18"/>
        </w:rPr>
      </w:pPr>
      <w:r w:rsidRPr="00BE6CB5">
        <w:rPr>
          <w:rFonts w:ascii="Verdana" w:hAnsi="Verdana"/>
          <w:bCs/>
          <w:iCs/>
          <w:sz w:val="18"/>
          <w:szCs w:val="18"/>
        </w:rPr>
        <w:t>Siguiendo la doctrina de la DGT, la sentencia recuerda que no forman parte del coste de ejecución material, entre otros:</w:t>
      </w:r>
    </w:p>
    <w:p w14:paraId="5CE24D87" w14:textId="77777777" w:rsidR="00BE6CB5" w:rsidRPr="00BE6CB5" w:rsidRDefault="00BE6CB5" w:rsidP="00365B0E">
      <w:pPr>
        <w:numPr>
          <w:ilvl w:val="0"/>
          <w:numId w:val="35"/>
        </w:numPr>
        <w:jc w:val="both"/>
        <w:rPr>
          <w:rFonts w:ascii="Verdana" w:hAnsi="Verdana"/>
          <w:bCs/>
          <w:iCs/>
          <w:sz w:val="18"/>
          <w:szCs w:val="18"/>
        </w:rPr>
      </w:pPr>
      <w:r w:rsidRPr="00BE6CB5">
        <w:rPr>
          <w:rFonts w:ascii="Verdana" w:hAnsi="Verdana"/>
          <w:bCs/>
          <w:iCs/>
          <w:sz w:val="18"/>
          <w:szCs w:val="18"/>
        </w:rPr>
        <w:t xml:space="preserve">IVA. </w:t>
      </w:r>
    </w:p>
    <w:p w14:paraId="70C50AE2" w14:textId="77777777" w:rsidR="00BE6CB5" w:rsidRPr="00BE6CB5" w:rsidRDefault="00BE6CB5" w:rsidP="00365B0E">
      <w:pPr>
        <w:numPr>
          <w:ilvl w:val="0"/>
          <w:numId w:val="35"/>
        </w:numPr>
        <w:jc w:val="both"/>
        <w:rPr>
          <w:rFonts w:ascii="Verdana" w:hAnsi="Verdana"/>
          <w:bCs/>
          <w:iCs/>
          <w:sz w:val="18"/>
          <w:szCs w:val="18"/>
        </w:rPr>
      </w:pPr>
      <w:r w:rsidRPr="00BE6CB5">
        <w:rPr>
          <w:rFonts w:ascii="Verdana" w:hAnsi="Verdana"/>
          <w:bCs/>
          <w:iCs/>
          <w:sz w:val="18"/>
          <w:szCs w:val="18"/>
        </w:rPr>
        <w:t xml:space="preserve">Otros impuestos indirectos análogos. </w:t>
      </w:r>
    </w:p>
    <w:p w14:paraId="523F6DF2" w14:textId="77777777" w:rsidR="00BE6CB5" w:rsidRPr="00BE6CB5" w:rsidRDefault="00BE6CB5" w:rsidP="00365B0E">
      <w:pPr>
        <w:numPr>
          <w:ilvl w:val="0"/>
          <w:numId w:val="35"/>
        </w:numPr>
        <w:jc w:val="both"/>
        <w:rPr>
          <w:rFonts w:ascii="Verdana" w:hAnsi="Verdana"/>
          <w:bCs/>
          <w:iCs/>
          <w:sz w:val="18"/>
          <w:szCs w:val="18"/>
        </w:rPr>
      </w:pPr>
      <w:r w:rsidRPr="00BE6CB5">
        <w:rPr>
          <w:rFonts w:ascii="Verdana" w:hAnsi="Verdana"/>
          <w:bCs/>
          <w:iCs/>
          <w:sz w:val="18"/>
          <w:szCs w:val="18"/>
        </w:rPr>
        <w:t xml:space="preserve">Tasas y precios públicos vinculados a la construcción. </w:t>
      </w:r>
    </w:p>
    <w:p w14:paraId="6669C1D7" w14:textId="77777777" w:rsidR="00BE6CB5" w:rsidRPr="00BE6CB5" w:rsidRDefault="00BE6CB5" w:rsidP="00365B0E">
      <w:pPr>
        <w:numPr>
          <w:ilvl w:val="0"/>
          <w:numId w:val="35"/>
        </w:numPr>
        <w:jc w:val="both"/>
        <w:rPr>
          <w:rFonts w:ascii="Verdana" w:hAnsi="Verdana"/>
          <w:bCs/>
          <w:iCs/>
          <w:sz w:val="18"/>
          <w:szCs w:val="18"/>
        </w:rPr>
      </w:pPr>
      <w:r w:rsidRPr="00BE6CB5">
        <w:rPr>
          <w:rFonts w:ascii="Verdana" w:hAnsi="Verdana"/>
          <w:bCs/>
          <w:iCs/>
          <w:sz w:val="18"/>
          <w:szCs w:val="18"/>
        </w:rPr>
        <w:t xml:space="preserve">Honorarios profesionales. </w:t>
      </w:r>
    </w:p>
    <w:p w14:paraId="023E48A6" w14:textId="77777777" w:rsidR="00BE6CB5" w:rsidRPr="00BE6CB5" w:rsidRDefault="00BE6CB5" w:rsidP="00365B0E">
      <w:pPr>
        <w:numPr>
          <w:ilvl w:val="0"/>
          <w:numId w:val="35"/>
        </w:numPr>
        <w:jc w:val="both"/>
        <w:rPr>
          <w:rFonts w:ascii="Verdana" w:hAnsi="Verdana"/>
          <w:bCs/>
          <w:iCs/>
          <w:sz w:val="18"/>
          <w:szCs w:val="18"/>
        </w:rPr>
      </w:pPr>
      <w:r w:rsidRPr="00BE6CB5">
        <w:rPr>
          <w:rFonts w:ascii="Verdana" w:hAnsi="Verdana"/>
          <w:bCs/>
          <w:iCs/>
          <w:sz w:val="18"/>
          <w:szCs w:val="18"/>
        </w:rPr>
        <w:t xml:space="preserve">Beneficio empresarial del contratista. </w:t>
      </w:r>
    </w:p>
    <w:p w14:paraId="2A75BF3B" w14:textId="77777777" w:rsidR="00BE6CB5" w:rsidRDefault="00BE6CB5" w:rsidP="00365B0E">
      <w:pPr>
        <w:numPr>
          <w:ilvl w:val="0"/>
          <w:numId w:val="35"/>
        </w:numPr>
        <w:jc w:val="both"/>
        <w:rPr>
          <w:rFonts w:ascii="Verdana" w:hAnsi="Verdana"/>
          <w:bCs/>
          <w:iCs/>
          <w:sz w:val="18"/>
          <w:szCs w:val="18"/>
        </w:rPr>
      </w:pPr>
      <w:r w:rsidRPr="00BE6CB5">
        <w:rPr>
          <w:rFonts w:ascii="Verdana" w:hAnsi="Verdana"/>
          <w:bCs/>
          <w:iCs/>
          <w:sz w:val="18"/>
          <w:szCs w:val="18"/>
        </w:rPr>
        <w:t xml:space="preserve">Cualquier otro concepto que no integre estrictamente el coste de ejecución material. </w:t>
      </w:r>
    </w:p>
    <w:p w14:paraId="1E151799" w14:textId="77777777" w:rsidR="00AA2793" w:rsidRPr="00BE6CB5" w:rsidRDefault="00AA2793" w:rsidP="00815490">
      <w:pPr>
        <w:ind w:left="720"/>
        <w:jc w:val="both"/>
        <w:rPr>
          <w:rFonts w:ascii="Verdana" w:hAnsi="Verdana"/>
          <w:bCs/>
          <w:iCs/>
          <w:sz w:val="18"/>
          <w:szCs w:val="18"/>
        </w:rPr>
      </w:pPr>
    </w:p>
    <w:p w14:paraId="0235F363" w14:textId="77777777" w:rsidR="00BE6CB5" w:rsidRPr="00BE6CB5" w:rsidRDefault="00BE6CB5" w:rsidP="00BE6CB5">
      <w:pPr>
        <w:ind w:left="284"/>
        <w:jc w:val="both"/>
        <w:rPr>
          <w:rFonts w:ascii="Verdana" w:hAnsi="Verdana"/>
          <w:b/>
          <w:bCs/>
          <w:iCs/>
          <w:sz w:val="18"/>
          <w:szCs w:val="18"/>
        </w:rPr>
      </w:pPr>
      <w:r w:rsidRPr="00BE6CB5">
        <w:rPr>
          <w:rFonts w:ascii="Verdana" w:hAnsi="Verdana"/>
          <w:b/>
          <w:bCs/>
          <w:iCs/>
          <w:sz w:val="18"/>
          <w:szCs w:val="18"/>
        </w:rPr>
        <w:t>Aplicación práctica</w:t>
      </w:r>
    </w:p>
    <w:p w14:paraId="6AC6C2E0" w14:textId="77777777" w:rsidR="00BE6CB5" w:rsidRDefault="00BE6CB5" w:rsidP="00BE6CB5">
      <w:pPr>
        <w:ind w:left="284"/>
        <w:jc w:val="both"/>
        <w:rPr>
          <w:rFonts w:ascii="Verdana" w:hAnsi="Verdana"/>
          <w:bCs/>
          <w:iCs/>
          <w:sz w:val="18"/>
          <w:szCs w:val="18"/>
        </w:rPr>
      </w:pPr>
      <w:r w:rsidRPr="00BE6CB5">
        <w:rPr>
          <w:rFonts w:ascii="Verdana" w:hAnsi="Verdana"/>
          <w:bCs/>
          <w:iCs/>
          <w:sz w:val="18"/>
          <w:szCs w:val="18"/>
        </w:rPr>
        <w:t xml:space="preserve">La sentencia resulta especialmente relevante para </w:t>
      </w:r>
      <w:r w:rsidRPr="00BE6CB5">
        <w:rPr>
          <w:rFonts w:ascii="Verdana" w:hAnsi="Verdana"/>
          <w:b/>
          <w:bCs/>
          <w:iCs/>
          <w:sz w:val="18"/>
          <w:szCs w:val="18"/>
        </w:rPr>
        <w:t>obras antiguas que se documentan mediante escritura pública muchos años después de su construcción</w:t>
      </w:r>
      <w:r w:rsidRPr="00BE6CB5">
        <w:rPr>
          <w:rFonts w:ascii="Verdana" w:hAnsi="Verdana"/>
          <w:bCs/>
          <w:iCs/>
          <w:sz w:val="18"/>
          <w:szCs w:val="18"/>
        </w:rPr>
        <w:t>. La Administración tributaria no puede actualizar el coste histórico de la obra para aproximarlo a su valor monetario en la fecha de la escritura.</w:t>
      </w:r>
    </w:p>
    <w:p w14:paraId="338631F9" w14:textId="77777777" w:rsidR="00815490" w:rsidRPr="00BE6CB5" w:rsidRDefault="00815490" w:rsidP="00BE6CB5">
      <w:pPr>
        <w:ind w:left="284"/>
        <w:jc w:val="both"/>
        <w:rPr>
          <w:rFonts w:ascii="Verdana" w:hAnsi="Verdana"/>
          <w:bCs/>
          <w:iCs/>
          <w:sz w:val="18"/>
          <w:szCs w:val="18"/>
        </w:rPr>
      </w:pPr>
    </w:p>
    <w:p w14:paraId="662F0822" w14:textId="77777777" w:rsidR="00BE6CB5" w:rsidRDefault="00BE6CB5" w:rsidP="00BE6CB5">
      <w:pPr>
        <w:ind w:left="284"/>
        <w:jc w:val="both"/>
        <w:rPr>
          <w:rFonts w:ascii="Verdana" w:hAnsi="Verdana"/>
          <w:bCs/>
          <w:iCs/>
          <w:sz w:val="18"/>
          <w:szCs w:val="18"/>
        </w:rPr>
      </w:pPr>
      <w:r w:rsidRPr="00BE6CB5">
        <w:rPr>
          <w:rFonts w:ascii="Verdana" w:hAnsi="Verdana"/>
          <w:bCs/>
          <w:iCs/>
          <w:sz w:val="18"/>
          <w:szCs w:val="18"/>
        </w:rPr>
        <w:t xml:space="preserve">Por tanto, el transcurso del tiempo entre la finalización de la construcción y su declaración registral </w:t>
      </w:r>
      <w:r w:rsidRPr="00BE6CB5">
        <w:rPr>
          <w:rFonts w:ascii="Verdana" w:hAnsi="Verdana"/>
          <w:b/>
          <w:bCs/>
          <w:iCs/>
          <w:sz w:val="18"/>
          <w:szCs w:val="18"/>
        </w:rPr>
        <w:t>no permite incrementar la base imponible mediante índices de actualización monetaria</w:t>
      </w:r>
      <w:r w:rsidRPr="00BE6CB5">
        <w:rPr>
          <w:rFonts w:ascii="Verdana" w:hAnsi="Verdana"/>
          <w:bCs/>
          <w:iCs/>
          <w:sz w:val="18"/>
          <w:szCs w:val="18"/>
        </w:rPr>
        <w:t xml:space="preserve">. </w:t>
      </w:r>
    </w:p>
    <w:p w14:paraId="1A1A6101" w14:textId="77777777" w:rsidR="00AA2793" w:rsidRPr="00BE6CB5" w:rsidRDefault="00AA2793" w:rsidP="00BE6CB5">
      <w:pPr>
        <w:ind w:left="284"/>
        <w:jc w:val="both"/>
        <w:rPr>
          <w:rFonts w:ascii="Verdana" w:hAnsi="Verdana"/>
          <w:bCs/>
          <w:iCs/>
          <w:sz w:val="18"/>
          <w:szCs w:val="18"/>
        </w:rPr>
      </w:pPr>
    </w:p>
    <w:p w14:paraId="3557DB64" w14:textId="77777777" w:rsidR="00BE6CB5" w:rsidRPr="00BE6CB5" w:rsidRDefault="00BE6CB5" w:rsidP="00BE6CB5">
      <w:pPr>
        <w:ind w:left="284"/>
        <w:jc w:val="both"/>
        <w:rPr>
          <w:rFonts w:ascii="Verdana" w:hAnsi="Verdana"/>
          <w:b/>
          <w:bCs/>
          <w:iCs/>
          <w:sz w:val="18"/>
          <w:szCs w:val="18"/>
        </w:rPr>
      </w:pPr>
      <w:r w:rsidRPr="00BE6CB5">
        <w:rPr>
          <w:rFonts w:ascii="Verdana" w:hAnsi="Verdana"/>
          <w:b/>
          <w:bCs/>
          <w:iCs/>
          <w:sz w:val="18"/>
          <w:szCs w:val="18"/>
        </w:rPr>
        <w:t>Doctrina jurisprudencial</w:t>
      </w:r>
    </w:p>
    <w:p w14:paraId="06885968" w14:textId="75138D2F" w:rsidR="00BE6CB5" w:rsidRDefault="00BE6CB5" w:rsidP="00BE6CB5">
      <w:pPr>
        <w:ind w:left="284"/>
        <w:jc w:val="both"/>
        <w:rPr>
          <w:rFonts w:ascii="Verdana" w:hAnsi="Verdana"/>
          <w:bCs/>
          <w:iCs/>
          <w:sz w:val="18"/>
          <w:szCs w:val="18"/>
        </w:rPr>
      </w:pPr>
      <w:r w:rsidRPr="00BE6CB5">
        <w:rPr>
          <w:rFonts w:ascii="Verdana" w:hAnsi="Verdana"/>
          <w:b/>
          <w:bCs/>
          <w:iCs/>
          <w:sz w:val="18"/>
          <w:szCs w:val="18"/>
        </w:rPr>
        <w:t xml:space="preserve">En las escrituras de declaración de obra nueva sujetas a IAJD, la base imponible está constituida por el valor real del coste de la obra nueva, sin que puedan aplicarse coeficientes de actualización </w:t>
      </w:r>
      <w:r w:rsidR="00AA2793" w:rsidRPr="00BE6CB5">
        <w:rPr>
          <w:rFonts w:ascii="Verdana" w:hAnsi="Verdana"/>
          <w:b/>
          <w:bCs/>
          <w:iCs/>
          <w:sz w:val="18"/>
          <w:szCs w:val="18"/>
        </w:rPr>
        <w:t>monetaria,</w:t>
      </w:r>
      <w:r w:rsidRPr="00BE6CB5">
        <w:rPr>
          <w:rFonts w:ascii="Verdana" w:hAnsi="Verdana"/>
          <w:b/>
          <w:bCs/>
          <w:iCs/>
          <w:sz w:val="18"/>
          <w:szCs w:val="18"/>
        </w:rPr>
        <w:t xml:space="preserve"> aunque el devengo se produzca mucho tiempo después de la construcción.</w:t>
      </w:r>
      <w:r w:rsidRPr="00BE6CB5">
        <w:rPr>
          <w:rFonts w:ascii="Verdana" w:hAnsi="Verdana"/>
          <w:bCs/>
          <w:iCs/>
          <w:sz w:val="18"/>
          <w:szCs w:val="18"/>
        </w:rPr>
        <w:t xml:space="preserve"> </w:t>
      </w:r>
    </w:p>
    <w:p w14:paraId="2F9779D0" w14:textId="77777777" w:rsidR="00AA2793" w:rsidRPr="00BE6CB5" w:rsidRDefault="00AA2793" w:rsidP="00BE6CB5">
      <w:pPr>
        <w:ind w:left="284"/>
        <w:jc w:val="both"/>
        <w:rPr>
          <w:rFonts w:ascii="Verdana" w:hAnsi="Verdana"/>
          <w:bCs/>
          <w:iCs/>
          <w:sz w:val="18"/>
          <w:szCs w:val="18"/>
        </w:rPr>
      </w:pPr>
    </w:p>
    <w:p w14:paraId="37DAA899" w14:textId="0A953551" w:rsidR="00BE6CB5" w:rsidRPr="00BE6CB5" w:rsidRDefault="00BE6CB5" w:rsidP="00BE6CB5">
      <w:pPr>
        <w:ind w:left="284"/>
        <w:jc w:val="both"/>
        <w:rPr>
          <w:rFonts w:ascii="Verdana" w:hAnsi="Verdana"/>
          <w:bCs/>
          <w:iCs/>
          <w:sz w:val="18"/>
          <w:szCs w:val="18"/>
        </w:rPr>
      </w:pPr>
    </w:p>
    <w:p w14:paraId="5A7219D4" w14:textId="77777777" w:rsidR="000A3D80" w:rsidRDefault="000A3D80" w:rsidP="003464F1">
      <w:pPr>
        <w:ind w:left="284"/>
        <w:jc w:val="both"/>
        <w:rPr>
          <w:rFonts w:ascii="Verdana" w:hAnsi="Verdana"/>
          <w:bCs/>
          <w:iCs/>
          <w:sz w:val="18"/>
          <w:szCs w:val="18"/>
        </w:rPr>
      </w:pPr>
    </w:p>
    <w:p w14:paraId="73CAD2F7" w14:textId="3C0F8D1E" w:rsidR="001967CD" w:rsidRPr="00E64874" w:rsidRDefault="001967CD" w:rsidP="003464F1">
      <w:pPr>
        <w:ind w:left="284"/>
        <w:jc w:val="both"/>
        <w:rPr>
          <w:rFonts w:ascii="Verdana" w:hAnsi="Verdana"/>
          <w:bCs/>
          <w:iCs/>
          <w:sz w:val="18"/>
          <w:szCs w:val="18"/>
        </w:rPr>
      </w:pPr>
      <w:r w:rsidRPr="00E64874">
        <w:rPr>
          <w:rFonts w:ascii="Verdana" w:hAnsi="Verdana"/>
          <w:bCs/>
          <w:iCs/>
          <w:sz w:val="18"/>
          <w:szCs w:val="18"/>
        </w:rPr>
        <w:br w:type="page"/>
      </w:r>
    </w:p>
    <w:p w14:paraId="28D3B3CF" w14:textId="1C6B6819" w:rsidR="00341BFE" w:rsidRPr="007D6D76" w:rsidRDefault="00341BFE" w:rsidP="004F2C2C">
      <w:pPr>
        <w:tabs>
          <w:tab w:val="left" w:pos="0"/>
        </w:tabs>
        <w:ind w:right="-1"/>
        <w:jc w:val="both"/>
        <w:rPr>
          <w:rFonts w:ascii="Verdana" w:eastAsia="Calibri" w:hAnsi="Verdana"/>
          <w:w w:val="95"/>
          <w:sz w:val="21"/>
          <w:szCs w:val="21"/>
          <w:lang w:eastAsia="en-US"/>
        </w:rPr>
      </w:pPr>
      <w:r w:rsidRPr="007D6D76">
        <w:rPr>
          <w:rFonts w:ascii="Verdana" w:hAnsi="Verdana"/>
          <w:b/>
          <w:bCs/>
          <w:color w:val="800000"/>
          <w:w w:val="95"/>
          <w:sz w:val="21"/>
          <w:szCs w:val="21"/>
        </w:rPr>
        <w:lastRenderedPageBreak/>
        <w:t xml:space="preserve">DISPOSICIONES PUBLICADAS DURANTE </w:t>
      </w:r>
      <w:r w:rsidR="002020F1">
        <w:rPr>
          <w:rFonts w:ascii="Verdana" w:hAnsi="Verdana"/>
          <w:b/>
          <w:bCs/>
          <w:color w:val="800000"/>
          <w:w w:val="95"/>
          <w:sz w:val="21"/>
          <w:szCs w:val="21"/>
        </w:rPr>
        <w:t>EL MES DE SEPTIEMBRE DE 202</w:t>
      </w:r>
      <w:r w:rsidR="00782CA3">
        <w:rPr>
          <w:rFonts w:ascii="Verdana" w:hAnsi="Verdana"/>
          <w:b/>
          <w:bCs/>
          <w:color w:val="800000"/>
          <w:w w:val="95"/>
          <w:sz w:val="21"/>
          <w:szCs w:val="21"/>
        </w:rPr>
        <w:t>6</w:t>
      </w:r>
      <w:r w:rsidR="00597995">
        <w:rPr>
          <w:rFonts w:ascii="Verdana" w:hAnsi="Verdana"/>
          <w:b/>
          <w:bCs/>
          <w:color w:val="800000"/>
          <w:w w:val="95"/>
          <w:sz w:val="21"/>
          <w:szCs w:val="21"/>
        </w:rPr>
        <w:t xml:space="preserve"> </w:t>
      </w:r>
    </w:p>
    <w:p w14:paraId="5CA5D567" w14:textId="77777777" w:rsidR="00743066" w:rsidRDefault="00743066" w:rsidP="00A14F37">
      <w:pPr>
        <w:tabs>
          <w:tab w:val="left" w:pos="0"/>
        </w:tabs>
        <w:jc w:val="both"/>
        <w:rPr>
          <w:rFonts w:ascii="Verdana" w:hAnsi="Verdana"/>
          <w:b/>
          <w:bCs/>
          <w:color w:val="800000"/>
          <w:spacing w:val="-20"/>
          <w:sz w:val="22"/>
          <w:szCs w:val="22"/>
        </w:rPr>
      </w:pPr>
    </w:p>
    <w:p w14:paraId="66262802" w14:textId="60D9BB14" w:rsidR="00A141D5" w:rsidRPr="00AD4078" w:rsidRDefault="00A141D5" w:rsidP="00B3500D">
      <w:pPr>
        <w:tabs>
          <w:tab w:val="left" w:pos="0"/>
        </w:tabs>
        <w:jc w:val="both"/>
        <w:rPr>
          <w:rFonts w:ascii="Verdana" w:hAnsi="Verdana"/>
          <w:bCs/>
          <w:i/>
          <w:sz w:val="18"/>
          <w:szCs w:val="18"/>
        </w:rPr>
      </w:pPr>
      <w:bookmarkStart w:id="7" w:name="_Hlk82280079"/>
    </w:p>
    <w:bookmarkEnd w:id="7"/>
    <w:p w14:paraId="46717213" w14:textId="77777777" w:rsidR="003E3BD7" w:rsidRPr="003E3BD7" w:rsidRDefault="003E3BD7" w:rsidP="003E3BD7">
      <w:pPr>
        <w:tabs>
          <w:tab w:val="left" w:pos="0"/>
        </w:tabs>
        <w:jc w:val="both"/>
        <w:rPr>
          <w:rFonts w:ascii="Verdana" w:hAnsi="Verdana"/>
          <w:b/>
          <w:bCs/>
          <w:color w:val="800000"/>
          <w:w w:val="95"/>
          <w:sz w:val="21"/>
          <w:szCs w:val="21"/>
        </w:rPr>
      </w:pPr>
      <w:r w:rsidRPr="003E3BD7">
        <w:rPr>
          <w:rFonts w:ascii="Verdana" w:hAnsi="Verdana"/>
          <w:b/>
          <w:bCs/>
          <w:color w:val="800000"/>
          <w:w w:val="95"/>
          <w:sz w:val="21"/>
          <w:szCs w:val="21"/>
        </w:rPr>
        <w:t>Medidas urgentes</w:t>
      </w:r>
    </w:p>
    <w:p w14:paraId="1EFAE619" w14:textId="09321900" w:rsidR="00AA5746" w:rsidRPr="003E3BD7" w:rsidRDefault="003E3BD7" w:rsidP="003E3BD7">
      <w:pPr>
        <w:tabs>
          <w:tab w:val="left" w:pos="0"/>
        </w:tabs>
        <w:jc w:val="both"/>
        <w:rPr>
          <w:rFonts w:ascii="Verdana" w:hAnsi="Verdana"/>
          <w:iCs/>
          <w:sz w:val="18"/>
          <w:szCs w:val="18"/>
        </w:rPr>
      </w:pPr>
      <w:r w:rsidRPr="003E3BD7">
        <w:rPr>
          <w:rFonts w:ascii="Verdana" w:hAnsi="Verdana"/>
          <w:w w:val="95"/>
          <w:sz w:val="18"/>
          <w:szCs w:val="18"/>
        </w:rPr>
        <w:t>Real Decreto-ley 23/2026, de 8 de septiembre, por el que se adoptan medidas fiscales y financieras urgentes que contribuyan a la reconstrucción económica y social de la isla de La Palma, así como medidas tendentes a promover la ejecución de inversiones por parte de las comunidades autónomas que han registrado superávits presupuestarios y excesos de financiación pendientes de aplicar de ejercicios anteriores a 2026.</w:t>
      </w:r>
    </w:p>
    <w:p w14:paraId="30698369" w14:textId="4BA590F8" w:rsidR="00AA5746" w:rsidRDefault="003E3BD7" w:rsidP="00B3500D">
      <w:pPr>
        <w:tabs>
          <w:tab w:val="left" w:pos="0"/>
        </w:tabs>
        <w:jc w:val="both"/>
        <w:rPr>
          <w:rFonts w:ascii="Verdana" w:hAnsi="Verdana"/>
          <w:bCs/>
          <w:i/>
          <w:sz w:val="18"/>
          <w:szCs w:val="18"/>
        </w:rPr>
      </w:pPr>
      <w:r w:rsidRPr="003E3BD7">
        <w:rPr>
          <w:rFonts w:ascii="Verdana" w:hAnsi="Verdana"/>
          <w:bCs/>
          <w:i/>
          <w:sz w:val="18"/>
          <w:szCs w:val="18"/>
        </w:rPr>
        <w:t>Jefatura del Estado. B.O.E.</w:t>
      </w:r>
      <w:r>
        <w:rPr>
          <w:rFonts w:ascii="Verdana" w:hAnsi="Verdana"/>
          <w:bCs/>
          <w:i/>
          <w:sz w:val="18"/>
          <w:szCs w:val="18"/>
        </w:rPr>
        <w:t xml:space="preserve"> </w:t>
      </w:r>
      <w:r w:rsidRPr="003E3BD7">
        <w:rPr>
          <w:rFonts w:ascii="Verdana" w:hAnsi="Verdana"/>
          <w:bCs/>
          <w:i/>
          <w:sz w:val="18"/>
          <w:szCs w:val="18"/>
        </w:rPr>
        <w:t>núm. 223 de 9 de septiembre de 2026.</w:t>
      </w:r>
    </w:p>
    <w:p w14:paraId="6BADD3C8" w14:textId="77777777" w:rsidR="00AF6673" w:rsidRDefault="00AF6673" w:rsidP="00B3500D">
      <w:pPr>
        <w:tabs>
          <w:tab w:val="left" w:pos="0"/>
        </w:tabs>
        <w:jc w:val="both"/>
        <w:rPr>
          <w:rFonts w:ascii="Verdana" w:hAnsi="Verdana"/>
          <w:bCs/>
          <w:i/>
          <w:sz w:val="18"/>
          <w:szCs w:val="18"/>
        </w:rPr>
      </w:pPr>
    </w:p>
    <w:p w14:paraId="27F6E0E9" w14:textId="3EF6735E" w:rsidR="00AF6673" w:rsidRPr="00AF6673" w:rsidRDefault="00AF6673" w:rsidP="00AF6673">
      <w:pPr>
        <w:tabs>
          <w:tab w:val="left" w:pos="0"/>
        </w:tabs>
        <w:jc w:val="both"/>
        <w:rPr>
          <w:rFonts w:ascii="Verdana" w:hAnsi="Verdana"/>
          <w:b/>
          <w:bCs/>
          <w:color w:val="800000"/>
          <w:w w:val="95"/>
          <w:sz w:val="21"/>
          <w:szCs w:val="21"/>
        </w:rPr>
      </w:pPr>
      <w:r w:rsidRPr="00AF6673">
        <w:rPr>
          <w:rFonts w:ascii="Verdana" w:hAnsi="Verdana"/>
          <w:b/>
          <w:bCs/>
          <w:color w:val="800000"/>
          <w:w w:val="95"/>
          <w:sz w:val="21"/>
          <w:szCs w:val="21"/>
        </w:rPr>
        <w:t>Impuestos</w:t>
      </w:r>
      <w:r>
        <w:rPr>
          <w:rFonts w:ascii="Verdana" w:hAnsi="Verdana"/>
          <w:b/>
          <w:bCs/>
          <w:color w:val="800000"/>
          <w:w w:val="95"/>
          <w:sz w:val="21"/>
          <w:szCs w:val="21"/>
        </w:rPr>
        <w:t xml:space="preserve">. </w:t>
      </w:r>
      <w:r w:rsidRPr="00AF6673">
        <w:rPr>
          <w:rFonts w:ascii="Verdana" w:hAnsi="Verdana"/>
          <w:b/>
          <w:bCs/>
          <w:iCs/>
          <w:color w:val="800000"/>
          <w:w w:val="95"/>
          <w:sz w:val="21"/>
          <w:szCs w:val="21"/>
        </w:rPr>
        <w:t>Impuesto Especial sobre el Carbón</w:t>
      </w:r>
    </w:p>
    <w:p w14:paraId="2494326F" w14:textId="451F107A" w:rsidR="00AF6673" w:rsidRPr="00AF6673" w:rsidRDefault="00AF6673" w:rsidP="00AF6673">
      <w:pPr>
        <w:tabs>
          <w:tab w:val="left" w:pos="0"/>
        </w:tabs>
        <w:jc w:val="both"/>
        <w:rPr>
          <w:rFonts w:ascii="Verdana" w:hAnsi="Verdana"/>
          <w:bCs/>
          <w:iCs/>
          <w:sz w:val="18"/>
          <w:szCs w:val="18"/>
        </w:rPr>
      </w:pPr>
      <w:r w:rsidRPr="00AF6673">
        <w:rPr>
          <w:rFonts w:ascii="Verdana" w:hAnsi="Verdana"/>
          <w:bCs/>
          <w:iCs/>
          <w:sz w:val="18"/>
          <w:szCs w:val="18"/>
        </w:rPr>
        <w:t xml:space="preserve">Orden HAC/988/2026, de 16 de septiembre, por la que se modifica la Orden EHA/3947/2006, de 21 de diciembre, por la que se aprueban los modelos, plazos, requisitos y condiciones para la presentación e ingreso de la declaración-liquidación y de la declaración resumen anual de operaciones del </w:t>
      </w:r>
      <w:bookmarkStart w:id="8" w:name="_Hlk241427799"/>
      <w:r w:rsidRPr="00AF6673">
        <w:rPr>
          <w:rFonts w:ascii="Verdana" w:hAnsi="Verdana"/>
          <w:bCs/>
          <w:iCs/>
          <w:sz w:val="18"/>
          <w:szCs w:val="18"/>
        </w:rPr>
        <w:t xml:space="preserve">Impuesto Especial sobre el Carbón </w:t>
      </w:r>
      <w:bookmarkEnd w:id="8"/>
      <w:r w:rsidRPr="00AF6673">
        <w:rPr>
          <w:rFonts w:ascii="Verdana" w:hAnsi="Verdana"/>
          <w:bCs/>
          <w:iCs/>
          <w:sz w:val="18"/>
          <w:szCs w:val="18"/>
        </w:rPr>
        <w:t>y se modifica la Orden de 15 de junio de 1995, en relación con las entidades de depósito que prestan el servicio de colaboración en la gestión recaudatoria.</w:t>
      </w:r>
    </w:p>
    <w:p w14:paraId="5E5DC13B" w14:textId="0E3D1319" w:rsidR="00233CC7" w:rsidRPr="00AD4078" w:rsidRDefault="00AF6673" w:rsidP="002115B0">
      <w:pPr>
        <w:tabs>
          <w:tab w:val="left" w:pos="0"/>
        </w:tabs>
        <w:jc w:val="both"/>
        <w:rPr>
          <w:rFonts w:ascii="Verdana" w:hAnsi="Verdana"/>
          <w:bCs/>
          <w:i/>
          <w:sz w:val="18"/>
          <w:szCs w:val="18"/>
        </w:rPr>
      </w:pPr>
      <w:r>
        <w:rPr>
          <w:rFonts w:ascii="Verdana" w:hAnsi="Verdana"/>
          <w:bCs/>
          <w:i/>
          <w:sz w:val="18"/>
          <w:szCs w:val="18"/>
        </w:rPr>
        <w:t xml:space="preserve">Ministerio de Hacienda. B.O.E. núm. 236 de 24 de </w:t>
      </w:r>
      <w:r w:rsidR="00815490">
        <w:rPr>
          <w:rFonts w:ascii="Verdana" w:hAnsi="Verdana"/>
          <w:bCs/>
          <w:i/>
          <w:sz w:val="18"/>
          <w:szCs w:val="18"/>
        </w:rPr>
        <w:t>septiembre</w:t>
      </w:r>
      <w:r>
        <w:rPr>
          <w:rFonts w:ascii="Verdana" w:hAnsi="Verdana"/>
          <w:bCs/>
          <w:i/>
          <w:sz w:val="18"/>
          <w:szCs w:val="18"/>
        </w:rPr>
        <w:t xml:space="preserve"> de 2026.</w:t>
      </w:r>
    </w:p>
    <w:p w14:paraId="7DFFB8F5" w14:textId="77777777" w:rsidR="00233CC7" w:rsidRPr="002115B0" w:rsidRDefault="00233CC7" w:rsidP="002115B0">
      <w:pPr>
        <w:tabs>
          <w:tab w:val="left" w:pos="0"/>
        </w:tabs>
        <w:jc w:val="both"/>
        <w:rPr>
          <w:rFonts w:ascii="Verdana" w:hAnsi="Verdana"/>
          <w:bCs/>
          <w:iCs/>
          <w:sz w:val="18"/>
          <w:szCs w:val="18"/>
        </w:rPr>
      </w:pPr>
    </w:p>
    <w:p w14:paraId="2D46751E" w14:textId="649DC526" w:rsidR="007605E7" w:rsidRDefault="00341BFE" w:rsidP="00B87954">
      <w:pPr>
        <w:ind w:right="-1"/>
        <w:jc w:val="both"/>
        <w:rPr>
          <w:rFonts w:ascii="Verdana" w:hAnsi="Verdana"/>
          <w:b/>
          <w:bCs/>
          <w:color w:val="800000"/>
          <w:sz w:val="22"/>
          <w:szCs w:val="22"/>
        </w:rPr>
      </w:pPr>
      <w:r w:rsidRPr="003C1857">
        <w:rPr>
          <w:rFonts w:ascii="Verdana" w:hAnsi="Verdana"/>
          <w:sz w:val="18"/>
          <w:szCs w:val="18"/>
        </w:rPr>
        <w:br w:type="page"/>
      </w:r>
      <w:r w:rsidR="007605E7" w:rsidRPr="0089506B">
        <w:rPr>
          <w:rFonts w:ascii="Verdana" w:hAnsi="Verdana"/>
          <w:b/>
          <w:bCs/>
          <w:color w:val="800000"/>
          <w:sz w:val="22"/>
          <w:szCs w:val="22"/>
        </w:rPr>
        <w:lastRenderedPageBreak/>
        <w:t xml:space="preserve">CALENDARIO FISCAL PARA EL MES DE OCTUBRE DE </w:t>
      </w:r>
      <w:r w:rsidR="005A7468">
        <w:rPr>
          <w:rFonts w:ascii="Verdana" w:hAnsi="Verdana"/>
          <w:b/>
          <w:bCs/>
          <w:color w:val="800000"/>
          <w:sz w:val="22"/>
          <w:szCs w:val="22"/>
        </w:rPr>
        <w:t>202</w:t>
      </w:r>
      <w:r w:rsidR="00782CA3">
        <w:rPr>
          <w:rFonts w:ascii="Verdana" w:hAnsi="Verdana"/>
          <w:b/>
          <w:bCs/>
          <w:color w:val="800000"/>
          <w:sz w:val="22"/>
          <w:szCs w:val="22"/>
        </w:rPr>
        <w:t>6</w:t>
      </w:r>
    </w:p>
    <w:p w14:paraId="480827CF" w14:textId="77777777" w:rsidR="00DF54F3" w:rsidRDefault="00DF54F3" w:rsidP="00DF54F3">
      <w:pPr>
        <w:ind w:right="-1"/>
        <w:jc w:val="both"/>
        <w:rPr>
          <w:rFonts w:ascii="Verdana" w:hAnsi="Verdana"/>
          <w:sz w:val="16"/>
          <w:szCs w:val="16"/>
        </w:rPr>
      </w:pPr>
    </w:p>
    <w:p w14:paraId="1B9D9395" w14:textId="292A54BB" w:rsidR="00DF54F3" w:rsidRPr="00DF54F3" w:rsidRDefault="00DF54F3" w:rsidP="00DF54F3">
      <w:pPr>
        <w:ind w:right="-1"/>
        <w:jc w:val="both"/>
        <w:rPr>
          <w:rFonts w:ascii="Verdana" w:hAnsi="Verdana"/>
          <w:b/>
          <w:bCs/>
          <w:sz w:val="16"/>
          <w:szCs w:val="16"/>
        </w:rPr>
      </w:pPr>
      <w:r w:rsidRPr="00DF54F3">
        <w:rPr>
          <w:rFonts w:ascii="Verdana" w:hAnsi="Verdana"/>
          <w:b/>
          <w:bCs/>
          <w:sz w:val="16"/>
          <w:szCs w:val="16"/>
        </w:rPr>
        <w:t>HASTA EL 13 DE OCTUBRE</w:t>
      </w:r>
    </w:p>
    <w:p w14:paraId="07338CA8" w14:textId="77777777" w:rsidR="00DF54F3" w:rsidRPr="00DF54F3" w:rsidRDefault="00DF54F3" w:rsidP="00DF54F3">
      <w:pPr>
        <w:ind w:right="-1"/>
        <w:jc w:val="both"/>
        <w:rPr>
          <w:rFonts w:ascii="Verdana" w:hAnsi="Verdana"/>
          <w:sz w:val="16"/>
          <w:szCs w:val="16"/>
        </w:rPr>
      </w:pPr>
      <w:r w:rsidRPr="00DF54F3">
        <w:rPr>
          <w:rFonts w:ascii="Verdana" w:hAnsi="Verdana"/>
          <w:sz w:val="16"/>
          <w:szCs w:val="16"/>
        </w:rPr>
        <w:t>INTRASTAT - Estadística Comercio Intracomunitario</w:t>
      </w:r>
    </w:p>
    <w:p w14:paraId="5FA7AE1F" w14:textId="4A6581D7" w:rsidR="00DF54F3" w:rsidRDefault="00DF54F3" w:rsidP="00365B0E">
      <w:pPr>
        <w:numPr>
          <w:ilvl w:val="0"/>
          <w:numId w:val="10"/>
        </w:numPr>
        <w:ind w:right="-1"/>
        <w:jc w:val="both"/>
        <w:rPr>
          <w:rFonts w:ascii="Verdana" w:hAnsi="Verdana"/>
          <w:sz w:val="16"/>
          <w:szCs w:val="16"/>
        </w:rPr>
      </w:pPr>
      <w:r w:rsidRPr="00DF54F3">
        <w:rPr>
          <w:rFonts w:ascii="Verdana" w:hAnsi="Verdana"/>
          <w:sz w:val="16"/>
          <w:szCs w:val="16"/>
        </w:rPr>
        <w:t>Septiembre 2026. Obligados a suministrar información estadística</w:t>
      </w:r>
      <w:r>
        <w:rPr>
          <w:rFonts w:ascii="Verdana" w:hAnsi="Verdana"/>
          <w:sz w:val="16"/>
          <w:szCs w:val="16"/>
        </w:rPr>
        <w:t>.</w:t>
      </w:r>
    </w:p>
    <w:p w14:paraId="45456C2F" w14:textId="77777777" w:rsidR="00DF54F3" w:rsidRDefault="00DF54F3" w:rsidP="00DF54F3">
      <w:pPr>
        <w:ind w:right="-1"/>
        <w:jc w:val="both"/>
        <w:rPr>
          <w:rFonts w:ascii="Verdana" w:hAnsi="Verdana"/>
          <w:sz w:val="16"/>
          <w:szCs w:val="16"/>
        </w:rPr>
      </w:pPr>
    </w:p>
    <w:p w14:paraId="136FAF21" w14:textId="4174F41C" w:rsidR="00DF54F3" w:rsidRPr="00DF54F3" w:rsidRDefault="00DF54F3" w:rsidP="00DF54F3">
      <w:pPr>
        <w:ind w:right="-1"/>
        <w:jc w:val="both"/>
        <w:rPr>
          <w:rFonts w:ascii="Verdana" w:hAnsi="Verdana"/>
          <w:b/>
          <w:bCs/>
          <w:sz w:val="16"/>
          <w:szCs w:val="16"/>
        </w:rPr>
      </w:pPr>
      <w:r w:rsidRPr="00DF54F3">
        <w:rPr>
          <w:rFonts w:ascii="Verdana" w:hAnsi="Verdana"/>
          <w:b/>
          <w:bCs/>
          <w:sz w:val="16"/>
          <w:szCs w:val="16"/>
        </w:rPr>
        <w:t>HASTA EL 20 DE OCTUBRE</w:t>
      </w:r>
    </w:p>
    <w:p w14:paraId="3E9E31DF"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Renta y Sociedades</w:t>
      </w:r>
    </w:p>
    <w:p w14:paraId="55EC0A48" w14:textId="77777777" w:rsidR="00DF54F3" w:rsidRPr="00DF54F3" w:rsidRDefault="00DF54F3" w:rsidP="00DF54F3">
      <w:pPr>
        <w:ind w:right="-1"/>
        <w:jc w:val="both"/>
        <w:rPr>
          <w:rFonts w:ascii="Verdana" w:hAnsi="Verdana"/>
          <w:sz w:val="16"/>
          <w:szCs w:val="16"/>
        </w:rPr>
      </w:pPr>
      <w:r w:rsidRPr="00DF54F3">
        <w:rPr>
          <w:rFonts w:ascii="Verdana" w:hAnsi="Verdana"/>
          <w:sz w:val="16"/>
          <w:szCs w:val="16"/>
        </w:rPr>
        <w:t>Retenciones e ingresos a cuenta de rendimientos del trabajo, actividades económicas, premios y determinadas ganancias patrimoniales e imputaciones de renta, ganancias derivadas de acciones y participaciones de las Instituciones de Inversión Colectiva, rentas de arrendamiento de inmuebles urbanos, capital mobiliario, personas autorizadas y saldos en cuentas y, de rentas de no residentes obtenidas sin establecimiento permanente.</w:t>
      </w:r>
    </w:p>
    <w:p w14:paraId="5B5356ED" w14:textId="77777777" w:rsidR="00DF54F3" w:rsidRPr="00DF54F3" w:rsidRDefault="00DF54F3" w:rsidP="00365B0E">
      <w:pPr>
        <w:numPr>
          <w:ilvl w:val="0"/>
          <w:numId w:val="11"/>
        </w:numPr>
        <w:ind w:right="-1"/>
        <w:jc w:val="both"/>
        <w:rPr>
          <w:rFonts w:ascii="Verdana" w:hAnsi="Verdana"/>
          <w:sz w:val="16"/>
          <w:szCs w:val="16"/>
        </w:rPr>
      </w:pPr>
      <w:r w:rsidRPr="00DF54F3">
        <w:rPr>
          <w:rFonts w:ascii="Verdana" w:hAnsi="Verdana"/>
          <w:sz w:val="16"/>
          <w:szCs w:val="16"/>
        </w:rPr>
        <w:t>Septiembre 2026. Grandes empresas: 111, 115, 117, 123, 124, 126, 128, 216, 230</w:t>
      </w:r>
    </w:p>
    <w:p w14:paraId="273ABC15" w14:textId="77777777" w:rsidR="00DF54F3" w:rsidRPr="00DF54F3" w:rsidRDefault="00DF54F3" w:rsidP="00365B0E">
      <w:pPr>
        <w:numPr>
          <w:ilvl w:val="0"/>
          <w:numId w:val="11"/>
        </w:numPr>
        <w:ind w:right="-1"/>
        <w:jc w:val="both"/>
        <w:rPr>
          <w:rFonts w:ascii="Verdana" w:hAnsi="Verdana"/>
          <w:sz w:val="16"/>
          <w:szCs w:val="16"/>
        </w:rPr>
      </w:pPr>
      <w:r w:rsidRPr="00DF54F3">
        <w:rPr>
          <w:rFonts w:ascii="Verdana" w:hAnsi="Verdana"/>
          <w:sz w:val="16"/>
          <w:szCs w:val="16"/>
        </w:rPr>
        <w:t>Tercer trimestre 2026: 111, 115, 117, 123, 124, 126, 128, 136, 210, 216</w:t>
      </w:r>
    </w:p>
    <w:p w14:paraId="134E4062"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Pagos fraccionados Renta</w:t>
      </w:r>
    </w:p>
    <w:p w14:paraId="3C089F68" w14:textId="77777777" w:rsidR="00DF54F3" w:rsidRPr="00DF54F3" w:rsidRDefault="00DF54F3" w:rsidP="00365B0E">
      <w:pPr>
        <w:numPr>
          <w:ilvl w:val="0"/>
          <w:numId w:val="12"/>
        </w:numPr>
        <w:ind w:right="-1"/>
        <w:jc w:val="both"/>
        <w:rPr>
          <w:rFonts w:ascii="Verdana" w:hAnsi="Verdana"/>
          <w:sz w:val="16"/>
          <w:szCs w:val="16"/>
        </w:rPr>
      </w:pPr>
      <w:r w:rsidRPr="00DF54F3">
        <w:rPr>
          <w:rFonts w:ascii="Verdana" w:hAnsi="Verdana"/>
          <w:sz w:val="16"/>
          <w:szCs w:val="16"/>
        </w:rPr>
        <w:t>Tercer trimestre 2026:</w:t>
      </w:r>
    </w:p>
    <w:p w14:paraId="31D82E47" w14:textId="77777777" w:rsidR="00DF54F3" w:rsidRPr="00DF54F3" w:rsidRDefault="00DF54F3" w:rsidP="00365B0E">
      <w:pPr>
        <w:numPr>
          <w:ilvl w:val="1"/>
          <w:numId w:val="12"/>
        </w:numPr>
        <w:ind w:right="-1"/>
        <w:jc w:val="both"/>
        <w:rPr>
          <w:rFonts w:ascii="Verdana" w:hAnsi="Verdana"/>
          <w:sz w:val="16"/>
          <w:szCs w:val="16"/>
        </w:rPr>
      </w:pPr>
      <w:r w:rsidRPr="00DF54F3">
        <w:rPr>
          <w:rFonts w:ascii="Verdana" w:hAnsi="Verdana"/>
          <w:sz w:val="16"/>
          <w:szCs w:val="16"/>
        </w:rPr>
        <w:t>Estimación directa: 130</w:t>
      </w:r>
    </w:p>
    <w:p w14:paraId="4D7416EF" w14:textId="77777777" w:rsidR="00DF54F3" w:rsidRPr="00DF54F3" w:rsidRDefault="00DF54F3" w:rsidP="00365B0E">
      <w:pPr>
        <w:numPr>
          <w:ilvl w:val="1"/>
          <w:numId w:val="12"/>
        </w:numPr>
        <w:ind w:right="-1"/>
        <w:jc w:val="both"/>
        <w:rPr>
          <w:rFonts w:ascii="Verdana" w:hAnsi="Verdana"/>
          <w:sz w:val="16"/>
          <w:szCs w:val="16"/>
        </w:rPr>
      </w:pPr>
      <w:r w:rsidRPr="00DF54F3">
        <w:rPr>
          <w:rFonts w:ascii="Verdana" w:hAnsi="Verdana"/>
          <w:sz w:val="16"/>
          <w:szCs w:val="16"/>
        </w:rPr>
        <w:t>Estimación objetiva: 131</w:t>
      </w:r>
    </w:p>
    <w:p w14:paraId="79A0B10D"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Pagos fraccionados Sociedades y Establecimientos Permanentes de no Residentes</w:t>
      </w:r>
    </w:p>
    <w:p w14:paraId="24B544F2" w14:textId="77777777" w:rsidR="00DF54F3" w:rsidRPr="00DF54F3" w:rsidRDefault="00DF54F3" w:rsidP="00365B0E">
      <w:pPr>
        <w:numPr>
          <w:ilvl w:val="0"/>
          <w:numId w:val="13"/>
        </w:numPr>
        <w:ind w:right="-1"/>
        <w:jc w:val="both"/>
        <w:rPr>
          <w:rFonts w:ascii="Verdana" w:hAnsi="Verdana"/>
          <w:sz w:val="16"/>
          <w:szCs w:val="16"/>
        </w:rPr>
      </w:pPr>
      <w:r w:rsidRPr="00DF54F3">
        <w:rPr>
          <w:rFonts w:ascii="Verdana" w:hAnsi="Verdana"/>
          <w:sz w:val="16"/>
          <w:szCs w:val="16"/>
        </w:rPr>
        <w:t>Ejercicio en curso:</w:t>
      </w:r>
    </w:p>
    <w:p w14:paraId="5922D041" w14:textId="77777777" w:rsidR="00DF54F3" w:rsidRPr="00DF54F3" w:rsidRDefault="00DF54F3" w:rsidP="00365B0E">
      <w:pPr>
        <w:numPr>
          <w:ilvl w:val="1"/>
          <w:numId w:val="13"/>
        </w:numPr>
        <w:ind w:right="-1"/>
        <w:jc w:val="both"/>
        <w:rPr>
          <w:rFonts w:ascii="Verdana" w:hAnsi="Verdana"/>
          <w:sz w:val="16"/>
          <w:szCs w:val="16"/>
        </w:rPr>
      </w:pPr>
      <w:r w:rsidRPr="00DF54F3">
        <w:rPr>
          <w:rFonts w:ascii="Verdana" w:hAnsi="Verdana"/>
          <w:sz w:val="16"/>
          <w:szCs w:val="16"/>
        </w:rPr>
        <w:t>Régimen general: 202</w:t>
      </w:r>
    </w:p>
    <w:p w14:paraId="279C2D60" w14:textId="77777777" w:rsidR="00DF54F3" w:rsidRPr="00DF54F3" w:rsidRDefault="00DF54F3" w:rsidP="00365B0E">
      <w:pPr>
        <w:numPr>
          <w:ilvl w:val="1"/>
          <w:numId w:val="13"/>
        </w:numPr>
        <w:ind w:right="-1"/>
        <w:jc w:val="both"/>
        <w:rPr>
          <w:rFonts w:ascii="Verdana" w:hAnsi="Verdana"/>
          <w:sz w:val="16"/>
          <w:szCs w:val="16"/>
        </w:rPr>
      </w:pPr>
      <w:r w:rsidRPr="00DF54F3">
        <w:rPr>
          <w:rFonts w:ascii="Verdana" w:hAnsi="Verdana"/>
          <w:sz w:val="16"/>
          <w:szCs w:val="16"/>
        </w:rPr>
        <w:t>Régimen de consolidación fiscal (grupos fiscales): 222</w:t>
      </w:r>
    </w:p>
    <w:p w14:paraId="2D857499"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IVA</w:t>
      </w:r>
    </w:p>
    <w:p w14:paraId="73D6D850" w14:textId="77777777" w:rsidR="00DF54F3" w:rsidRPr="00DF54F3" w:rsidRDefault="00DF54F3" w:rsidP="00365B0E">
      <w:pPr>
        <w:numPr>
          <w:ilvl w:val="0"/>
          <w:numId w:val="14"/>
        </w:numPr>
        <w:ind w:right="-1"/>
        <w:jc w:val="both"/>
        <w:rPr>
          <w:rFonts w:ascii="Verdana" w:hAnsi="Verdana"/>
          <w:sz w:val="16"/>
          <w:szCs w:val="16"/>
        </w:rPr>
      </w:pPr>
      <w:r w:rsidRPr="00DF54F3">
        <w:rPr>
          <w:rFonts w:ascii="Verdana" w:hAnsi="Verdana"/>
          <w:sz w:val="16"/>
          <w:szCs w:val="16"/>
        </w:rPr>
        <w:t>Septiembre 2026. Declaración recapitulativa de operaciones intracomunitarias: 349</w:t>
      </w:r>
    </w:p>
    <w:p w14:paraId="143560E3" w14:textId="77777777" w:rsidR="00DF54F3" w:rsidRPr="00DF54F3" w:rsidRDefault="00DF54F3" w:rsidP="00365B0E">
      <w:pPr>
        <w:numPr>
          <w:ilvl w:val="0"/>
          <w:numId w:val="14"/>
        </w:numPr>
        <w:ind w:right="-1"/>
        <w:jc w:val="both"/>
        <w:rPr>
          <w:rFonts w:ascii="Verdana" w:hAnsi="Verdana"/>
          <w:sz w:val="16"/>
          <w:szCs w:val="16"/>
        </w:rPr>
      </w:pPr>
      <w:r w:rsidRPr="00DF54F3">
        <w:rPr>
          <w:rFonts w:ascii="Verdana" w:hAnsi="Verdana"/>
          <w:sz w:val="16"/>
          <w:szCs w:val="16"/>
        </w:rPr>
        <w:t>Tercer trimestre 2026. Autoliquidación: 303</w:t>
      </w:r>
    </w:p>
    <w:p w14:paraId="5ED2A6A0" w14:textId="77777777" w:rsidR="00DF54F3" w:rsidRPr="00DF54F3" w:rsidRDefault="00DF54F3" w:rsidP="00365B0E">
      <w:pPr>
        <w:numPr>
          <w:ilvl w:val="0"/>
          <w:numId w:val="14"/>
        </w:numPr>
        <w:ind w:right="-1"/>
        <w:jc w:val="both"/>
        <w:rPr>
          <w:rFonts w:ascii="Verdana" w:hAnsi="Verdana"/>
          <w:sz w:val="16"/>
          <w:szCs w:val="16"/>
        </w:rPr>
      </w:pPr>
      <w:r w:rsidRPr="00DF54F3">
        <w:rPr>
          <w:rFonts w:ascii="Verdana" w:hAnsi="Verdana"/>
          <w:sz w:val="16"/>
          <w:szCs w:val="16"/>
        </w:rPr>
        <w:t>Tercer trimestre 2026. Declaración-liquidación no periódica: 309</w:t>
      </w:r>
    </w:p>
    <w:p w14:paraId="524F30E0" w14:textId="77777777" w:rsidR="00DF54F3" w:rsidRPr="00DF54F3" w:rsidRDefault="00DF54F3" w:rsidP="00365B0E">
      <w:pPr>
        <w:numPr>
          <w:ilvl w:val="0"/>
          <w:numId w:val="14"/>
        </w:numPr>
        <w:ind w:right="-1"/>
        <w:jc w:val="both"/>
        <w:rPr>
          <w:rFonts w:ascii="Verdana" w:hAnsi="Verdana"/>
          <w:sz w:val="16"/>
          <w:szCs w:val="16"/>
        </w:rPr>
      </w:pPr>
      <w:r w:rsidRPr="00DF54F3">
        <w:rPr>
          <w:rFonts w:ascii="Verdana" w:hAnsi="Verdana"/>
          <w:sz w:val="16"/>
          <w:szCs w:val="16"/>
        </w:rPr>
        <w:t>Tercer trimestre 2026. Declaración recapitulativa de operaciones intracomunitarias: 349</w:t>
      </w:r>
    </w:p>
    <w:p w14:paraId="4312D8AB" w14:textId="77777777" w:rsidR="00DF54F3" w:rsidRPr="00DF54F3" w:rsidRDefault="00DF54F3" w:rsidP="00365B0E">
      <w:pPr>
        <w:numPr>
          <w:ilvl w:val="0"/>
          <w:numId w:val="14"/>
        </w:numPr>
        <w:ind w:right="-1"/>
        <w:jc w:val="both"/>
        <w:rPr>
          <w:rFonts w:ascii="Verdana" w:hAnsi="Verdana"/>
          <w:sz w:val="16"/>
          <w:szCs w:val="16"/>
        </w:rPr>
      </w:pPr>
      <w:r w:rsidRPr="00DF54F3">
        <w:rPr>
          <w:rFonts w:ascii="Verdana" w:hAnsi="Verdana"/>
          <w:sz w:val="16"/>
          <w:szCs w:val="16"/>
        </w:rPr>
        <w:t>Tercer trimestre 2026. Operaciones asimiladas a las importaciones: 380</w:t>
      </w:r>
    </w:p>
    <w:p w14:paraId="450EE30D" w14:textId="77777777" w:rsidR="00DF54F3" w:rsidRPr="00DF54F3" w:rsidRDefault="00DF54F3" w:rsidP="00365B0E">
      <w:pPr>
        <w:numPr>
          <w:ilvl w:val="0"/>
          <w:numId w:val="14"/>
        </w:numPr>
        <w:ind w:right="-1"/>
        <w:jc w:val="both"/>
        <w:rPr>
          <w:rFonts w:ascii="Verdana" w:hAnsi="Verdana"/>
          <w:sz w:val="16"/>
          <w:szCs w:val="16"/>
        </w:rPr>
      </w:pPr>
      <w:r w:rsidRPr="00DF54F3">
        <w:rPr>
          <w:rFonts w:ascii="Verdana" w:hAnsi="Verdana"/>
          <w:sz w:val="16"/>
          <w:szCs w:val="16"/>
        </w:rPr>
        <w:t>Solicitud de devolución de cuotas reembolsadas a viajeros por empresarios en recargo de equivalencia: 308</w:t>
      </w:r>
    </w:p>
    <w:p w14:paraId="672935C6" w14:textId="77777777" w:rsidR="00DF54F3" w:rsidRPr="00DF54F3" w:rsidRDefault="00DF54F3" w:rsidP="00365B0E">
      <w:pPr>
        <w:numPr>
          <w:ilvl w:val="0"/>
          <w:numId w:val="14"/>
        </w:numPr>
        <w:ind w:right="-1"/>
        <w:jc w:val="both"/>
        <w:rPr>
          <w:rFonts w:ascii="Verdana" w:hAnsi="Verdana"/>
          <w:sz w:val="16"/>
          <w:szCs w:val="16"/>
        </w:rPr>
      </w:pPr>
      <w:r w:rsidRPr="00DF54F3">
        <w:rPr>
          <w:rFonts w:ascii="Verdana" w:hAnsi="Verdana"/>
          <w:sz w:val="16"/>
          <w:szCs w:val="16"/>
        </w:rPr>
        <w:t>Solicitud de devolución por sujetos pasivos en el régimen simplificado del IVA y que ejerzan la actividad de transporte de viajeros o de mercancías por carretera, por adquirir determinados medios de transporte: 308</w:t>
      </w:r>
    </w:p>
    <w:p w14:paraId="3300D4C8" w14:textId="77777777" w:rsidR="00DF54F3" w:rsidRPr="00DF54F3" w:rsidRDefault="00DF54F3" w:rsidP="00365B0E">
      <w:pPr>
        <w:numPr>
          <w:ilvl w:val="0"/>
          <w:numId w:val="14"/>
        </w:numPr>
        <w:ind w:right="-1"/>
        <w:jc w:val="both"/>
        <w:rPr>
          <w:rFonts w:ascii="Verdana" w:hAnsi="Verdana"/>
          <w:sz w:val="16"/>
          <w:szCs w:val="16"/>
        </w:rPr>
      </w:pPr>
      <w:r w:rsidRPr="00DF54F3">
        <w:rPr>
          <w:rFonts w:ascii="Verdana" w:hAnsi="Verdana"/>
          <w:sz w:val="16"/>
          <w:szCs w:val="16"/>
        </w:rPr>
        <w:t>Reintegro de compensaciones en el régimen especial de la agricultura, ganadería y pesca: 341</w:t>
      </w:r>
    </w:p>
    <w:p w14:paraId="41EFCD0E"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Impuesto sobre las Primas de Seguros</w:t>
      </w:r>
    </w:p>
    <w:p w14:paraId="279A681B" w14:textId="77777777" w:rsidR="00DF54F3" w:rsidRPr="00DF54F3" w:rsidRDefault="00DF54F3" w:rsidP="00365B0E">
      <w:pPr>
        <w:numPr>
          <w:ilvl w:val="0"/>
          <w:numId w:val="15"/>
        </w:numPr>
        <w:ind w:right="-1"/>
        <w:jc w:val="both"/>
        <w:rPr>
          <w:rFonts w:ascii="Verdana" w:hAnsi="Verdana"/>
          <w:sz w:val="16"/>
          <w:szCs w:val="16"/>
        </w:rPr>
      </w:pPr>
      <w:r w:rsidRPr="00DF54F3">
        <w:rPr>
          <w:rFonts w:ascii="Verdana" w:hAnsi="Verdana"/>
          <w:sz w:val="16"/>
          <w:szCs w:val="16"/>
        </w:rPr>
        <w:t>Septiembre 2026: 430</w:t>
      </w:r>
    </w:p>
    <w:p w14:paraId="69989B5D"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Impuestos Especiales de Fabricación</w:t>
      </w:r>
    </w:p>
    <w:p w14:paraId="1E8D2A89" w14:textId="77777777" w:rsidR="00DF54F3" w:rsidRPr="00DF54F3" w:rsidRDefault="00DF54F3" w:rsidP="00365B0E">
      <w:pPr>
        <w:numPr>
          <w:ilvl w:val="0"/>
          <w:numId w:val="16"/>
        </w:numPr>
        <w:ind w:right="-1"/>
        <w:jc w:val="both"/>
        <w:rPr>
          <w:rFonts w:ascii="Verdana" w:hAnsi="Verdana"/>
          <w:sz w:val="16"/>
          <w:szCs w:val="16"/>
        </w:rPr>
      </w:pPr>
      <w:r w:rsidRPr="00DF54F3">
        <w:rPr>
          <w:rFonts w:ascii="Verdana" w:hAnsi="Verdana"/>
          <w:sz w:val="16"/>
          <w:szCs w:val="16"/>
        </w:rPr>
        <w:t>Julio 2026. Grandes empresas: 561, 562, 563</w:t>
      </w:r>
    </w:p>
    <w:p w14:paraId="28A584E4" w14:textId="77777777" w:rsidR="00DF54F3" w:rsidRPr="00DF54F3" w:rsidRDefault="00DF54F3" w:rsidP="00365B0E">
      <w:pPr>
        <w:numPr>
          <w:ilvl w:val="0"/>
          <w:numId w:val="16"/>
        </w:numPr>
        <w:ind w:right="-1"/>
        <w:jc w:val="both"/>
        <w:rPr>
          <w:rFonts w:ascii="Verdana" w:hAnsi="Verdana"/>
          <w:sz w:val="16"/>
          <w:szCs w:val="16"/>
        </w:rPr>
      </w:pPr>
      <w:r w:rsidRPr="00DF54F3">
        <w:rPr>
          <w:rFonts w:ascii="Verdana" w:hAnsi="Verdana"/>
          <w:sz w:val="16"/>
          <w:szCs w:val="16"/>
        </w:rPr>
        <w:t>Septiembre 2026: 548, 566, 581</w:t>
      </w:r>
    </w:p>
    <w:p w14:paraId="70E7DE5D" w14:textId="77777777" w:rsidR="00DF54F3" w:rsidRPr="00DF54F3" w:rsidRDefault="00DF54F3" w:rsidP="00365B0E">
      <w:pPr>
        <w:numPr>
          <w:ilvl w:val="0"/>
          <w:numId w:val="16"/>
        </w:numPr>
        <w:ind w:right="-1"/>
        <w:jc w:val="both"/>
        <w:rPr>
          <w:rFonts w:ascii="Verdana" w:hAnsi="Verdana"/>
          <w:sz w:val="16"/>
          <w:szCs w:val="16"/>
        </w:rPr>
      </w:pPr>
      <w:r w:rsidRPr="00DF54F3">
        <w:rPr>
          <w:rFonts w:ascii="Verdana" w:hAnsi="Verdana"/>
          <w:sz w:val="16"/>
          <w:szCs w:val="16"/>
        </w:rPr>
        <w:t>Septiembre 2026: 573 (Autoliquidación), A24 (Solicitud de devolución)</w:t>
      </w:r>
    </w:p>
    <w:p w14:paraId="0A4A9731" w14:textId="77777777" w:rsidR="00DF54F3" w:rsidRPr="00DF54F3" w:rsidRDefault="00DF54F3" w:rsidP="00365B0E">
      <w:pPr>
        <w:numPr>
          <w:ilvl w:val="0"/>
          <w:numId w:val="16"/>
        </w:numPr>
        <w:ind w:right="-1"/>
        <w:jc w:val="both"/>
        <w:rPr>
          <w:rFonts w:ascii="Verdana" w:hAnsi="Verdana"/>
          <w:sz w:val="16"/>
          <w:szCs w:val="16"/>
        </w:rPr>
      </w:pPr>
      <w:r w:rsidRPr="00DF54F3">
        <w:rPr>
          <w:rFonts w:ascii="Verdana" w:hAnsi="Verdana"/>
          <w:sz w:val="16"/>
          <w:szCs w:val="16"/>
        </w:rPr>
        <w:t>Tercer trimestre 2026: 521, 522, 547</w:t>
      </w:r>
    </w:p>
    <w:p w14:paraId="6A96DA96" w14:textId="77777777" w:rsidR="00DF54F3" w:rsidRPr="00DF54F3" w:rsidRDefault="00DF54F3" w:rsidP="00365B0E">
      <w:pPr>
        <w:numPr>
          <w:ilvl w:val="0"/>
          <w:numId w:val="16"/>
        </w:numPr>
        <w:ind w:right="-1"/>
        <w:jc w:val="both"/>
        <w:rPr>
          <w:rFonts w:ascii="Verdana" w:hAnsi="Verdana"/>
          <w:sz w:val="16"/>
          <w:szCs w:val="16"/>
        </w:rPr>
      </w:pPr>
      <w:r w:rsidRPr="00DF54F3">
        <w:rPr>
          <w:rFonts w:ascii="Verdana" w:hAnsi="Verdana"/>
          <w:sz w:val="16"/>
          <w:szCs w:val="16"/>
        </w:rPr>
        <w:t>Tercer trimestre 2026. Actividades V1, F1: 553 (establecimientos autorizados para la llevanza de la contabilidad en soporte papel)</w:t>
      </w:r>
    </w:p>
    <w:p w14:paraId="384C97A4" w14:textId="77777777" w:rsidR="00DF54F3" w:rsidRPr="00DF54F3" w:rsidRDefault="00DF54F3" w:rsidP="00365B0E">
      <w:pPr>
        <w:numPr>
          <w:ilvl w:val="0"/>
          <w:numId w:val="16"/>
        </w:numPr>
        <w:ind w:right="-1"/>
        <w:jc w:val="both"/>
        <w:rPr>
          <w:rFonts w:ascii="Verdana" w:hAnsi="Verdana"/>
          <w:sz w:val="16"/>
          <w:szCs w:val="16"/>
        </w:rPr>
      </w:pPr>
      <w:r w:rsidRPr="00DF54F3">
        <w:rPr>
          <w:rFonts w:ascii="Verdana" w:hAnsi="Verdana"/>
          <w:sz w:val="16"/>
          <w:szCs w:val="16"/>
        </w:rPr>
        <w:t>Tercer trimestre 2026. Solicitudes de devolución: 506, 507, 508, 524, 572</w:t>
      </w:r>
    </w:p>
    <w:p w14:paraId="6D623EAD" w14:textId="77777777" w:rsidR="00DF54F3" w:rsidRPr="00DF54F3" w:rsidRDefault="00DF54F3" w:rsidP="00365B0E">
      <w:pPr>
        <w:numPr>
          <w:ilvl w:val="0"/>
          <w:numId w:val="16"/>
        </w:numPr>
        <w:ind w:right="-1"/>
        <w:jc w:val="both"/>
        <w:rPr>
          <w:rFonts w:ascii="Verdana" w:hAnsi="Verdana"/>
          <w:sz w:val="16"/>
          <w:szCs w:val="16"/>
        </w:rPr>
      </w:pPr>
      <w:r w:rsidRPr="00DF54F3">
        <w:rPr>
          <w:rFonts w:ascii="Verdana" w:hAnsi="Verdana"/>
          <w:sz w:val="16"/>
          <w:szCs w:val="16"/>
        </w:rPr>
        <w:t>Declaración de operaciones por los destinatarios registrados y representantes fiscales: 510</w:t>
      </w:r>
    </w:p>
    <w:p w14:paraId="6D0B535A"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Impuesto Especial sobre la Electricidad</w:t>
      </w:r>
    </w:p>
    <w:p w14:paraId="6689A219" w14:textId="77777777" w:rsidR="00DF54F3" w:rsidRPr="00DF54F3" w:rsidRDefault="00DF54F3" w:rsidP="00365B0E">
      <w:pPr>
        <w:numPr>
          <w:ilvl w:val="0"/>
          <w:numId w:val="17"/>
        </w:numPr>
        <w:ind w:right="-1"/>
        <w:jc w:val="both"/>
        <w:rPr>
          <w:rFonts w:ascii="Verdana" w:hAnsi="Verdana"/>
          <w:sz w:val="16"/>
          <w:szCs w:val="16"/>
        </w:rPr>
      </w:pPr>
      <w:r w:rsidRPr="00DF54F3">
        <w:rPr>
          <w:rFonts w:ascii="Verdana" w:hAnsi="Verdana"/>
          <w:sz w:val="16"/>
          <w:szCs w:val="16"/>
        </w:rPr>
        <w:t>Septiembre 2026. Grandes empresas: 560</w:t>
      </w:r>
    </w:p>
    <w:p w14:paraId="491C8368" w14:textId="77777777" w:rsidR="00DF54F3" w:rsidRPr="00DF54F3" w:rsidRDefault="00DF54F3" w:rsidP="00365B0E">
      <w:pPr>
        <w:numPr>
          <w:ilvl w:val="0"/>
          <w:numId w:val="17"/>
        </w:numPr>
        <w:ind w:right="-1"/>
        <w:jc w:val="both"/>
        <w:rPr>
          <w:rFonts w:ascii="Verdana" w:hAnsi="Verdana"/>
          <w:sz w:val="16"/>
          <w:szCs w:val="16"/>
        </w:rPr>
      </w:pPr>
      <w:r w:rsidRPr="00DF54F3">
        <w:rPr>
          <w:rFonts w:ascii="Verdana" w:hAnsi="Verdana"/>
          <w:sz w:val="16"/>
          <w:szCs w:val="16"/>
        </w:rPr>
        <w:t>Tercer trimestre 2026. Excepto grandes empresas: 560</w:t>
      </w:r>
    </w:p>
    <w:p w14:paraId="65E9FCF4"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Impuestos Medioambientales</w:t>
      </w:r>
    </w:p>
    <w:p w14:paraId="5C9A041D" w14:textId="77777777" w:rsidR="00DF54F3" w:rsidRPr="00DF54F3" w:rsidRDefault="00DF54F3" w:rsidP="00365B0E">
      <w:pPr>
        <w:numPr>
          <w:ilvl w:val="0"/>
          <w:numId w:val="18"/>
        </w:numPr>
        <w:ind w:right="-1"/>
        <w:jc w:val="both"/>
        <w:rPr>
          <w:rFonts w:ascii="Verdana" w:hAnsi="Verdana"/>
          <w:sz w:val="16"/>
          <w:szCs w:val="16"/>
        </w:rPr>
      </w:pPr>
      <w:r w:rsidRPr="00DF54F3">
        <w:rPr>
          <w:rFonts w:ascii="Verdana" w:hAnsi="Verdana"/>
          <w:sz w:val="16"/>
          <w:szCs w:val="16"/>
        </w:rPr>
        <w:t>Septiembre 2026. Impuesto especial sobre los envases de plástico no reutilizables. Autoliquidación: 592</w:t>
      </w:r>
    </w:p>
    <w:p w14:paraId="1B9CC6D2" w14:textId="77777777" w:rsidR="00DF54F3" w:rsidRPr="00DF54F3" w:rsidRDefault="00DF54F3" w:rsidP="00365B0E">
      <w:pPr>
        <w:numPr>
          <w:ilvl w:val="0"/>
          <w:numId w:val="18"/>
        </w:numPr>
        <w:ind w:right="-1"/>
        <w:jc w:val="both"/>
        <w:rPr>
          <w:rFonts w:ascii="Verdana" w:hAnsi="Verdana"/>
          <w:sz w:val="16"/>
          <w:szCs w:val="16"/>
        </w:rPr>
      </w:pPr>
      <w:r w:rsidRPr="00DF54F3">
        <w:rPr>
          <w:rFonts w:ascii="Verdana" w:hAnsi="Verdana"/>
          <w:sz w:val="16"/>
          <w:szCs w:val="16"/>
        </w:rPr>
        <w:t>Tercer trimestre 2026. Impuesto sobre los gases fluorados de efecto invernadero. Autoliquidación: 587. Solicitud de devolución: A23. Presentación contabilidad de existencias</w:t>
      </w:r>
    </w:p>
    <w:p w14:paraId="68842A8C" w14:textId="77777777" w:rsidR="00DF54F3" w:rsidRPr="00DF54F3" w:rsidRDefault="00DF54F3" w:rsidP="00365B0E">
      <w:pPr>
        <w:numPr>
          <w:ilvl w:val="0"/>
          <w:numId w:val="18"/>
        </w:numPr>
        <w:ind w:right="-1"/>
        <w:jc w:val="both"/>
        <w:rPr>
          <w:rFonts w:ascii="Verdana" w:hAnsi="Verdana"/>
          <w:sz w:val="16"/>
          <w:szCs w:val="16"/>
        </w:rPr>
      </w:pPr>
      <w:r w:rsidRPr="00DF54F3">
        <w:rPr>
          <w:rFonts w:ascii="Verdana" w:hAnsi="Verdana"/>
          <w:sz w:val="16"/>
          <w:szCs w:val="16"/>
        </w:rPr>
        <w:t>Tercer trimestre 2026. Impuesto especial sobre los envases de plástico no reutilizables. Autoliquidación: 592. Solicitud de devolución: A22</w:t>
      </w:r>
    </w:p>
    <w:p w14:paraId="316128E8" w14:textId="77777777" w:rsidR="00DF54F3" w:rsidRPr="00DF54F3" w:rsidRDefault="00DF54F3" w:rsidP="00365B0E">
      <w:pPr>
        <w:numPr>
          <w:ilvl w:val="0"/>
          <w:numId w:val="18"/>
        </w:numPr>
        <w:ind w:right="-1"/>
        <w:jc w:val="both"/>
        <w:rPr>
          <w:rFonts w:ascii="Verdana" w:hAnsi="Verdana"/>
          <w:sz w:val="16"/>
          <w:szCs w:val="16"/>
        </w:rPr>
      </w:pPr>
      <w:r w:rsidRPr="00DF54F3">
        <w:rPr>
          <w:rFonts w:ascii="Verdana" w:hAnsi="Verdana"/>
          <w:sz w:val="16"/>
          <w:szCs w:val="16"/>
        </w:rPr>
        <w:t>Año 2026. Impuesto sobre el almacenamiento de combustible nuclear gastado y residuos radiactivos en instalaciones centralizadas. Tercer pago fraccionado: 585</w:t>
      </w:r>
    </w:p>
    <w:p w14:paraId="776B2345" w14:textId="77777777" w:rsidR="00DF54F3" w:rsidRPr="00DF54F3" w:rsidRDefault="00DF54F3" w:rsidP="00365B0E">
      <w:pPr>
        <w:numPr>
          <w:ilvl w:val="0"/>
          <w:numId w:val="18"/>
        </w:numPr>
        <w:ind w:right="-1"/>
        <w:jc w:val="both"/>
        <w:rPr>
          <w:rFonts w:ascii="Verdana" w:hAnsi="Verdana"/>
          <w:sz w:val="16"/>
          <w:szCs w:val="16"/>
        </w:rPr>
      </w:pPr>
      <w:r w:rsidRPr="00DF54F3">
        <w:rPr>
          <w:rFonts w:ascii="Verdana" w:hAnsi="Verdana"/>
          <w:sz w:val="16"/>
          <w:szCs w:val="16"/>
        </w:rPr>
        <w:t>Año 2026. Impuesto sobre el Valor de la Extracción de Gas, Petróleo y Condensados. Pago fraccionado: 589</w:t>
      </w:r>
    </w:p>
    <w:p w14:paraId="643509D9"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Impuesto Especial sobre el Carbón</w:t>
      </w:r>
    </w:p>
    <w:p w14:paraId="61C7A65E" w14:textId="77777777" w:rsidR="00DF54F3" w:rsidRPr="00DF54F3" w:rsidRDefault="00DF54F3" w:rsidP="00365B0E">
      <w:pPr>
        <w:numPr>
          <w:ilvl w:val="0"/>
          <w:numId w:val="19"/>
        </w:numPr>
        <w:ind w:right="-1"/>
        <w:jc w:val="both"/>
        <w:rPr>
          <w:rFonts w:ascii="Verdana" w:hAnsi="Verdana"/>
          <w:sz w:val="16"/>
          <w:szCs w:val="16"/>
        </w:rPr>
      </w:pPr>
      <w:r w:rsidRPr="00DF54F3">
        <w:rPr>
          <w:rFonts w:ascii="Verdana" w:hAnsi="Verdana"/>
          <w:sz w:val="16"/>
          <w:szCs w:val="16"/>
        </w:rPr>
        <w:t>Tercer trimestre 2026: 595</w:t>
      </w:r>
    </w:p>
    <w:p w14:paraId="43464A80"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lastRenderedPageBreak/>
        <w:t>Impuesto sobre las Transacciones Financieras</w:t>
      </w:r>
    </w:p>
    <w:p w14:paraId="7AA4EEFB" w14:textId="77777777" w:rsidR="00DF54F3" w:rsidRPr="00DF54F3" w:rsidRDefault="00DF54F3" w:rsidP="00365B0E">
      <w:pPr>
        <w:numPr>
          <w:ilvl w:val="0"/>
          <w:numId w:val="20"/>
        </w:numPr>
        <w:ind w:right="-1"/>
        <w:jc w:val="both"/>
        <w:rPr>
          <w:rFonts w:ascii="Verdana" w:hAnsi="Verdana"/>
          <w:sz w:val="16"/>
          <w:szCs w:val="16"/>
        </w:rPr>
      </w:pPr>
      <w:r w:rsidRPr="00DF54F3">
        <w:rPr>
          <w:rFonts w:ascii="Verdana" w:hAnsi="Verdana"/>
          <w:sz w:val="16"/>
          <w:szCs w:val="16"/>
        </w:rPr>
        <w:t>Septiembre 2026: 604</w:t>
      </w:r>
    </w:p>
    <w:p w14:paraId="24711543"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Aportación a realizar por los prestadores del servicio de comunicación audiovisual televisivo y por los prestadores del servicio de intercambio de vídeos a través de plataforma de ámbito geográfico estatal o superior al de una Comunidad Autónoma</w:t>
      </w:r>
    </w:p>
    <w:p w14:paraId="21496B68" w14:textId="77777777" w:rsidR="00DF54F3" w:rsidRDefault="00DF54F3" w:rsidP="00365B0E">
      <w:pPr>
        <w:numPr>
          <w:ilvl w:val="0"/>
          <w:numId w:val="21"/>
        </w:numPr>
        <w:ind w:right="-1"/>
        <w:jc w:val="both"/>
        <w:rPr>
          <w:rFonts w:ascii="Verdana" w:hAnsi="Verdana"/>
          <w:sz w:val="16"/>
          <w:szCs w:val="16"/>
        </w:rPr>
      </w:pPr>
      <w:r w:rsidRPr="00DF54F3">
        <w:rPr>
          <w:rFonts w:ascii="Verdana" w:hAnsi="Verdana"/>
          <w:sz w:val="16"/>
          <w:szCs w:val="16"/>
        </w:rPr>
        <w:t>Pago a cuenta 3P 2026: 793</w:t>
      </w:r>
    </w:p>
    <w:p w14:paraId="4193AE09" w14:textId="77777777" w:rsidR="00DF54F3" w:rsidRDefault="00DF54F3" w:rsidP="00DF54F3">
      <w:pPr>
        <w:ind w:right="-1"/>
        <w:jc w:val="both"/>
        <w:rPr>
          <w:rFonts w:ascii="Verdana" w:hAnsi="Verdana"/>
          <w:sz w:val="16"/>
          <w:szCs w:val="16"/>
        </w:rPr>
      </w:pPr>
    </w:p>
    <w:p w14:paraId="30A49268" w14:textId="4470B3F7" w:rsidR="00DF54F3" w:rsidRPr="00DF54F3" w:rsidRDefault="00DF54F3" w:rsidP="00DF54F3">
      <w:pPr>
        <w:ind w:right="-1"/>
        <w:jc w:val="both"/>
        <w:rPr>
          <w:rFonts w:ascii="Verdana" w:hAnsi="Verdana"/>
          <w:b/>
          <w:bCs/>
          <w:sz w:val="16"/>
          <w:szCs w:val="16"/>
        </w:rPr>
      </w:pPr>
      <w:r w:rsidRPr="00DF54F3">
        <w:rPr>
          <w:rFonts w:ascii="Verdana" w:hAnsi="Verdana"/>
          <w:b/>
          <w:bCs/>
          <w:sz w:val="16"/>
          <w:szCs w:val="16"/>
        </w:rPr>
        <w:t>HASTA EL 30 DE OCTUBRE</w:t>
      </w:r>
    </w:p>
    <w:p w14:paraId="3491605F"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IVA</w:t>
      </w:r>
    </w:p>
    <w:p w14:paraId="482AE604" w14:textId="77777777" w:rsidR="00DF54F3" w:rsidRPr="00DF54F3" w:rsidRDefault="00DF54F3" w:rsidP="00365B0E">
      <w:pPr>
        <w:numPr>
          <w:ilvl w:val="0"/>
          <w:numId w:val="22"/>
        </w:numPr>
        <w:ind w:right="-1"/>
        <w:jc w:val="both"/>
        <w:rPr>
          <w:rFonts w:ascii="Verdana" w:hAnsi="Verdana"/>
          <w:sz w:val="16"/>
          <w:szCs w:val="16"/>
        </w:rPr>
      </w:pPr>
      <w:r w:rsidRPr="00DF54F3">
        <w:rPr>
          <w:rFonts w:ascii="Verdana" w:hAnsi="Verdana"/>
          <w:sz w:val="16"/>
          <w:szCs w:val="16"/>
        </w:rPr>
        <w:t>Septiembre 2026. Autoliquidación: 303</w:t>
      </w:r>
    </w:p>
    <w:p w14:paraId="30C70890" w14:textId="77777777" w:rsidR="00DF54F3" w:rsidRPr="00DF54F3" w:rsidRDefault="00DF54F3" w:rsidP="00365B0E">
      <w:pPr>
        <w:numPr>
          <w:ilvl w:val="0"/>
          <w:numId w:val="22"/>
        </w:numPr>
        <w:ind w:right="-1"/>
        <w:jc w:val="both"/>
        <w:rPr>
          <w:rFonts w:ascii="Verdana" w:hAnsi="Verdana"/>
          <w:sz w:val="16"/>
          <w:szCs w:val="16"/>
        </w:rPr>
      </w:pPr>
      <w:r w:rsidRPr="00DF54F3">
        <w:rPr>
          <w:rFonts w:ascii="Verdana" w:hAnsi="Verdana"/>
          <w:sz w:val="16"/>
          <w:szCs w:val="16"/>
        </w:rPr>
        <w:t>Septiembre 2026. Grupo de entidades, modelo individual: 322</w:t>
      </w:r>
    </w:p>
    <w:p w14:paraId="5EA03F5F" w14:textId="77777777" w:rsidR="00DF54F3" w:rsidRPr="00DF54F3" w:rsidRDefault="00DF54F3" w:rsidP="00365B0E">
      <w:pPr>
        <w:numPr>
          <w:ilvl w:val="0"/>
          <w:numId w:val="22"/>
        </w:numPr>
        <w:ind w:right="-1"/>
        <w:jc w:val="both"/>
        <w:rPr>
          <w:rFonts w:ascii="Verdana" w:hAnsi="Verdana"/>
          <w:sz w:val="16"/>
          <w:szCs w:val="16"/>
        </w:rPr>
      </w:pPr>
      <w:r w:rsidRPr="00DF54F3">
        <w:rPr>
          <w:rFonts w:ascii="Verdana" w:hAnsi="Verdana"/>
          <w:sz w:val="16"/>
          <w:szCs w:val="16"/>
        </w:rPr>
        <w:t>Septiembre 2026. Grupo de entidades, modelo agregado: 353</w:t>
      </w:r>
    </w:p>
    <w:p w14:paraId="44AC0F28" w14:textId="77777777" w:rsidR="00DF54F3" w:rsidRPr="00DF54F3" w:rsidRDefault="00DF54F3" w:rsidP="00365B0E">
      <w:pPr>
        <w:numPr>
          <w:ilvl w:val="0"/>
          <w:numId w:val="22"/>
        </w:numPr>
        <w:ind w:right="-1"/>
        <w:jc w:val="both"/>
        <w:rPr>
          <w:rFonts w:ascii="Verdana" w:hAnsi="Verdana"/>
          <w:sz w:val="16"/>
          <w:szCs w:val="16"/>
        </w:rPr>
      </w:pPr>
      <w:r w:rsidRPr="00DF54F3">
        <w:rPr>
          <w:rFonts w:ascii="Verdana" w:hAnsi="Verdana"/>
          <w:sz w:val="16"/>
          <w:szCs w:val="16"/>
        </w:rPr>
        <w:t>Septiembre 2026. Operaciones asimiladas a las importaciones: 380</w:t>
      </w:r>
    </w:p>
    <w:p w14:paraId="17CE3DBC"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Impuestos Medioambientales</w:t>
      </w:r>
    </w:p>
    <w:p w14:paraId="5E2324B8" w14:textId="77777777" w:rsidR="00DF54F3" w:rsidRDefault="00DF54F3" w:rsidP="00365B0E">
      <w:pPr>
        <w:numPr>
          <w:ilvl w:val="0"/>
          <w:numId w:val="23"/>
        </w:numPr>
        <w:ind w:right="-1"/>
        <w:jc w:val="both"/>
        <w:rPr>
          <w:rFonts w:ascii="Verdana" w:hAnsi="Verdana"/>
          <w:sz w:val="16"/>
          <w:szCs w:val="16"/>
        </w:rPr>
      </w:pPr>
      <w:r w:rsidRPr="00DF54F3">
        <w:rPr>
          <w:rFonts w:ascii="Verdana" w:hAnsi="Verdana"/>
          <w:sz w:val="16"/>
          <w:szCs w:val="16"/>
        </w:rPr>
        <w:t>Tercer trimestre 2026. Impuesto sobre el depósito de residuos en vertederos, la incineración y la coincineración de residuos. Autoliquidación: 593</w:t>
      </w:r>
    </w:p>
    <w:p w14:paraId="5ED73C0C" w14:textId="77777777" w:rsidR="00DF54F3" w:rsidRDefault="00DF54F3" w:rsidP="00DF54F3">
      <w:pPr>
        <w:ind w:right="-1"/>
        <w:jc w:val="both"/>
        <w:rPr>
          <w:rFonts w:ascii="Verdana" w:hAnsi="Verdana"/>
          <w:sz w:val="16"/>
          <w:szCs w:val="16"/>
        </w:rPr>
      </w:pPr>
    </w:p>
    <w:p w14:paraId="455B83FE" w14:textId="5C7B97B7" w:rsidR="00DF54F3" w:rsidRPr="00DF54F3" w:rsidRDefault="00DF54F3" w:rsidP="00DF54F3">
      <w:pPr>
        <w:ind w:right="-1"/>
        <w:jc w:val="both"/>
        <w:rPr>
          <w:rFonts w:ascii="Verdana" w:hAnsi="Verdana"/>
          <w:b/>
          <w:bCs/>
          <w:sz w:val="16"/>
          <w:szCs w:val="16"/>
        </w:rPr>
      </w:pPr>
      <w:r w:rsidRPr="00DF54F3">
        <w:rPr>
          <w:rFonts w:ascii="Verdana" w:hAnsi="Verdana"/>
          <w:b/>
          <w:bCs/>
          <w:sz w:val="16"/>
          <w:szCs w:val="16"/>
        </w:rPr>
        <w:t>HASTA EL 31 DE OCTUBRE</w:t>
      </w:r>
    </w:p>
    <w:p w14:paraId="62E36E3B"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IVA</w:t>
      </w:r>
    </w:p>
    <w:p w14:paraId="4A08A7CC" w14:textId="77777777" w:rsidR="00DF54F3" w:rsidRPr="00DF54F3" w:rsidRDefault="00DF54F3" w:rsidP="00365B0E">
      <w:pPr>
        <w:numPr>
          <w:ilvl w:val="0"/>
          <w:numId w:val="24"/>
        </w:numPr>
        <w:ind w:right="-1"/>
        <w:jc w:val="both"/>
        <w:rPr>
          <w:rFonts w:ascii="Verdana" w:hAnsi="Verdana"/>
          <w:sz w:val="16"/>
          <w:szCs w:val="16"/>
        </w:rPr>
      </w:pPr>
      <w:r w:rsidRPr="00DF54F3">
        <w:rPr>
          <w:rFonts w:ascii="Verdana" w:hAnsi="Verdana"/>
          <w:sz w:val="16"/>
          <w:szCs w:val="16"/>
        </w:rPr>
        <w:t>Septiembre 2026. Ventanilla única - Régimen de importación: 369</w:t>
      </w:r>
    </w:p>
    <w:p w14:paraId="491A1932" w14:textId="77777777" w:rsidR="00DF54F3" w:rsidRDefault="00DF54F3" w:rsidP="00365B0E">
      <w:pPr>
        <w:numPr>
          <w:ilvl w:val="0"/>
          <w:numId w:val="24"/>
        </w:numPr>
        <w:ind w:right="-1"/>
        <w:jc w:val="both"/>
        <w:rPr>
          <w:rFonts w:ascii="Verdana" w:hAnsi="Verdana"/>
          <w:sz w:val="16"/>
          <w:szCs w:val="16"/>
        </w:rPr>
      </w:pPr>
      <w:r w:rsidRPr="00DF54F3">
        <w:rPr>
          <w:rFonts w:ascii="Verdana" w:hAnsi="Verdana"/>
          <w:sz w:val="16"/>
          <w:szCs w:val="16"/>
        </w:rPr>
        <w:t>Tercer trimestre 2026. Ventanilla única – Regímenes exterior y de la Unión: 369</w:t>
      </w:r>
    </w:p>
    <w:p w14:paraId="78AB8C8F" w14:textId="77777777" w:rsidR="00DF54F3" w:rsidRDefault="00DF54F3" w:rsidP="00DF54F3">
      <w:pPr>
        <w:ind w:right="-1"/>
        <w:jc w:val="both"/>
        <w:rPr>
          <w:rFonts w:ascii="Verdana" w:hAnsi="Verdana"/>
          <w:sz w:val="16"/>
          <w:szCs w:val="16"/>
        </w:rPr>
      </w:pPr>
    </w:p>
    <w:p w14:paraId="56A435C1" w14:textId="35AAAB33" w:rsidR="00DF54F3" w:rsidRPr="00DF54F3" w:rsidRDefault="00DF54F3" w:rsidP="00DF54F3">
      <w:pPr>
        <w:ind w:right="-1"/>
        <w:jc w:val="both"/>
        <w:rPr>
          <w:rFonts w:ascii="Verdana" w:hAnsi="Verdana"/>
          <w:b/>
          <w:bCs/>
          <w:sz w:val="16"/>
          <w:szCs w:val="16"/>
        </w:rPr>
      </w:pPr>
      <w:r w:rsidRPr="00DF54F3">
        <w:rPr>
          <w:rFonts w:ascii="Verdana" w:hAnsi="Verdana"/>
          <w:b/>
          <w:bCs/>
          <w:sz w:val="16"/>
          <w:szCs w:val="16"/>
        </w:rPr>
        <w:t>HASTA EL 2 DE NOVIEMBRE</w:t>
      </w:r>
    </w:p>
    <w:p w14:paraId="74AF05FA"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Número de Identificación Fiscal</w:t>
      </w:r>
    </w:p>
    <w:p w14:paraId="798531FE" w14:textId="77777777" w:rsidR="00DF54F3" w:rsidRPr="00DF54F3" w:rsidRDefault="00DF54F3" w:rsidP="00365B0E">
      <w:pPr>
        <w:numPr>
          <w:ilvl w:val="0"/>
          <w:numId w:val="25"/>
        </w:numPr>
        <w:ind w:right="-1"/>
        <w:jc w:val="both"/>
        <w:rPr>
          <w:rFonts w:ascii="Verdana" w:hAnsi="Verdana"/>
          <w:sz w:val="16"/>
          <w:szCs w:val="16"/>
        </w:rPr>
      </w:pPr>
      <w:r w:rsidRPr="00DF54F3">
        <w:rPr>
          <w:rFonts w:ascii="Verdana" w:hAnsi="Verdana"/>
          <w:sz w:val="16"/>
          <w:szCs w:val="16"/>
        </w:rPr>
        <w:t>Tercer trimestre 2026. Cuentas y operaciones cuyos titulares no han facilitado el NIF a las entidades de crédito: 195</w:t>
      </w:r>
    </w:p>
    <w:p w14:paraId="05DBC5F4"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Impuestos sobre Determinados Servicios Digitales</w:t>
      </w:r>
    </w:p>
    <w:p w14:paraId="5B45CBAD" w14:textId="77777777" w:rsidR="00DF54F3" w:rsidRPr="00DF54F3" w:rsidRDefault="00DF54F3" w:rsidP="00365B0E">
      <w:pPr>
        <w:numPr>
          <w:ilvl w:val="0"/>
          <w:numId w:val="26"/>
        </w:numPr>
        <w:ind w:right="-1"/>
        <w:jc w:val="both"/>
        <w:rPr>
          <w:rFonts w:ascii="Verdana" w:hAnsi="Verdana"/>
          <w:sz w:val="16"/>
          <w:szCs w:val="16"/>
        </w:rPr>
      </w:pPr>
      <w:r w:rsidRPr="00DF54F3">
        <w:rPr>
          <w:rFonts w:ascii="Verdana" w:hAnsi="Verdana"/>
          <w:sz w:val="16"/>
          <w:szCs w:val="16"/>
        </w:rPr>
        <w:t>Tercer trimestre 2026: 490</w:t>
      </w:r>
    </w:p>
    <w:p w14:paraId="1FA381DE"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Impuestos Medioambientales</w:t>
      </w:r>
    </w:p>
    <w:p w14:paraId="5EB9E934" w14:textId="77777777" w:rsidR="00DF54F3" w:rsidRPr="00DF54F3" w:rsidRDefault="00DF54F3" w:rsidP="00365B0E">
      <w:pPr>
        <w:numPr>
          <w:ilvl w:val="0"/>
          <w:numId w:val="27"/>
        </w:numPr>
        <w:ind w:right="-1"/>
        <w:jc w:val="both"/>
        <w:rPr>
          <w:rFonts w:ascii="Verdana" w:hAnsi="Verdana"/>
          <w:sz w:val="16"/>
          <w:szCs w:val="16"/>
        </w:rPr>
      </w:pPr>
      <w:r w:rsidRPr="00DF54F3">
        <w:rPr>
          <w:rFonts w:ascii="Verdana" w:hAnsi="Verdana"/>
          <w:sz w:val="16"/>
          <w:szCs w:val="16"/>
        </w:rPr>
        <w:t>Septiembre 2026. Impuesto especial sobre los envases de plástico no reutilizables. Presentación contabilidad y libro registro de existencias</w:t>
      </w:r>
    </w:p>
    <w:p w14:paraId="1D345BA4" w14:textId="77777777" w:rsidR="00DF54F3" w:rsidRPr="00DF54F3" w:rsidRDefault="00DF54F3" w:rsidP="00365B0E">
      <w:pPr>
        <w:numPr>
          <w:ilvl w:val="0"/>
          <w:numId w:val="27"/>
        </w:numPr>
        <w:ind w:right="-1"/>
        <w:jc w:val="both"/>
        <w:rPr>
          <w:rFonts w:ascii="Verdana" w:hAnsi="Verdana"/>
          <w:sz w:val="16"/>
          <w:szCs w:val="16"/>
        </w:rPr>
      </w:pPr>
      <w:r w:rsidRPr="00DF54F3">
        <w:rPr>
          <w:rFonts w:ascii="Verdana" w:hAnsi="Verdana"/>
          <w:sz w:val="16"/>
          <w:szCs w:val="16"/>
        </w:rPr>
        <w:t>Tercer trimestre 2026. Impuesto especial sobre los envases de plástico no reutilizables. Presentación contabilidad y libro registro de existencias</w:t>
      </w:r>
    </w:p>
    <w:p w14:paraId="7CAC5DB1"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Declaración informativa mensual de las operaciones realizadas por los empresarios o profesionales adheridos al sistema de gestión de cobros a través de cualquier tipo de tarjetas y mediante pagos asociados a números de teléfono móvil</w:t>
      </w:r>
    </w:p>
    <w:p w14:paraId="7B935B90" w14:textId="77777777" w:rsidR="00DF54F3" w:rsidRPr="00DF54F3" w:rsidRDefault="00DF54F3" w:rsidP="00365B0E">
      <w:pPr>
        <w:numPr>
          <w:ilvl w:val="0"/>
          <w:numId w:val="28"/>
        </w:numPr>
        <w:ind w:right="-1"/>
        <w:jc w:val="both"/>
        <w:rPr>
          <w:rFonts w:ascii="Verdana" w:hAnsi="Verdana"/>
          <w:sz w:val="16"/>
          <w:szCs w:val="16"/>
        </w:rPr>
      </w:pPr>
      <w:r w:rsidRPr="00DF54F3">
        <w:rPr>
          <w:rFonts w:ascii="Verdana" w:hAnsi="Verdana"/>
          <w:sz w:val="16"/>
          <w:szCs w:val="16"/>
        </w:rPr>
        <w:t>Septiembre 2026: 170</w:t>
      </w:r>
    </w:p>
    <w:p w14:paraId="5F2CA4B6"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Declaración informativa mensual de cuentas en toda clase de instituciones financieras y resumen anual de retenciones e ingresos a cuenta sobre rendimientos del capital mobiliario y rentas obtenidas por la contraprestación derivada de cuentas en toda clase de instituciones financieras</w:t>
      </w:r>
    </w:p>
    <w:p w14:paraId="4EB7CEA1" w14:textId="77777777" w:rsidR="00DF54F3" w:rsidRPr="00DF54F3" w:rsidRDefault="00DF54F3" w:rsidP="00365B0E">
      <w:pPr>
        <w:numPr>
          <w:ilvl w:val="0"/>
          <w:numId w:val="29"/>
        </w:numPr>
        <w:ind w:right="-1"/>
        <w:jc w:val="both"/>
        <w:rPr>
          <w:rFonts w:ascii="Verdana" w:hAnsi="Verdana"/>
          <w:sz w:val="16"/>
          <w:szCs w:val="16"/>
        </w:rPr>
      </w:pPr>
      <w:r w:rsidRPr="00DF54F3">
        <w:rPr>
          <w:rFonts w:ascii="Verdana" w:hAnsi="Verdana"/>
          <w:sz w:val="16"/>
          <w:szCs w:val="16"/>
        </w:rPr>
        <w:t>Septiembre 2026: 196</w:t>
      </w:r>
    </w:p>
    <w:p w14:paraId="7C7EE1A2"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Declaración informativa de actualización de determinados mecanismos transfronterizos comercializables</w:t>
      </w:r>
    </w:p>
    <w:p w14:paraId="2AA2FA51" w14:textId="0C2C5816" w:rsidR="00DF54F3" w:rsidRPr="00DF54F3" w:rsidRDefault="00DF54F3" w:rsidP="00365B0E">
      <w:pPr>
        <w:numPr>
          <w:ilvl w:val="0"/>
          <w:numId w:val="30"/>
        </w:numPr>
        <w:ind w:right="-1"/>
        <w:jc w:val="both"/>
        <w:rPr>
          <w:rFonts w:ascii="Verdana" w:hAnsi="Verdana"/>
          <w:sz w:val="16"/>
          <w:szCs w:val="16"/>
        </w:rPr>
      </w:pPr>
      <w:r w:rsidRPr="00DF54F3">
        <w:rPr>
          <w:rFonts w:ascii="Verdana" w:hAnsi="Verdana"/>
          <w:sz w:val="16"/>
          <w:szCs w:val="16"/>
        </w:rPr>
        <w:t>Tercer trimestre 202</w:t>
      </w:r>
      <w:r w:rsidR="00815490">
        <w:rPr>
          <w:rFonts w:ascii="Verdana" w:hAnsi="Verdana"/>
          <w:sz w:val="16"/>
          <w:szCs w:val="16"/>
        </w:rPr>
        <w:t>6</w:t>
      </w:r>
      <w:r w:rsidRPr="00DF54F3">
        <w:rPr>
          <w:rFonts w:ascii="Verdana" w:hAnsi="Verdana"/>
          <w:sz w:val="16"/>
          <w:szCs w:val="16"/>
        </w:rPr>
        <w:t>: 235</w:t>
      </w:r>
    </w:p>
    <w:p w14:paraId="4969AFA5"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Declaración informativa trimestral de operaciones de comercio de bienes corporales realizadas en la zona especial canaria sin que las mercancías transiten por territorio canario</w:t>
      </w:r>
    </w:p>
    <w:p w14:paraId="76842BF3" w14:textId="77777777" w:rsidR="00DF54F3" w:rsidRPr="00DF54F3" w:rsidRDefault="00DF54F3" w:rsidP="00365B0E">
      <w:pPr>
        <w:numPr>
          <w:ilvl w:val="0"/>
          <w:numId w:val="31"/>
        </w:numPr>
        <w:ind w:right="-1"/>
        <w:jc w:val="both"/>
        <w:rPr>
          <w:rFonts w:ascii="Verdana" w:hAnsi="Verdana"/>
          <w:sz w:val="16"/>
          <w:szCs w:val="16"/>
        </w:rPr>
      </w:pPr>
      <w:r w:rsidRPr="00DF54F3">
        <w:rPr>
          <w:rFonts w:ascii="Verdana" w:hAnsi="Verdana"/>
          <w:sz w:val="16"/>
          <w:szCs w:val="16"/>
        </w:rPr>
        <w:t>Tercer trimestre 2026: 281</w:t>
      </w:r>
    </w:p>
    <w:p w14:paraId="4796EF68"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Declaración informativa sobre pagos transfronterizos</w:t>
      </w:r>
    </w:p>
    <w:p w14:paraId="046B3271" w14:textId="77777777" w:rsidR="00DF54F3" w:rsidRPr="00DF54F3" w:rsidRDefault="00DF54F3" w:rsidP="00365B0E">
      <w:pPr>
        <w:numPr>
          <w:ilvl w:val="0"/>
          <w:numId w:val="32"/>
        </w:numPr>
        <w:ind w:right="-1"/>
        <w:jc w:val="both"/>
        <w:rPr>
          <w:rFonts w:ascii="Verdana" w:hAnsi="Verdana"/>
          <w:sz w:val="16"/>
          <w:szCs w:val="16"/>
        </w:rPr>
      </w:pPr>
      <w:r w:rsidRPr="00DF54F3">
        <w:rPr>
          <w:rFonts w:ascii="Verdana" w:hAnsi="Verdana"/>
          <w:sz w:val="16"/>
          <w:szCs w:val="16"/>
        </w:rPr>
        <w:t>Tercer trimestre 2026: 379</w:t>
      </w:r>
    </w:p>
    <w:p w14:paraId="1F7ABB5F" w14:textId="77777777" w:rsidR="00DF54F3" w:rsidRPr="00DF54F3" w:rsidRDefault="00DF54F3" w:rsidP="00DF54F3">
      <w:pPr>
        <w:ind w:right="-1"/>
        <w:jc w:val="both"/>
        <w:rPr>
          <w:rFonts w:ascii="Verdana" w:hAnsi="Verdana"/>
          <w:sz w:val="16"/>
          <w:szCs w:val="16"/>
        </w:rPr>
      </w:pPr>
      <w:r w:rsidRPr="00DF54F3">
        <w:rPr>
          <w:rFonts w:ascii="Verdana" w:hAnsi="Verdana"/>
          <w:b/>
          <w:bCs/>
          <w:sz w:val="16"/>
          <w:szCs w:val="16"/>
        </w:rPr>
        <w:t>Cuenta Corriente Tributaria</w:t>
      </w:r>
    </w:p>
    <w:p w14:paraId="4272E655" w14:textId="77777777" w:rsidR="00DF54F3" w:rsidRDefault="00DF54F3" w:rsidP="00365B0E">
      <w:pPr>
        <w:numPr>
          <w:ilvl w:val="0"/>
          <w:numId w:val="33"/>
        </w:numPr>
        <w:ind w:right="-1"/>
        <w:jc w:val="both"/>
        <w:rPr>
          <w:rFonts w:ascii="Verdana" w:hAnsi="Verdana"/>
          <w:sz w:val="16"/>
          <w:szCs w:val="16"/>
        </w:rPr>
      </w:pPr>
      <w:r w:rsidRPr="00DF54F3">
        <w:rPr>
          <w:rFonts w:ascii="Verdana" w:hAnsi="Verdana"/>
          <w:sz w:val="16"/>
          <w:szCs w:val="16"/>
        </w:rPr>
        <w:t>Solicitud de inclusión para el año 2027: CCT (Cuenta Corriente Tributaria)</w:t>
      </w:r>
    </w:p>
    <w:p w14:paraId="2F8189D8" w14:textId="40B48FFD" w:rsidR="00DF54F3" w:rsidRPr="00DF54F3" w:rsidRDefault="00DF54F3" w:rsidP="00DF54F3">
      <w:pPr>
        <w:pStyle w:val="Ttulo1"/>
        <w:shd w:val="clear" w:color="auto" w:fill="FFFFFF"/>
        <w:rPr>
          <w:rFonts w:cs="Arial"/>
          <w:color w:val="000000"/>
          <w:sz w:val="18"/>
          <w:szCs w:val="18"/>
        </w:rPr>
      </w:pPr>
      <w:r w:rsidRPr="00DF54F3">
        <w:rPr>
          <w:rFonts w:cs="Arial"/>
          <w:color w:val="000000"/>
          <w:sz w:val="18"/>
          <w:szCs w:val="18"/>
        </w:rPr>
        <w:t>HASTA EL 5 DE NOVIEMBRE</w:t>
      </w:r>
    </w:p>
    <w:p w14:paraId="1791F4D8" w14:textId="77777777" w:rsidR="00DF54F3" w:rsidRPr="00DF54F3" w:rsidRDefault="00DF54F3" w:rsidP="00DF54F3">
      <w:pPr>
        <w:pStyle w:val="Ttulo3"/>
        <w:shd w:val="clear" w:color="auto" w:fill="FFFFFF"/>
        <w:rPr>
          <w:rFonts w:cs="Arial"/>
          <w:b w:val="0"/>
          <w:bCs w:val="0"/>
          <w:color w:val="000000"/>
          <w:sz w:val="18"/>
          <w:szCs w:val="18"/>
        </w:rPr>
      </w:pPr>
      <w:r w:rsidRPr="00DF54F3">
        <w:rPr>
          <w:rStyle w:val="Fuerte"/>
          <w:rFonts w:cs="Arial"/>
          <w:b/>
          <w:bCs/>
          <w:color w:val="000000"/>
          <w:sz w:val="18"/>
          <w:szCs w:val="18"/>
        </w:rPr>
        <w:t>Renta</w:t>
      </w:r>
    </w:p>
    <w:p w14:paraId="556ABFFC" w14:textId="77777777" w:rsidR="00DF54F3" w:rsidRPr="00DF54F3" w:rsidRDefault="00DF54F3" w:rsidP="00365B0E">
      <w:pPr>
        <w:pStyle w:val="NormalWeb"/>
        <w:numPr>
          <w:ilvl w:val="0"/>
          <w:numId w:val="34"/>
        </w:numPr>
        <w:shd w:val="clear" w:color="auto" w:fill="FFFFFF"/>
        <w:spacing w:before="0" w:beforeAutospacing="0"/>
        <w:rPr>
          <w:rFonts w:ascii="Verdana" w:hAnsi="Verdana" w:cs="Arial"/>
          <w:color w:val="000000"/>
          <w:sz w:val="18"/>
          <w:szCs w:val="18"/>
        </w:rPr>
      </w:pPr>
      <w:r w:rsidRPr="00DF54F3">
        <w:rPr>
          <w:rFonts w:ascii="Verdana" w:hAnsi="Verdana" w:cs="Arial"/>
          <w:color w:val="000000"/>
          <w:sz w:val="18"/>
          <w:szCs w:val="18"/>
        </w:rPr>
        <w:t>Ingreso del segundo plazo de la declaración anual de 2025, si se fraccionó el pago: 102</w:t>
      </w:r>
    </w:p>
    <w:p w14:paraId="57679ACE" w14:textId="77777777" w:rsidR="00DF54F3" w:rsidRDefault="00DF54F3" w:rsidP="00DF54F3">
      <w:pPr>
        <w:ind w:left="720" w:right="-1"/>
        <w:jc w:val="both"/>
        <w:rPr>
          <w:rFonts w:ascii="Verdana" w:hAnsi="Verdana"/>
          <w:sz w:val="16"/>
          <w:szCs w:val="16"/>
        </w:rPr>
      </w:pPr>
    </w:p>
    <w:p w14:paraId="34AB0EE2" w14:textId="77777777" w:rsidR="00DF54F3" w:rsidRPr="00DF54F3" w:rsidRDefault="00DF54F3" w:rsidP="00DF54F3">
      <w:pPr>
        <w:ind w:left="720" w:right="-1"/>
        <w:jc w:val="both"/>
        <w:rPr>
          <w:rFonts w:ascii="Verdana" w:hAnsi="Verdana"/>
          <w:sz w:val="16"/>
          <w:szCs w:val="16"/>
        </w:rPr>
      </w:pPr>
    </w:p>
    <w:p w14:paraId="6C90C4EE" w14:textId="77777777" w:rsidR="00DF54F3" w:rsidRPr="00DF54F3" w:rsidRDefault="00DF54F3" w:rsidP="00DF54F3">
      <w:pPr>
        <w:ind w:right="-1"/>
        <w:jc w:val="both"/>
        <w:rPr>
          <w:rFonts w:ascii="Verdana" w:hAnsi="Verdana"/>
          <w:sz w:val="16"/>
          <w:szCs w:val="16"/>
        </w:rPr>
      </w:pPr>
    </w:p>
    <w:p w14:paraId="426E10FF" w14:textId="77777777" w:rsidR="00DF54F3" w:rsidRPr="00DF54F3" w:rsidRDefault="00DF54F3" w:rsidP="00DF54F3">
      <w:pPr>
        <w:ind w:right="-1"/>
        <w:jc w:val="both"/>
        <w:rPr>
          <w:rFonts w:ascii="Verdana" w:hAnsi="Verdana"/>
          <w:sz w:val="16"/>
          <w:szCs w:val="16"/>
        </w:rPr>
      </w:pPr>
    </w:p>
    <w:p w14:paraId="63854E33" w14:textId="77777777" w:rsidR="00DF54F3" w:rsidRPr="00DF54F3" w:rsidRDefault="00DF54F3" w:rsidP="00DF54F3">
      <w:pPr>
        <w:ind w:right="-1"/>
        <w:jc w:val="both"/>
        <w:rPr>
          <w:rFonts w:ascii="Verdana" w:hAnsi="Verdana"/>
          <w:sz w:val="16"/>
          <w:szCs w:val="16"/>
        </w:rPr>
      </w:pPr>
    </w:p>
    <w:p w14:paraId="1C1832D9" w14:textId="77777777" w:rsidR="00DF54F3" w:rsidRPr="00DF54F3" w:rsidRDefault="00DF54F3" w:rsidP="00DF54F3">
      <w:pPr>
        <w:ind w:right="-1"/>
        <w:jc w:val="both"/>
        <w:rPr>
          <w:rFonts w:ascii="Verdana" w:hAnsi="Verdana"/>
          <w:sz w:val="16"/>
          <w:szCs w:val="16"/>
        </w:rPr>
      </w:pPr>
    </w:p>
    <w:p w14:paraId="6F59E6A5" w14:textId="77777777" w:rsidR="00DF54F3" w:rsidRPr="00DF54F3" w:rsidRDefault="00DF54F3" w:rsidP="007605E7">
      <w:pPr>
        <w:ind w:right="-1"/>
        <w:jc w:val="both"/>
        <w:rPr>
          <w:rFonts w:ascii="Verdana" w:hAnsi="Verdana"/>
          <w:sz w:val="16"/>
          <w:szCs w:val="16"/>
        </w:rPr>
      </w:pPr>
    </w:p>
    <w:sectPr w:rsidR="00DF54F3" w:rsidRPr="00DF54F3" w:rsidSect="00BE6CB5">
      <w:pgSz w:w="11906" w:h="16838"/>
      <w:pgMar w:top="1701" w:right="1701" w:bottom="1701" w:left="184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4A53D" w14:textId="77777777" w:rsidR="00EE5BF3" w:rsidRDefault="00EE5BF3">
      <w:r>
        <w:separator/>
      </w:r>
    </w:p>
  </w:endnote>
  <w:endnote w:type="continuationSeparator" w:id="0">
    <w:p w14:paraId="680B2D68" w14:textId="77777777" w:rsidR="00EE5BF3" w:rsidRDefault="00EE5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E62CD" w14:textId="77777777" w:rsidR="00EE5BF3" w:rsidRDefault="00EE5BF3">
      <w:r>
        <w:separator/>
      </w:r>
    </w:p>
  </w:footnote>
  <w:footnote w:type="continuationSeparator" w:id="0">
    <w:p w14:paraId="18CAD610" w14:textId="77777777" w:rsidR="00EE5BF3" w:rsidRDefault="00EE5B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021D"/>
    <w:multiLevelType w:val="multilevel"/>
    <w:tmpl w:val="9FD4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70380"/>
    <w:multiLevelType w:val="multilevel"/>
    <w:tmpl w:val="DBCE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36ADB"/>
    <w:multiLevelType w:val="multilevel"/>
    <w:tmpl w:val="32EE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33DA0"/>
    <w:multiLevelType w:val="multilevel"/>
    <w:tmpl w:val="AA08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D795C"/>
    <w:multiLevelType w:val="multilevel"/>
    <w:tmpl w:val="1554B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4F646B"/>
    <w:multiLevelType w:val="multilevel"/>
    <w:tmpl w:val="5D26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DD3F08"/>
    <w:multiLevelType w:val="multilevel"/>
    <w:tmpl w:val="8F20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B2EF4"/>
    <w:multiLevelType w:val="multilevel"/>
    <w:tmpl w:val="0ABC1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90053"/>
    <w:multiLevelType w:val="multilevel"/>
    <w:tmpl w:val="34F0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782FB4"/>
    <w:multiLevelType w:val="multilevel"/>
    <w:tmpl w:val="AA76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F65C1"/>
    <w:multiLevelType w:val="multilevel"/>
    <w:tmpl w:val="F170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8A5E75"/>
    <w:multiLevelType w:val="multilevel"/>
    <w:tmpl w:val="04883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61C7C"/>
    <w:multiLevelType w:val="multilevel"/>
    <w:tmpl w:val="D1C6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FD5460"/>
    <w:multiLevelType w:val="multilevel"/>
    <w:tmpl w:val="7EDE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A76635"/>
    <w:multiLevelType w:val="multilevel"/>
    <w:tmpl w:val="87B0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522724"/>
    <w:multiLevelType w:val="multilevel"/>
    <w:tmpl w:val="7F14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850C6B"/>
    <w:multiLevelType w:val="multilevel"/>
    <w:tmpl w:val="1952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9C7DE9"/>
    <w:multiLevelType w:val="hybridMultilevel"/>
    <w:tmpl w:val="5BFA0A6E"/>
    <w:lvl w:ilvl="0" w:tplc="3A8C9C52">
      <w:start w:val="1"/>
      <w:numFmt w:val="decimal"/>
      <w:lvlText w:val="%1."/>
      <w:lvlJc w:val="left"/>
      <w:pPr>
        <w:ind w:left="100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6604199"/>
    <w:multiLevelType w:val="multilevel"/>
    <w:tmpl w:val="88B2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2421FC"/>
    <w:multiLevelType w:val="multilevel"/>
    <w:tmpl w:val="D262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1D5EDF"/>
    <w:multiLevelType w:val="multilevel"/>
    <w:tmpl w:val="C060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91506A"/>
    <w:multiLevelType w:val="multilevel"/>
    <w:tmpl w:val="8D2E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B12937"/>
    <w:multiLevelType w:val="multilevel"/>
    <w:tmpl w:val="CC4E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880F82"/>
    <w:multiLevelType w:val="multilevel"/>
    <w:tmpl w:val="4D62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EE2EA9"/>
    <w:multiLevelType w:val="multilevel"/>
    <w:tmpl w:val="81503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CB0EA0"/>
    <w:multiLevelType w:val="multilevel"/>
    <w:tmpl w:val="AAF8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B80B28"/>
    <w:multiLevelType w:val="multilevel"/>
    <w:tmpl w:val="81B6C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DE101E"/>
    <w:multiLevelType w:val="multilevel"/>
    <w:tmpl w:val="1E226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C8210A"/>
    <w:multiLevelType w:val="multilevel"/>
    <w:tmpl w:val="7390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6D6C8A"/>
    <w:multiLevelType w:val="multilevel"/>
    <w:tmpl w:val="6B10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3D0AE4"/>
    <w:multiLevelType w:val="multilevel"/>
    <w:tmpl w:val="F4A8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EC27F5"/>
    <w:multiLevelType w:val="hybridMultilevel"/>
    <w:tmpl w:val="719CD630"/>
    <w:lvl w:ilvl="0" w:tplc="0C0A000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2" w15:restartNumberingAfterBreak="0">
    <w:nsid w:val="66867FFD"/>
    <w:multiLevelType w:val="multilevel"/>
    <w:tmpl w:val="D654F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116B26"/>
    <w:multiLevelType w:val="hybridMultilevel"/>
    <w:tmpl w:val="1764C628"/>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4" w15:restartNumberingAfterBreak="0">
    <w:nsid w:val="77D60DA9"/>
    <w:multiLevelType w:val="multilevel"/>
    <w:tmpl w:val="9DE2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07936">
    <w:abstractNumId w:val="31"/>
  </w:num>
  <w:num w:numId="2" w16cid:durableId="1253860589">
    <w:abstractNumId w:val="17"/>
  </w:num>
  <w:num w:numId="3" w16cid:durableId="1328095656">
    <w:abstractNumId w:val="33"/>
  </w:num>
  <w:num w:numId="4" w16cid:durableId="1604915989">
    <w:abstractNumId w:val="25"/>
  </w:num>
  <w:num w:numId="5" w16cid:durableId="1142229659">
    <w:abstractNumId w:val="3"/>
  </w:num>
  <w:num w:numId="6" w16cid:durableId="1536574863">
    <w:abstractNumId w:val="4"/>
  </w:num>
  <w:num w:numId="7" w16cid:durableId="1738629465">
    <w:abstractNumId w:val="10"/>
  </w:num>
  <w:num w:numId="8" w16cid:durableId="1151676456">
    <w:abstractNumId w:val="32"/>
  </w:num>
  <w:num w:numId="9" w16cid:durableId="2049141997">
    <w:abstractNumId w:val="6"/>
  </w:num>
  <w:num w:numId="10" w16cid:durableId="1869951630">
    <w:abstractNumId w:val="14"/>
  </w:num>
  <w:num w:numId="11" w16cid:durableId="1772359928">
    <w:abstractNumId w:val="30"/>
  </w:num>
  <w:num w:numId="12" w16cid:durableId="1218081858">
    <w:abstractNumId w:val="11"/>
  </w:num>
  <w:num w:numId="13" w16cid:durableId="125392348">
    <w:abstractNumId w:val="24"/>
  </w:num>
  <w:num w:numId="14" w16cid:durableId="346912269">
    <w:abstractNumId w:val="7"/>
  </w:num>
  <w:num w:numId="15" w16cid:durableId="2083864655">
    <w:abstractNumId w:val="9"/>
  </w:num>
  <w:num w:numId="16" w16cid:durableId="2063403317">
    <w:abstractNumId w:val="29"/>
  </w:num>
  <w:num w:numId="17" w16cid:durableId="1192381235">
    <w:abstractNumId w:val="28"/>
  </w:num>
  <w:num w:numId="18" w16cid:durableId="1286279129">
    <w:abstractNumId w:val="18"/>
  </w:num>
  <w:num w:numId="19" w16cid:durableId="1339700934">
    <w:abstractNumId w:val="12"/>
  </w:num>
  <w:num w:numId="20" w16cid:durableId="2111974950">
    <w:abstractNumId w:val="34"/>
  </w:num>
  <w:num w:numId="21" w16cid:durableId="2052632">
    <w:abstractNumId w:val="8"/>
  </w:num>
  <w:num w:numId="22" w16cid:durableId="710567864">
    <w:abstractNumId w:val="16"/>
  </w:num>
  <w:num w:numId="23" w16cid:durableId="372845217">
    <w:abstractNumId w:val="22"/>
  </w:num>
  <w:num w:numId="24" w16cid:durableId="973801025">
    <w:abstractNumId w:val="0"/>
  </w:num>
  <w:num w:numId="25" w16cid:durableId="259605350">
    <w:abstractNumId w:val="2"/>
  </w:num>
  <w:num w:numId="26" w16cid:durableId="969172610">
    <w:abstractNumId w:val="26"/>
  </w:num>
  <w:num w:numId="27" w16cid:durableId="2102951225">
    <w:abstractNumId w:val="20"/>
  </w:num>
  <w:num w:numId="28" w16cid:durableId="1328434542">
    <w:abstractNumId w:val="23"/>
  </w:num>
  <w:num w:numId="29" w16cid:durableId="712510221">
    <w:abstractNumId w:val="21"/>
  </w:num>
  <w:num w:numId="30" w16cid:durableId="525100834">
    <w:abstractNumId w:val="5"/>
  </w:num>
  <w:num w:numId="31" w16cid:durableId="724447249">
    <w:abstractNumId w:val="19"/>
  </w:num>
  <w:num w:numId="32" w16cid:durableId="693460212">
    <w:abstractNumId w:val="13"/>
  </w:num>
  <w:num w:numId="33" w16cid:durableId="1431513804">
    <w:abstractNumId w:val="27"/>
  </w:num>
  <w:num w:numId="34" w16cid:durableId="1180655745">
    <w:abstractNumId w:val="1"/>
  </w:num>
  <w:num w:numId="35" w16cid:durableId="978074045">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es-ES" w:vendorID="64" w:dllVersion="0" w:nlCheck="1" w:checkStyle="0"/>
  <w:activeWritingStyle w:appName="MSWord" w:lang="es-ES_tradnl" w:vendorID="64" w:dllVersion="0" w:nlCheck="1" w:checkStyle="0"/>
  <w:activeWritingStyle w:appName="MSWord" w:lang="fr-FR" w:vendorID="64" w:dllVersion="6" w:nlCheck="1" w:checkStyle="1"/>
  <w:activeWritingStyle w:appName="MSWord" w:lang="es-ES" w:vendorID="64" w:dllVersion="4096" w:nlCheck="1" w:checkStyle="0"/>
  <w:activeWritingStyle w:appName="MSWord" w:lang="es-ES_tradn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AF8"/>
    <w:rsid w:val="00000AF8"/>
    <w:rsid w:val="00000EBB"/>
    <w:rsid w:val="00002F9E"/>
    <w:rsid w:val="00003318"/>
    <w:rsid w:val="00005F73"/>
    <w:rsid w:val="00010092"/>
    <w:rsid w:val="000108ED"/>
    <w:rsid w:val="000135AB"/>
    <w:rsid w:val="000138C1"/>
    <w:rsid w:val="00014484"/>
    <w:rsid w:val="00022802"/>
    <w:rsid w:val="00022BC0"/>
    <w:rsid w:val="00025D9A"/>
    <w:rsid w:val="000265A1"/>
    <w:rsid w:val="000278D3"/>
    <w:rsid w:val="000301EC"/>
    <w:rsid w:val="00030391"/>
    <w:rsid w:val="000321A5"/>
    <w:rsid w:val="00034A5A"/>
    <w:rsid w:val="00034AD5"/>
    <w:rsid w:val="00035F90"/>
    <w:rsid w:val="0003618D"/>
    <w:rsid w:val="00040AE2"/>
    <w:rsid w:val="00041805"/>
    <w:rsid w:val="00042D5F"/>
    <w:rsid w:val="00042EAE"/>
    <w:rsid w:val="00044B2F"/>
    <w:rsid w:val="00044F39"/>
    <w:rsid w:val="00046CBC"/>
    <w:rsid w:val="000546E6"/>
    <w:rsid w:val="00055094"/>
    <w:rsid w:val="0005547A"/>
    <w:rsid w:val="0005566A"/>
    <w:rsid w:val="00055F73"/>
    <w:rsid w:val="00056B57"/>
    <w:rsid w:val="000602B5"/>
    <w:rsid w:val="00062DE3"/>
    <w:rsid w:val="00065295"/>
    <w:rsid w:val="000657B9"/>
    <w:rsid w:val="00066C80"/>
    <w:rsid w:val="0007053B"/>
    <w:rsid w:val="000716F0"/>
    <w:rsid w:val="00071705"/>
    <w:rsid w:val="0007239F"/>
    <w:rsid w:val="00072C53"/>
    <w:rsid w:val="00080954"/>
    <w:rsid w:val="00080A0C"/>
    <w:rsid w:val="00081D99"/>
    <w:rsid w:val="000841A8"/>
    <w:rsid w:val="00085669"/>
    <w:rsid w:val="000903FD"/>
    <w:rsid w:val="0009063C"/>
    <w:rsid w:val="000A0A5B"/>
    <w:rsid w:val="000A1D9E"/>
    <w:rsid w:val="000A3A1B"/>
    <w:rsid w:val="000A3D80"/>
    <w:rsid w:val="000A564E"/>
    <w:rsid w:val="000A7E0B"/>
    <w:rsid w:val="000B12A6"/>
    <w:rsid w:val="000B19AD"/>
    <w:rsid w:val="000B1D26"/>
    <w:rsid w:val="000B5B7E"/>
    <w:rsid w:val="000C0017"/>
    <w:rsid w:val="000C21E3"/>
    <w:rsid w:val="000D47C1"/>
    <w:rsid w:val="000D698A"/>
    <w:rsid w:val="000E0422"/>
    <w:rsid w:val="000E0A4D"/>
    <w:rsid w:val="000E77D5"/>
    <w:rsid w:val="000F3786"/>
    <w:rsid w:val="000F5C09"/>
    <w:rsid w:val="0010022D"/>
    <w:rsid w:val="00100E74"/>
    <w:rsid w:val="0010185D"/>
    <w:rsid w:val="0010284E"/>
    <w:rsid w:val="0010315C"/>
    <w:rsid w:val="001043F7"/>
    <w:rsid w:val="001055A3"/>
    <w:rsid w:val="00105F02"/>
    <w:rsid w:val="00105F41"/>
    <w:rsid w:val="00106026"/>
    <w:rsid w:val="00115D6A"/>
    <w:rsid w:val="00120098"/>
    <w:rsid w:val="00121DE5"/>
    <w:rsid w:val="00123E93"/>
    <w:rsid w:val="00125310"/>
    <w:rsid w:val="00125555"/>
    <w:rsid w:val="00127183"/>
    <w:rsid w:val="00127569"/>
    <w:rsid w:val="0013272A"/>
    <w:rsid w:val="001328A4"/>
    <w:rsid w:val="001328C2"/>
    <w:rsid w:val="00137B7D"/>
    <w:rsid w:val="00140013"/>
    <w:rsid w:val="001402FF"/>
    <w:rsid w:val="0014291B"/>
    <w:rsid w:val="00145456"/>
    <w:rsid w:val="001464A1"/>
    <w:rsid w:val="001547E0"/>
    <w:rsid w:val="00154809"/>
    <w:rsid w:val="00157737"/>
    <w:rsid w:val="00160540"/>
    <w:rsid w:val="00161428"/>
    <w:rsid w:val="0016265D"/>
    <w:rsid w:val="0016453D"/>
    <w:rsid w:val="00164C1A"/>
    <w:rsid w:val="00164C67"/>
    <w:rsid w:val="001663CC"/>
    <w:rsid w:val="001737F9"/>
    <w:rsid w:val="00175C21"/>
    <w:rsid w:val="00176B37"/>
    <w:rsid w:val="001779BF"/>
    <w:rsid w:val="00177DD7"/>
    <w:rsid w:val="00184518"/>
    <w:rsid w:val="001961C1"/>
    <w:rsid w:val="001967CD"/>
    <w:rsid w:val="00196994"/>
    <w:rsid w:val="001A014D"/>
    <w:rsid w:val="001A06FA"/>
    <w:rsid w:val="001A3597"/>
    <w:rsid w:val="001A47E3"/>
    <w:rsid w:val="001A4DE7"/>
    <w:rsid w:val="001A504A"/>
    <w:rsid w:val="001A6AA9"/>
    <w:rsid w:val="001B1A72"/>
    <w:rsid w:val="001B1D78"/>
    <w:rsid w:val="001B22A0"/>
    <w:rsid w:val="001B262E"/>
    <w:rsid w:val="001B4760"/>
    <w:rsid w:val="001B4BC9"/>
    <w:rsid w:val="001B6535"/>
    <w:rsid w:val="001C2E0C"/>
    <w:rsid w:val="001C47E1"/>
    <w:rsid w:val="001C5060"/>
    <w:rsid w:val="001D129F"/>
    <w:rsid w:val="001D4650"/>
    <w:rsid w:val="001D5B8B"/>
    <w:rsid w:val="001D626B"/>
    <w:rsid w:val="001D6335"/>
    <w:rsid w:val="001D67C2"/>
    <w:rsid w:val="001D6B20"/>
    <w:rsid w:val="001D7113"/>
    <w:rsid w:val="001E09EF"/>
    <w:rsid w:val="001E19C5"/>
    <w:rsid w:val="001E1D72"/>
    <w:rsid w:val="001E2BCD"/>
    <w:rsid w:val="001E3D11"/>
    <w:rsid w:val="001E4161"/>
    <w:rsid w:val="001E4998"/>
    <w:rsid w:val="001E63C7"/>
    <w:rsid w:val="001F05F9"/>
    <w:rsid w:val="001F0F34"/>
    <w:rsid w:val="001F254E"/>
    <w:rsid w:val="001F3974"/>
    <w:rsid w:val="001F7C9C"/>
    <w:rsid w:val="00200894"/>
    <w:rsid w:val="002020F1"/>
    <w:rsid w:val="002023DB"/>
    <w:rsid w:val="00202BD7"/>
    <w:rsid w:val="002038F0"/>
    <w:rsid w:val="00211429"/>
    <w:rsid w:val="002115B0"/>
    <w:rsid w:val="00214397"/>
    <w:rsid w:val="00215D3D"/>
    <w:rsid w:val="00216119"/>
    <w:rsid w:val="002209BB"/>
    <w:rsid w:val="00221E78"/>
    <w:rsid w:val="00223E5B"/>
    <w:rsid w:val="00225966"/>
    <w:rsid w:val="00226E79"/>
    <w:rsid w:val="00232067"/>
    <w:rsid w:val="002334FB"/>
    <w:rsid w:val="00233CC7"/>
    <w:rsid w:val="00234703"/>
    <w:rsid w:val="00235959"/>
    <w:rsid w:val="00241557"/>
    <w:rsid w:val="00241B38"/>
    <w:rsid w:val="002453E8"/>
    <w:rsid w:val="002456E7"/>
    <w:rsid w:val="0024622A"/>
    <w:rsid w:val="00246923"/>
    <w:rsid w:val="00246E7D"/>
    <w:rsid w:val="002477CE"/>
    <w:rsid w:val="002478C6"/>
    <w:rsid w:val="00250C38"/>
    <w:rsid w:val="00256418"/>
    <w:rsid w:val="002569F3"/>
    <w:rsid w:val="00264346"/>
    <w:rsid w:val="00264869"/>
    <w:rsid w:val="00264B4C"/>
    <w:rsid w:val="00265275"/>
    <w:rsid w:val="002660A4"/>
    <w:rsid w:val="00267F87"/>
    <w:rsid w:val="0027120A"/>
    <w:rsid w:val="002716D1"/>
    <w:rsid w:val="00273133"/>
    <w:rsid w:val="002733E2"/>
    <w:rsid w:val="0027783B"/>
    <w:rsid w:val="00277C64"/>
    <w:rsid w:val="0028110F"/>
    <w:rsid w:val="0029088E"/>
    <w:rsid w:val="00291F23"/>
    <w:rsid w:val="00292093"/>
    <w:rsid w:val="00293E8E"/>
    <w:rsid w:val="00294030"/>
    <w:rsid w:val="00294E9F"/>
    <w:rsid w:val="002A1A37"/>
    <w:rsid w:val="002A3451"/>
    <w:rsid w:val="002A3F68"/>
    <w:rsid w:val="002A441A"/>
    <w:rsid w:val="002A6BDF"/>
    <w:rsid w:val="002A7C46"/>
    <w:rsid w:val="002B094F"/>
    <w:rsid w:val="002B0A78"/>
    <w:rsid w:val="002B2773"/>
    <w:rsid w:val="002B3539"/>
    <w:rsid w:val="002B4B80"/>
    <w:rsid w:val="002B4FAD"/>
    <w:rsid w:val="002B5CD4"/>
    <w:rsid w:val="002C3DFF"/>
    <w:rsid w:val="002C6FD0"/>
    <w:rsid w:val="002D059C"/>
    <w:rsid w:val="002D099F"/>
    <w:rsid w:val="002D0A30"/>
    <w:rsid w:val="002D5051"/>
    <w:rsid w:val="002D739B"/>
    <w:rsid w:val="002E02E4"/>
    <w:rsid w:val="002E1A5C"/>
    <w:rsid w:val="002E238B"/>
    <w:rsid w:val="002E2D4E"/>
    <w:rsid w:val="002E59E9"/>
    <w:rsid w:val="002E75B1"/>
    <w:rsid w:val="002E79D1"/>
    <w:rsid w:val="002F36D0"/>
    <w:rsid w:val="002F3C4A"/>
    <w:rsid w:val="003021B1"/>
    <w:rsid w:val="00302A94"/>
    <w:rsid w:val="00302AE3"/>
    <w:rsid w:val="00304FFF"/>
    <w:rsid w:val="0030616A"/>
    <w:rsid w:val="00306391"/>
    <w:rsid w:val="003107AD"/>
    <w:rsid w:val="00311828"/>
    <w:rsid w:val="003212B7"/>
    <w:rsid w:val="00322F95"/>
    <w:rsid w:val="00324B35"/>
    <w:rsid w:val="003263E5"/>
    <w:rsid w:val="00326C73"/>
    <w:rsid w:val="003300AB"/>
    <w:rsid w:val="003301D4"/>
    <w:rsid w:val="003347C9"/>
    <w:rsid w:val="003368B5"/>
    <w:rsid w:val="00340C47"/>
    <w:rsid w:val="00341BFE"/>
    <w:rsid w:val="00341D4C"/>
    <w:rsid w:val="00343C0E"/>
    <w:rsid w:val="00343D81"/>
    <w:rsid w:val="00345457"/>
    <w:rsid w:val="003464F1"/>
    <w:rsid w:val="00350622"/>
    <w:rsid w:val="0035452A"/>
    <w:rsid w:val="00365B0E"/>
    <w:rsid w:val="00367B63"/>
    <w:rsid w:val="00371AAC"/>
    <w:rsid w:val="003735A6"/>
    <w:rsid w:val="00373C69"/>
    <w:rsid w:val="003742C1"/>
    <w:rsid w:val="0037482D"/>
    <w:rsid w:val="00374B59"/>
    <w:rsid w:val="00374FD4"/>
    <w:rsid w:val="00377143"/>
    <w:rsid w:val="00377C53"/>
    <w:rsid w:val="003800C3"/>
    <w:rsid w:val="003805E7"/>
    <w:rsid w:val="003813A5"/>
    <w:rsid w:val="0038424A"/>
    <w:rsid w:val="00384866"/>
    <w:rsid w:val="00386046"/>
    <w:rsid w:val="0038641D"/>
    <w:rsid w:val="00391E24"/>
    <w:rsid w:val="003928B6"/>
    <w:rsid w:val="00392F28"/>
    <w:rsid w:val="0039410B"/>
    <w:rsid w:val="00395458"/>
    <w:rsid w:val="0039655E"/>
    <w:rsid w:val="003970A1"/>
    <w:rsid w:val="003A48D3"/>
    <w:rsid w:val="003A55D5"/>
    <w:rsid w:val="003A71A5"/>
    <w:rsid w:val="003B33E0"/>
    <w:rsid w:val="003B5A87"/>
    <w:rsid w:val="003B61A2"/>
    <w:rsid w:val="003C0761"/>
    <w:rsid w:val="003C1857"/>
    <w:rsid w:val="003C266A"/>
    <w:rsid w:val="003C35D1"/>
    <w:rsid w:val="003C4EBB"/>
    <w:rsid w:val="003C5E11"/>
    <w:rsid w:val="003C71AD"/>
    <w:rsid w:val="003D0ADB"/>
    <w:rsid w:val="003D0E41"/>
    <w:rsid w:val="003D18AC"/>
    <w:rsid w:val="003D330E"/>
    <w:rsid w:val="003D5109"/>
    <w:rsid w:val="003D7150"/>
    <w:rsid w:val="003E1C2A"/>
    <w:rsid w:val="003E3BD7"/>
    <w:rsid w:val="003E68D7"/>
    <w:rsid w:val="003E6E3A"/>
    <w:rsid w:val="003F0CA1"/>
    <w:rsid w:val="003F1456"/>
    <w:rsid w:val="003F1FE4"/>
    <w:rsid w:val="003F31E4"/>
    <w:rsid w:val="003F3813"/>
    <w:rsid w:val="003F3999"/>
    <w:rsid w:val="003F4F5F"/>
    <w:rsid w:val="00401F82"/>
    <w:rsid w:val="004069DA"/>
    <w:rsid w:val="0040724E"/>
    <w:rsid w:val="00417EFE"/>
    <w:rsid w:val="00421624"/>
    <w:rsid w:val="00421737"/>
    <w:rsid w:val="0042174C"/>
    <w:rsid w:val="00422626"/>
    <w:rsid w:val="00422E6D"/>
    <w:rsid w:val="00423254"/>
    <w:rsid w:val="0042490F"/>
    <w:rsid w:val="00426E1C"/>
    <w:rsid w:val="00427153"/>
    <w:rsid w:val="004305B6"/>
    <w:rsid w:val="0043064E"/>
    <w:rsid w:val="004306A9"/>
    <w:rsid w:val="00430A27"/>
    <w:rsid w:val="004356FD"/>
    <w:rsid w:val="00437999"/>
    <w:rsid w:val="00442C8E"/>
    <w:rsid w:val="00443EF4"/>
    <w:rsid w:val="00450D64"/>
    <w:rsid w:val="00450EDD"/>
    <w:rsid w:val="00451336"/>
    <w:rsid w:val="004518EE"/>
    <w:rsid w:val="00454001"/>
    <w:rsid w:val="00454301"/>
    <w:rsid w:val="00454C2B"/>
    <w:rsid w:val="00454CD8"/>
    <w:rsid w:val="00455034"/>
    <w:rsid w:val="00461736"/>
    <w:rsid w:val="004621EB"/>
    <w:rsid w:val="004622BD"/>
    <w:rsid w:val="00462555"/>
    <w:rsid w:val="00465EFC"/>
    <w:rsid w:val="00466C85"/>
    <w:rsid w:val="00467EA4"/>
    <w:rsid w:val="004703E8"/>
    <w:rsid w:val="0047249C"/>
    <w:rsid w:val="00473F0B"/>
    <w:rsid w:val="004748E0"/>
    <w:rsid w:val="0048003D"/>
    <w:rsid w:val="00481F19"/>
    <w:rsid w:val="00481F5C"/>
    <w:rsid w:val="00483A90"/>
    <w:rsid w:val="00485016"/>
    <w:rsid w:val="00486D46"/>
    <w:rsid w:val="0049274A"/>
    <w:rsid w:val="00493A93"/>
    <w:rsid w:val="00495549"/>
    <w:rsid w:val="00496284"/>
    <w:rsid w:val="00497DDD"/>
    <w:rsid w:val="004A05DE"/>
    <w:rsid w:val="004A2B12"/>
    <w:rsid w:val="004A4924"/>
    <w:rsid w:val="004A5F63"/>
    <w:rsid w:val="004A778E"/>
    <w:rsid w:val="004B0DF9"/>
    <w:rsid w:val="004B3EFF"/>
    <w:rsid w:val="004B57E9"/>
    <w:rsid w:val="004B62F5"/>
    <w:rsid w:val="004C106A"/>
    <w:rsid w:val="004C2306"/>
    <w:rsid w:val="004C295F"/>
    <w:rsid w:val="004C2BD0"/>
    <w:rsid w:val="004C52A2"/>
    <w:rsid w:val="004D0A71"/>
    <w:rsid w:val="004D15DF"/>
    <w:rsid w:val="004D1A26"/>
    <w:rsid w:val="004D260C"/>
    <w:rsid w:val="004D2AC6"/>
    <w:rsid w:val="004D2B8A"/>
    <w:rsid w:val="004D4BDB"/>
    <w:rsid w:val="004E1BA8"/>
    <w:rsid w:val="004E4B4C"/>
    <w:rsid w:val="004F04E1"/>
    <w:rsid w:val="004F1FA3"/>
    <w:rsid w:val="004F2150"/>
    <w:rsid w:val="004F2C2C"/>
    <w:rsid w:val="004F4565"/>
    <w:rsid w:val="004F54E8"/>
    <w:rsid w:val="004F6248"/>
    <w:rsid w:val="004F6966"/>
    <w:rsid w:val="00502B0A"/>
    <w:rsid w:val="00503DB2"/>
    <w:rsid w:val="0050526C"/>
    <w:rsid w:val="00507B6E"/>
    <w:rsid w:val="00513A20"/>
    <w:rsid w:val="00514AA5"/>
    <w:rsid w:val="00514FDD"/>
    <w:rsid w:val="005206D3"/>
    <w:rsid w:val="00520F62"/>
    <w:rsid w:val="00521A5A"/>
    <w:rsid w:val="00524F65"/>
    <w:rsid w:val="005263E2"/>
    <w:rsid w:val="00526AD8"/>
    <w:rsid w:val="00526B5F"/>
    <w:rsid w:val="00532A55"/>
    <w:rsid w:val="00533C29"/>
    <w:rsid w:val="00536236"/>
    <w:rsid w:val="0054076B"/>
    <w:rsid w:val="00541F2F"/>
    <w:rsid w:val="005445AE"/>
    <w:rsid w:val="005449FC"/>
    <w:rsid w:val="00544AFC"/>
    <w:rsid w:val="005502FB"/>
    <w:rsid w:val="00551188"/>
    <w:rsid w:val="0055261E"/>
    <w:rsid w:val="00553C6B"/>
    <w:rsid w:val="00555DC5"/>
    <w:rsid w:val="00557213"/>
    <w:rsid w:val="00557FB0"/>
    <w:rsid w:val="0056096F"/>
    <w:rsid w:val="0056273C"/>
    <w:rsid w:val="00564218"/>
    <w:rsid w:val="00565E67"/>
    <w:rsid w:val="00567373"/>
    <w:rsid w:val="00567BAE"/>
    <w:rsid w:val="00572E2A"/>
    <w:rsid w:val="005732E1"/>
    <w:rsid w:val="005758CA"/>
    <w:rsid w:val="00577C99"/>
    <w:rsid w:val="0058375C"/>
    <w:rsid w:val="00584B80"/>
    <w:rsid w:val="00584DBD"/>
    <w:rsid w:val="00584EFE"/>
    <w:rsid w:val="00585C20"/>
    <w:rsid w:val="00587405"/>
    <w:rsid w:val="00587FDA"/>
    <w:rsid w:val="00597995"/>
    <w:rsid w:val="005A2F98"/>
    <w:rsid w:val="005A46B8"/>
    <w:rsid w:val="005A6ADA"/>
    <w:rsid w:val="005A7468"/>
    <w:rsid w:val="005B03B6"/>
    <w:rsid w:val="005B2B88"/>
    <w:rsid w:val="005B2CD7"/>
    <w:rsid w:val="005B5A76"/>
    <w:rsid w:val="005B675B"/>
    <w:rsid w:val="005C0017"/>
    <w:rsid w:val="005C17E7"/>
    <w:rsid w:val="005C1A3D"/>
    <w:rsid w:val="005C4184"/>
    <w:rsid w:val="005D0B9E"/>
    <w:rsid w:val="005D30C7"/>
    <w:rsid w:val="005D3CB2"/>
    <w:rsid w:val="005D3D34"/>
    <w:rsid w:val="005D4B8B"/>
    <w:rsid w:val="005D58D5"/>
    <w:rsid w:val="005D68E4"/>
    <w:rsid w:val="005D70AA"/>
    <w:rsid w:val="005E0086"/>
    <w:rsid w:val="005E030D"/>
    <w:rsid w:val="005E15B0"/>
    <w:rsid w:val="005E29D5"/>
    <w:rsid w:val="005E30F3"/>
    <w:rsid w:val="005E5729"/>
    <w:rsid w:val="005E5822"/>
    <w:rsid w:val="005E5FC8"/>
    <w:rsid w:val="005E730A"/>
    <w:rsid w:val="005F0233"/>
    <w:rsid w:val="005F0DE1"/>
    <w:rsid w:val="005F27E5"/>
    <w:rsid w:val="005F32A8"/>
    <w:rsid w:val="005F40B0"/>
    <w:rsid w:val="005F5A02"/>
    <w:rsid w:val="005F6EF6"/>
    <w:rsid w:val="00603093"/>
    <w:rsid w:val="006031B4"/>
    <w:rsid w:val="00603DF4"/>
    <w:rsid w:val="006048D2"/>
    <w:rsid w:val="0060634E"/>
    <w:rsid w:val="00610E39"/>
    <w:rsid w:val="0061145F"/>
    <w:rsid w:val="00611C17"/>
    <w:rsid w:val="00612E2F"/>
    <w:rsid w:val="00616788"/>
    <w:rsid w:val="0062448C"/>
    <w:rsid w:val="00626B4C"/>
    <w:rsid w:val="00626BBF"/>
    <w:rsid w:val="00627EDC"/>
    <w:rsid w:val="00630067"/>
    <w:rsid w:val="006308E4"/>
    <w:rsid w:val="006327AC"/>
    <w:rsid w:val="00635B77"/>
    <w:rsid w:val="006409E2"/>
    <w:rsid w:val="00641E88"/>
    <w:rsid w:val="00644665"/>
    <w:rsid w:val="006451AF"/>
    <w:rsid w:val="006455E0"/>
    <w:rsid w:val="006466EF"/>
    <w:rsid w:val="0064721E"/>
    <w:rsid w:val="00647537"/>
    <w:rsid w:val="00655998"/>
    <w:rsid w:val="006560C2"/>
    <w:rsid w:val="006572A4"/>
    <w:rsid w:val="006647DD"/>
    <w:rsid w:val="00664894"/>
    <w:rsid w:val="00664E18"/>
    <w:rsid w:val="0067061C"/>
    <w:rsid w:val="00673240"/>
    <w:rsid w:val="00675EFC"/>
    <w:rsid w:val="0067770F"/>
    <w:rsid w:val="006801B4"/>
    <w:rsid w:val="00681E22"/>
    <w:rsid w:val="0068296D"/>
    <w:rsid w:val="00682FF8"/>
    <w:rsid w:val="00683B3A"/>
    <w:rsid w:val="0068466E"/>
    <w:rsid w:val="006854A0"/>
    <w:rsid w:val="006878F0"/>
    <w:rsid w:val="00695B36"/>
    <w:rsid w:val="006972F4"/>
    <w:rsid w:val="006A0323"/>
    <w:rsid w:val="006A25AF"/>
    <w:rsid w:val="006A5708"/>
    <w:rsid w:val="006A6B7D"/>
    <w:rsid w:val="006A6CD0"/>
    <w:rsid w:val="006B081E"/>
    <w:rsid w:val="006B0CB6"/>
    <w:rsid w:val="006B0DA5"/>
    <w:rsid w:val="006B1DBB"/>
    <w:rsid w:val="006B437C"/>
    <w:rsid w:val="006B5EEF"/>
    <w:rsid w:val="006C02A0"/>
    <w:rsid w:val="006C1B65"/>
    <w:rsid w:val="006C3556"/>
    <w:rsid w:val="006C37D7"/>
    <w:rsid w:val="006C3F10"/>
    <w:rsid w:val="006C507E"/>
    <w:rsid w:val="006C7DBF"/>
    <w:rsid w:val="006D0C6E"/>
    <w:rsid w:val="006D4FBF"/>
    <w:rsid w:val="006D6B8E"/>
    <w:rsid w:val="006D7B5A"/>
    <w:rsid w:val="006E01B1"/>
    <w:rsid w:val="006E0FB9"/>
    <w:rsid w:val="006E10A0"/>
    <w:rsid w:val="006E3845"/>
    <w:rsid w:val="006E6BB1"/>
    <w:rsid w:val="006F0E86"/>
    <w:rsid w:val="006F38C3"/>
    <w:rsid w:val="006F4BD4"/>
    <w:rsid w:val="006F6A39"/>
    <w:rsid w:val="006F6C94"/>
    <w:rsid w:val="0070135F"/>
    <w:rsid w:val="00702F13"/>
    <w:rsid w:val="00704E04"/>
    <w:rsid w:val="00704F91"/>
    <w:rsid w:val="00707535"/>
    <w:rsid w:val="00715664"/>
    <w:rsid w:val="00716381"/>
    <w:rsid w:val="00717E46"/>
    <w:rsid w:val="0072291F"/>
    <w:rsid w:val="0072750F"/>
    <w:rsid w:val="0073061E"/>
    <w:rsid w:val="00730F01"/>
    <w:rsid w:val="00733EF3"/>
    <w:rsid w:val="00734FA6"/>
    <w:rsid w:val="007365ED"/>
    <w:rsid w:val="00740CF3"/>
    <w:rsid w:val="00743066"/>
    <w:rsid w:val="007524A9"/>
    <w:rsid w:val="00756F71"/>
    <w:rsid w:val="00756F8D"/>
    <w:rsid w:val="00757A01"/>
    <w:rsid w:val="00757C75"/>
    <w:rsid w:val="00760251"/>
    <w:rsid w:val="007605E7"/>
    <w:rsid w:val="00763D1A"/>
    <w:rsid w:val="00770A63"/>
    <w:rsid w:val="007710E9"/>
    <w:rsid w:val="00771A90"/>
    <w:rsid w:val="0077487C"/>
    <w:rsid w:val="007757F0"/>
    <w:rsid w:val="007761B7"/>
    <w:rsid w:val="00777772"/>
    <w:rsid w:val="00777CBB"/>
    <w:rsid w:val="00780841"/>
    <w:rsid w:val="00780D5C"/>
    <w:rsid w:val="0078198E"/>
    <w:rsid w:val="00782293"/>
    <w:rsid w:val="00782CA3"/>
    <w:rsid w:val="00784AD3"/>
    <w:rsid w:val="007865AE"/>
    <w:rsid w:val="00787221"/>
    <w:rsid w:val="007915FD"/>
    <w:rsid w:val="0079373D"/>
    <w:rsid w:val="00793DEE"/>
    <w:rsid w:val="00794B84"/>
    <w:rsid w:val="00794FE7"/>
    <w:rsid w:val="00795631"/>
    <w:rsid w:val="007A5014"/>
    <w:rsid w:val="007A65FF"/>
    <w:rsid w:val="007A6C1C"/>
    <w:rsid w:val="007B146D"/>
    <w:rsid w:val="007B196B"/>
    <w:rsid w:val="007B1F76"/>
    <w:rsid w:val="007B2223"/>
    <w:rsid w:val="007B371C"/>
    <w:rsid w:val="007B573D"/>
    <w:rsid w:val="007B72D3"/>
    <w:rsid w:val="007B7647"/>
    <w:rsid w:val="007C1869"/>
    <w:rsid w:val="007C2792"/>
    <w:rsid w:val="007C32B6"/>
    <w:rsid w:val="007C35A1"/>
    <w:rsid w:val="007C66D2"/>
    <w:rsid w:val="007C67D6"/>
    <w:rsid w:val="007C7557"/>
    <w:rsid w:val="007C7ACC"/>
    <w:rsid w:val="007C7D58"/>
    <w:rsid w:val="007C7E84"/>
    <w:rsid w:val="007D1A8E"/>
    <w:rsid w:val="007D43EB"/>
    <w:rsid w:val="007D58DE"/>
    <w:rsid w:val="007D69B6"/>
    <w:rsid w:val="007D6D76"/>
    <w:rsid w:val="007E020D"/>
    <w:rsid w:val="007E182D"/>
    <w:rsid w:val="007E3AC4"/>
    <w:rsid w:val="007E3E7B"/>
    <w:rsid w:val="007E3F69"/>
    <w:rsid w:val="007F03EC"/>
    <w:rsid w:val="007F4095"/>
    <w:rsid w:val="007F5586"/>
    <w:rsid w:val="007F62FE"/>
    <w:rsid w:val="007F7CCF"/>
    <w:rsid w:val="00800BAC"/>
    <w:rsid w:val="00800FCA"/>
    <w:rsid w:val="0080246B"/>
    <w:rsid w:val="00802F73"/>
    <w:rsid w:val="008035D0"/>
    <w:rsid w:val="008038A5"/>
    <w:rsid w:val="00814256"/>
    <w:rsid w:val="00814342"/>
    <w:rsid w:val="00815490"/>
    <w:rsid w:val="00815775"/>
    <w:rsid w:val="00817B88"/>
    <w:rsid w:val="00817F84"/>
    <w:rsid w:val="008206F4"/>
    <w:rsid w:val="00823325"/>
    <w:rsid w:val="00824C1F"/>
    <w:rsid w:val="00826758"/>
    <w:rsid w:val="00836C5D"/>
    <w:rsid w:val="0083701A"/>
    <w:rsid w:val="00841DF6"/>
    <w:rsid w:val="00846064"/>
    <w:rsid w:val="00846A04"/>
    <w:rsid w:val="0084742D"/>
    <w:rsid w:val="00847797"/>
    <w:rsid w:val="00850A4F"/>
    <w:rsid w:val="00851564"/>
    <w:rsid w:val="008539CB"/>
    <w:rsid w:val="008556E3"/>
    <w:rsid w:val="00855D9A"/>
    <w:rsid w:val="0085640F"/>
    <w:rsid w:val="00857C4E"/>
    <w:rsid w:val="00857C4F"/>
    <w:rsid w:val="00860A91"/>
    <w:rsid w:val="00861D1D"/>
    <w:rsid w:val="008658C8"/>
    <w:rsid w:val="00867D04"/>
    <w:rsid w:val="00870878"/>
    <w:rsid w:val="008709E7"/>
    <w:rsid w:val="00870C1B"/>
    <w:rsid w:val="00871604"/>
    <w:rsid w:val="008725DD"/>
    <w:rsid w:val="00873E5D"/>
    <w:rsid w:val="008748D4"/>
    <w:rsid w:val="0087536B"/>
    <w:rsid w:val="00875399"/>
    <w:rsid w:val="008812A2"/>
    <w:rsid w:val="008834F9"/>
    <w:rsid w:val="00883B39"/>
    <w:rsid w:val="00886FF3"/>
    <w:rsid w:val="00891BE9"/>
    <w:rsid w:val="008A0B1F"/>
    <w:rsid w:val="008A2EC6"/>
    <w:rsid w:val="008A7258"/>
    <w:rsid w:val="008A7643"/>
    <w:rsid w:val="008A771E"/>
    <w:rsid w:val="008A7C98"/>
    <w:rsid w:val="008B0DE1"/>
    <w:rsid w:val="008B0E29"/>
    <w:rsid w:val="008B456A"/>
    <w:rsid w:val="008B7601"/>
    <w:rsid w:val="008C06F1"/>
    <w:rsid w:val="008C0788"/>
    <w:rsid w:val="008C2A76"/>
    <w:rsid w:val="008C5847"/>
    <w:rsid w:val="008C5ADD"/>
    <w:rsid w:val="008D0D99"/>
    <w:rsid w:val="008D1AEF"/>
    <w:rsid w:val="008D2601"/>
    <w:rsid w:val="008D2E99"/>
    <w:rsid w:val="008D382F"/>
    <w:rsid w:val="008D57A4"/>
    <w:rsid w:val="008D58FA"/>
    <w:rsid w:val="008D5A3C"/>
    <w:rsid w:val="008D6C6B"/>
    <w:rsid w:val="008E0FBD"/>
    <w:rsid w:val="008E1474"/>
    <w:rsid w:val="008E158D"/>
    <w:rsid w:val="008E6115"/>
    <w:rsid w:val="008E6D66"/>
    <w:rsid w:val="008E6E73"/>
    <w:rsid w:val="008E747E"/>
    <w:rsid w:val="008E78AB"/>
    <w:rsid w:val="008F0B06"/>
    <w:rsid w:val="008F4B1E"/>
    <w:rsid w:val="008F4BE6"/>
    <w:rsid w:val="008F5CB0"/>
    <w:rsid w:val="008F6B39"/>
    <w:rsid w:val="0090006B"/>
    <w:rsid w:val="00900714"/>
    <w:rsid w:val="00900E8B"/>
    <w:rsid w:val="0090437A"/>
    <w:rsid w:val="0090483D"/>
    <w:rsid w:val="00911B27"/>
    <w:rsid w:val="00916B9C"/>
    <w:rsid w:val="00923A47"/>
    <w:rsid w:val="009254F9"/>
    <w:rsid w:val="009265B9"/>
    <w:rsid w:val="00927A42"/>
    <w:rsid w:val="009346D9"/>
    <w:rsid w:val="00934D9E"/>
    <w:rsid w:val="009359E4"/>
    <w:rsid w:val="009362D2"/>
    <w:rsid w:val="0094063F"/>
    <w:rsid w:val="00941319"/>
    <w:rsid w:val="00943A03"/>
    <w:rsid w:val="0094744C"/>
    <w:rsid w:val="00955722"/>
    <w:rsid w:val="00955A8A"/>
    <w:rsid w:val="0095682C"/>
    <w:rsid w:val="009572B9"/>
    <w:rsid w:val="00963542"/>
    <w:rsid w:val="009676A5"/>
    <w:rsid w:val="00970091"/>
    <w:rsid w:val="00971B8D"/>
    <w:rsid w:val="009721A7"/>
    <w:rsid w:val="009766AE"/>
    <w:rsid w:val="009767C6"/>
    <w:rsid w:val="00977DAA"/>
    <w:rsid w:val="00981C19"/>
    <w:rsid w:val="009830F4"/>
    <w:rsid w:val="0098405A"/>
    <w:rsid w:val="009840A4"/>
    <w:rsid w:val="00985FCD"/>
    <w:rsid w:val="00990D54"/>
    <w:rsid w:val="00990D76"/>
    <w:rsid w:val="009948D2"/>
    <w:rsid w:val="00995156"/>
    <w:rsid w:val="00995407"/>
    <w:rsid w:val="009A0036"/>
    <w:rsid w:val="009A028D"/>
    <w:rsid w:val="009A12CD"/>
    <w:rsid w:val="009A330D"/>
    <w:rsid w:val="009A4411"/>
    <w:rsid w:val="009A4793"/>
    <w:rsid w:val="009A630A"/>
    <w:rsid w:val="009A758B"/>
    <w:rsid w:val="009A7CE9"/>
    <w:rsid w:val="009B1644"/>
    <w:rsid w:val="009B2752"/>
    <w:rsid w:val="009B282B"/>
    <w:rsid w:val="009B34E5"/>
    <w:rsid w:val="009B3A84"/>
    <w:rsid w:val="009B3D1A"/>
    <w:rsid w:val="009C1296"/>
    <w:rsid w:val="009E2702"/>
    <w:rsid w:val="009E6191"/>
    <w:rsid w:val="009E7A21"/>
    <w:rsid w:val="009F5FEE"/>
    <w:rsid w:val="009F727A"/>
    <w:rsid w:val="009F72F3"/>
    <w:rsid w:val="00A01811"/>
    <w:rsid w:val="00A0414F"/>
    <w:rsid w:val="00A0719E"/>
    <w:rsid w:val="00A07792"/>
    <w:rsid w:val="00A10B13"/>
    <w:rsid w:val="00A11E02"/>
    <w:rsid w:val="00A134DB"/>
    <w:rsid w:val="00A141D5"/>
    <w:rsid w:val="00A14C0B"/>
    <w:rsid w:val="00A14F37"/>
    <w:rsid w:val="00A16C2E"/>
    <w:rsid w:val="00A23FA1"/>
    <w:rsid w:val="00A2716B"/>
    <w:rsid w:val="00A273A0"/>
    <w:rsid w:val="00A302F2"/>
    <w:rsid w:val="00A313BE"/>
    <w:rsid w:val="00A31970"/>
    <w:rsid w:val="00A323A7"/>
    <w:rsid w:val="00A324C5"/>
    <w:rsid w:val="00A32E9A"/>
    <w:rsid w:val="00A34C97"/>
    <w:rsid w:val="00A35ACF"/>
    <w:rsid w:val="00A3704E"/>
    <w:rsid w:val="00A40923"/>
    <w:rsid w:val="00A41EA0"/>
    <w:rsid w:val="00A44FAE"/>
    <w:rsid w:val="00A4548B"/>
    <w:rsid w:val="00A46213"/>
    <w:rsid w:val="00A46BBC"/>
    <w:rsid w:val="00A51D66"/>
    <w:rsid w:val="00A57CCE"/>
    <w:rsid w:val="00A6069E"/>
    <w:rsid w:val="00A6146A"/>
    <w:rsid w:val="00A62FCF"/>
    <w:rsid w:val="00A661AF"/>
    <w:rsid w:val="00A677C8"/>
    <w:rsid w:val="00A72080"/>
    <w:rsid w:val="00A724BB"/>
    <w:rsid w:val="00A74D64"/>
    <w:rsid w:val="00A7669F"/>
    <w:rsid w:val="00A778FA"/>
    <w:rsid w:val="00A77A30"/>
    <w:rsid w:val="00A81022"/>
    <w:rsid w:val="00A8173D"/>
    <w:rsid w:val="00A82564"/>
    <w:rsid w:val="00A82C0A"/>
    <w:rsid w:val="00A83CAD"/>
    <w:rsid w:val="00A843A5"/>
    <w:rsid w:val="00A8536D"/>
    <w:rsid w:val="00A9003B"/>
    <w:rsid w:val="00A919CE"/>
    <w:rsid w:val="00AA0066"/>
    <w:rsid w:val="00AA0EC0"/>
    <w:rsid w:val="00AA2617"/>
    <w:rsid w:val="00AA2793"/>
    <w:rsid w:val="00AA4276"/>
    <w:rsid w:val="00AA5746"/>
    <w:rsid w:val="00AB093F"/>
    <w:rsid w:val="00AB0E63"/>
    <w:rsid w:val="00AB1822"/>
    <w:rsid w:val="00AB4271"/>
    <w:rsid w:val="00AB4C79"/>
    <w:rsid w:val="00AC1DF1"/>
    <w:rsid w:val="00AC339E"/>
    <w:rsid w:val="00AC39D6"/>
    <w:rsid w:val="00AC45A6"/>
    <w:rsid w:val="00AC4641"/>
    <w:rsid w:val="00AC70FF"/>
    <w:rsid w:val="00AC754E"/>
    <w:rsid w:val="00AC79CB"/>
    <w:rsid w:val="00AD00BF"/>
    <w:rsid w:val="00AD0BB1"/>
    <w:rsid w:val="00AD1036"/>
    <w:rsid w:val="00AD21C4"/>
    <w:rsid w:val="00AD3921"/>
    <w:rsid w:val="00AD4078"/>
    <w:rsid w:val="00AD5E90"/>
    <w:rsid w:val="00AD61C3"/>
    <w:rsid w:val="00AD6C65"/>
    <w:rsid w:val="00AD712C"/>
    <w:rsid w:val="00AE0358"/>
    <w:rsid w:val="00AE0EC4"/>
    <w:rsid w:val="00AE0F93"/>
    <w:rsid w:val="00AE1F75"/>
    <w:rsid w:val="00AE2433"/>
    <w:rsid w:val="00AE4163"/>
    <w:rsid w:val="00AE7EC2"/>
    <w:rsid w:val="00AF0B1D"/>
    <w:rsid w:val="00AF117E"/>
    <w:rsid w:val="00AF209D"/>
    <w:rsid w:val="00AF6673"/>
    <w:rsid w:val="00B00F54"/>
    <w:rsid w:val="00B04FDA"/>
    <w:rsid w:val="00B1127A"/>
    <w:rsid w:val="00B11640"/>
    <w:rsid w:val="00B15909"/>
    <w:rsid w:val="00B1684F"/>
    <w:rsid w:val="00B17A53"/>
    <w:rsid w:val="00B2072E"/>
    <w:rsid w:val="00B24F26"/>
    <w:rsid w:val="00B25283"/>
    <w:rsid w:val="00B27890"/>
    <w:rsid w:val="00B30593"/>
    <w:rsid w:val="00B31D60"/>
    <w:rsid w:val="00B324B2"/>
    <w:rsid w:val="00B34264"/>
    <w:rsid w:val="00B3500D"/>
    <w:rsid w:val="00B42DB7"/>
    <w:rsid w:val="00B431A7"/>
    <w:rsid w:val="00B43441"/>
    <w:rsid w:val="00B43AF6"/>
    <w:rsid w:val="00B44BCD"/>
    <w:rsid w:val="00B46155"/>
    <w:rsid w:val="00B463D4"/>
    <w:rsid w:val="00B46DA5"/>
    <w:rsid w:val="00B472AB"/>
    <w:rsid w:val="00B50C92"/>
    <w:rsid w:val="00B513D4"/>
    <w:rsid w:val="00B51DF2"/>
    <w:rsid w:val="00B53B07"/>
    <w:rsid w:val="00B551C2"/>
    <w:rsid w:val="00B60CDD"/>
    <w:rsid w:val="00B6396D"/>
    <w:rsid w:val="00B7118C"/>
    <w:rsid w:val="00B72754"/>
    <w:rsid w:val="00B72C99"/>
    <w:rsid w:val="00B75D18"/>
    <w:rsid w:val="00B76DF1"/>
    <w:rsid w:val="00B823F1"/>
    <w:rsid w:val="00B8253D"/>
    <w:rsid w:val="00B87954"/>
    <w:rsid w:val="00B90A97"/>
    <w:rsid w:val="00B91463"/>
    <w:rsid w:val="00B919A4"/>
    <w:rsid w:val="00B92762"/>
    <w:rsid w:val="00B954E2"/>
    <w:rsid w:val="00BA1BDE"/>
    <w:rsid w:val="00BA53F5"/>
    <w:rsid w:val="00BA5877"/>
    <w:rsid w:val="00BA6BCF"/>
    <w:rsid w:val="00BA7333"/>
    <w:rsid w:val="00BA7BDA"/>
    <w:rsid w:val="00BB1EA2"/>
    <w:rsid w:val="00BB3B1C"/>
    <w:rsid w:val="00BB400A"/>
    <w:rsid w:val="00BB409B"/>
    <w:rsid w:val="00BB4B2C"/>
    <w:rsid w:val="00BB54DA"/>
    <w:rsid w:val="00BB5F93"/>
    <w:rsid w:val="00BB76B2"/>
    <w:rsid w:val="00BC5AC2"/>
    <w:rsid w:val="00BC5CF9"/>
    <w:rsid w:val="00BC62E3"/>
    <w:rsid w:val="00BC7CB0"/>
    <w:rsid w:val="00BD488D"/>
    <w:rsid w:val="00BE1656"/>
    <w:rsid w:val="00BE47C5"/>
    <w:rsid w:val="00BE4F4A"/>
    <w:rsid w:val="00BE6CB5"/>
    <w:rsid w:val="00BF062C"/>
    <w:rsid w:val="00BF0D7E"/>
    <w:rsid w:val="00BF0EE6"/>
    <w:rsid w:val="00BF41C3"/>
    <w:rsid w:val="00BF5894"/>
    <w:rsid w:val="00BF6EA4"/>
    <w:rsid w:val="00BF704B"/>
    <w:rsid w:val="00BF7B28"/>
    <w:rsid w:val="00C011B1"/>
    <w:rsid w:val="00C05304"/>
    <w:rsid w:val="00C06D59"/>
    <w:rsid w:val="00C075DD"/>
    <w:rsid w:val="00C07D45"/>
    <w:rsid w:val="00C16B1A"/>
    <w:rsid w:val="00C2060B"/>
    <w:rsid w:val="00C207E0"/>
    <w:rsid w:val="00C20E0E"/>
    <w:rsid w:val="00C25584"/>
    <w:rsid w:val="00C3080E"/>
    <w:rsid w:val="00C311DB"/>
    <w:rsid w:val="00C318F1"/>
    <w:rsid w:val="00C32396"/>
    <w:rsid w:val="00C32716"/>
    <w:rsid w:val="00C327DB"/>
    <w:rsid w:val="00C33A08"/>
    <w:rsid w:val="00C35123"/>
    <w:rsid w:val="00C36C68"/>
    <w:rsid w:val="00C37ABA"/>
    <w:rsid w:val="00C413AD"/>
    <w:rsid w:val="00C41CF3"/>
    <w:rsid w:val="00C50D00"/>
    <w:rsid w:val="00C5291A"/>
    <w:rsid w:val="00C53C2C"/>
    <w:rsid w:val="00C635A4"/>
    <w:rsid w:val="00C636B4"/>
    <w:rsid w:val="00C643FB"/>
    <w:rsid w:val="00C64CD6"/>
    <w:rsid w:val="00C65DA9"/>
    <w:rsid w:val="00C65EEC"/>
    <w:rsid w:val="00C73EE0"/>
    <w:rsid w:val="00C74E3F"/>
    <w:rsid w:val="00C77927"/>
    <w:rsid w:val="00C80C73"/>
    <w:rsid w:val="00C80E43"/>
    <w:rsid w:val="00C8387E"/>
    <w:rsid w:val="00C83DD8"/>
    <w:rsid w:val="00C84591"/>
    <w:rsid w:val="00C84B32"/>
    <w:rsid w:val="00C95807"/>
    <w:rsid w:val="00C96076"/>
    <w:rsid w:val="00C96DF7"/>
    <w:rsid w:val="00CA079B"/>
    <w:rsid w:val="00CA24DA"/>
    <w:rsid w:val="00CA2A4C"/>
    <w:rsid w:val="00CB1460"/>
    <w:rsid w:val="00CB24C9"/>
    <w:rsid w:val="00CB4895"/>
    <w:rsid w:val="00CC123C"/>
    <w:rsid w:val="00CC1640"/>
    <w:rsid w:val="00CC250C"/>
    <w:rsid w:val="00CC27F2"/>
    <w:rsid w:val="00CC28A6"/>
    <w:rsid w:val="00CC35F4"/>
    <w:rsid w:val="00CC6F10"/>
    <w:rsid w:val="00CD0472"/>
    <w:rsid w:val="00CD38D2"/>
    <w:rsid w:val="00CD3B4C"/>
    <w:rsid w:val="00CD675F"/>
    <w:rsid w:val="00CE219D"/>
    <w:rsid w:val="00CE2E09"/>
    <w:rsid w:val="00CE356C"/>
    <w:rsid w:val="00CE3A34"/>
    <w:rsid w:val="00CE7867"/>
    <w:rsid w:val="00CF2E5F"/>
    <w:rsid w:val="00CF426A"/>
    <w:rsid w:val="00CF6CF9"/>
    <w:rsid w:val="00CF73F8"/>
    <w:rsid w:val="00D01C28"/>
    <w:rsid w:val="00D0381A"/>
    <w:rsid w:val="00D040C3"/>
    <w:rsid w:val="00D06B12"/>
    <w:rsid w:val="00D102B5"/>
    <w:rsid w:val="00D116B3"/>
    <w:rsid w:val="00D1657F"/>
    <w:rsid w:val="00D20501"/>
    <w:rsid w:val="00D20B51"/>
    <w:rsid w:val="00D230E0"/>
    <w:rsid w:val="00D25535"/>
    <w:rsid w:val="00D2678C"/>
    <w:rsid w:val="00D30EB1"/>
    <w:rsid w:val="00D32923"/>
    <w:rsid w:val="00D335BB"/>
    <w:rsid w:val="00D336FC"/>
    <w:rsid w:val="00D352E2"/>
    <w:rsid w:val="00D41513"/>
    <w:rsid w:val="00D41750"/>
    <w:rsid w:val="00D43CCC"/>
    <w:rsid w:val="00D449ED"/>
    <w:rsid w:val="00D50260"/>
    <w:rsid w:val="00D50859"/>
    <w:rsid w:val="00D52CF7"/>
    <w:rsid w:val="00D539AA"/>
    <w:rsid w:val="00D54930"/>
    <w:rsid w:val="00D602E0"/>
    <w:rsid w:val="00D61BA7"/>
    <w:rsid w:val="00D6343C"/>
    <w:rsid w:val="00D70511"/>
    <w:rsid w:val="00D70B2C"/>
    <w:rsid w:val="00D70F35"/>
    <w:rsid w:val="00D7191B"/>
    <w:rsid w:val="00D71B12"/>
    <w:rsid w:val="00D75AB2"/>
    <w:rsid w:val="00D77BF7"/>
    <w:rsid w:val="00D82814"/>
    <w:rsid w:val="00D86B33"/>
    <w:rsid w:val="00D875F3"/>
    <w:rsid w:val="00D9219A"/>
    <w:rsid w:val="00D9673A"/>
    <w:rsid w:val="00DA0887"/>
    <w:rsid w:val="00DA0AD1"/>
    <w:rsid w:val="00DA0DD7"/>
    <w:rsid w:val="00DA2B1D"/>
    <w:rsid w:val="00DA37E0"/>
    <w:rsid w:val="00DA4F4E"/>
    <w:rsid w:val="00DA79FA"/>
    <w:rsid w:val="00DB18AC"/>
    <w:rsid w:val="00DB1FCE"/>
    <w:rsid w:val="00DB5205"/>
    <w:rsid w:val="00DB7E49"/>
    <w:rsid w:val="00DB7F63"/>
    <w:rsid w:val="00DC0E8B"/>
    <w:rsid w:val="00DC1B1E"/>
    <w:rsid w:val="00DC2BC0"/>
    <w:rsid w:val="00DC367F"/>
    <w:rsid w:val="00DC43DD"/>
    <w:rsid w:val="00DC4EC2"/>
    <w:rsid w:val="00DC7F6E"/>
    <w:rsid w:val="00DD1B1F"/>
    <w:rsid w:val="00DD5DD1"/>
    <w:rsid w:val="00DE1EDC"/>
    <w:rsid w:val="00DE3A28"/>
    <w:rsid w:val="00DF18C4"/>
    <w:rsid w:val="00DF405C"/>
    <w:rsid w:val="00DF4C86"/>
    <w:rsid w:val="00DF54F3"/>
    <w:rsid w:val="00DF59C8"/>
    <w:rsid w:val="00DF675B"/>
    <w:rsid w:val="00DF757F"/>
    <w:rsid w:val="00E018E3"/>
    <w:rsid w:val="00E066F0"/>
    <w:rsid w:val="00E109A7"/>
    <w:rsid w:val="00E10ECA"/>
    <w:rsid w:val="00E11672"/>
    <w:rsid w:val="00E139FA"/>
    <w:rsid w:val="00E13D48"/>
    <w:rsid w:val="00E155A2"/>
    <w:rsid w:val="00E15EFA"/>
    <w:rsid w:val="00E173D0"/>
    <w:rsid w:val="00E17B38"/>
    <w:rsid w:val="00E23AA2"/>
    <w:rsid w:val="00E24D7F"/>
    <w:rsid w:val="00E32C57"/>
    <w:rsid w:val="00E34DFE"/>
    <w:rsid w:val="00E351DD"/>
    <w:rsid w:val="00E35F0A"/>
    <w:rsid w:val="00E36B3D"/>
    <w:rsid w:val="00E41471"/>
    <w:rsid w:val="00E4568F"/>
    <w:rsid w:val="00E46AFD"/>
    <w:rsid w:val="00E4734E"/>
    <w:rsid w:val="00E47564"/>
    <w:rsid w:val="00E5017C"/>
    <w:rsid w:val="00E50CB9"/>
    <w:rsid w:val="00E51256"/>
    <w:rsid w:val="00E5209B"/>
    <w:rsid w:val="00E5567A"/>
    <w:rsid w:val="00E56249"/>
    <w:rsid w:val="00E56EAF"/>
    <w:rsid w:val="00E639F6"/>
    <w:rsid w:val="00E64874"/>
    <w:rsid w:val="00E64EB4"/>
    <w:rsid w:val="00E65BB1"/>
    <w:rsid w:val="00E65ECA"/>
    <w:rsid w:val="00E703EA"/>
    <w:rsid w:val="00E748E2"/>
    <w:rsid w:val="00E7574D"/>
    <w:rsid w:val="00E75986"/>
    <w:rsid w:val="00E80DDD"/>
    <w:rsid w:val="00E816B9"/>
    <w:rsid w:val="00E904EE"/>
    <w:rsid w:val="00E90658"/>
    <w:rsid w:val="00E911DE"/>
    <w:rsid w:val="00E91ABB"/>
    <w:rsid w:val="00E92E86"/>
    <w:rsid w:val="00E939A7"/>
    <w:rsid w:val="00EA083E"/>
    <w:rsid w:val="00EA50BF"/>
    <w:rsid w:val="00EA595F"/>
    <w:rsid w:val="00EA5A54"/>
    <w:rsid w:val="00EB36FA"/>
    <w:rsid w:val="00EB39A2"/>
    <w:rsid w:val="00EB4B3C"/>
    <w:rsid w:val="00EB6DDA"/>
    <w:rsid w:val="00EC22E1"/>
    <w:rsid w:val="00EC25C1"/>
    <w:rsid w:val="00EC5583"/>
    <w:rsid w:val="00EC7553"/>
    <w:rsid w:val="00ED2EB5"/>
    <w:rsid w:val="00ED3B81"/>
    <w:rsid w:val="00ED5E03"/>
    <w:rsid w:val="00ED6182"/>
    <w:rsid w:val="00EE01C2"/>
    <w:rsid w:val="00EE22CA"/>
    <w:rsid w:val="00EE2F3E"/>
    <w:rsid w:val="00EE3F54"/>
    <w:rsid w:val="00EE4BA1"/>
    <w:rsid w:val="00EE5BF3"/>
    <w:rsid w:val="00EE6CE5"/>
    <w:rsid w:val="00EF28AF"/>
    <w:rsid w:val="00EF2EBE"/>
    <w:rsid w:val="00EF303D"/>
    <w:rsid w:val="00EF4811"/>
    <w:rsid w:val="00EF6F40"/>
    <w:rsid w:val="00F0074A"/>
    <w:rsid w:val="00F0302C"/>
    <w:rsid w:val="00F07595"/>
    <w:rsid w:val="00F137AB"/>
    <w:rsid w:val="00F156F2"/>
    <w:rsid w:val="00F23171"/>
    <w:rsid w:val="00F25235"/>
    <w:rsid w:val="00F25B40"/>
    <w:rsid w:val="00F26F39"/>
    <w:rsid w:val="00F311D1"/>
    <w:rsid w:val="00F37AF3"/>
    <w:rsid w:val="00F42EBA"/>
    <w:rsid w:val="00F4425B"/>
    <w:rsid w:val="00F454FB"/>
    <w:rsid w:val="00F50F96"/>
    <w:rsid w:val="00F52AF8"/>
    <w:rsid w:val="00F554CC"/>
    <w:rsid w:val="00F56ED5"/>
    <w:rsid w:val="00F60259"/>
    <w:rsid w:val="00F66CA8"/>
    <w:rsid w:val="00F70909"/>
    <w:rsid w:val="00F72C4C"/>
    <w:rsid w:val="00F75738"/>
    <w:rsid w:val="00F82212"/>
    <w:rsid w:val="00F859A9"/>
    <w:rsid w:val="00F86EEB"/>
    <w:rsid w:val="00F91C8E"/>
    <w:rsid w:val="00F91D17"/>
    <w:rsid w:val="00F95481"/>
    <w:rsid w:val="00F95F90"/>
    <w:rsid w:val="00F960D6"/>
    <w:rsid w:val="00F969CA"/>
    <w:rsid w:val="00FA05D8"/>
    <w:rsid w:val="00FA10DE"/>
    <w:rsid w:val="00FA3CC1"/>
    <w:rsid w:val="00FB0A4A"/>
    <w:rsid w:val="00FB18FC"/>
    <w:rsid w:val="00FB1959"/>
    <w:rsid w:val="00FB19CD"/>
    <w:rsid w:val="00FB4584"/>
    <w:rsid w:val="00FB7EEC"/>
    <w:rsid w:val="00FC02C9"/>
    <w:rsid w:val="00FC52C5"/>
    <w:rsid w:val="00FC53C2"/>
    <w:rsid w:val="00FC5EDE"/>
    <w:rsid w:val="00FC7EBC"/>
    <w:rsid w:val="00FD0B11"/>
    <w:rsid w:val="00FD2E37"/>
    <w:rsid w:val="00FD4DF9"/>
    <w:rsid w:val="00FD51F7"/>
    <w:rsid w:val="00FD5B25"/>
    <w:rsid w:val="00FD6748"/>
    <w:rsid w:val="00FD7D3E"/>
    <w:rsid w:val="00FE2E0E"/>
    <w:rsid w:val="00FE380E"/>
    <w:rsid w:val="00FE47CC"/>
    <w:rsid w:val="00FE6742"/>
    <w:rsid w:val="00FE6977"/>
    <w:rsid w:val="00FE7784"/>
    <w:rsid w:val="00FF0602"/>
    <w:rsid w:val="00FF0CB7"/>
    <w:rsid w:val="00FF31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A2924B"/>
  <w15:docId w15:val="{6D4CBEAD-C803-474E-9122-200243C33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7ACC"/>
  </w:style>
  <w:style w:type="paragraph" w:styleId="Ttulo1">
    <w:name w:val="heading 1"/>
    <w:basedOn w:val="Normal"/>
    <w:next w:val="Normal"/>
    <w:qFormat/>
    <w:pPr>
      <w:keepNext/>
      <w:outlineLvl w:val="0"/>
    </w:pPr>
    <w:rPr>
      <w:rFonts w:ascii="Verdana" w:hAnsi="Verdana"/>
      <w:b/>
      <w:bCs/>
      <w:color w:val="800000"/>
      <w:sz w:val="22"/>
      <w:szCs w:val="22"/>
    </w:rPr>
  </w:style>
  <w:style w:type="paragraph" w:styleId="Ttulo2">
    <w:name w:val="heading 2"/>
    <w:basedOn w:val="Normal"/>
    <w:next w:val="Normal"/>
    <w:qFormat/>
    <w:pPr>
      <w:keepNext/>
      <w:outlineLvl w:val="1"/>
    </w:pPr>
    <w:rPr>
      <w:i/>
      <w:iCs/>
    </w:rPr>
  </w:style>
  <w:style w:type="paragraph" w:styleId="Ttulo3">
    <w:name w:val="heading 3"/>
    <w:basedOn w:val="Normal"/>
    <w:next w:val="Normal"/>
    <w:qFormat/>
    <w:pPr>
      <w:keepNext/>
      <w:jc w:val="both"/>
      <w:outlineLvl w:val="2"/>
    </w:pPr>
    <w:rPr>
      <w:rFonts w:ascii="Verdana" w:hAnsi="Verdana"/>
      <w:b/>
      <w:bCs/>
      <w:color w:val="800000"/>
      <w:sz w:val="22"/>
      <w:szCs w:val="22"/>
    </w:rPr>
  </w:style>
  <w:style w:type="paragraph" w:styleId="Ttulo4">
    <w:name w:val="heading 4"/>
    <w:basedOn w:val="Normal"/>
    <w:next w:val="Normal"/>
    <w:qFormat/>
    <w:pPr>
      <w:keepNext/>
      <w:jc w:val="both"/>
      <w:outlineLvl w:val="3"/>
    </w:pPr>
    <w:rPr>
      <w:rFonts w:ascii="Verdana" w:hAnsi="Verdana"/>
      <w:b/>
      <w:bCs/>
      <w:color w:val="800000"/>
      <w:spacing w:val="-20"/>
      <w:szCs w:val="22"/>
    </w:rPr>
  </w:style>
  <w:style w:type="paragraph" w:styleId="Ttulo5">
    <w:name w:val="heading 5"/>
    <w:basedOn w:val="Normal"/>
    <w:qFormat/>
    <w:pPr>
      <w:spacing w:before="100" w:beforeAutospacing="1" w:after="100" w:afterAutospacing="1"/>
      <w:outlineLvl w:val="4"/>
    </w:pPr>
    <w:rPr>
      <w:rFonts w:ascii="Arial Unicode MS" w:eastAsia="Arial Unicode MS" w:hAnsi="Arial Unicode MS" w:cs="Arial Unicode MS"/>
      <w:b/>
      <w:bCs/>
      <w:sz w:val="24"/>
      <w:szCs w:val="24"/>
    </w:rPr>
  </w:style>
  <w:style w:type="paragraph" w:styleId="Ttulo6">
    <w:name w:val="heading 6"/>
    <w:basedOn w:val="Normal"/>
    <w:next w:val="Normal"/>
    <w:link w:val="Ttulo6Car"/>
    <w:qFormat/>
    <w:rsid w:val="00BA7BDA"/>
    <w:pPr>
      <w:spacing w:before="240" w:after="60"/>
      <w:outlineLvl w:val="5"/>
    </w:pPr>
    <w:rPr>
      <w:rFonts w:ascii="Calibri" w:hAnsi="Calibri"/>
      <w:b/>
      <w:bCs/>
      <w:sz w:val="22"/>
      <w:szCs w:val="22"/>
      <w:lang w:val="x-none" w:eastAsia="x-none"/>
    </w:rPr>
  </w:style>
  <w:style w:type="paragraph" w:styleId="Ttulo9">
    <w:name w:val="heading 9"/>
    <w:basedOn w:val="Normal"/>
    <w:next w:val="Normal"/>
    <w:qFormat/>
    <w:pPr>
      <w:keepNext/>
      <w:jc w:val="center"/>
      <w:outlineLvl w:val="8"/>
    </w:pPr>
    <w:rPr>
      <w:b/>
      <w:bCs/>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pPr>
      <w:pBdr>
        <w:top w:val="single" w:sz="6" w:space="1" w:color="auto"/>
        <w:left w:val="single" w:sz="6" w:space="4" w:color="auto"/>
        <w:bottom w:val="single" w:sz="6" w:space="1" w:color="auto"/>
        <w:right w:val="single" w:sz="6" w:space="4" w:color="auto"/>
      </w:pBdr>
      <w:overflowPunct w:val="0"/>
      <w:autoSpaceDE w:val="0"/>
      <w:autoSpaceDN w:val="0"/>
      <w:adjustRightInd w:val="0"/>
      <w:jc w:val="both"/>
      <w:textAlignment w:val="baseline"/>
    </w:pPr>
    <w:rPr>
      <w:b/>
      <w:sz w:val="28"/>
      <w:lang w:val="es-ES_tradnl"/>
    </w:rPr>
  </w:style>
  <w:style w:type="paragraph" w:styleId="Textoindependiente3">
    <w:name w:val="Body Text 3"/>
    <w:basedOn w:val="Normal"/>
    <w:pPr>
      <w:jc w:val="both"/>
    </w:pPr>
    <w:rPr>
      <w:i/>
      <w:iCs/>
      <w:sz w:val="22"/>
    </w:rPr>
  </w:style>
  <w:style w:type="paragraph" w:styleId="Sangra3detindependiente">
    <w:name w:val="Body Text Indent 3"/>
    <w:basedOn w:val="Normal"/>
    <w:pPr>
      <w:autoSpaceDE w:val="0"/>
      <w:autoSpaceDN w:val="0"/>
      <w:adjustRightInd w:val="0"/>
      <w:ind w:left="567"/>
      <w:jc w:val="both"/>
    </w:pPr>
    <w:rPr>
      <w:bCs/>
      <w:i/>
      <w:iCs/>
      <w:sz w:val="24"/>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Prrafodelista">
    <w:name w:val="List Paragraph"/>
    <w:basedOn w:val="Normal"/>
    <w:qFormat/>
    <w:pPr>
      <w:spacing w:after="200" w:line="276" w:lineRule="auto"/>
      <w:ind w:left="720"/>
      <w:contextualSpacing/>
    </w:pPr>
    <w:rPr>
      <w:rFonts w:ascii="Calibri" w:eastAsia="Calibri" w:hAnsi="Calibri"/>
      <w:sz w:val="22"/>
      <w:szCs w:val="22"/>
      <w:lang w:eastAsia="en-US"/>
    </w:rPr>
  </w:style>
  <w:style w:type="paragraph" w:customStyle="1" w:styleId="Default">
    <w:name w:val="Default"/>
    <w:pPr>
      <w:autoSpaceDE w:val="0"/>
      <w:autoSpaceDN w:val="0"/>
      <w:adjustRightInd w:val="0"/>
    </w:pPr>
    <w:rPr>
      <w:rFonts w:ascii="Helvetica 55 Roman" w:hAnsi="Helvetica 55 Roman" w:cs="Helvetica 55 Roman"/>
      <w:color w:val="000000"/>
      <w:sz w:val="24"/>
      <w:szCs w:val="24"/>
    </w:rPr>
  </w:style>
  <w:style w:type="paragraph" w:customStyle="1" w:styleId="CM2">
    <w:name w:val="CM2"/>
    <w:basedOn w:val="Default"/>
    <w:next w:val="Default"/>
    <w:pPr>
      <w:spacing w:line="176" w:lineRule="atLeast"/>
    </w:pPr>
    <w:rPr>
      <w:rFonts w:cs="Times New Roman"/>
      <w:color w:val="auto"/>
    </w:rPr>
  </w:style>
  <w:style w:type="paragraph" w:styleId="Sangradetextonormal">
    <w:name w:val="Body Text Indent"/>
    <w:basedOn w:val="Normal"/>
    <w:pPr>
      <w:ind w:left="360"/>
      <w:jc w:val="both"/>
    </w:pPr>
    <w:rPr>
      <w:b/>
      <w:bCs/>
      <w:i/>
      <w:iCs/>
      <w:color w:val="800000"/>
      <w:sz w:val="24"/>
      <w:szCs w:val="22"/>
    </w:rPr>
  </w:style>
  <w:style w:type="character" w:styleId="Hipervnculo">
    <w:name w:val="Hyperlink"/>
    <w:rPr>
      <w:color w:val="333333"/>
      <w:u w:val="single"/>
    </w:rPr>
  </w:style>
  <w:style w:type="paragraph" w:styleId="Sangra2detindependiente">
    <w:name w:val="Body Text Indent 2"/>
    <w:basedOn w:val="Normal"/>
    <w:pPr>
      <w:ind w:left="284"/>
      <w:jc w:val="both"/>
    </w:pPr>
    <w:rPr>
      <w:bCs/>
      <w:sz w:val="24"/>
    </w:rPr>
  </w:style>
  <w:style w:type="paragraph" w:styleId="Textodebloque">
    <w:name w:val="Block Text"/>
    <w:basedOn w:val="Normal"/>
    <w:pPr>
      <w:ind w:left="180" w:right="-1"/>
      <w:jc w:val="both"/>
    </w:pPr>
    <w:rPr>
      <w:bCs/>
      <w:sz w:val="24"/>
    </w:rPr>
  </w:style>
  <w:style w:type="character" w:styleId="Refdecomentario">
    <w:name w:val="annotation reference"/>
    <w:semiHidden/>
    <w:rPr>
      <w:sz w:val="16"/>
      <w:szCs w:val="16"/>
    </w:rPr>
  </w:style>
  <w:style w:type="paragraph" w:styleId="Textocomentario">
    <w:name w:val="annotation text"/>
    <w:basedOn w:val="Normal"/>
    <w:semiHidden/>
  </w:style>
  <w:style w:type="character" w:customStyle="1" w:styleId="CarCar2">
    <w:name w:val="Car Car2"/>
    <w:basedOn w:val="Fuentedeprrafopredeter"/>
  </w:style>
  <w:style w:type="paragraph" w:styleId="Asuntodelcomentario">
    <w:name w:val="annotation subject"/>
    <w:basedOn w:val="Textocomentario"/>
    <w:next w:val="Textocomentario"/>
    <w:rPr>
      <w:b/>
      <w:bCs/>
    </w:rPr>
  </w:style>
  <w:style w:type="character" w:customStyle="1" w:styleId="CarCar1">
    <w:name w:val="Car Car1"/>
    <w:rPr>
      <w:b/>
      <w:bCs/>
    </w:rPr>
  </w:style>
  <w:style w:type="paragraph" w:styleId="Textodeglobo">
    <w:name w:val="Balloon Text"/>
    <w:basedOn w:val="Normal"/>
    <w:rPr>
      <w:rFonts w:ascii="Tahoma" w:hAnsi="Tahoma" w:cs="Tahoma"/>
      <w:sz w:val="16"/>
      <w:szCs w:val="16"/>
    </w:rPr>
  </w:style>
  <w:style w:type="character" w:customStyle="1" w:styleId="CarCar">
    <w:name w:val="Car Car"/>
    <w:rPr>
      <w:rFonts w:ascii="Tahoma" w:hAnsi="Tahoma" w:cs="Tahoma"/>
      <w:sz w:val="16"/>
      <w:szCs w:val="16"/>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Textoindependiente">
    <w:name w:val="Body Text"/>
    <w:basedOn w:val="Normal"/>
    <w:pPr>
      <w:jc w:val="both"/>
    </w:pPr>
    <w:rPr>
      <w:rFonts w:ascii="Verdana" w:hAnsi="Verdana"/>
      <w:sz w:val="22"/>
      <w:szCs w:val="24"/>
    </w:rPr>
  </w:style>
  <w:style w:type="character" w:customStyle="1" w:styleId="PiedepginaCar">
    <w:name w:val="Pie de página Car"/>
    <w:link w:val="Piedepgina"/>
    <w:uiPriority w:val="99"/>
    <w:rsid w:val="003735A6"/>
  </w:style>
  <w:style w:type="character" w:customStyle="1" w:styleId="Ttulo6Car">
    <w:name w:val="Título 6 Car"/>
    <w:link w:val="Ttulo6"/>
    <w:semiHidden/>
    <w:rsid w:val="00BA7BDA"/>
    <w:rPr>
      <w:rFonts w:ascii="Calibri" w:eastAsia="Times New Roman" w:hAnsi="Calibri" w:cs="Times New Roman"/>
      <w:b/>
      <w:bCs/>
      <w:sz w:val="22"/>
      <w:szCs w:val="22"/>
    </w:rPr>
  </w:style>
  <w:style w:type="paragraph" w:customStyle="1" w:styleId="Textoindependiente22">
    <w:name w:val="Texto independiente 22"/>
    <w:basedOn w:val="Normal"/>
    <w:rsid w:val="005C1A3D"/>
    <w:pPr>
      <w:pBdr>
        <w:top w:val="single" w:sz="6" w:space="1" w:color="auto"/>
        <w:left w:val="single" w:sz="6" w:space="4" w:color="auto"/>
        <w:bottom w:val="single" w:sz="6" w:space="1" w:color="auto"/>
        <w:right w:val="single" w:sz="6" w:space="4" w:color="auto"/>
      </w:pBdr>
      <w:overflowPunct w:val="0"/>
      <w:autoSpaceDE w:val="0"/>
      <w:autoSpaceDN w:val="0"/>
      <w:adjustRightInd w:val="0"/>
      <w:jc w:val="both"/>
      <w:textAlignment w:val="baseline"/>
    </w:pPr>
    <w:rPr>
      <w:b/>
      <w:sz w:val="28"/>
      <w:lang w:val="es-ES_tradnl"/>
    </w:rPr>
  </w:style>
  <w:style w:type="paragraph" w:styleId="Subttulo">
    <w:name w:val="Subtitle"/>
    <w:basedOn w:val="Normal"/>
    <w:next w:val="Normal"/>
    <w:link w:val="SubttuloCar"/>
    <w:qFormat/>
    <w:rsid w:val="00F554CC"/>
    <w:pPr>
      <w:spacing w:after="60"/>
      <w:jc w:val="center"/>
      <w:outlineLvl w:val="1"/>
    </w:pPr>
    <w:rPr>
      <w:rFonts w:ascii="Calibri Light" w:hAnsi="Calibri Light"/>
      <w:sz w:val="24"/>
      <w:szCs w:val="24"/>
    </w:rPr>
  </w:style>
  <w:style w:type="character" w:customStyle="1" w:styleId="SubttuloCar">
    <w:name w:val="Subtítulo Car"/>
    <w:link w:val="Subttulo"/>
    <w:rsid w:val="00F554CC"/>
    <w:rPr>
      <w:rFonts w:ascii="Calibri Light" w:eastAsia="Times New Roman" w:hAnsi="Calibri Light" w:cs="Times New Roman"/>
      <w:sz w:val="24"/>
      <w:szCs w:val="24"/>
    </w:rPr>
  </w:style>
  <w:style w:type="table" w:styleId="Tablaconcuadrcula">
    <w:name w:val="Table Grid"/>
    <w:basedOn w:val="Tablanormal"/>
    <w:rsid w:val="002A1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25555"/>
  </w:style>
  <w:style w:type="character" w:styleId="Mencinsinresolver">
    <w:name w:val="Unresolved Mention"/>
    <w:basedOn w:val="Fuentedeprrafopredeter"/>
    <w:uiPriority w:val="99"/>
    <w:semiHidden/>
    <w:unhideWhenUsed/>
    <w:rsid w:val="00DA37E0"/>
    <w:rPr>
      <w:color w:val="605E5C"/>
      <w:shd w:val="clear" w:color="auto" w:fill="E1DFDD"/>
    </w:rPr>
  </w:style>
  <w:style w:type="character" w:styleId="Fuerte">
    <w:name w:val="Strong"/>
    <w:basedOn w:val="Fuentedeprrafopredeter"/>
    <w:uiPriority w:val="22"/>
    <w:qFormat/>
    <w:rsid w:val="00DF54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92040">
      <w:bodyDiv w:val="1"/>
      <w:marLeft w:val="0"/>
      <w:marRight w:val="0"/>
      <w:marTop w:val="0"/>
      <w:marBottom w:val="0"/>
      <w:divBdr>
        <w:top w:val="single" w:sz="2" w:space="0" w:color="CC3640"/>
        <w:left w:val="none" w:sz="0" w:space="0" w:color="auto"/>
        <w:bottom w:val="none" w:sz="0" w:space="0" w:color="auto"/>
        <w:right w:val="none" w:sz="0" w:space="0" w:color="auto"/>
      </w:divBdr>
      <w:divsChild>
        <w:div w:id="1438138402">
          <w:marLeft w:val="0"/>
          <w:marRight w:val="0"/>
          <w:marTop w:val="0"/>
          <w:marBottom w:val="0"/>
          <w:divBdr>
            <w:top w:val="single" w:sz="2" w:space="0" w:color="FF0000"/>
            <w:left w:val="single" w:sz="2" w:space="0" w:color="FF0000"/>
            <w:bottom w:val="single" w:sz="2" w:space="0" w:color="FF0000"/>
            <w:right w:val="single" w:sz="2" w:space="0" w:color="FF0000"/>
          </w:divBdr>
          <w:divsChild>
            <w:div w:id="1817066799">
              <w:marLeft w:val="0"/>
              <w:marRight w:val="0"/>
              <w:marTop w:val="0"/>
              <w:marBottom w:val="0"/>
              <w:divBdr>
                <w:top w:val="none" w:sz="0" w:space="0" w:color="auto"/>
                <w:left w:val="single" w:sz="6" w:space="0" w:color="DDDDDD"/>
                <w:bottom w:val="none" w:sz="0" w:space="0" w:color="auto"/>
                <w:right w:val="none" w:sz="0" w:space="0" w:color="auto"/>
              </w:divBdr>
              <w:divsChild>
                <w:div w:id="603264568">
                  <w:marLeft w:val="0"/>
                  <w:marRight w:val="0"/>
                  <w:marTop w:val="0"/>
                  <w:marBottom w:val="0"/>
                  <w:divBdr>
                    <w:top w:val="single" w:sz="2" w:space="0" w:color="008000"/>
                    <w:left w:val="single" w:sz="2" w:space="0" w:color="008000"/>
                    <w:bottom w:val="single" w:sz="2" w:space="0" w:color="008000"/>
                    <w:right w:val="single" w:sz="2" w:space="0" w:color="008000"/>
                  </w:divBdr>
                  <w:divsChild>
                    <w:div w:id="1812477817">
                      <w:marLeft w:val="0"/>
                      <w:marRight w:val="0"/>
                      <w:marTop w:val="0"/>
                      <w:marBottom w:val="0"/>
                      <w:divBdr>
                        <w:top w:val="none" w:sz="0" w:space="0" w:color="auto"/>
                        <w:left w:val="none" w:sz="0" w:space="0" w:color="auto"/>
                        <w:bottom w:val="none" w:sz="0" w:space="0" w:color="auto"/>
                        <w:right w:val="none" w:sz="0" w:space="0" w:color="auto"/>
                      </w:divBdr>
                      <w:divsChild>
                        <w:div w:id="1188181832">
                          <w:marLeft w:val="0"/>
                          <w:marRight w:val="0"/>
                          <w:marTop w:val="0"/>
                          <w:marBottom w:val="0"/>
                          <w:divBdr>
                            <w:top w:val="none" w:sz="0" w:space="0" w:color="auto"/>
                            <w:left w:val="none" w:sz="0" w:space="0" w:color="auto"/>
                            <w:bottom w:val="none" w:sz="0" w:space="0" w:color="auto"/>
                            <w:right w:val="none" w:sz="0" w:space="0" w:color="auto"/>
                          </w:divBdr>
                          <w:divsChild>
                            <w:div w:id="1494760864">
                              <w:marLeft w:val="0"/>
                              <w:marRight w:val="0"/>
                              <w:marTop w:val="0"/>
                              <w:marBottom w:val="0"/>
                              <w:divBdr>
                                <w:top w:val="none" w:sz="0" w:space="0" w:color="auto"/>
                                <w:left w:val="single" w:sz="6" w:space="0" w:color="C3CDD8"/>
                                <w:bottom w:val="none" w:sz="0" w:space="0" w:color="auto"/>
                                <w:right w:val="none" w:sz="0" w:space="0" w:color="auto"/>
                              </w:divBdr>
                            </w:div>
                          </w:divsChild>
                        </w:div>
                      </w:divsChild>
                    </w:div>
                  </w:divsChild>
                </w:div>
              </w:divsChild>
            </w:div>
          </w:divsChild>
        </w:div>
      </w:divsChild>
    </w:div>
    <w:div w:id="162552433">
      <w:bodyDiv w:val="1"/>
      <w:marLeft w:val="0"/>
      <w:marRight w:val="0"/>
      <w:marTop w:val="0"/>
      <w:marBottom w:val="0"/>
      <w:divBdr>
        <w:top w:val="none" w:sz="0" w:space="0" w:color="auto"/>
        <w:left w:val="none" w:sz="0" w:space="0" w:color="auto"/>
        <w:bottom w:val="none" w:sz="0" w:space="0" w:color="auto"/>
        <w:right w:val="none" w:sz="0" w:space="0" w:color="auto"/>
      </w:divBdr>
    </w:div>
    <w:div w:id="288125558">
      <w:bodyDiv w:val="1"/>
      <w:marLeft w:val="0"/>
      <w:marRight w:val="0"/>
      <w:marTop w:val="0"/>
      <w:marBottom w:val="0"/>
      <w:divBdr>
        <w:top w:val="none" w:sz="0" w:space="0" w:color="auto"/>
        <w:left w:val="none" w:sz="0" w:space="0" w:color="auto"/>
        <w:bottom w:val="none" w:sz="0" w:space="0" w:color="auto"/>
        <w:right w:val="none" w:sz="0" w:space="0" w:color="auto"/>
      </w:divBdr>
      <w:divsChild>
        <w:div w:id="1083377438">
          <w:marLeft w:val="0"/>
          <w:marRight w:val="0"/>
          <w:marTop w:val="0"/>
          <w:marBottom w:val="0"/>
          <w:divBdr>
            <w:top w:val="none" w:sz="0" w:space="0" w:color="auto"/>
            <w:left w:val="none" w:sz="0" w:space="0" w:color="auto"/>
            <w:bottom w:val="none" w:sz="0" w:space="0" w:color="auto"/>
            <w:right w:val="none" w:sz="0" w:space="0" w:color="auto"/>
          </w:divBdr>
          <w:divsChild>
            <w:div w:id="598605979">
              <w:marLeft w:val="0"/>
              <w:marRight w:val="0"/>
              <w:marTop w:val="0"/>
              <w:marBottom w:val="0"/>
              <w:divBdr>
                <w:top w:val="none" w:sz="0" w:space="0" w:color="auto"/>
                <w:left w:val="none" w:sz="0" w:space="0" w:color="auto"/>
                <w:bottom w:val="none" w:sz="0" w:space="0" w:color="auto"/>
                <w:right w:val="none" w:sz="0" w:space="0" w:color="auto"/>
              </w:divBdr>
              <w:divsChild>
                <w:div w:id="96786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264241">
      <w:bodyDiv w:val="1"/>
      <w:marLeft w:val="0"/>
      <w:marRight w:val="0"/>
      <w:marTop w:val="0"/>
      <w:marBottom w:val="0"/>
      <w:divBdr>
        <w:top w:val="none" w:sz="0" w:space="0" w:color="auto"/>
        <w:left w:val="none" w:sz="0" w:space="0" w:color="auto"/>
        <w:bottom w:val="none" w:sz="0" w:space="0" w:color="auto"/>
        <w:right w:val="none" w:sz="0" w:space="0" w:color="auto"/>
      </w:divBdr>
    </w:div>
    <w:div w:id="335306469">
      <w:bodyDiv w:val="1"/>
      <w:marLeft w:val="0"/>
      <w:marRight w:val="0"/>
      <w:marTop w:val="0"/>
      <w:marBottom w:val="0"/>
      <w:divBdr>
        <w:top w:val="none" w:sz="0" w:space="0" w:color="auto"/>
        <w:left w:val="none" w:sz="0" w:space="0" w:color="auto"/>
        <w:bottom w:val="none" w:sz="0" w:space="0" w:color="auto"/>
        <w:right w:val="none" w:sz="0" w:space="0" w:color="auto"/>
      </w:divBdr>
    </w:div>
    <w:div w:id="427654978">
      <w:bodyDiv w:val="1"/>
      <w:marLeft w:val="0"/>
      <w:marRight w:val="0"/>
      <w:marTop w:val="0"/>
      <w:marBottom w:val="0"/>
      <w:divBdr>
        <w:top w:val="none" w:sz="0" w:space="0" w:color="auto"/>
        <w:left w:val="none" w:sz="0" w:space="0" w:color="auto"/>
        <w:bottom w:val="none" w:sz="0" w:space="0" w:color="auto"/>
        <w:right w:val="none" w:sz="0" w:space="0" w:color="auto"/>
      </w:divBdr>
      <w:divsChild>
        <w:div w:id="1793353933">
          <w:marLeft w:val="0"/>
          <w:marRight w:val="0"/>
          <w:marTop w:val="0"/>
          <w:marBottom w:val="0"/>
          <w:divBdr>
            <w:top w:val="none" w:sz="0" w:space="0" w:color="auto"/>
            <w:left w:val="none" w:sz="0" w:space="0" w:color="auto"/>
            <w:bottom w:val="none" w:sz="0" w:space="0" w:color="auto"/>
            <w:right w:val="none" w:sz="0" w:space="0" w:color="auto"/>
          </w:divBdr>
          <w:divsChild>
            <w:div w:id="976449450">
              <w:marLeft w:val="0"/>
              <w:marRight w:val="0"/>
              <w:marTop w:val="0"/>
              <w:marBottom w:val="0"/>
              <w:divBdr>
                <w:top w:val="none" w:sz="0" w:space="0" w:color="auto"/>
                <w:left w:val="none" w:sz="0" w:space="0" w:color="auto"/>
                <w:bottom w:val="none" w:sz="0" w:space="0" w:color="auto"/>
                <w:right w:val="none" w:sz="0" w:space="0" w:color="auto"/>
              </w:divBdr>
              <w:divsChild>
                <w:div w:id="7453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971642">
      <w:bodyDiv w:val="1"/>
      <w:marLeft w:val="0"/>
      <w:marRight w:val="0"/>
      <w:marTop w:val="0"/>
      <w:marBottom w:val="0"/>
      <w:divBdr>
        <w:top w:val="none" w:sz="0" w:space="0" w:color="auto"/>
        <w:left w:val="none" w:sz="0" w:space="0" w:color="auto"/>
        <w:bottom w:val="none" w:sz="0" w:space="0" w:color="auto"/>
        <w:right w:val="none" w:sz="0" w:space="0" w:color="auto"/>
      </w:divBdr>
      <w:divsChild>
        <w:div w:id="267006058">
          <w:marLeft w:val="0"/>
          <w:marRight w:val="0"/>
          <w:marTop w:val="0"/>
          <w:marBottom w:val="0"/>
          <w:divBdr>
            <w:top w:val="none" w:sz="0" w:space="0" w:color="auto"/>
            <w:left w:val="none" w:sz="0" w:space="0" w:color="auto"/>
            <w:bottom w:val="none" w:sz="0" w:space="0" w:color="auto"/>
            <w:right w:val="none" w:sz="0" w:space="0" w:color="auto"/>
          </w:divBdr>
          <w:divsChild>
            <w:div w:id="1723671748">
              <w:marLeft w:val="212"/>
              <w:marRight w:val="0"/>
              <w:marTop w:val="0"/>
              <w:marBottom w:val="0"/>
              <w:divBdr>
                <w:top w:val="none" w:sz="0" w:space="0" w:color="auto"/>
                <w:left w:val="none" w:sz="0" w:space="0" w:color="auto"/>
                <w:bottom w:val="none" w:sz="0" w:space="0" w:color="auto"/>
                <w:right w:val="none" w:sz="0" w:space="0" w:color="auto"/>
              </w:divBdr>
              <w:divsChild>
                <w:div w:id="117381619">
                  <w:marLeft w:val="0"/>
                  <w:marRight w:val="0"/>
                  <w:marTop w:val="0"/>
                  <w:marBottom w:val="225"/>
                  <w:divBdr>
                    <w:top w:val="none" w:sz="0" w:space="0" w:color="auto"/>
                    <w:left w:val="none" w:sz="0" w:space="0" w:color="auto"/>
                    <w:bottom w:val="none" w:sz="0" w:space="0" w:color="auto"/>
                    <w:right w:val="none" w:sz="0" w:space="0" w:color="auto"/>
                  </w:divBdr>
                </w:div>
                <w:div w:id="371728919">
                  <w:marLeft w:val="0"/>
                  <w:marRight w:val="0"/>
                  <w:marTop w:val="0"/>
                  <w:marBottom w:val="0"/>
                  <w:divBdr>
                    <w:top w:val="none" w:sz="0" w:space="0" w:color="auto"/>
                    <w:left w:val="none" w:sz="0" w:space="0" w:color="auto"/>
                    <w:bottom w:val="none" w:sz="0" w:space="0" w:color="auto"/>
                    <w:right w:val="none" w:sz="0" w:space="0" w:color="auto"/>
                  </w:divBdr>
                </w:div>
                <w:div w:id="1983582512">
                  <w:marLeft w:val="0"/>
                  <w:marRight w:val="0"/>
                  <w:marTop w:val="225"/>
                  <w:marBottom w:val="0"/>
                  <w:divBdr>
                    <w:top w:val="none" w:sz="0" w:space="0" w:color="auto"/>
                    <w:left w:val="none" w:sz="0" w:space="0" w:color="auto"/>
                    <w:bottom w:val="none" w:sz="0" w:space="0" w:color="auto"/>
                    <w:right w:val="none" w:sz="0" w:space="0" w:color="auto"/>
                  </w:divBdr>
                  <w:divsChild>
                    <w:div w:id="1505588989">
                      <w:marLeft w:val="0"/>
                      <w:marRight w:val="0"/>
                      <w:marTop w:val="0"/>
                      <w:marBottom w:val="0"/>
                      <w:divBdr>
                        <w:top w:val="none" w:sz="0" w:space="0" w:color="auto"/>
                        <w:left w:val="none" w:sz="0" w:space="0" w:color="auto"/>
                        <w:bottom w:val="none" w:sz="0" w:space="0" w:color="auto"/>
                        <w:right w:val="none" w:sz="0" w:space="0" w:color="auto"/>
                      </w:divBdr>
                    </w:div>
                    <w:div w:id="163193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162247">
          <w:marLeft w:val="0"/>
          <w:marRight w:val="0"/>
          <w:marTop w:val="0"/>
          <w:marBottom w:val="300"/>
          <w:divBdr>
            <w:top w:val="none" w:sz="0" w:space="0" w:color="auto"/>
            <w:left w:val="none" w:sz="0" w:space="0" w:color="auto"/>
            <w:bottom w:val="none" w:sz="0" w:space="0" w:color="auto"/>
            <w:right w:val="none" w:sz="0" w:space="0" w:color="auto"/>
          </w:divBdr>
        </w:div>
      </w:divsChild>
    </w:div>
    <w:div w:id="482087066">
      <w:bodyDiv w:val="1"/>
      <w:marLeft w:val="0"/>
      <w:marRight w:val="0"/>
      <w:marTop w:val="0"/>
      <w:marBottom w:val="0"/>
      <w:divBdr>
        <w:top w:val="none" w:sz="0" w:space="0" w:color="auto"/>
        <w:left w:val="none" w:sz="0" w:space="0" w:color="auto"/>
        <w:bottom w:val="none" w:sz="0" w:space="0" w:color="auto"/>
        <w:right w:val="none" w:sz="0" w:space="0" w:color="auto"/>
      </w:divBdr>
    </w:div>
    <w:div w:id="514808269">
      <w:bodyDiv w:val="1"/>
      <w:marLeft w:val="0"/>
      <w:marRight w:val="0"/>
      <w:marTop w:val="0"/>
      <w:marBottom w:val="0"/>
      <w:divBdr>
        <w:top w:val="none" w:sz="0" w:space="0" w:color="auto"/>
        <w:left w:val="none" w:sz="0" w:space="0" w:color="auto"/>
        <w:bottom w:val="none" w:sz="0" w:space="0" w:color="auto"/>
        <w:right w:val="none" w:sz="0" w:space="0" w:color="auto"/>
      </w:divBdr>
    </w:div>
    <w:div w:id="583148957">
      <w:bodyDiv w:val="1"/>
      <w:marLeft w:val="0"/>
      <w:marRight w:val="0"/>
      <w:marTop w:val="0"/>
      <w:marBottom w:val="0"/>
      <w:divBdr>
        <w:top w:val="none" w:sz="0" w:space="0" w:color="auto"/>
        <w:left w:val="none" w:sz="0" w:space="0" w:color="auto"/>
        <w:bottom w:val="none" w:sz="0" w:space="0" w:color="auto"/>
        <w:right w:val="none" w:sz="0" w:space="0" w:color="auto"/>
      </w:divBdr>
    </w:div>
    <w:div w:id="656155887">
      <w:bodyDiv w:val="1"/>
      <w:marLeft w:val="0"/>
      <w:marRight w:val="0"/>
      <w:marTop w:val="0"/>
      <w:marBottom w:val="0"/>
      <w:divBdr>
        <w:top w:val="none" w:sz="0" w:space="0" w:color="auto"/>
        <w:left w:val="none" w:sz="0" w:space="0" w:color="auto"/>
        <w:bottom w:val="none" w:sz="0" w:space="0" w:color="auto"/>
        <w:right w:val="none" w:sz="0" w:space="0" w:color="auto"/>
      </w:divBdr>
    </w:div>
    <w:div w:id="673148429">
      <w:bodyDiv w:val="1"/>
      <w:marLeft w:val="0"/>
      <w:marRight w:val="0"/>
      <w:marTop w:val="0"/>
      <w:marBottom w:val="0"/>
      <w:divBdr>
        <w:top w:val="none" w:sz="0" w:space="0" w:color="auto"/>
        <w:left w:val="none" w:sz="0" w:space="0" w:color="auto"/>
        <w:bottom w:val="none" w:sz="0" w:space="0" w:color="auto"/>
        <w:right w:val="none" w:sz="0" w:space="0" w:color="auto"/>
      </w:divBdr>
    </w:div>
    <w:div w:id="687023614">
      <w:bodyDiv w:val="1"/>
      <w:marLeft w:val="0"/>
      <w:marRight w:val="0"/>
      <w:marTop w:val="0"/>
      <w:marBottom w:val="0"/>
      <w:divBdr>
        <w:top w:val="none" w:sz="0" w:space="0" w:color="auto"/>
        <w:left w:val="none" w:sz="0" w:space="0" w:color="auto"/>
        <w:bottom w:val="none" w:sz="0" w:space="0" w:color="auto"/>
        <w:right w:val="none" w:sz="0" w:space="0" w:color="auto"/>
      </w:divBdr>
    </w:div>
    <w:div w:id="706178845">
      <w:bodyDiv w:val="1"/>
      <w:marLeft w:val="0"/>
      <w:marRight w:val="0"/>
      <w:marTop w:val="0"/>
      <w:marBottom w:val="0"/>
      <w:divBdr>
        <w:top w:val="none" w:sz="0" w:space="0" w:color="auto"/>
        <w:left w:val="none" w:sz="0" w:space="0" w:color="auto"/>
        <w:bottom w:val="none" w:sz="0" w:space="0" w:color="auto"/>
        <w:right w:val="none" w:sz="0" w:space="0" w:color="auto"/>
      </w:divBdr>
    </w:div>
    <w:div w:id="719984605">
      <w:bodyDiv w:val="1"/>
      <w:marLeft w:val="0"/>
      <w:marRight w:val="0"/>
      <w:marTop w:val="0"/>
      <w:marBottom w:val="0"/>
      <w:divBdr>
        <w:top w:val="single" w:sz="2" w:space="0" w:color="CC3640"/>
        <w:left w:val="none" w:sz="0" w:space="0" w:color="auto"/>
        <w:bottom w:val="none" w:sz="0" w:space="0" w:color="auto"/>
        <w:right w:val="none" w:sz="0" w:space="0" w:color="auto"/>
      </w:divBdr>
      <w:divsChild>
        <w:div w:id="2015374774">
          <w:marLeft w:val="0"/>
          <w:marRight w:val="0"/>
          <w:marTop w:val="0"/>
          <w:marBottom w:val="0"/>
          <w:divBdr>
            <w:top w:val="single" w:sz="2" w:space="0" w:color="FF0000"/>
            <w:left w:val="single" w:sz="2" w:space="0" w:color="FF0000"/>
            <w:bottom w:val="single" w:sz="2" w:space="0" w:color="FF0000"/>
            <w:right w:val="single" w:sz="2" w:space="0" w:color="FF0000"/>
          </w:divBdr>
          <w:divsChild>
            <w:div w:id="1689214525">
              <w:marLeft w:val="0"/>
              <w:marRight w:val="0"/>
              <w:marTop w:val="0"/>
              <w:marBottom w:val="0"/>
              <w:divBdr>
                <w:top w:val="none" w:sz="0" w:space="0" w:color="auto"/>
                <w:left w:val="single" w:sz="6" w:space="0" w:color="DDDDDD"/>
                <w:bottom w:val="none" w:sz="0" w:space="0" w:color="auto"/>
                <w:right w:val="none" w:sz="0" w:space="0" w:color="auto"/>
              </w:divBdr>
              <w:divsChild>
                <w:div w:id="712844937">
                  <w:marLeft w:val="0"/>
                  <w:marRight w:val="0"/>
                  <w:marTop w:val="0"/>
                  <w:marBottom w:val="0"/>
                  <w:divBdr>
                    <w:top w:val="single" w:sz="2" w:space="0" w:color="008000"/>
                    <w:left w:val="single" w:sz="2" w:space="0" w:color="008000"/>
                    <w:bottom w:val="single" w:sz="2" w:space="0" w:color="008000"/>
                    <w:right w:val="single" w:sz="2" w:space="0" w:color="008000"/>
                  </w:divBdr>
                  <w:divsChild>
                    <w:div w:id="1357272261">
                      <w:marLeft w:val="0"/>
                      <w:marRight w:val="0"/>
                      <w:marTop w:val="0"/>
                      <w:marBottom w:val="0"/>
                      <w:divBdr>
                        <w:top w:val="none" w:sz="0" w:space="0" w:color="auto"/>
                        <w:left w:val="none" w:sz="0" w:space="0" w:color="auto"/>
                        <w:bottom w:val="none" w:sz="0" w:space="0" w:color="auto"/>
                        <w:right w:val="none" w:sz="0" w:space="0" w:color="auto"/>
                      </w:divBdr>
                      <w:divsChild>
                        <w:div w:id="487478296">
                          <w:marLeft w:val="0"/>
                          <w:marRight w:val="0"/>
                          <w:marTop w:val="0"/>
                          <w:marBottom w:val="0"/>
                          <w:divBdr>
                            <w:top w:val="none" w:sz="0" w:space="0" w:color="auto"/>
                            <w:left w:val="none" w:sz="0" w:space="0" w:color="auto"/>
                            <w:bottom w:val="none" w:sz="0" w:space="0" w:color="auto"/>
                            <w:right w:val="none" w:sz="0" w:space="0" w:color="auto"/>
                          </w:divBdr>
                          <w:divsChild>
                            <w:div w:id="1501192953">
                              <w:marLeft w:val="0"/>
                              <w:marRight w:val="0"/>
                              <w:marTop w:val="0"/>
                              <w:marBottom w:val="0"/>
                              <w:divBdr>
                                <w:top w:val="none" w:sz="0" w:space="0" w:color="auto"/>
                                <w:left w:val="single" w:sz="6" w:space="0" w:color="C3CDD8"/>
                                <w:bottom w:val="none" w:sz="0" w:space="0" w:color="auto"/>
                                <w:right w:val="none" w:sz="0" w:space="0" w:color="auto"/>
                              </w:divBdr>
                            </w:div>
                          </w:divsChild>
                        </w:div>
                      </w:divsChild>
                    </w:div>
                  </w:divsChild>
                </w:div>
              </w:divsChild>
            </w:div>
          </w:divsChild>
        </w:div>
      </w:divsChild>
    </w:div>
    <w:div w:id="863641549">
      <w:bodyDiv w:val="1"/>
      <w:marLeft w:val="0"/>
      <w:marRight w:val="0"/>
      <w:marTop w:val="0"/>
      <w:marBottom w:val="0"/>
      <w:divBdr>
        <w:top w:val="none" w:sz="0" w:space="0" w:color="auto"/>
        <w:left w:val="none" w:sz="0" w:space="0" w:color="auto"/>
        <w:bottom w:val="none" w:sz="0" w:space="0" w:color="auto"/>
        <w:right w:val="none" w:sz="0" w:space="0" w:color="auto"/>
      </w:divBdr>
    </w:div>
    <w:div w:id="891815432">
      <w:bodyDiv w:val="1"/>
      <w:marLeft w:val="0"/>
      <w:marRight w:val="0"/>
      <w:marTop w:val="0"/>
      <w:marBottom w:val="0"/>
      <w:divBdr>
        <w:top w:val="none" w:sz="0" w:space="0" w:color="auto"/>
        <w:left w:val="none" w:sz="0" w:space="0" w:color="auto"/>
        <w:bottom w:val="none" w:sz="0" w:space="0" w:color="auto"/>
        <w:right w:val="none" w:sz="0" w:space="0" w:color="auto"/>
      </w:divBdr>
    </w:div>
    <w:div w:id="949969773">
      <w:bodyDiv w:val="1"/>
      <w:marLeft w:val="0"/>
      <w:marRight w:val="0"/>
      <w:marTop w:val="0"/>
      <w:marBottom w:val="0"/>
      <w:divBdr>
        <w:top w:val="none" w:sz="0" w:space="0" w:color="auto"/>
        <w:left w:val="none" w:sz="0" w:space="0" w:color="auto"/>
        <w:bottom w:val="none" w:sz="0" w:space="0" w:color="auto"/>
        <w:right w:val="none" w:sz="0" w:space="0" w:color="auto"/>
      </w:divBdr>
    </w:div>
    <w:div w:id="951325097">
      <w:bodyDiv w:val="1"/>
      <w:marLeft w:val="0"/>
      <w:marRight w:val="0"/>
      <w:marTop w:val="0"/>
      <w:marBottom w:val="0"/>
      <w:divBdr>
        <w:top w:val="none" w:sz="0" w:space="0" w:color="auto"/>
        <w:left w:val="none" w:sz="0" w:space="0" w:color="auto"/>
        <w:bottom w:val="none" w:sz="0" w:space="0" w:color="auto"/>
        <w:right w:val="none" w:sz="0" w:space="0" w:color="auto"/>
      </w:divBdr>
      <w:divsChild>
        <w:div w:id="84150394">
          <w:marLeft w:val="0"/>
          <w:marRight w:val="0"/>
          <w:marTop w:val="0"/>
          <w:marBottom w:val="750"/>
          <w:divBdr>
            <w:top w:val="none" w:sz="0" w:space="0" w:color="auto"/>
            <w:left w:val="none" w:sz="0" w:space="0" w:color="auto"/>
            <w:bottom w:val="none" w:sz="0" w:space="0" w:color="auto"/>
            <w:right w:val="none" w:sz="0" w:space="0" w:color="auto"/>
          </w:divBdr>
          <w:divsChild>
            <w:div w:id="914122916">
              <w:marLeft w:val="0"/>
              <w:marRight w:val="0"/>
              <w:marTop w:val="0"/>
              <w:marBottom w:val="0"/>
              <w:divBdr>
                <w:top w:val="none" w:sz="0" w:space="0" w:color="auto"/>
                <w:left w:val="none" w:sz="0" w:space="0" w:color="auto"/>
                <w:bottom w:val="none" w:sz="0" w:space="0" w:color="auto"/>
                <w:right w:val="none" w:sz="0" w:space="0" w:color="auto"/>
              </w:divBdr>
              <w:divsChild>
                <w:div w:id="741636973">
                  <w:marLeft w:val="0"/>
                  <w:marRight w:val="0"/>
                  <w:marTop w:val="0"/>
                  <w:marBottom w:val="0"/>
                  <w:divBdr>
                    <w:top w:val="none" w:sz="0" w:space="0" w:color="auto"/>
                    <w:left w:val="none" w:sz="0" w:space="0" w:color="auto"/>
                    <w:bottom w:val="none" w:sz="0" w:space="0" w:color="auto"/>
                    <w:right w:val="none" w:sz="0" w:space="0" w:color="auto"/>
                  </w:divBdr>
                  <w:divsChild>
                    <w:div w:id="260340295">
                      <w:marLeft w:val="0"/>
                      <w:marRight w:val="0"/>
                      <w:marTop w:val="0"/>
                      <w:marBottom w:val="0"/>
                      <w:divBdr>
                        <w:top w:val="none" w:sz="0" w:space="0" w:color="auto"/>
                        <w:left w:val="none" w:sz="0" w:space="0" w:color="auto"/>
                        <w:bottom w:val="none" w:sz="0" w:space="0" w:color="auto"/>
                        <w:right w:val="none" w:sz="0" w:space="0" w:color="auto"/>
                      </w:divBdr>
                      <w:divsChild>
                        <w:div w:id="1815560440">
                          <w:marLeft w:val="0"/>
                          <w:marRight w:val="0"/>
                          <w:marTop w:val="0"/>
                          <w:marBottom w:val="0"/>
                          <w:divBdr>
                            <w:top w:val="none" w:sz="0" w:space="0" w:color="auto"/>
                            <w:left w:val="none" w:sz="0" w:space="0" w:color="auto"/>
                            <w:bottom w:val="none" w:sz="0" w:space="0" w:color="auto"/>
                            <w:right w:val="none" w:sz="0" w:space="0" w:color="auto"/>
                          </w:divBdr>
                          <w:divsChild>
                            <w:div w:id="319314325">
                              <w:marLeft w:val="0"/>
                              <w:marRight w:val="0"/>
                              <w:marTop w:val="0"/>
                              <w:marBottom w:val="0"/>
                              <w:divBdr>
                                <w:top w:val="none" w:sz="0" w:space="0" w:color="auto"/>
                                <w:left w:val="none" w:sz="0" w:space="0" w:color="auto"/>
                                <w:bottom w:val="none" w:sz="0" w:space="0" w:color="auto"/>
                                <w:right w:val="none" w:sz="0" w:space="0" w:color="auto"/>
                              </w:divBdr>
                              <w:divsChild>
                                <w:div w:id="308900842">
                                  <w:marLeft w:val="0"/>
                                  <w:marRight w:val="0"/>
                                  <w:marTop w:val="225"/>
                                  <w:marBottom w:val="0"/>
                                  <w:divBdr>
                                    <w:top w:val="none" w:sz="0" w:space="0" w:color="auto"/>
                                    <w:left w:val="none" w:sz="0" w:space="0" w:color="auto"/>
                                    <w:bottom w:val="none" w:sz="0" w:space="0" w:color="auto"/>
                                    <w:right w:val="none" w:sz="0" w:space="0" w:color="auto"/>
                                  </w:divBdr>
                                  <w:divsChild>
                                    <w:div w:id="898399081">
                                      <w:marLeft w:val="0"/>
                                      <w:marRight w:val="0"/>
                                      <w:marTop w:val="0"/>
                                      <w:marBottom w:val="0"/>
                                      <w:divBdr>
                                        <w:top w:val="none" w:sz="0" w:space="0" w:color="auto"/>
                                        <w:left w:val="none" w:sz="0" w:space="0" w:color="auto"/>
                                        <w:bottom w:val="none" w:sz="0" w:space="0" w:color="auto"/>
                                        <w:right w:val="none" w:sz="0" w:space="0" w:color="auto"/>
                                      </w:divBdr>
                                      <w:divsChild>
                                        <w:div w:id="1868836141">
                                          <w:marLeft w:val="0"/>
                                          <w:marRight w:val="0"/>
                                          <w:marTop w:val="0"/>
                                          <w:marBottom w:val="0"/>
                                          <w:divBdr>
                                            <w:top w:val="none" w:sz="0" w:space="0" w:color="auto"/>
                                            <w:left w:val="none" w:sz="0" w:space="0" w:color="auto"/>
                                            <w:bottom w:val="none" w:sz="0" w:space="0" w:color="auto"/>
                                            <w:right w:val="none" w:sz="0" w:space="0" w:color="auto"/>
                                          </w:divBdr>
                                          <w:divsChild>
                                            <w:div w:id="104282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766748">
                                  <w:marLeft w:val="0"/>
                                  <w:marRight w:val="0"/>
                                  <w:marTop w:val="0"/>
                                  <w:marBottom w:val="0"/>
                                  <w:divBdr>
                                    <w:top w:val="none" w:sz="0" w:space="0" w:color="auto"/>
                                    <w:left w:val="none" w:sz="0" w:space="0" w:color="auto"/>
                                    <w:bottom w:val="none" w:sz="0" w:space="0" w:color="auto"/>
                                    <w:right w:val="none" w:sz="0" w:space="0" w:color="auto"/>
                                  </w:divBdr>
                                  <w:divsChild>
                                    <w:div w:id="70132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73238">
                              <w:marLeft w:val="0"/>
                              <w:marRight w:val="0"/>
                              <w:marTop w:val="0"/>
                              <w:marBottom w:val="0"/>
                              <w:divBdr>
                                <w:top w:val="none" w:sz="0" w:space="0" w:color="auto"/>
                                <w:left w:val="none" w:sz="0" w:space="0" w:color="auto"/>
                                <w:bottom w:val="none" w:sz="0" w:space="0" w:color="auto"/>
                                <w:right w:val="none" w:sz="0" w:space="0" w:color="auto"/>
                              </w:divBdr>
                              <w:divsChild>
                                <w:div w:id="1092355151">
                                  <w:marLeft w:val="0"/>
                                  <w:marRight w:val="0"/>
                                  <w:marTop w:val="0"/>
                                  <w:marBottom w:val="0"/>
                                  <w:divBdr>
                                    <w:top w:val="none" w:sz="0" w:space="0" w:color="auto"/>
                                    <w:left w:val="none" w:sz="0" w:space="0" w:color="auto"/>
                                    <w:bottom w:val="none" w:sz="0" w:space="0" w:color="auto"/>
                                    <w:right w:val="none" w:sz="0" w:space="0" w:color="auto"/>
                                  </w:divBdr>
                                  <w:divsChild>
                                    <w:div w:id="1003817816">
                                      <w:marLeft w:val="0"/>
                                      <w:marRight w:val="0"/>
                                      <w:marTop w:val="0"/>
                                      <w:marBottom w:val="0"/>
                                      <w:divBdr>
                                        <w:top w:val="none" w:sz="0" w:space="0" w:color="auto"/>
                                        <w:left w:val="none" w:sz="0" w:space="0" w:color="auto"/>
                                        <w:bottom w:val="none" w:sz="0" w:space="0" w:color="auto"/>
                                        <w:right w:val="none" w:sz="0" w:space="0" w:color="auto"/>
                                      </w:divBdr>
                                      <w:divsChild>
                                        <w:div w:id="69739607">
                                          <w:marLeft w:val="0"/>
                                          <w:marRight w:val="0"/>
                                          <w:marTop w:val="0"/>
                                          <w:marBottom w:val="0"/>
                                          <w:divBdr>
                                            <w:top w:val="none" w:sz="0" w:space="0" w:color="auto"/>
                                            <w:left w:val="none" w:sz="0" w:space="0" w:color="auto"/>
                                            <w:bottom w:val="none" w:sz="0" w:space="0" w:color="auto"/>
                                            <w:right w:val="none" w:sz="0" w:space="0" w:color="auto"/>
                                          </w:divBdr>
                                          <w:divsChild>
                                            <w:div w:id="1533836303">
                                              <w:marLeft w:val="0"/>
                                              <w:marRight w:val="0"/>
                                              <w:marTop w:val="0"/>
                                              <w:marBottom w:val="0"/>
                                              <w:divBdr>
                                                <w:top w:val="none" w:sz="0" w:space="0" w:color="auto"/>
                                                <w:left w:val="none" w:sz="0" w:space="0" w:color="auto"/>
                                                <w:bottom w:val="none" w:sz="0" w:space="0" w:color="auto"/>
                                                <w:right w:val="none" w:sz="0" w:space="0" w:color="auto"/>
                                              </w:divBdr>
                                              <w:divsChild>
                                                <w:div w:id="2016878927">
                                                  <w:marLeft w:val="0"/>
                                                  <w:marRight w:val="0"/>
                                                  <w:marTop w:val="0"/>
                                                  <w:marBottom w:val="0"/>
                                                  <w:divBdr>
                                                    <w:top w:val="none" w:sz="0" w:space="0" w:color="auto"/>
                                                    <w:left w:val="none" w:sz="0" w:space="0" w:color="auto"/>
                                                    <w:bottom w:val="none" w:sz="0" w:space="0" w:color="auto"/>
                                                    <w:right w:val="none" w:sz="0" w:space="0" w:color="auto"/>
                                                  </w:divBdr>
                                                  <w:divsChild>
                                                    <w:div w:id="1634095223">
                                                      <w:marLeft w:val="0"/>
                                                      <w:marRight w:val="0"/>
                                                      <w:marTop w:val="0"/>
                                                      <w:marBottom w:val="0"/>
                                                      <w:divBdr>
                                                        <w:top w:val="none" w:sz="0" w:space="0" w:color="auto"/>
                                                        <w:left w:val="none" w:sz="0" w:space="0" w:color="auto"/>
                                                        <w:bottom w:val="none" w:sz="0" w:space="0" w:color="auto"/>
                                                        <w:right w:val="none" w:sz="0" w:space="0" w:color="auto"/>
                                                      </w:divBdr>
                                                      <w:divsChild>
                                                        <w:div w:id="127092136">
                                                          <w:marLeft w:val="0"/>
                                                          <w:marRight w:val="0"/>
                                                          <w:marTop w:val="0"/>
                                                          <w:marBottom w:val="0"/>
                                                          <w:divBdr>
                                                            <w:top w:val="none" w:sz="0" w:space="0" w:color="auto"/>
                                                            <w:left w:val="none" w:sz="0" w:space="0" w:color="auto"/>
                                                            <w:bottom w:val="none" w:sz="0" w:space="0" w:color="auto"/>
                                                            <w:right w:val="none" w:sz="0" w:space="0" w:color="auto"/>
                                                          </w:divBdr>
                                                          <w:divsChild>
                                                            <w:div w:id="2040078899">
                                                              <w:marLeft w:val="0"/>
                                                              <w:marRight w:val="0"/>
                                                              <w:marTop w:val="0"/>
                                                              <w:marBottom w:val="0"/>
                                                              <w:divBdr>
                                                                <w:top w:val="none" w:sz="0" w:space="0" w:color="auto"/>
                                                                <w:left w:val="none" w:sz="0" w:space="0" w:color="auto"/>
                                                                <w:bottom w:val="none" w:sz="0" w:space="0" w:color="auto"/>
                                                                <w:right w:val="none" w:sz="0" w:space="0" w:color="auto"/>
                                                              </w:divBdr>
                                                              <w:divsChild>
                                                                <w:div w:id="11577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07977">
                                                          <w:marLeft w:val="0"/>
                                                          <w:marRight w:val="0"/>
                                                          <w:marTop w:val="0"/>
                                                          <w:marBottom w:val="450"/>
                                                          <w:divBdr>
                                                            <w:top w:val="none" w:sz="0" w:space="0" w:color="auto"/>
                                                            <w:left w:val="none" w:sz="0" w:space="0" w:color="auto"/>
                                                            <w:bottom w:val="none" w:sz="0" w:space="0" w:color="auto"/>
                                                            <w:right w:val="none" w:sz="0" w:space="0" w:color="auto"/>
                                                          </w:divBdr>
                                                          <w:divsChild>
                                                            <w:div w:id="1360932791">
                                                              <w:marLeft w:val="0"/>
                                                              <w:marRight w:val="0"/>
                                                              <w:marTop w:val="0"/>
                                                              <w:marBottom w:val="0"/>
                                                              <w:divBdr>
                                                                <w:top w:val="none" w:sz="0" w:space="0" w:color="auto"/>
                                                                <w:left w:val="none" w:sz="0" w:space="0" w:color="auto"/>
                                                                <w:bottom w:val="none" w:sz="0" w:space="0" w:color="auto"/>
                                                                <w:right w:val="none" w:sz="0" w:space="0" w:color="auto"/>
                                                              </w:divBdr>
                                                              <w:divsChild>
                                                                <w:div w:id="118786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93448">
                                                          <w:marLeft w:val="0"/>
                                                          <w:marRight w:val="0"/>
                                                          <w:marTop w:val="0"/>
                                                          <w:marBottom w:val="0"/>
                                                          <w:divBdr>
                                                            <w:top w:val="none" w:sz="0" w:space="0" w:color="auto"/>
                                                            <w:left w:val="none" w:sz="0" w:space="0" w:color="auto"/>
                                                            <w:bottom w:val="none" w:sz="0" w:space="0" w:color="auto"/>
                                                            <w:right w:val="none" w:sz="0" w:space="0" w:color="auto"/>
                                                          </w:divBdr>
                                                          <w:divsChild>
                                                            <w:div w:id="634221301">
                                                              <w:marLeft w:val="0"/>
                                                              <w:marRight w:val="0"/>
                                                              <w:marTop w:val="0"/>
                                                              <w:marBottom w:val="0"/>
                                                              <w:divBdr>
                                                                <w:top w:val="none" w:sz="0" w:space="0" w:color="auto"/>
                                                                <w:left w:val="none" w:sz="0" w:space="0" w:color="auto"/>
                                                                <w:bottom w:val="none" w:sz="0" w:space="0" w:color="auto"/>
                                                                <w:right w:val="none" w:sz="0" w:space="0" w:color="auto"/>
                                                              </w:divBdr>
                                                              <w:divsChild>
                                                                <w:div w:id="174313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3934129">
          <w:marLeft w:val="0"/>
          <w:marRight w:val="0"/>
          <w:marTop w:val="0"/>
          <w:marBottom w:val="0"/>
          <w:divBdr>
            <w:top w:val="none" w:sz="0" w:space="0" w:color="auto"/>
            <w:left w:val="none" w:sz="0" w:space="0" w:color="auto"/>
            <w:bottom w:val="none" w:sz="0" w:space="0" w:color="auto"/>
            <w:right w:val="none" w:sz="0" w:space="0" w:color="auto"/>
          </w:divBdr>
          <w:divsChild>
            <w:div w:id="1640067832">
              <w:marLeft w:val="0"/>
              <w:marRight w:val="0"/>
              <w:marTop w:val="0"/>
              <w:marBottom w:val="0"/>
              <w:divBdr>
                <w:top w:val="none" w:sz="0" w:space="0" w:color="auto"/>
                <w:left w:val="none" w:sz="0" w:space="0" w:color="auto"/>
                <w:bottom w:val="none" w:sz="0" w:space="0" w:color="auto"/>
                <w:right w:val="none" w:sz="0" w:space="0" w:color="auto"/>
              </w:divBdr>
              <w:divsChild>
                <w:div w:id="208691780">
                  <w:marLeft w:val="0"/>
                  <w:marRight w:val="0"/>
                  <w:marTop w:val="480"/>
                  <w:marBottom w:val="390"/>
                  <w:divBdr>
                    <w:top w:val="none" w:sz="0" w:space="0" w:color="auto"/>
                    <w:left w:val="none" w:sz="0" w:space="0" w:color="auto"/>
                    <w:bottom w:val="none" w:sz="0" w:space="0" w:color="auto"/>
                    <w:right w:val="none" w:sz="0" w:space="0" w:color="auto"/>
                  </w:divBdr>
                </w:div>
              </w:divsChild>
            </w:div>
          </w:divsChild>
        </w:div>
      </w:divsChild>
    </w:div>
    <w:div w:id="969819535">
      <w:bodyDiv w:val="1"/>
      <w:marLeft w:val="0"/>
      <w:marRight w:val="0"/>
      <w:marTop w:val="0"/>
      <w:marBottom w:val="0"/>
      <w:divBdr>
        <w:top w:val="none" w:sz="0" w:space="0" w:color="auto"/>
        <w:left w:val="none" w:sz="0" w:space="0" w:color="auto"/>
        <w:bottom w:val="none" w:sz="0" w:space="0" w:color="auto"/>
        <w:right w:val="none" w:sz="0" w:space="0" w:color="auto"/>
      </w:divBdr>
    </w:div>
    <w:div w:id="1131676973">
      <w:bodyDiv w:val="1"/>
      <w:marLeft w:val="0"/>
      <w:marRight w:val="0"/>
      <w:marTop w:val="0"/>
      <w:marBottom w:val="0"/>
      <w:divBdr>
        <w:top w:val="none" w:sz="0" w:space="0" w:color="auto"/>
        <w:left w:val="none" w:sz="0" w:space="0" w:color="auto"/>
        <w:bottom w:val="none" w:sz="0" w:space="0" w:color="auto"/>
        <w:right w:val="none" w:sz="0" w:space="0" w:color="auto"/>
      </w:divBdr>
    </w:div>
    <w:div w:id="1147622396">
      <w:bodyDiv w:val="1"/>
      <w:marLeft w:val="0"/>
      <w:marRight w:val="0"/>
      <w:marTop w:val="0"/>
      <w:marBottom w:val="0"/>
      <w:divBdr>
        <w:top w:val="none" w:sz="0" w:space="0" w:color="auto"/>
        <w:left w:val="none" w:sz="0" w:space="0" w:color="auto"/>
        <w:bottom w:val="none" w:sz="0" w:space="0" w:color="auto"/>
        <w:right w:val="none" w:sz="0" w:space="0" w:color="auto"/>
      </w:divBdr>
    </w:div>
    <w:div w:id="1328705882">
      <w:bodyDiv w:val="1"/>
      <w:marLeft w:val="0"/>
      <w:marRight w:val="0"/>
      <w:marTop w:val="0"/>
      <w:marBottom w:val="0"/>
      <w:divBdr>
        <w:top w:val="none" w:sz="0" w:space="0" w:color="auto"/>
        <w:left w:val="none" w:sz="0" w:space="0" w:color="auto"/>
        <w:bottom w:val="none" w:sz="0" w:space="0" w:color="auto"/>
        <w:right w:val="none" w:sz="0" w:space="0" w:color="auto"/>
      </w:divBdr>
      <w:divsChild>
        <w:div w:id="311175830">
          <w:marLeft w:val="0"/>
          <w:marRight w:val="0"/>
          <w:marTop w:val="0"/>
          <w:marBottom w:val="0"/>
          <w:divBdr>
            <w:top w:val="none" w:sz="0" w:space="0" w:color="auto"/>
            <w:left w:val="none" w:sz="0" w:space="0" w:color="auto"/>
            <w:bottom w:val="none" w:sz="0" w:space="0" w:color="auto"/>
            <w:right w:val="none" w:sz="0" w:space="0" w:color="auto"/>
          </w:divBdr>
          <w:divsChild>
            <w:div w:id="870142829">
              <w:marLeft w:val="0"/>
              <w:marRight w:val="0"/>
              <w:marTop w:val="0"/>
              <w:marBottom w:val="360"/>
              <w:divBdr>
                <w:top w:val="none" w:sz="0" w:space="0" w:color="auto"/>
                <w:left w:val="none" w:sz="0" w:space="0" w:color="auto"/>
                <w:bottom w:val="none" w:sz="0" w:space="0" w:color="auto"/>
                <w:right w:val="none" w:sz="0" w:space="0" w:color="auto"/>
              </w:divBdr>
              <w:divsChild>
                <w:div w:id="2066100969">
                  <w:marLeft w:val="0"/>
                  <w:marRight w:val="0"/>
                  <w:marTop w:val="0"/>
                  <w:marBottom w:val="0"/>
                  <w:divBdr>
                    <w:top w:val="none" w:sz="0" w:space="0" w:color="auto"/>
                    <w:left w:val="none" w:sz="0" w:space="0" w:color="auto"/>
                    <w:bottom w:val="none" w:sz="0" w:space="0" w:color="auto"/>
                    <w:right w:val="none" w:sz="0" w:space="0" w:color="auto"/>
                  </w:divBdr>
                  <w:divsChild>
                    <w:div w:id="1628468993">
                      <w:marLeft w:val="0"/>
                      <w:marRight w:val="0"/>
                      <w:marTop w:val="0"/>
                      <w:marBottom w:val="0"/>
                      <w:divBdr>
                        <w:top w:val="none" w:sz="0" w:space="0" w:color="auto"/>
                        <w:left w:val="none" w:sz="0" w:space="0" w:color="auto"/>
                        <w:bottom w:val="none" w:sz="0" w:space="0" w:color="auto"/>
                        <w:right w:val="none" w:sz="0" w:space="0" w:color="auto"/>
                      </w:divBdr>
                      <w:divsChild>
                        <w:div w:id="1305892779">
                          <w:marLeft w:val="0"/>
                          <w:marRight w:val="0"/>
                          <w:marTop w:val="0"/>
                          <w:marBottom w:val="0"/>
                          <w:divBdr>
                            <w:top w:val="none" w:sz="0" w:space="0" w:color="auto"/>
                            <w:left w:val="none" w:sz="0" w:space="0" w:color="auto"/>
                            <w:bottom w:val="none" w:sz="0" w:space="0" w:color="auto"/>
                            <w:right w:val="none" w:sz="0" w:space="0" w:color="auto"/>
                          </w:divBdr>
                          <w:divsChild>
                            <w:div w:id="1363171980">
                              <w:marLeft w:val="0"/>
                              <w:marRight w:val="0"/>
                              <w:marTop w:val="0"/>
                              <w:marBottom w:val="0"/>
                              <w:divBdr>
                                <w:top w:val="none" w:sz="0" w:space="0" w:color="auto"/>
                                <w:left w:val="none" w:sz="0" w:space="0" w:color="auto"/>
                                <w:bottom w:val="none" w:sz="0" w:space="0" w:color="auto"/>
                                <w:right w:val="none" w:sz="0" w:space="0" w:color="auto"/>
                              </w:divBdr>
                              <w:divsChild>
                                <w:div w:id="191982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758333">
      <w:bodyDiv w:val="1"/>
      <w:marLeft w:val="0"/>
      <w:marRight w:val="0"/>
      <w:marTop w:val="0"/>
      <w:marBottom w:val="0"/>
      <w:divBdr>
        <w:top w:val="none" w:sz="0" w:space="0" w:color="auto"/>
        <w:left w:val="none" w:sz="0" w:space="0" w:color="auto"/>
        <w:bottom w:val="none" w:sz="0" w:space="0" w:color="auto"/>
        <w:right w:val="none" w:sz="0" w:space="0" w:color="auto"/>
      </w:divBdr>
    </w:div>
    <w:div w:id="1442535186">
      <w:bodyDiv w:val="1"/>
      <w:marLeft w:val="0"/>
      <w:marRight w:val="0"/>
      <w:marTop w:val="0"/>
      <w:marBottom w:val="0"/>
      <w:divBdr>
        <w:top w:val="none" w:sz="0" w:space="0" w:color="auto"/>
        <w:left w:val="none" w:sz="0" w:space="0" w:color="auto"/>
        <w:bottom w:val="none" w:sz="0" w:space="0" w:color="auto"/>
        <w:right w:val="none" w:sz="0" w:space="0" w:color="auto"/>
      </w:divBdr>
    </w:div>
    <w:div w:id="1508789665">
      <w:bodyDiv w:val="1"/>
      <w:marLeft w:val="0"/>
      <w:marRight w:val="0"/>
      <w:marTop w:val="0"/>
      <w:marBottom w:val="0"/>
      <w:divBdr>
        <w:top w:val="none" w:sz="0" w:space="0" w:color="auto"/>
        <w:left w:val="none" w:sz="0" w:space="0" w:color="auto"/>
        <w:bottom w:val="none" w:sz="0" w:space="0" w:color="auto"/>
        <w:right w:val="none" w:sz="0" w:space="0" w:color="auto"/>
      </w:divBdr>
    </w:div>
    <w:div w:id="1532063018">
      <w:bodyDiv w:val="1"/>
      <w:marLeft w:val="0"/>
      <w:marRight w:val="0"/>
      <w:marTop w:val="0"/>
      <w:marBottom w:val="0"/>
      <w:divBdr>
        <w:top w:val="none" w:sz="0" w:space="0" w:color="auto"/>
        <w:left w:val="none" w:sz="0" w:space="0" w:color="auto"/>
        <w:bottom w:val="none" w:sz="0" w:space="0" w:color="auto"/>
        <w:right w:val="none" w:sz="0" w:space="0" w:color="auto"/>
      </w:divBdr>
    </w:div>
    <w:div w:id="1614481521">
      <w:bodyDiv w:val="1"/>
      <w:marLeft w:val="0"/>
      <w:marRight w:val="0"/>
      <w:marTop w:val="0"/>
      <w:marBottom w:val="0"/>
      <w:divBdr>
        <w:top w:val="none" w:sz="0" w:space="0" w:color="auto"/>
        <w:left w:val="none" w:sz="0" w:space="0" w:color="auto"/>
        <w:bottom w:val="none" w:sz="0" w:space="0" w:color="auto"/>
        <w:right w:val="none" w:sz="0" w:space="0" w:color="auto"/>
      </w:divBdr>
    </w:div>
    <w:div w:id="1660579331">
      <w:bodyDiv w:val="1"/>
      <w:marLeft w:val="0"/>
      <w:marRight w:val="0"/>
      <w:marTop w:val="0"/>
      <w:marBottom w:val="0"/>
      <w:divBdr>
        <w:top w:val="none" w:sz="0" w:space="0" w:color="auto"/>
        <w:left w:val="none" w:sz="0" w:space="0" w:color="auto"/>
        <w:bottom w:val="none" w:sz="0" w:space="0" w:color="auto"/>
        <w:right w:val="none" w:sz="0" w:space="0" w:color="auto"/>
      </w:divBdr>
    </w:div>
    <w:div w:id="1746151239">
      <w:bodyDiv w:val="1"/>
      <w:marLeft w:val="0"/>
      <w:marRight w:val="0"/>
      <w:marTop w:val="0"/>
      <w:marBottom w:val="0"/>
      <w:divBdr>
        <w:top w:val="single" w:sz="2" w:space="0" w:color="CC3640"/>
        <w:left w:val="none" w:sz="0" w:space="0" w:color="auto"/>
        <w:bottom w:val="none" w:sz="0" w:space="0" w:color="auto"/>
        <w:right w:val="none" w:sz="0" w:space="0" w:color="auto"/>
      </w:divBdr>
      <w:divsChild>
        <w:div w:id="1263418999">
          <w:marLeft w:val="0"/>
          <w:marRight w:val="0"/>
          <w:marTop w:val="0"/>
          <w:marBottom w:val="0"/>
          <w:divBdr>
            <w:top w:val="single" w:sz="2" w:space="0" w:color="FF0000"/>
            <w:left w:val="single" w:sz="2" w:space="0" w:color="FF0000"/>
            <w:bottom w:val="single" w:sz="2" w:space="0" w:color="FF0000"/>
            <w:right w:val="single" w:sz="2" w:space="0" w:color="FF0000"/>
          </w:divBdr>
          <w:divsChild>
            <w:div w:id="43452492">
              <w:marLeft w:val="0"/>
              <w:marRight w:val="0"/>
              <w:marTop w:val="0"/>
              <w:marBottom w:val="0"/>
              <w:divBdr>
                <w:top w:val="none" w:sz="0" w:space="0" w:color="auto"/>
                <w:left w:val="single" w:sz="6" w:space="0" w:color="DDDDDD"/>
                <w:bottom w:val="none" w:sz="0" w:space="0" w:color="auto"/>
                <w:right w:val="none" w:sz="0" w:space="0" w:color="auto"/>
              </w:divBdr>
              <w:divsChild>
                <w:div w:id="795296239">
                  <w:marLeft w:val="0"/>
                  <w:marRight w:val="0"/>
                  <w:marTop w:val="0"/>
                  <w:marBottom w:val="0"/>
                  <w:divBdr>
                    <w:top w:val="single" w:sz="2" w:space="0" w:color="008000"/>
                    <w:left w:val="single" w:sz="2" w:space="0" w:color="008000"/>
                    <w:bottom w:val="single" w:sz="2" w:space="0" w:color="008000"/>
                    <w:right w:val="single" w:sz="2" w:space="0" w:color="008000"/>
                  </w:divBdr>
                  <w:divsChild>
                    <w:div w:id="547182613">
                      <w:marLeft w:val="0"/>
                      <w:marRight w:val="0"/>
                      <w:marTop w:val="0"/>
                      <w:marBottom w:val="0"/>
                      <w:divBdr>
                        <w:top w:val="none" w:sz="0" w:space="0" w:color="auto"/>
                        <w:left w:val="none" w:sz="0" w:space="0" w:color="auto"/>
                        <w:bottom w:val="none" w:sz="0" w:space="0" w:color="auto"/>
                        <w:right w:val="none" w:sz="0" w:space="0" w:color="auto"/>
                      </w:divBdr>
                      <w:divsChild>
                        <w:div w:id="1466503467">
                          <w:marLeft w:val="0"/>
                          <w:marRight w:val="0"/>
                          <w:marTop w:val="0"/>
                          <w:marBottom w:val="0"/>
                          <w:divBdr>
                            <w:top w:val="none" w:sz="0" w:space="0" w:color="auto"/>
                            <w:left w:val="none" w:sz="0" w:space="0" w:color="auto"/>
                            <w:bottom w:val="none" w:sz="0" w:space="0" w:color="auto"/>
                            <w:right w:val="none" w:sz="0" w:space="0" w:color="auto"/>
                          </w:divBdr>
                          <w:divsChild>
                            <w:div w:id="1442454742">
                              <w:marLeft w:val="0"/>
                              <w:marRight w:val="0"/>
                              <w:marTop w:val="0"/>
                              <w:marBottom w:val="0"/>
                              <w:divBdr>
                                <w:top w:val="none" w:sz="0" w:space="0" w:color="auto"/>
                                <w:left w:val="single" w:sz="6" w:space="0" w:color="C3CDD8"/>
                                <w:bottom w:val="none" w:sz="0" w:space="0" w:color="auto"/>
                                <w:right w:val="none" w:sz="0" w:space="0" w:color="auto"/>
                              </w:divBdr>
                            </w:div>
                          </w:divsChild>
                        </w:div>
                      </w:divsChild>
                    </w:div>
                  </w:divsChild>
                </w:div>
              </w:divsChild>
            </w:div>
          </w:divsChild>
        </w:div>
      </w:divsChild>
    </w:div>
    <w:div w:id="1758551411">
      <w:bodyDiv w:val="1"/>
      <w:marLeft w:val="0"/>
      <w:marRight w:val="0"/>
      <w:marTop w:val="0"/>
      <w:marBottom w:val="0"/>
      <w:divBdr>
        <w:top w:val="none" w:sz="0" w:space="0" w:color="auto"/>
        <w:left w:val="none" w:sz="0" w:space="0" w:color="auto"/>
        <w:bottom w:val="none" w:sz="0" w:space="0" w:color="auto"/>
        <w:right w:val="none" w:sz="0" w:space="0" w:color="auto"/>
      </w:divBdr>
    </w:div>
    <w:div w:id="1849128168">
      <w:bodyDiv w:val="1"/>
      <w:marLeft w:val="0"/>
      <w:marRight w:val="0"/>
      <w:marTop w:val="0"/>
      <w:marBottom w:val="0"/>
      <w:divBdr>
        <w:top w:val="none" w:sz="0" w:space="0" w:color="auto"/>
        <w:left w:val="none" w:sz="0" w:space="0" w:color="auto"/>
        <w:bottom w:val="none" w:sz="0" w:space="0" w:color="auto"/>
        <w:right w:val="none" w:sz="0" w:space="0" w:color="auto"/>
      </w:divBdr>
    </w:div>
    <w:div w:id="1891647934">
      <w:bodyDiv w:val="1"/>
      <w:marLeft w:val="0"/>
      <w:marRight w:val="0"/>
      <w:marTop w:val="0"/>
      <w:marBottom w:val="0"/>
      <w:divBdr>
        <w:top w:val="none" w:sz="0" w:space="0" w:color="auto"/>
        <w:left w:val="none" w:sz="0" w:space="0" w:color="auto"/>
        <w:bottom w:val="none" w:sz="0" w:space="0" w:color="auto"/>
        <w:right w:val="none" w:sz="0" w:space="0" w:color="auto"/>
      </w:divBdr>
    </w:div>
    <w:div w:id="1935435423">
      <w:bodyDiv w:val="1"/>
      <w:marLeft w:val="0"/>
      <w:marRight w:val="0"/>
      <w:marTop w:val="0"/>
      <w:marBottom w:val="0"/>
      <w:divBdr>
        <w:top w:val="none" w:sz="0" w:space="0" w:color="auto"/>
        <w:left w:val="none" w:sz="0" w:space="0" w:color="auto"/>
        <w:bottom w:val="none" w:sz="0" w:space="0" w:color="auto"/>
        <w:right w:val="none" w:sz="0" w:space="0" w:color="auto"/>
      </w:divBdr>
    </w:div>
    <w:div w:id="2011449120">
      <w:bodyDiv w:val="1"/>
      <w:marLeft w:val="0"/>
      <w:marRight w:val="0"/>
      <w:marTop w:val="0"/>
      <w:marBottom w:val="0"/>
      <w:divBdr>
        <w:top w:val="none" w:sz="0" w:space="0" w:color="auto"/>
        <w:left w:val="none" w:sz="0" w:space="0" w:color="auto"/>
        <w:bottom w:val="none" w:sz="0" w:space="0" w:color="auto"/>
        <w:right w:val="none" w:sz="0" w:space="0" w:color="auto"/>
      </w:divBdr>
    </w:div>
    <w:div w:id="2048869371">
      <w:bodyDiv w:val="1"/>
      <w:marLeft w:val="0"/>
      <w:marRight w:val="0"/>
      <w:marTop w:val="0"/>
      <w:marBottom w:val="0"/>
      <w:divBdr>
        <w:top w:val="none" w:sz="0" w:space="0" w:color="auto"/>
        <w:left w:val="none" w:sz="0" w:space="0" w:color="auto"/>
        <w:bottom w:val="none" w:sz="0" w:space="0" w:color="auto"/>
        <w:right w:val="none" w:sz="0" w:space="0" w:color="auto"/>
      </w:divBdr>
    </w:div>
    <w:div w:id="2085225634">
      <w:bodyDiv w:val="1"/>
      <w:marLeft w:val="0"/>
      <w:marRight w:val="0"/>
      <w:marTop w:val="0"/>
      <w:marBottom w:val="0"/>
      <w:divBdr>
        <w:top w:val="none" w:sz="0" w:space="0" w:color="auto"/>
        <w:left w:val="none" w:sz="0" w:space="0" w:color="auto"/>
        <w:bottom w:val="none" w:sz="0" w:space="0" w:color="auto"/>
        <w:right w:val="none" w:sz="0" w:space="0" w:color="auto"/>
      </w:divBdr>
      <w:divsChild>
        <w:div w:id="1439912170">
          <w:marLeft w:val="300"/>
          <w:marRight w:val="30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E0185-D72D-4F65-856A-97833B7A8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4856</Words>
  <Characters>26708</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OCTUBRE</vt:lpstr>
    </vt:vector>
  </TitlesOfParts>
  <Company>Atlantis Hotels</Company>
  <LinksUpToDate>false</LinksUpToDate>
  <CharactersWithSpaces>31501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OCTUBRE</dc:title>
  <dc:subject/>
  <dc:creator>Juan Lorente</dc:creator>
  <cp:keywords/>
  <cp:lastModifiedBy>Jose Luis Chico Bersabe</cp:lastModifiedBy>
  <cp:revision>4</cp:revision>
  <cp:lastPrinted>2019-09-26T15:17:00Z</cp:lastPrinted>
  <dcterms:created xsi:type="dcterms:W3CDTF">2026-09-28T17:24:00Z</dcterms:created>
  <dcterms:modified xsi:type="dcterms:W3CDTF">2026-09-29T12:03:00Z</dcterms:modified>
</cp:coreProperties>
</file>