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3E1F" w14:textId="77777777" w:rsidR="0010284E" w:rsidRDefault="0010284E"/>
    <w:p w14:paraId="54573645" w14:textId="77777777" w:rsidR="0010284E" w:rsidRDefault="0010284E"/>
    <w:tbl>
      <w:tblPr>
        <w:tblW w:w="0" w:type="auto"/>
        <w:shd w:val="clear" w:color="auto" w:fill="800000"/>
        <w:tblCellMar>
          <w:left w:w="70" w:type="dxa"/>
          <w:right w:w="70" w:type="dxa"/>
        </w:tblCellMar>
        <w:tblLook w:val="0000" w:firstRow="0" w:lastRow="0" w:firstColumn="0" w:lastColumn="0" w:noHBand="0" w:noVBand="0"/>
      </w:tblPr>
      <w:tblGrid>
        <w:gridCol w:w="1199"/>
        <w:gridCol w:w="7163"/>
      </w:tblGrid>
      <w:tr w:rsidR="00341BFE" w14:paraId="3F728BAD" w14:textId="77777777" w:rsidTr="0010284E">
        <w:trPr>
          <w:trHeight w:val="889"/>
        </w:trPr>
        <w:tc>
          <w:tcPr>
            <w:tcW w:w="1199" w:type="dxa"/>
            <w:shd w:val="clear" w:color="auto" w:fill="000000"/>
            <w:vAlign w:val="center"/>
          </w:tcPr>
          <w:p w14:paraId="57267E50" w14:textId="0A697E0B" w:rsidR="00341BFE" w:rsidRPr="00005F73" w:rsidRDefault="000903FD" w:rsidP="003735A6">
            <w:pPr>
              <w:pStyle w:val="Ttulo9"/>
              <w:jc w:val="left"/>
              <w:rPr>
                <w:rFonts w:ascii="Verdana" w:hAnsi="Verdana"/>
                <w:szCs w:val="20"/>
              </w:rPr>
            </w:pPr>
            <w:r>
              <w:rPr>
                <w:rFonts w:ascii="Verdana" w:hAnsi="Verdana"/>
                <w:szCs w:val="20"/>
              </w:rPr>
              <w:t>OCTUBRE</w:t>
            </w:r>
          </w:p>
          <w:p w14:paraId="7AC8946E" w14:textId="03E79993" w:rsidR="00341BFE" w:rsidRDefault="00341BFE" w:rsidP="006B081E">
            <w:pPr>
              <w:jc w:val="center"/>
              <w:rPr>
                <w:rFonts w:ascii="Verdana" w:hAnsi="Verdana"/>
                <w:b/>
                <w:bCs/>
                <w:sz w:val="22"/>
                <w:szCs w:val="32"/>
              </w:rPr>
            </w:pPr>
            <w:r w:rsidRPr="00005F73">
              <w:rPr>
                <w:rFonts w:ascii="Verdana" w:hAnsi="Verdana"/>
                <w:b/>
                <w:bCs/>
              </w:rPr>
              <w:t>20</w:t>
            </w:r>
            <w:r w:rsidR="003800C3">
              <w:rPr>
                <w:rFonts w:ascii="Verdana" w:hAnsi="Verdana"/>
                <w:b/>
                <w:bCs/>
              </w:rPr>
              <w:t>2</w:t>
            </w:r>
            <w:r w:rsidR="00BA1BDE">
              <w:rPr>
                <w:rFonts w:ascii="Verdana" w:hAnsi="Verdana"/>
                <w:b/>
                <w:bCs/>
              </w:rPr>
              <w:t>5</w:t>
            </w:r>
          </w:p>
        </w:tc>
        <w:tc>
          <w:tcPr>
            <w:tcW w:w="7305" w:type="dxa"/>
            <w:shd w:val="clear" w:color="auto" w:fill="993300"/>
            <w:vAlign w:val="center"/>
          </w:tcPr>
          <w:p w14:paraId="7BF34A33" w14:textId="77777777" w:rsidR="00341BFE" w:rsidRPr="00005F73" w:rsidRDefault="00341BFE">
            <w:pPr>
              <w:jc w:val="center"/>
              <w:rPr>
                <w:rFonts w:ascii="Verdana" w:hAnsi="Verdana"/>
                <w:b/>
                <w:bCs/>
                <w:color w:val="FFFFFF"/>
                <w:sz w:val="24"/>
                <w:szCs w:val="24"/>
              </w:rPr>
            </w:pPr>
            <w:r w:rsidRPr="00005F73">
              <w:rPr>
                <w:rFonts w:ascii="Verdana" w:hAnsi="Verdana"/>
                <w:b/>
                <w:bCs/>
                <w:color w:val="FFFFFF"/>
                <w:sz w:val="24"/>
                <w:szCs w:val="24"/>
              </w:rPr>
              <w:t>APUNTES SOBRE LA ACTUALIDAD FISCAL</w:t>
            </w:r>
          </w:p>
        </w:tc>
      </w:tr>
    </w:tbl>
    <w:p w14:paraId="28653D26" w14:textId="77777777" w:rsidR="00341BFE" w:rsidRDefault="00341BFE">
      <w:pPr>
        <w:jc w:val="both"/>
        <w:rPr>
          <w:rFonts w:ascii="Verdana" w:hAnsi="Verdana"/>
          <w:b/>
          <w:sz w:val="22"/>
        </w:rPr>
      </w:pPr>
    </w:p>
    <w:p w14:paraId="4EE7915A" w14:textId="77777777" w:rsidR="00341BFE" w:rsidRDefault="00341BFE">
      <w:pPr>
        <w:jc w:val="both"/>
        <w:rPr>
          <w:rFonts w:ascii="Verdana" w:hAnsi="Verdana"/>
          <w:b/>
          <w:sz w:val="22"/>
        </w:rPr>
      </w:pPr>
    </w:p>
    <w:p w14:paraId="24C00C87" w14:textId="77777777" w:rsidR="00341BFE" w:rsidRPr="00005F73" w:rsidRDefault="00341BFE" w:rsidP="00DC2BC0">
      <w:pPr>
        <w:tabs>
          <w:tab w:val="left" w:pos="284"/>
        </w:tabs>
        <w:jc w:val="center"/>
        <w:rPr>
          <w:rFonts w:ascii="Verdana" w:hAnsi="Verdana"/>
          <w:color w:val="800000"/>
          <w:u w:val="single"/>
        </w:rPr>
      </w:pPr>
      <w:r w:rsidRPr="00005F73">
        <w:rPr>
          <w:rFonts w:ascii="Verdana" w:hAnsi="Verdana"/>
          <w:b/>
          <w:bCs/>
          <w:color w:val="800000"/>
          <w:u w:val="single"/>
        </w:rPr>
        <w:t>SUMARIO</w:t>
      </w:r>
    </w:p>
    <w:p w14:paraId="280B7F57" w14:textId="5C210206" w:rsidR="00572E2A" w:rsidRDefault="00572E2A">
      <w:pPr>
        <w:jc w:val="center"/>
        <w:rPr>
          <w:rFonts w:ascii="Verdana" w:hAnsi="Verdana"/>
          <w:b/>
          <w:bCs/>
          <w:i/>
          <w:iCs/>
          <w:color w:val="800000"/>
          <w:sz w:val="18"/>
          <w:szCs w:val="18"/>
          <w:u w:val="single"/>
        </w:rPr>
      </w:pPr>
    </w:p>
    <w:p w14:paraId="2EE41FD4" w14:textId="4B346FDA" w:rsidR="00450D64" w:rsidRPr="00450D64" w:rsidRDefault="00BB76B2">
      <w:pPr>
        <w:pStyle w:val="Prrafodelista"/>
        <w:numPr>
          <w:ilvl w:val="0"/>
          <w:numId w:val="1"/>
        </w:numPr>
        <w:ind w:left="284" w:hanging="284"/>
        <w:jc w:val="both"/>
        <w:rPr>
          <w:rFonts w:ascii="Verdana" w:hAnsi="Verdana"/>
          <w:b/>
          <w:bCs/>
          <w:i/>
          <w:iCs/>
          <w:color w:val="800000"/>
          <w:sz w:val="18"/>
          <w:szCs w:val="18"/>
          <w:u w:val="single"/>
        </w:rPr>
      </w:pPr>
      <w:r w:rsidRPr="00BB76B2">
        <w:rPr>
          <w:rFonts w:ascii="Verdana" w:hAnsi="Verdana"/>
          <w:b/>
          <w:bCs/>
          <w:i/>
          <w:iCs/>
          <w:color w:val="800000"/>
          <w:sz w:val="18"/>
          <w:szCs w:val="18"/>
        </w:rPr>
        <w:t>IMPLICACIONES FISCALES DE LA INCLUSIÓN DEL HIJO COMO COTITULAR EN LAS CUENTAS BANCARIAS DE LOS PADRES</w:t>
      </w:r>
    </w:p>
    <w:p w14:paraId="773506E2" w14:textId="49FA581F" w:rsidR="00450D64" w:rsidRDefault="00BB76B2" w:rsidP="00450D64">
      <w:pPr>
        <w:pStyle w:val="Prrafodelista"/>
        <w:ind w:left="284"/>
        <w:jc w:val="both"/>
        <w:rPr>
          <w:rFonts w:ascii="Verdana" w:hAnsi="Verdana"/>
          <w:b/>
          <w:bCs/>
          <w:i/>
          <w:iCs/>
          <w:color w:val="800000"/>
          <w:sz w:val="18"/>
          <w:szCs w:val="18"/>
        </w:rPr>
      </w:pPr>
      <w:r w:rsidRPr="00BB76B2">
        <w:rPr>
          <w:rFonts w:ascii="Verdana" w:hAnsi="Verdana"/>
          <w:b/>
          <w:bCs/>
          <w:i/>
          <w:iCs/>
          <w:color w:val="800000"/>
          <w:sz w:val="18"/>
          <w:szCs w:val="18"/>
        </w:rPr>
        <w:t xml:space="preserve">La DGT recuerda que ha de realizarse la diferencia entre titularidad bancaria y </w:t>
      </w:r>
      <w:r w:rsidR="00FB1959" w:rsidRPr="00BB76B2">
        <w:rPr>
          <w:rFonts w:ascii="Verdana" w:hAnsi="Verdana"/>
          <w:b/>
          <w:bCs/>
          <w:i/>
          <w:iCs/>
          <w:color w:val="800000"/>
          <w:sz w:val="18"/>
          <w:szCs w:val="18"/>
        </w:rPr>
        <w:t>real.</w:t>
      </w:r>
    </w:p>
    <w:p w14:paraId="63633637" w14:textId="77777777" w:rsidR="006C02A0" w:rsidRDefault="006C02A0" w:rsidP="00450D64">
      <w:pPr>
        <w:pStyle w:val="Prrafodelista"/>
        <w:ind w:left="284"/>
        <w:jc w:val="both"/>
        <w:rPr>
          <w:rFonts w:ascii="Verdana" w:hAnsi="Verdana"/>
          <w:b/>
          <w:bCs/>
          <w:i/>
          <w:iCs/>
          <w:color w:val="800000"/>
          <w:sz w:val="18"/>
          <w:szCs w:val="18"/>
        </w:rPr>
      </w:pPr>
    </w:p>
    <w:p w14:paraId="0EDCC940" w14:textId="77777777" w:rsidR="006C02A0" w:rsidRDefault="006C02A0" w:rsidP="006C02A0">
      <w:pPr>
        <w:pStyle w:val="Prrafodelista"/>
        <w:numPr>
          <w:ilvl w:val="0"/>
          <w:numId w:val="1"/>
        </w:numPr>
        <w:ind w:left="284" w:hanging="284"/>
        <w:jc w:val="both"/>
        <w:rPr>
          <w:rFonts w:ascii="Verdana" w:hAnsi="Verdana"/>
          <w:b/>
          <w:bCs/>
          <w:i/>
          <w:iCs/>
          <w:color w:val="800000"/>
          <w:sz w:val="18"/>
          <w:szCs w:val="18"/>
        </w:rPr>
      </w:pPr>
      <w:r w:rsidRPr="003464F1">
        <w:rPr>
          <w:rFonts w:ascii="Verdana" w:hAnsi="Verdana"/>
          <w:b/>
          <w:bCs/>
          <w:i/>
          <w:iCs/>
          <w:color w:val="800000"/>
          <w:sz w:val="18"/>
          <w:szCs w:val="18"/>
        </w:rPr>
        <w:t>EL TRIBUNAL SUPREMO SIENTA JURISPRUDENCIA EXIGIENDO UNA VISITA AL INTERIOR DEL INMUEBLE PARA EFECTUAR UNA TASACIÓN PERICIA</w:t>
      </w:r>
      <w:r>
        <w:rPr>
          <w:rFonts w:ascii="Verdana" w:hAnsi="Verdana"/>
          <w:b/>
          <w:bCs/>
          <w:i/>
          <w:iCs/>
          <w:color w:val="800000"/>
          <w:sz w:val="18"/>
          <w:szCs w:val="18"/>
        </w:rPr>
        <w:t>L</w:t>
      </w:r>
    </w:p>
    <w:p w14:paraId="472161DC" w14:textId="5374769E" w:rsidR="006C02A0" w:rsidRDefault="006C02A0" w:rsidP="006C02A0">
      <w:pPr>
        <w:pStyle w:val="Prrafodelista"/>
        <w:ind w:left="284"/>
        <w:jc w:val="both"/>
        <w:rPr>
          <w:rFonts w:ascii="Verdana" w:hAnsi="Verdana"/>
          <w:b/>
          <w:bCs/>
          <w:i/>
          <w:iCs/>
          <w:color w:val="800000"/>
          <w:sz w:val="18"/>
          <w:szCs w:val="18"/>
        </w:rPr>
      </w:pPr>
      <w:r w:rsidRPr="00A7669F">
        <w:rPr>
          <w:rFonts w:ascii="Verdana" w:hAnsi="Verdana"/>
          <w:b/>
          <w:bCs/>
          <w:i/>
          <w:iCs/>
          <w:color w:val="800000"/>
          <w:sz w:val="18"/>
          <w:szCs w:val="18"/>
        </w:rPr>
        <w:t>El Tribunal Supremo, en su sentencia de 24 de junio de 2025 ha reiterado con firmeza que una valoración pericial de inmuebles no puede fundamentarse únicamente en una visita exterior, acompañada de algunas fotografías y referencias catastrales</w:t>
      </w:r>
      <w:r w:rsidR="00855D9A">
        <w:rPr>
          <w:rFonts w:ascii="Verdana" w:hAnsi="Verdana"/>
          <w:b/>
          <w:bCs/>
          <w:i/>
          <w:iCs/>
          <w:color w:val="800000"/>
          <w:sz w:val="18"/>
          <w:szCs w:val="18"/>
        </w:rPr>
        <w:t>.</w:t>
      </w:r>
    </w:p>
    <w:p w14:paraId="26DA75C1" w14:textId="77777777" w:rsidR="006C02A0" w:rsidRDefault="006C02A0" w:rsidP="006C02A0">
      <w:pPr>
        <w:pStyle w:val="Prrafodelista"/>
        <w:ind w:left="0" w:hanging="142"/>
        <w:jc w:val="both"/>
        <w:rPr>
          <w:rFonts w:ascii="Verdana" w:hAnsi="Verdana"/>
          <w:b/>
          <w:bCs/>
          <w:i/>
          <w:iCs/>
          <w:color w:val="800000"/>
          <w:sz w:val="18"/>
          <w:szCs w:val="18"/>
        </w:rPr>
      </w:pPr>
    </w:p>
    <w:p w14:paraId="746C375F" w14:textId="0AB9BB41" w:rsidR="00DA37E0" w:rsidRPr="00DA37E0" w:rsidRDefault="00DA37E0">
      <w:pPr>
        <w:pStyle w:val="Prrafodelista"/>
        <w:numPr>
          <w:ilvl w:val="0"/>
          <w:numId w:val="1"/>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IRPF. - </w:t>
      </w:r>
      <w:r w:rsidRPr="00DA37E0">
        <w:rPr>
          <w:rFonts w:ascii="Verdana" w:hAnsi="Verdana"/>
          <w:b/>
          <w:bCs/>
          <w:i/>
          <w:iCs/>
          <w:color w:val="800000"/>
          <w:sz w:val="18"/>
          <w:szCs w:val="18"/>
        </w:rPr>
        <w:t xml:space="preserve">REGULARIZACIÓN DE CUOTAS DEL RETA: IMPUTACIÓN TEMPORAL EN </w:t>
      </w:r>
      <w:r>
        <w:rPr>
          <w:rFonts w:ascii="Verdana" w:hAnsi="Verdana"/>
          <w:b/>
          <w:bCs/>
          <w:i/>
          <w:iCs/>
          <w:color w:val="800000"/>
          <w:sz w:val="18"/>
          <w:szCs w:val="18"/>
        </w:rPr>
        <w:t xml:space="preserve">EL </w:t>
      </w:r>
      <w:r w:rsidRPr="00DA37E0">
        <w:rPr>
          <w:rFonts w:ascii="Verdana" w:hAnsi="Verdana"/>
          <w:b/>
          <w:bCs/>
          <w:i/>
          <w:iCs/>
          <w:color w:val="800000"/>
          <w:sz w:val="18"/>
          <w:szCs w:val="18"/>
        </w:rPr>
        <w:t>IRPF</w:t>
      </w:r>
    </w:p>
    <w:p w14:paraId="7A989A55" w14:textId="1D3C4D63" w:rsidR="005445AE" w:rsidRDefault="00DA37E0" w:rsidP="00450D64">
      <w:pPr>
        <w:pStyle w:val="Prrafodelista"/>
        <w:ind w:left="284"/>
        <w:jc w:val="both"/>
        <w:rPr>
          <w:rFonts w:ascii="Verdana" w:hAnsi="Verdana"/>
          <w:b/>
          <w:bCs/>
          <w:i/>
          <w:iCs/>
          <w:color w:val="800000"/>
          <w:sz w:val="18"/>
          <w:szCs w:val="18"/>
        </w:rPr>
      </w:pPr>
      <w:r w:rsidRPr="00DA37E0">
        <w:rPr>
          <w:rFonts w:ascii="Verdana" w:hAnsi="Verdana"/>
          <w:b/>
          <w:bCs/>
          <w:i/>
          <w:iCs/>
          <w:color w:val="800000"/>
          <w:sz w:val="18"/>
          <w:szCs w:val="18"/>
        </w:rPr>
        <w:t>La DGT expone en qué periodo impositivo debe imputarse una cantidad que el contribuyente debe pagar para regularizar sus cuotas de la Seguridad Social.</w:t>
      </w:r>
    </w:p>
    <w:p w14:paraId="379E3997" w14:textId="77777777" w:rsidR="00A7669F" w:rsidRDefault="00A7669F" w:rsidP="0055261E">
      <w:pPr>
        <w:pStyle w:val="Prrafodelista"/>
        <w:ind w:left="284"/>
        <w:jc w:val="both"/>
        <w:rPr>
          <w:rFonts w:ascii="Verdana" w:hAnsi="Verdana"/>
          <w:b/>
          <w:bCs/>
          <w:i/>
          <w:iCs/>
          <w:color w:val="800000"/>
          <w:sz w:val="18"/>
          <w:szCs w:val="18"/>
        </w:rPr>
      </w:pPr>
    </w:p>
    <w:p w14:paraId="74A7EF8A" w14:textId="058E81B7" w:rsidR="0055261E" w:rsidRDefault="0055261E" w:rsidP="0055261E">
      <w:pPr>
        <w:pStyle w:val="Prrafodelista"/>
        <w:numPr>
          <w:ilvl w:val="0"/>
          <w:numId w:val="1"/>
        </w:numPr>
        <w:ind w:left="284" w:hanging="284"/>
        <w:jc w:val="both"/>
        <w:rPr>
          <w:rFonts w:ascii="Verdana" w:hAnsi="Verdana"/>
          <w:b/>
          <w:bCs/>
          <w:i/>
          <w:iCs/>
          <w:color w:val="800000"/>
          <w:sz w:val="18"/>
          <w:szCs w:val="18"/>
        </w:rPr>
      </w:pPr>
      <w:r>
        <w:rPr>
          <w:rFonts w:ascii="Verdana" w:hAnsi="Verdana"/>
          <w:b/>
          <w:bCs/>
          <w:i/>
          <w:iCs/>
          <w:color w:val="800000"/>
          <w:sz w:val="18"/>
          <w:szCs w:val="18"/>
        </w:rPr>
        <w:t>IRP</w:t>
      </w:r>
      <w:r w:rsidR="00264346">
        <w:rPr>
          <w:rFonts w:ascii="Verdana" w:hAnsi="Verdana"/>
          <w:b/>
          <w:bCs/>
          <w:i/>
          <w:iCs/>
          <w:color w:val="800000"/>
          <w:sz w:val="18"/>
          <w:szCs w:val="18"/>
        </w:rPr>
        <w:t>F</w:t>
      </w:r>
      <w:r>
        <w:rPr>
          <w:rFonts w:ascii="Verdana" w:hAnsi="Verdana"/>
          <w:b/>
          <w:bCs/>
          <w:i/>
          <w:iCs/>
          <w:color w:val="800000"/>
          <w:sz w:val="18"/>
          <w:szCs w:val="18"/>
        </w:rPr>
        <w:t xml:space="preserve">. - </w:t>
      </w:r>
      <w:r w:rsidRPr="0055261E">
        <w:rPr>
          <w:rFonts w:ascii="Verdana" w:hAnsi="Verdana"/>
          <w:b/>
          <w:bCs/>
          <w:i/>
          <w:iCs/>
          <w:color w:val="800000"/>
          <w:sz w:val="18"/>
          <w:szCs w:val="18"/>
        </w:rPr>
        <w:t>COMPLEMENTOS POR MATERNIDAD Y PATERNIDAD QUE FIGURAN COMO ATRASOS EN LOS DATOS FISCALES DEL PERÍODO IMPOSITIVO DE 2024</w:t>
      </w:r>
    </w:p>
    <w:p w14:paraId="4644D570" w14:textId="2B2960E4" w:rsidR="0055261E" w:rsidRDefault="0055261E" w:rsidP="0055261E">
      <w:pPr>
        <w:pStyle w:val="Prrafodelista"/>
        <w:ind w:left="284"/>
        <w:rPr>
          <w:rFonts w:ascii="Verdana" w:hAnsi="Verdana"/>
          <w:b/>
          <w:bCs/>
          <w:i/>
          <w:iCs/>
          <w:color w:val="800000"/>
          <w:sz w:val="18"/>
          <w:szCs w:val="18"/>
        </w:rPr>
      </w:pPr>
      <w:r>
        <w:rPr>
          <w:rFonts w:ascii="Verdana" w:hAnsi="Verdana"/>
          <w:b/>
          <w:bCs/>
          <w:i/>
          <w:iCs/>
          <w:color w:val="800000"/>
          <w:sz w:val="18"/>
          <w:szCs w:val="18"/>
        </w:rPr>
        <w:t xml:space="preserve">Según consulta vinculante </w:t>
      </w:r>
      <w:r w:rsidRPr="0055261E">
        <w:rPr>
          <w:rFonts w:ascii="Verdana" w:hAnsi="Verdana"/>
          <w:b/>
          <w:bCs/>
          <w:i/>
          <w:iCs/>
          <w:color w:val="800000"/>
          <w:sz w:val="18"/>
          <w:szCs w:val="18"/>
        </w:rPr>
        <w:t>V1074-20</w:t>
      </w:r>
      <w:r>
        <w:rPr>
          <w:rFonts w:ascii="Verdana" w:hAnsi="Verdana"/>
          <w:b/>
          <w:bCs/>
          <w:i/>
          <w:iCs/>
          <w:color w:val="800000"/>
          <w:sz w:val="18"/>
          <w:szCs w:val="18"/>
        </w:rPr>
        <w:t xml:space="preserve"> </w:t>
      </w:r>
      <w:r w:rsidR="009A12CD">
        <w:rPr>
          <w:rFonts w:ascii="Verdana" w:hAnsi="Verdana"/>
          <w:b/>
          <w:bCs/>
          <w:i/>
          <w:iCs/>
          <w:color w:val="800000"/>
          <w:sz w:val="18"/>
          <w:szCs w:val="18"/>
        </w:rPr>
        <w:t>el importe por estos complementos no prescribe</w:t>
      </w:r>
      <w:r>
        <w:rPr>
          <w:rFonts w:ascii="Verdana" w:hAnsi="Verdana"/>
          <w:b/>
          <w:bCs/>
          <w:i/>
          <w:iCs/>
          <w:color w:val="800000"/>
          <w:sz w:val="18"/>
          <w:szCs w:val="18"/>
        </w:rPr>
        <w:t>.</w:t>
      </w:r>
    </w:p>
    <w:p w14:paraId="01F22B0C" w14:textId="77777777" w:rsidR="0055261E" w:rsidRPr="0055261E" w:rsidRDefault="0055261E" w:rsidP="0055261E">
      <w:pPr>
        <w:pStyle w:val="Prrafodelista"/>
        <w:rPr>
          <w:rFonts w:ascii="Verdana" w:hAnsi="Verdana"/>
          <w:b/>
          <w:bCs/>
          <w:i/>
          <w:iCs/>
          <w:color w:val="800000"/>
          <w:sz w:val="18"/>
          <w:szCs w:val="18"/>
        </w:rPr>
      </w:pPr>
    </w:p>
    <w:p w14:paraId="71398233" w14:textId="4E4F77F2" w:rsidR="0055261E" w:rsidRDefault="009A12CD" w:rsidP="0055261E">
      <w:pPr>
        <w:pStyle w:val="Prrafodelista"/>
        <w:numPr>
          <w:ilvl w:val="0"/>
          <w:numId w:val="1"/>
        </w:numPr>
        <w:ind w:left="284" w:hanging="284"/>
        <w:jc w:val="both"/>
        <w:rPr>
          <w:rFonts w:ascii="Verdana" w:hAnsi="Verdana"/>
          <w:b/>
          <w:bCs/>
          <w:i/>
          <w:iCs/>
          <w:color w:val="800000"/>
          <w:sz w:val="18"/>
          <w:szCs w:val="18"/>
        </w:rPr>
      </w:pPr>
      <w:r>
        <w:rPr>
          <w:rFonts w:ascii="Verdana" w:hAnsi="Verdana"/>
          <w:b/>
          <w:bCs/>
          <w:i/>
          <w:iCs/>
          <w:color w:val="800000"/>
          <w:sz w:val="18"/>
          <w:szCs w:val="18"/>
        </w:rPr>
        <w:t>IRPF. - TRIBUTACIÓN DE UN INMUEBLE A CAMBIO DE CRIPTOMONEDAS</w:t>
      </w:r>
    </w:p>
    <w:p w14:paraId="4DDB6A56" w14:textId="273F15A1" w:rsidR="009A12CD" w:rsidRDefault="009A12CD" w:rsidP="009A12CD">
      <w:pPr>
        <w:pStyle w:val="Prrafodelista"/>
        <w:ind w:left="284"/>
        <w:jc w:val="both"/>
        <w:rPr>
          <w:rFonts w:ascii="Verdana" w:hAnsi="Verdana"/>
          <w:b/>
          <w:bCs/>
          <w:i/>
          <w:iCs/>
          <w:color w:val="800000"/>
          <w:sz w:val="18"/>
          <w:szCs w:val="18"/>
        </w:rPr>
      </w:pPr>
      <w:r w:rsidRPr="009A12CD">
        <w:rPr>
          <w:rFonts w:ascii="Verdana" w:hAnsi="Verdana"/>
          <w:b/>
          <w:bCs/>
          <w:i/>
          <w:iCs/>
          <w:color w:val="800000"/>
          <w:sz w:val="18"/>
          <w:szCs w:val="18"/>
        </w:rPr>
        <w:t>La venta de un inmueble a cambio de criptomonedas tributa como permuta en el IRPF</w:t>
      </w:r>
      <w:r>
        <w:rPr>
          <w:rFonts w:ascii="Verdana" w:hAnsi="Verdana"/>
          <w:b/>
          <w:bCs/>
          <w:i/>
          <w:iCs/>
          <w:color w:val="800000"/>
          <w:sz w:val="18"/>
          <w:szCs w:val="18"/>
        </w:rPr>
        <w:t>.</w:t>
      </w:r>
    </w:p>
    <w:p w14:paraId="72543BC6" w14:textId="77777777" w:rsidR="00E24D7F" w:rsidRDefault="00E24D7F" w:rsidP="009A12CD">
      <w:pPr>
        <w:pStyle w:val="Prrafodelista"/>
        <w:ind w:left="284"/>
        <w:jc w:val="both"/>
        <w:rPr>
          <w:rFonts w:ascii="Verdana" w:hAnsi="Verdana"/>
          <w:b/>
          <w:bCs/>
          <w:i/>
          <w:iCs/>
          <w:color w:val="800000"/>
          <w:sz w:val="18"/>
          <w:szCs w:val="18"/>
        </w:rPr>
      </w:pPr>
    </w:p>
    <w:p w14:paraId="6A2D471C" w14:textId="0A2AE8D8" w:rsidR="00E24D7F" w:rsidRDefault="00E24D7F" w:rsidP="00E24D7F">
      <w:pPr>
        <w:pStyle w:val="Prrafodelista"/>
        <w:numPr>
          <w:ilvl w:val="0"/>
          <w:numId w:val="1"/>
        </w:numPr>
        <w:ind w:left="284" w:hanging="284"/>
        <w:jc w:val="both"/>
        <w:rPr>
          <w:rFonts w:ascii="Verdana" w:hAnsi="Verdana"/>
          <w:b/>
          <w:bCs/>
          <w:i/>
          <w:iCs/>
          <w:color w:val="800000"/>
          <w:sz w:val="18"/>
          <w:szCs w:val="18"/>
        </w:rPr>
      </w:pPr>
      <w:r w:rsidRPr="00E24D7F">
        <w:rPr>
          <w:rFonts w:ascii="Verdana" w:hAnsi="Verdana"/>
          <w:b/>
          <w:bCs/>
          <w:i/>
          <w:iCs/>
          <w:color w:val="800000"/>
          <w:sz w:val="18"/>
          <w:szCs w:val="18"/>
        </w:rPr>
        <w:t xml:space="preserve">IRPF. - MODIFICADO EL PROCEDIMIENTO DE DEVOLUCIÓN A MUTUALISTAS </w:t>
      </w:r>
      <w:r>
        <w:rPr>
          <w:rFonts w:ascii="Verdana" w:hAnsi="Verdana"/>
          <w:b/>
          <w:bCs/>
          <w:i/>
          <w:iCs/>
          <w:color w:val="800000"/>
          <w:sz w:val="18"/>
          <w:szCs w:val="18"/>
        </w:rPr>
        <w:t>Y</w:t>
      </w:r>
      <w:r w:rsidRPr="00E24D7F">
        <w:rPr>
          <w:rFonts w:ascii="Verdana" w:hAnsi="Verdana"/>
          <w:b/>
          <w:bCs/>
          <w:i/>
          <w:iCs/>
          <w:color w:val="800000"/>
          <w:sz w:val="18"/>
          <w:szCs w:val="18"/>
        </w:rPr>
        <w:t xml:space="preserve"> OTROS CAMBIOS AL RESPECTO EN LA NORMATIVA DEL IRP</w:t>
      </w:r>
      <w:r>
        <w:rPr>
          <w:rFonts w:ascii="Verdana" w:hAnsi="Verdana"/>
          <w:b/>
          <w:bCs/>
          <w:i/>
          <w:iCs/>
          <w:color w:val="800000"/>
          <w:sz w:val="18"/>
          <w:szCs w:val="18"/>
        </w:rPr>
        <w:t>F</w:t>
      </w:r>
    </w:p>
    <w:p w14:paraId="69C9C4B5" w14:textId="520705BA" w:rsidR="00E24D7F" w:rsidRDefault="00E24D7F" w:rsidP="00673240">
      <w:pPr>
        <w:pStyle w:val="Prrafodelista"/>
        <w:ind w:left="284"/>
        <w:jc w:val="both"/>
        <w:rPr>
          <w:rFonts w:ascii="Verdana" w:hAnsi="Verdana"/>
          <w:b/>
          <w:bCs/>
          <w:i/>
          <w:iCs/>
          <w:color w:val="800000"/>
          <w:sz w:val="18"/>
          <w:szCs w:val="18"/>
        </w:rPr>
      </w:pPr>
      <w:r w:rsidRPr="00E24D7F">
        <w:rPr>
          <w:rFonts w:ascii="Verdana" w:hAnsi="Verdana"/>
          <w:b/>
          <w:bCs/>
          <w:i/>
          <w:iCs/>
          <w:color w:val="800000"/>
          <w:sz w:val="18"/>
          <w:szCs w:val="18"/>
        </w:rPr>
        <w:t>En el BOE de 25 de julio de 2025, se publicó la Ley 5/2025, de 24 de julio, que ha modificado el régimen previsto en la Ley 7/2024, de 20 de diciembr</w:t>
      </w:r>
      <w:r w:rsidR="00673240">
        <w:rPr>
          <w:rFonts w:ascii="Verdana" w:hAnsi="Verdana"/>
          <w:b/>
          <w:bCs/>
          <w:i/>
          <w:iCs/>
          <w:color w:val="800000"/>
          <w:sz w:val="18"/>
          <w:szCs w:val="18"/>
        </w:rPr>
        <w:t>e.</w:t>
      </w:r>
    </w:p>
    <w:p w14:paraId="2FB1477E" w14:textId="77777777" w:rsidR="0030616A" w:rsidRDefault="0030616A" w:rsidP="00673240">
      <w:pPr>
        <w:pStyle w:val="Prrafodelista"/>
        <w:ind w:left="284"/>
        <w:jc w:val="both"/>
        <w:rPr>
          <w:rFonts w:ascii="Verdana" w:hAnsi="Verdana"/>
          <w:b/>
          <w:bCs/>
          <w:i/>
          <w:iCs/>
          <w:color w:val="800000"/>
          <w:sz w:val="18"/>
          <w:szCs w:val="18"/>
        </w:rPr>
      </w:pPr>
    </w:p>
    <w:p w14:paraId="780626D5" w14:textId="7B3EC9ED" w:rsidR="0030616A" w:rsidRDefault="00F86EEB" w:rsidP="0030616A">
      <w:pPr>
        <w:pStyle w:val="Prrafodelista"/>
        <w:numPr>
          <w:ilvl w:val="0"/>
          <w:numId w:val="30"/>
        </w:numPr>
        <w:ind w:left="284" w:hanging="284"/>
        <w:jc w:val="both"/>
        <w:rPr>
          <w:rFonts w:ascii="Verdana" w:hAnsi="Verdana"/>
          <w:b/>
          <w:bCs/>
          <w:i/>
          <w:iCs/>
          <w:color w:val="800000"/>
          <w:sz w:val="18"/>
          <w:szCs w:val="18"/>
        </w:rPr>
      </w:pPr>
      <w:r>
        <w:rPr>
          <w:rFonts w:ascii="Verdana" w:hAnsi="Verdana"/>
          <w:b/>
          <w:bCs/>
          <w:i/>
          <w:iCs/>
          <w:color w:val="800000"/>
          <w:sz w:val="18"/>
          <w:szCs w:val="18"/>
        </w:rPr>
        <w:t>I</w:t>
      </w:r>
      <w:r w:rsidR="0030616A">
        <w:rPr>
          <w:rFonts w:ascii="Verdana" w:hAnsi="Verdana"/>
          <w:b/>
          <w:bCs/>
          <w:i/>
          <w:iCs/>
          <w:color w:val="800000"/>
          <w:sz w:val="18"/>
          <w:szCs w:val="18"/>
        </w:rPr>
        <w:t xml:space="preserve">RPF. – DEDUCIBILIDAD DE LOS GASTOS DERIVADOS DE UTILIZACIÓN DE REDES SOCIALES </w:t>
      </w:r>
    </w:p>
    <w:p w14:paraId="32FC5592" w14:textId="2E4F3EEC" w:rsidR="0030616A" w:rsidRPr="0030616A" w:rsidRDefault="0030616A" w:rsidP="0030616A">
      <w:pPr>
        <w:pStyle w:val="Prrafodelista"/>
        <w:ind w:left="284"/>
        <w:jc w:val="both"/>
        <w:rPr>
          <w:rFonts w:ascii="Verdana" w:hAnsi="Verdana"/>
          <w:b/>
          <w:bCs/>
          <w:i/>
          <w:iCs/>
          <w:color w:val="800000"/>
          <w:sz w:val="18"/>
          <w:szCs w:val="18"/>
        </w:rPr>
      </w:pPr>
      <w:r>
        <w:rPr>
          <w:rFonts w:ascii="Verdana" w:hAnsi="Verdana"/>
          <w:b/>
          <w:bCs/>
          <w:i/>
          <w:iCs/>
          <w:color w:val="800000"/>
          <w:sz w:val="18"/>
          <w:szCs w:val="18"/>
        </w:rPr>
        <w:t>Lo</w:t>
      </w:r>
      <w:r w:rsidRPr="0030616A">
        <w:rPr>
          <w:rFonts w:ascii="Verdana" w:hAnsi="Verdana"/>
          <w:b/>
          <w:bCs/>
          <w:i/>
          <w:iCs/>
          <w:color w:val="800000"/>
          <w:sz w:val="18"/>
          <w:szCs w:val="18"/>
        </w:rPr>
        <w:t>s gastos derivados de la utilización de redes sociales como medio de comunicación y publicidad pueden considerarse fiscalmente deducibles en el IRPF</w:t>
      </w:r>
      <w:r>
        <w:rPr>
          <w:rFonts w:ascii="Verdana" w:hAnsi="Verdana"/>
          <w:b/>
          <w:bCs/>
          <w:i/>
          <w:iCs/>
          <w:color w:val="800000"/>
          <w:sz w:val="18"/>
          <w:szCs w:val="18"/>
        </w:rPr>
        <w:t>.</w:t>
      </w:r>
    </w:p>
    <w:p w14:paraId="7005283F" w14:textId="77777777" w:rsidR="00E24D7F" w:rsidRPr="00E24D7F" w:rsidRDefault="00E24D7F" w:rsidP="00E24D7F">
      <w:pPr>
        <w:jc w:val="both"/>
        <w:rPr>
          <w:rFonts w:ascii="Verdana" w:hAnsi="Verdana"/>
          <w:b/>
          <w:bCs/>
          <w:i/>
          <w:iCs/>
          <w:color w:val="800000"/>
          <w:sz w:val="18"/>
          <w:szCs w:val="18"/>
        </w:rPr>
      </w:pPr>
    </w:p>
    <w:p w14:paraId="4BA074D8" w14:textId="77777777" w:rsidR="00DA37E0" w:rsidRDefault="00DA37E0" w:rsidP="00450D64">
      <w:pPr>
        <w:pStyle w:val="Prrafodelista"/>
        <w:ind w:left="284"/>
        <w:jc w:val="both"/>
        <w:rPr>
          <w:rFonts w:ascii="Verdana" w:hAnsi="Verdana"/>
          <w:b/>
          <w:bCs/>
          <w:i/>
          <w:iCs/>
          <w:color w:val="800000"/>
          <w:sz w:val="18"/>
          <w:szCs w:val="18"/>
        </w:rPr>
      </w:pPr>
    </w:p>
    <w:p w14:paraId="3E2BAFBE" w14:textId="77777777" w:rsidR="00B42DB7" w:rsidRPr="00BB76B2" w:rsidRDefault="00B42DB7" w:rsidP="00BB76B2">
      <w:pPr>
        <w:pStyle w:val="Prrafodelista"/>
        <w:tabs>
          <w:tab w:val="left" w:pos="360"/>
        </w:tabs>
        <w:ind w:left="1080"/>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911DE" w:rsidRPr="00BB76B2" w14:paraId="23620F45" w14:textId="77777777" w:rsidTr="00B90A97">
        <w:tc>
          <w:tcPr>
            <w:tcW w:w="180" w:type="dxa"/>
            <w:shd w:val="clear" w:color="auto" w:fill="FF6600"/>
          </w:tcPr>
          <w:p w14:paraId="272ED0EC" w14:textId="77777777" w:rsidR="00E911DE" w:rsidRPr="00BB76B2" w:rsidRDefault="00E911DE">
            <w:pPr>
              <w:pStyle w:val="Prrafodelista"/>
              <w:numPr>
                <w:ilvl w:val="0"/>
                <w:numId w:val="24"/>
              </w:numPr>
              <w:rPr>
                <w:rFonts w:ascii="Verdana" w:hAnsi="Verdana"/>
                <w:b/>
                <w:bCs/>
                <w:color w:val="800000"/>
                <w:sz w:val="18"/>
                <w:szCs w:val="18"/>
              </w:rPr>
            </w:pPr>
            <w:bookmarkStart w:id="0" w:name="_Hlk82881305"/>
          </w:p>
        </w:tc>
        <w:tc>
          <w:tcPr>
            <w:tcW w:w="8460" w:type="dxa"/>
          </w:tcPr>
          <w:p w14:paraId="4A11AE8C" w14:textId="6C1EE80C" w:rsidR="00E911DE" w:rsidRPr="00BB76B2" w:rsidRDefault="00BB76B2">
            <w:pPr>
              <w:pStyle w:val="Prrafodelista"/>
              <w:numPr>
                <w:ilvl w:val="0"/>
                <w:numId w:val="25"/>
              </w:numPr>
              <w:ind w:left="384" w:hanging="283"/>
              <w:jc w:val="both"/>
              <w:rPr>
                <w:rFonts w:ascii="Verdana" w:hAnsi="Verdana"/>
                <w:b/>
                <w:bCs/>
                <w:color w:val="800000"/>
                <w:sz w:val="18"/>
                <w:szCs w:val="18"/>
              </w:rPr>
            </w:pPr>
            <w:r w:rsidRPr="00BB76B2">
              <w:rPr>
                <w:rFonts w:ascii="Verdana" w:hAnsi="Verdana"/>
                <w:b/>
                <w:bCs/>
                <w:color w:val="800000"/>
                <w:sz w:val="18"/>
                <w:szCs w:val="18"/>
              </w:rPr>
              <w:t>IMPLICACIONES FISCALES DE LA INCLUSIÓN DEL HIJO COMO COTITULAR EN LAS CUENTAS BANCARIAS DE LOS</w:t>
            </w:r>
            <w:r>
              <w:rPr>
                <w:rFonts w:ascii="Verdana" w:hAnsi="Verdana"/>
                <w:b/>
                <w:bCs/>
                <w:color w:val="800000"/>
                <w:sz w:val="18"/>
                <w:szCs w:val="18"/>
              </w:rPr>
              <w:t xml:space="preserve"> PADRES</w:t>
            </w:r>
          </w:p>
        </w:tc>
      </w:tr>
    </w:tbl>
    <w:bookmarkEnd w:id="0"/>
    <w:p w14:paraId="1E36906B" w14:textId="1DCF7F7A" w:rsidR="00BB76B2" w:rsidRPr="00BB76B2" w:rsidRDefault="00A7669F" w:rsidP="00BB76B2">
      <w:pPr>
        <w:ind w:left="284"/>
        <w:jc w:val="both"/>
        <w:rPr>
          <w:rFonts w:ascii="Verdana" w:hAnsi="Verdana"/>
          <w:bCs/>
          <w:iCs/>
          <w:sz w:val="18"/>
          <w:szCs w:val="18"/>
        </w:rPr>
      </w:pPr>
      <w:r>
        <w:rPr>
          <w:rFonts w:ascii="Verdana" w:hAnsi="Verdana"/>
          <w:bCs/>
          <w:iCs/>
          <w:sz w:val="18"/>
          <w:szCs w:val="18"/>
        </w:rPr>
        <w:t xml:space="preserve">La DGT en su consulta vinculante </w:t>
      </w:r>
      <w:r w:rsidRPr="00BB76B2">
        <w:rPr>
          <w:rFonts w:ascii="Verdana" w:hAnsi="Verdana"/>
          <w:bCs/>
          <w:iCs/>
          <w:sz w:val="18"/>
          <w:szCs w:val="18"/>
        </w:rPr>
        <w:t>V0640/2025, de 8 de abril de 2025</w:t>
      </w:r>
      <w:r>
        <w:rPr>
          <w:rFonts w:ascii="Verdana" w:hAnsi="Verdana"/>
          <w:bCs/>
          <w:iCs/>
          <w:sz w:val="18"/>
          <w:szCs w:val="18"/>
        </w:rPr>
        <w:t>, analiza la</w:t>
      </w:r>
      <w:r w:rsidR="00A31780">
        <w:rPr>
          <w:rFonts w:ascii="Verdana" w:hAnsi="Verdana"/>
          <w:bCs/>
          <w:iCs/>
          <w:sz w:val="18"/>
          <w:szCs w:val="18"/>
        </w:rPr>
        <w:t>s</w:t>
      </w:r>
      <w:r>
        <w:rPr>
          <w:rFonts w:ascii="Verdana" w:hAnsi="Verdana"/>
          <w:bCs/>
          <w:iCs/>
          <w:sz w:val="18"/>
          <w:szCs w:val="18"/>
        </w:rPr>
        <w:t xml:space="preserve"> implicaciones jurídicas y fiscales </w:t>
      </w:r>
      <w:r w:rsidRPr="00BB76B2">
        <w:rPr>
          <w:rFonts w:ascii="Verdana" w:hAnsi="Verdana"/>
          <w:bCs/>
          <w:iCs/>
          <w:sz w:val="18"/>
          <w:szCs w:val="18"/>
        </w:rPr>
        <w:t xml:space="preserve">que deben analizarse desde la perspectiva del </w:t>
      </w:r>
      <w:r w:rsidR="00264346">
        <w:rPr>
          <w:rFonts w:ascii="Verdana" w:hAnsi="Verdana"/>
          <w:bCs/>
          <w:iCs/>
          <w:sz w:val="18"/>
          <w:szCs w:val="18"/>
        </w:rPr>
        <w:t>I</w:t>
      </w:r>
      <w:r w:rsidRPr="00BB76B2">
        <w:rPr>
          <w:rFonts w:ascii="Verdana" w:hAnsi="Verdana"/>
          <w:bCs/>
          <w:iCs/>
          <w:sz w:val="18"/>
          <w:szCs w:val="18"/>
        </w:rPr>
        <w:t xml:space="preserve">mpuesto sobre </w:t>
      </w:r>
      <w:r w:rsidR="00264346">
        <w:rPr>
          <w:rFonts w:ascii="Verdana" w:hAnsi="Verdana"/>
          <w:bCs/>
          <w:iCs/>
          <w:sz w:val="18"/>
          <w:szCs w:val="18"/>
        </w:rPr>
        <w:t>S</w:t>
      </w:r>
      <w:r w:rsidRPr="00BB76B2">
        <w:rPr>
          <w:rFonts w:ascii="Verdana" w:hAnsi="Verdana"/>
          <w:bCs/>
          <w:iCs/>
          <w:sz w:val="18"/>
          <w:szCs w:val="18"/>
        </w:rPr>
        <w:t xml:space="preserve">ucesiones y </w:t>
      </w:r>
      <w:r w:rsidR="00264346">
        <w:rPr>
          <w:rFonts w:ascii="Verdana" w:hAnsi="Verdana"/>
          <w:bCs/>
          <w:iCs/>
          <w:sz w:val="18"/>
          <w:szCs w:val="18"/>
        </w:rPr>
        <w:t>D</w:t>
      </w:r>
      <w:r w:rsidRPr="00BB76B2">
        <w:rPr>
          <w:rFonts w:ascii="Verdana" w:hAnsi="Verdana"/>
          <w:bCs/>
          <w:iCs/>
          <w:sz w:val="18"/>
          <w:szCs w:val="18"/>
        </w:rPr>
        <w:t xml:space="preserve">onaciones (ISD), </w:t>
      </w:r>
      <w:r>
        <w:rPr>
          <w:rFonts w:ascii="Verdana" w:hAnsi="Verdana"/>
          <w:bCs/>
          <w:iCs/>
          <w:sz w:val="18"/>
          <w:szCs w:val="18"/>
        </w:rPr>
        <w:t xml:space="preserve">en </w:t>
      </w:r>
      <w:r w:rsidRPr="00A7669F">
        <w:rPr>
          <w:rFonts w:ascii="Verdana" w:hAnsi="Verdana"/>
          <w:b/>
          <w:iCs/>
          <w:sz w:val="18"/>
          <w:szCs w:val="18"/>
        </w:rPr>
        <w:t>la</w:t>
      </w:r>
      <w:r w:rsidR="00BB76B2" w:rsidRPr="00A7669F">
        <w:rPr>
          <w:rFonts w:ascii="Verdana" w:hAnsi="Verdana"/>
          <w:b/>
          <w:iCs/>
          <w:sz w:val="18"/>
          <w:szCs w:val="18"/>
        </w:rPr>
        <w:t xml:space="preserve"> inclusión de un hijo como cotitular en las cuentas bancarias de sus</w:t>
      </w:r>
      <w:r w:rsidRPr="00A7669F">
        <w:rPr>
          <w:rFonts w:ascii="Verdana" w:hAnsi="Verdana"/>
          <w:b/>
          <w:iCs/>
          <w:sz w:val="18"/>
          <w:szCs w:val="18"/>
        </w:rPr>
        <w:t xml:space="preserve"> progenitores</w:t>
      </w:r>
      <w:r w:rsidRPr="00BB76B2">
        <w:rPr>
          <w:rFonts w:ascii="Verdana" w:hAnsi="Verdana"/>
          <w:bCs/>
          <w:iCs/>
          <w:sz w:val="18"/>
          <w:szCs w:val="18"/>
        </w:rPr>
        <w:t>.</w:t>
      </w:r>
    </w:p>
    <w:p w14:paraId="2E4F2BF8" w14:textId="77777777" w:rsidR="00BB76B2" w:rsidRPr="00BB76B2" w:rsidRDefault="00BB76B2" w:rsidP="00BB76B2">
      <w:pPr>
        <w:ind w:left="284"/>
        <w:jc w:val="both"/>
        <w:rPr>
          <w:rFonts w:ascii="Verdana" w:hAnsi="Verdana"/>
          <w:bCs/>
          <w:iCs/>
          <w:sz w:val="18"/>
          <w:szCs w:val="18"/>
        </w:rPr>
      </w:pPr>
    </w:p>
    <w:p w14:paraId="2E568D6E"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 xml:space="preserve">En principio, el mero hecho de aparecer como titular o cotitular de una cuenta bancaria </w:t>
      </w:r>
      <w:r w:rsidRPr="00A7669F">
        <w:rPr>
          <w:rFonts w:ascii="Verdana" w:hAnsi="Verdana"/>
          <w:b/>
          <w:iCs/>
          <w:sz w:val="18"/>
          <w:szCs w:val="18"/>
        </w:rPr>
        <w:t>no implica automáticamente la adquisición en propiedad de los fondos depositados en ella, ni determina por sí solo la existencia de una donación a efectos fiscales</w:t>
      </w:r>
      <w:r w:rsidRPr="00BB76B2">
        <w:rPr>
          <w:rFonts w:ascii="Verdana" w:hAnsi="Verdana"/>
          <w:bCs/>
          <w:iCs/>
          <w:sz w:val="18"/>
          <w:szCs w:val="18"/>
        </w:rPr>
        <w:t>. Así lo ha reiterado en múltiples ocasiones el Tribunal Supremo, señalando que debe distinguirse entre:</w:t>
      </w:r>
    </w:p>
    <w:p w14:paraId="497C819D" w14:textId="77777777" w:rsidR="00BB76B2" w:rsidRPr="00BB76B2" w:rsidRDefault="00BB76B2" w:rsidP="00BB76B2">
      <w:pPr>
        <w:ind w:left="284"/>
        <w:jc w:val="both"/>
        <w:rPr>
          <w:rFonts w:ascii="Verdana" w:hAnsi="Verdana"/>
          <w:bCs/>
          <w:iCs/>
          <w:sz w:val="18"/>
          <w:szCs w:val="18"/>
        </w:rPr>
      </w:pPr>
    </w:p>
    <w:p w14:paraId="488536E8" w14:textId="77777777" w:rsidR="00BB76B2" w:rsidRPr="0090437A" w:rsidRDefault="00BB76B2" w:rsidP="0090437A">
      <w:pPr>
        <w:pStyle w:val="Prrafodelista"/>
        <w:numPr>
          <w:ilvl w:val="0"/>
          <w:numId w:val="35"/>
        </w:numPr>
        <w:jc w:val="both"/>
        <w:rPr>
          <w:rFonts w:ascii="Verdana" w:hAnsi="Verdana"/>
          <w:bCs/>
          <w:iCs/>
          <w:sz w:val="18"/>
          <w:szCs w:val="18"/>
        </w:rPr>
      </w:pPr>
      <w:r w:rsidRPr="0090437A">
        <w:rPr>
          <w:rFonts w:ascii="Verdana" w:hAnsi="Verdana"/>
          <w:b/>
          <w:iCs/>
          <w:sz w:val="18"/>
          <w:szCs w:val="18"/>
        </w:rPr>
        <w:t>Titularidad formal o bancaria</w:t>
      </w:r>
      <w:r w:rsidRPr="0090437A">
        <w:rPr>
          <w:rFonts w:ascii="Verdana" w:hAnsi="Verdana"/>
          <w:bCs/>
          <w:iCs/>
          <w:sz w:val="18"/>
          <w:szCs w:val="18"/>
        </w:rPr>
        <w:t xml:space="preserve"> (quien aparece como titular en el contrato con la entidad financiera).</w:t>
      </w:r>
    </w:p>
    <w:p w14:paraId="39983813" w14:textId="77777777" w:rsidR="00BB76B2" w:rsidRPr="0090437A" w:rsidRDefault="00BB76B2" w:rsidP="0090437A">
      <w:pPr>
        <w:pStyle w:val="Prrafodelista"/>
        <w:numPr>
          <w:ilvl w:val="0"/>
          <w:numId w:val="35"/>
        </w:numPr>
        <w:jc w:val="both"/>
        <w:rPr>
          <w:rFonts w:ascii="Verdana" w:hAnsi="Verdana"/>
          <w:bCs/>
          <w:iCs/>
          <w:sz w:val="18"/>
          <w:szCs w:val="18"/>
        </w:rPr>
      </w:pPr>
      <w:r w:rsidRPr="0090437A">
        <w:rPr>
          <w:rFonts w:ascii="Verdana" w:hAnsi="Verdana"/>
          <w:b/>
          <w:iCs/>
          <w:sz w:val="18"/>
          <w:szCs w:val="18"/>
        </w:rPr>
        <w:t>Titularidad real o dominical</w:t>
      </w:r>
      <w:r w:rsidRPr="0090437A">
        <w:rPr>
          <w:rFonts w:ascii="Verdana" w:hAnsi="Verdana"/>
          <w:bCs/>
          <w:iCs/>
          <w:sz w:val="18"/>
          <w:szCs w:val="18"/>
        </w:rPr>
        <w:t xml:space="preserve"> (quien es el verdadero propietario de los fondos).</w:t>
      </w:r>
    </w:p>
    <w:p w14:paraId="40D363FD" w14:textId="77777777" w:rsidR="00A7669F" w:rsidRPr="00BB76B2" w:rsidRDefault="00A7669F" w:rsidP="00BB76B2">
      <w:pPr>
        <w:ind w:left="284"/>
        <w:jc w:val="both"/>
        <w:rPr>
          <w:rFonts w:ascii="Verdana" w:hAnsi="Verdana"/>
          <w:bCs/>
          <w:iCs/>
          <w:sz w:val="18"/>
          <w:szCs w:val="18"/>
        </w:rPr>
      </w:pPr>
    </w:p>
    <w:p w14:paraId="1FAC09EB"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En la jurisprudencia consolidada del Tribunal Supremo (por ejemplo, STS de 19 de diciembre de 1995, y otras anteriores como las de 8 de febrero de 1991 o 15 de diciembre de 1993), se establece que:</w:t>
      </w:r>
    </w:p>
    <w:p w14:paraId="26054E1F" w14:textId="77777777" w:rsidR="00BB76B2" w:rsidRPr="00BB76B2" w:rsidRDefault="00BB76B2" w:rsidP="00BB76B2">
      <w:pPr>
        <w:ind w:left="284"/>
        <w:jc w:val="both"/>
        <w:rPr>
          <w:rFonts w:ascii="Verdana" w:hAnsi="Verdana"/>
          <w:bCs/>
          <w:iCs/>
          <w:sz w:val="18"/>
          <w:szCs w:val="18"/>
        </w:rPr>
      </w:pPr>
    </w:p>
    <w:p w14:paraId="3492B542"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w:t>
      </w:r>
      <w:r w:rsidRPr="00A7669F">
        <w:rPr>
          <w:rFonts w:ascii="Verdana" w:hAnsi="Verdana"/>
          <w:b/>
          <w:iCs/>
          <w:sz w:val="18"/>
          <w:szCs w:val="18"/>
        </w:rPr>
        <w:t xml:space="preserve">El mero hecho de la cotitularidad en una cuenta bancaria no determina por sí solo la existencia de un condominio, ni mucho menos por partes iguales, sobre los fondos depositados. </w:t>
      </w:r>
      <w:r w:rsidRPr="00264346">
        <w:rPr>
          <w:rFonts w:ascii="Verdana" w:hAnsi="Verdana"/>
          <w:b/>
          <w:iCs/>
          <w:sz w:val="18"/>
          <w:szCs w:val="18"/>
          <w:u w:val="single"/>
        </w:rPr>
        <w:t>La propiedad real del dinero se presume perteneciente a quien lo ingresó</w:t>
      </w:r>
      <w:r w:rsidRPr="00A7669F">
        <w:rPr>
          <w:rFonts w:ascii="Verdana" w:hAnsi="Verdana"/>
          <w:b/>
          <w:iCs/>
          <w:sz w:val="18"/>
          <w:szCs w:val="18"/>
        </w:rPr>
        <w:t>, salvo prueba en contrario</w:t>
      </w:r>
      <w:r w:rsidRPr="00BB76B2">
        <w:rPr>
          <w:rFonts w:ascii="Verdana" w:hAnsi="Verdana"/>
          <w:bCs/>
          <w:iCs/>
          <w:sz w:val="18"/>
          <w:szCs w:val="18"/>
        </w:rPr>
        <w:t>".</w:t>
      </w:r>
    </w:p>
    <w:p w14:paraId="7B406F14" w14:textId="77777777" w:rsidR="00BB76B2" w:rsidRPr="00BB76B2" w:rsidRDefault="00BB76B2" w:rsidP="00BB76B2">
      <w:pPr>
        <w:ind w:left="284"/>
        <w:jc w:val="both"/>
        <w:rPr>
          <w:rFonts w:ascii="Verdana" w:hAnsi="Verdana"/>
          <w:bCs/>
          <w:iCs/>
          <w:sz w:val="18"/>
          <w:szCs w:val="18"/>
        </w:rPr>
      </w:pPr>
    </w:p>
    <w:p w14:paraId="71F244C1"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 xml:space="preserve">En consecuencia, la cotitularidad </w:t>
      </w:r>
      <w:r w:rsidRPr="00A7669F">
        <w:rPr>
          <w:rFonts w:ascii="Verdana" w:hAnsi="Verdana"/>
          <w:b/>
          <w:iCs/>
          <w:sz w:val="18"/>
          <w:szCs w:val="18"/>
        </w:rPr>
        <w:t>solo otorga facultades dispositivas frente al banco</w:t>
      </w:r>
      <w:r w:rsidRPr="00BB76B2">
        <w:rPr>
          <w:rFonts w:ascii="Verdana" w:hAnsi="Verdana"/>
          <w:bCs/>
          <w:iCs/>
          <w:sz w:val="18"/>
          <w:szCs w:val="18"/>
        </w:rPr>
        <w:t>, pero no prueba por sí sola que el nuevo cotitular sea dueño del dinero. La propiedad real de los fondos debe probarse conforme a las relaciones internas entre los cotitulares, atendiendo a quién aportó efectivamente los fondos.</w:t>
      </w:r>
    </w:p>
    <w:p w14:paraId="76448EEE" w14:textId="77777777" w:rsidR="00BB76B2" w:rsidRPr="00BB76B2" w:rsidRDefault="00BB76B2" w:rsidP="00BB76B2">
      <w:pPr>
        <w:ind w:left="284"/>
        <w:jc w:val="both"/>
        <w:rPr>
          <w:rFonts w:ascii="Verdana" w:hAnsi="Verdana"/>
          <w:bCs/>
          <w:iCs/>
          <w:sz w:val="18"/>
          <w:szCs w:val="18"/>
        </w:rPr>
      </w:pPr>
    </w:p>
    <w:p w14:paraId="3F2C332D" w14:textId="6A6EB909" w:rsidR="00BB76B2" w:rsidRPr="00A7669F" w:rsidRDefault="00955722" w:rsidP="00BB76B2">
      <w:pPr>
        <w:ind w:left="284"/>
        <w:jc w:val="both"/>
        <w:rPr>
          <w:rFonts w:ascii="Verdana" w:hAnsi="Verdana"/>
          <w:b/>
          <w:iCs/>
          <w:sz w:val="18"/>
          <w:szCs w:val="18"/>
        </w:rPr>
      </w:pPr>
      <w:r w:rsidRPr="00A7669F">
        <w:rPr>
          <w:rFonts w:ascii="Verdana" w:hAnsi="Verdana"/>
          <w:b/>
          <w:iCs/>
          <w:sz w:val="18"/>
          <w:szCs w:val="18"/>
        </w:rPr>
        <w:t>Cuando</w:t>
      </w:r>
      <w:r w:rsidR="00BB76B2" w:rsidRPr="00A7669F">
        <w:rPr>
          <w:rFonts w:ascii="Verdana" w:hAnsi="Verdana"/>
          <w:b/>
          <w:iCs/>
          <w:sz w:val="18"/>
          <w:szCs w:val="18"/>
        </w:rPr>
        <w:t xml:space="preserve"> podría considerarse que existe una donación</w:t>
      </w:r>
    </w:p>
    <w:p w14:paraId="5654A3AD" w14:textId="77777777" w:rsidR="00A7669F" w:rsidRPr="00BB76B2" w:rsidRDefault="00A7669F" w:rsidP="00BB76B2">
      <w:pPr>
        <w:ind w:left="284"/>
        <w:jc w:val="both"/>
        <w:rPr>
          <w:rFonts w:ascii="Verdana" w:hAnsi="Verdana"/>
          <w:bCs/>
          <w:iCs/>
          <w:sz w:val="18"/>
          <w:szCs w:val="18"/>
        </w:rPr>
      </w:pPr>
    </w:p>
    <w:p w14:paraId="1DB422C9"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La Administración tributaria podría calificar la operación como donación si, al analizar los hechos y pruebas, aprecia que:</w:t>
      </w:r>
    </w:p>
    <w:p w14:paraId="22A73FE7" w14:textId="77777777" w:rsidR="00BB76B2" w:rsidRPr="00BB76B2" w:rsidRDefault="00BB76B2" w:rsidP="00BB76B2">
      <w:pPr>
        <w:ind w:left="284"/>
        <w:jc w:val="both"/>
        <w:rPr>
          <w:rFonts w:ascii="Verdana" w:hAnsi="Verdana"/>
          <w:bCs/>
          <w:iCs/>
          <w:sz w:val="18"/>
          <w:szCs w:val="18"/>
        </w:rPr>
      </w:pPr>
    </w:p>
    <w:p w14:paraId="054B5451" w14:textId="77777777" w:rsidR="00BB76B2" w:rsidRPr="0090437A" w:rsidRDefault="00BB76B2" w:rsidP="0090437A">
      <w:pPr>
        <w:pStyle w:val="Prrafodelista"/>
        <w:numPr>
          <w:ilvl w:val="0"/>
          <w:numId w:val="36"/>
        </w:numPr>
        <w:jc w:val="both"/>
        <w:rPr>
          <w:rFonts w:ascii="Verdana" w:hAnsi="Verdana"/>
          <w:bCs/>
          <w:iCs/>
          <w:sz w:val="18"/>
          <w:szCs w:val="18"/>
        </w:rPr>
      </w:pPr>
      <w:r w:rsidRPr="0090437A">
        <w:rPr>
          <w:rFonts w:ascii="Verdana" w:hAnsi="Verdana"/>
          <w:b/>
          <w:iCs/>
          <w:sz w:val="18"/>
          <w:szCs w:val="18"/>
        </w:rPr>
        <w:t>La persona que se incorpora como cotitular no ha realizado aportaciones económicas a la cuenta</w:t>
      </w:r>
      <w:r w:rsidRPr="0090437A">
        <w:rPr>
          <w:rFonts w:ascii="Verdana" w:hAnsi="Verdana"/>
          <w:bCs/>
          <w:iCs/>
          <w:sz w:val="18"/>
          <w:szCs w:val="18"/>
        </w:rPr>
        <w:t>.</w:t>
      </w:r>
    </w:p>
    <w:p w14:paraId="35EE6145" w14:textId="77777777" w:rsidR="00BB76B2" w:rsidRPr="0090437A" w:rsidRDefault="00BB76B2" w:rsidP="0090437A">
      <w:pPr>
        <w:pStyle w:val="Prrafodelista"/>
        <w:numPr>
          <w:ilvl w:val="0"/>
          <w:numId w:val="36"/>
        </w:numPr>
        <w:jc w:val="both"/>
        <w:rPr>
          <w:rFonts w:ascii="Verdana" w:hAnsi="Verdana"/>
          <w:bCs/>
          <w:iCs/>
          <w:sz w:val="18"/>
          <w:szCs w:val="18"/>
        </w:rPr>
      </w:pPr>
      <w:r w:rsidRPr="0090437A">
        <w:rPr>
          <w:rFonts w:ascii="Verdana" w:hAnsi="Verdana"/>
          <w:bCs/>
          <w:iCs/>
          <w:sz w:val="18"/>
          <w:szCs w:val="18"/>
        </w:rPr>
        <w:t xml:space="preserve">Pese a lo anterior, </w:t>
      </w:r>
      <w:r w:rsidRPr="0090437A">
        <w:rPr>
          <w:rFonts w:ascii="Verdana" w:hAnsi="Verdana"/>
          <w:b/>
          <w:iCs/>
          <w:sz w:val="18"/>
          <w:szCs w:val="18"/>
        </w:rPr>
        <w:t>dispone de los fondos o se beneficia de ellos</w:t>
      </w:r>
      <w:r w:rsidRPr="0090437A">
        <w:rPr>
          <w:rFonts w:ascii="Verdana" w:hAnsi="Verdana"/>
          <w:bCs/>
          <w:iCs/>
          <w:sz w:val="18"/>
          <w:szCs w:val="18"/>
        </w:rPr>
        <w:t>.</w:t>
      </w:r>
    </w:p>
    <w:p w14:paraId="1516769A" w14:textId="7C7E02C5" w:rsidR="00BB76B2" w:rsidRPr="0090437A" w:rsidRDefault="00BB76B2" w:rsidP="0090437A">
      <w:pPr>
        <w:pStyle w:val="Prrafodelista"/>
        <w:numPr>
          <w:ilvl w:val="0"/>
          <w:numId w:val="36"/>
        </w:numPr>
        <w:jc w:val="both"/>
        <w:rPr>
          <w:rFonts w:ascii="Verdana" w:hAnsi="Verdana"/>
          <w:bCs/>
          <w:iCs/>
          <w:sz w:val="18"/>
          <w:szCs w:val="18"/>
        </w:rPr>
      </w:pPr>
      <w:r w:rsidRPr="0090437A">
        <w:rPr>
          <w:rFonts w:ascii="Verdana" w:hAnsi="Verdana"/>
          <w:bCs/>
          <w:iCs/>
          <w:sz w:val="18"/>
          <w:szCs w:val="18"/>
        </w:rPr>
        <w:t xml:space="preserve">Hay indicios claros de </w:t>
      </w:r>
      <w:r w:rsidR="00955722" w:rsidRPr="0090437A">
        <w:rPr>
          <w:rFonts w:ascii="Verdana" w:hAnsi="Verdana"/>
          <w:bCs/>
          <w:iCs/>
          <w:sz w:val="18"/>
          <w:szCs w:val="18"/>
        </w:rPr>
        <w:t>“</w:t>
      </w:r>
      <w:r w:rsidRPr="0090437A">
        <w:rPr>
          <w:rFonts w:ascii="Verdana" w:hAnsi="Verdana"/>
          <w:bCs/>
          <w:iCs/>
          <w:sz w:val="18"/>
          <w:szCs w:val="18"/>
        </w:rPr>
        <w:t xml:space="preserve">animus </w:t>
      </w:r>
      <w:proofErr w:type="spellStart"/>
      <w:r w:rsidRPr="0090437A">
        <w:rPr>
          <w:rFonts w:ascii="Verdana" w:hAnsi="Verdana"/>
          <w:bCs/>
          <w:iCs/>
          <w:sz w:val="18"/>
          <w:szCs w:val="18"/>
        </w:rPr>
        <w:t>donandi</w:t>
      </w:r>
      <w:proofErr w:type="spellEnd"/>
      <w:r w:rsidR="00955722" w:rsidRPr="0090437A">
        <w:rPr>
          <w:rFonts w:ascii="Verdana" w:hAnsi="Verdana"/>
          <w:bCs/>
          <w:iCs/>
          <w:sz w:val="18"/>
          <w:szCs w:val="18"/>
        </w:rPr>
        <w:t>”</w:t>
      </w:r>
      <w:r w:rsidRPr="0090437A">
        <w:rPr>
          <w:rFonts w:ascii="Verdana" w:hAnsi="Verdana"/>
          <w:bCs/>
          <w:iCs/>
          <w:sz w:val="18"/>
          <w:szCs w:val="18"/>
        </w:rPr>
        <w:t xml:space="preserve">, es decir, </w:t>
      </w:r>
      <w:r w:rsidRPr="0090437A">
        <w:rPr>
          <w:rFonts w:ascii="Verdana" w:hAnsi="Verdana"/>
          <w:b/>
          <w:iCs/>
          <w:sz w:val="18"/>
          <w:szCs w:val="18"/>
        </w:rPr>
        <w:t>voluntad de liberalidad por parte de los padres.</w:t>
      </w:r>
    </w:p>
    <w:p w14:paraId="19D09FF4" w14:textId="77777777" w:rsidR="00BB76B2" w:rsidRPr="0090437A" w:rsidRDefault="00BB76B2" w:rsidP="0090437A">
      <w:pPr>
        <w:pStyle w:val="Prrafodelista"/>
        <w:numPr>
          <w:ilvl w:val="0"/>
          <w:numId w:val="36"/>
        </w:numPr>
        <w:jc w:val="both"/>
        <w:rPr>
          <w:rFonts w:ascii="Verdana" w:hAnsi="Verdana"/>
          <w:bCs/>
          <w:iCs/>
          <w:sz w:val="18"/>
          <w:szCs w:val="18"/>
        </w:rPr>
      </w:pPr>
      <w:r w:rsidRPr="0090437A">
        <w:rPr>
          <w:rFonts w:ascii="Verdana" w:hAnsi="Verdana"/>
          <w:bCs/>
          <w:iCs/>
          <w:sz w:val="18"/>
          <w:szCs w:val="18"/>
        </w:rPr>
        <w:t>Se aprecia un enriquecimiento real y efectivo del hijo a costa del patrimonio de los progenitores.</w:t>
      </w:r>
    </w:p>
    <w:p w14:paraId="73951B58" w14:textId="0CD533EE"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 xml:space="preserve">En estos supuestos, podría entenderse que se ha producido una transmisión patrimonial a título gratuito inter vivos, </w:t>
      </w:r>
      <w:r w:rsidRPr="00A7669F">
        <w:rPr>
          <w:rFonts w:ascii="Verdana" w:hAnsi="Verdana"/>
          <w:b/>
          <w:iCs/>
          <w:sz w:val="18"/>
          <w:szCs w:val="18"/>
        </w:rPr>
        <w:t xml:space="preserve">sujeta al </w:t>
      </w:r>
      <w:r w:rsidR="0090437A">
        <w:rPr>
          <w:rFonts w:ascii="Verdana" w:hAnsi="Verdana"/>
          <w:b/>
          <w:iCs/>
          <w:sz w:val="18"/>
          <w:szCs w:val="18"/>
        </w:rPr>
        <w:t xml:space="preserve">Impuesto sobre Donaciones </w:t>
      </w:r>
      <w:r w:rsidR="0090437A" w:rsidRPr="0090437A">
        <w:rPr>
          <w:rFonts w:ascii="Verdana" w:hAnsi="Verdana"/>
          <w:b/>
          <w:iCs/>
          <w:sz w:val="18"/>
          <w:szCs w:val="18"/>
        </w:rPr>
        <w:t>(ISD)</w:t>
      </w:r>
      <w:r w:rsidR="0090437A">
        <w:rPr>
          <w:rFonts w:ascii="Verdana" w:hAnsi="Verdana"/>
          <w:bCs/>
          <w:iCs/>
          <w:sz w:val="18"/>
          <w:szCs w:val="18"/>
        </w:rPr>
        <w:t>.</w:t>
      </w:r>
    </w:p>
    <w:p w14:paraId="3A46F8A7" w14:textId="77777777" w:rsidR="00BB76B2" w:rsidRPr="00BB76B2" w:rsidRDefault="00BB76B2" w:rsidP="00BB76B2">
      <w:pPr>
        <w:ind w:left="284"/>
        <w:jc w:val="both"/>
        <w:rPr>
          <w:rFonts w:ascii="Verdana" w:hAnsi="Verdana"/>
          <w:bCs/>
          <w:iCs/>
          <w:sz w:val="18"/>
          <w:szCs w:val="18"/>
        </w:rPr>
      </w:pPr>
    </w:p>
    <w:p w14:paraId="4FBDF7E8"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 xml:space="preserve">En aplicación de los arts. 105 y 106 de la Ley General Tributaria (LGT), </w:t>
      </w:r>
      <w:r w:rsidRPr="00A7669F">
        <w:rPr>
          <w:rFonts w:ascii="Verdana" w:hAnsi="Verdana"/>
          <w:b/>
          <w:iCs/>
          <w:sz w:val="18"/>
          <w:szCs w:val="18"/>
        </w:rPr>
        <w:t>corresponde al interesado acreditar con pruebas fehacientes que no ha existido transmisión patrimonial gratuita</w:t>
      </w:r>
      <w:r w:rsidRPr="00BB76B2">
        <w:rPr>
          <w:rFonts w:ascii="Verdana" w:hAnsi="Verdana"/>
          <w:bCs/>
          <w:iCs/>
          <w:sz w:val="18"/>
          <w:szCs w:val="18"/>
        </w:rPr>
        <w:t>, sino que se trata de una cuenta operativa, de gestión, o simplemente un instrumento para facilitar pagos o trámites en nombre de los padres.</w:t>
      </w:r>
    </w:p>
    <w:p w14:paraId="45DC65EF" w14:textId="77777777" w:rsidR="00BB76B2" w:rsidRPr="00BB76B2" w:rsidRDefault="00BB76B2" w:rsidP="00BB76B2">
      <w:pPr>
        <w:ind w:left="284"/>
        <w:jc w:val="both"/>
        <w:rPr>
          <w:rFonts w:ascii="Verdana" w:hAnsi="Verdana"/>
          <w:bCs/>
          <w:iCs/>
          <w:sz w:val="18"/>
          <w:szCs w:val="18"/>
        </w:rPr>
      </w:pPr>
    </w:p>
    <w:p w14:paraId="333F55D2"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lastRenderedPageBreak/>
        <w:t>Por ejemplo, sería útil justificar documentalmente: el origen del dinero (nóminas, pensiones, etc.) como perteneciente a los padres; que el hijo no ha dispuesto del dinero para fines propios; que su inclusión se realizó por razones de operativa bancaria (ayuda en la gestión, autorización para realizar pagos, etc.).</w:t>
      </w:r>
    </w:p>
    <w:p w14:paraId="1FCC2485" w14:textId="77777777" w:rsidR="00BB76B2" w:rsidRPr="00BB76B2" w:rsidRDefault="00BB76B2" w:rsidP="00BB76B2">
      <w:pPr>
        <w:ind w:left="284"/>
        <w:jc w:val="both"/>
        <w:rPr>
          <w:rFonts w:ascii="Verdana" w:hAnsi="Verdana"/>
          <w:bCs/>
          <w:iCs/>
          <w:sz w:val="18"/>
          <w:szCs w:val="18"/>
        </w:rPr>
      </w:pPr>
    </w:p>
    <w:p w14:paraId="59E4661A" w14:textId="77777777" w:rsidR="00BB76B2" w:rsidRPr="00BB76B2" w:rsidRDefault="00BB76B2" w:rsidP="00BB76B2">
      <w:pPr>
        <w:ind w:left="284"/>
        <w:jc w:val="both"/>
        <w:rPr>
          <w:rFonts w:ascii="Verdana" w:hAnsi="Verdana"/>
          <w:bCs/>
          <w:iCs/>
          <w:sz w:val="18"/>
          <w:szCs w:val="18"/>
        </w:rPr>
      </w:pPr>
      <w:r w:rsidRPr="00BB76B2">
        <w:rPr>
          <w:rFonts w:ascii="Verdana" w:hAnsi="Verdana"/>
          <w:bCs/>
          <w:iCs/>
          <w:sz w:val="18"/>
          <w:szCs w:val="18"/>
        </w:rPr>
        <w:t xml:space="preserve">Si los padres fallecen y el hijo sigue como cotitular en la cuenta, sin haberse acreditado documentalmente que era solo titular formal, podría interpretarse que ha adquirido indebidamente los fondos, </w:t>
      </w:r>
      <w:r w:rsidRPr="00A7669F">
        <w:rPr>
          <w:rFonts w:ascii="Verdana" w:hAnsi="Verdana"/>
          <w:b/>
          <w:iCs/>
          <w:sz w:val="18"/>
          <w:szCs w:val="18"/>
        </w:rPr>
        <w:t>lo que derivaría en consecuencias fiscales en el ámbito de la sucesión hereditaria (ISD por herencia) o incluso una presunción de donación encubierta en vida si ya había dispuesto de los fondos</w:t>
      </w:r>
      <w:r w:rsidRPr="00BB76B2">
        <w:rPr>
          <w:rFonts w:ascii="Verdana" w:hAnsi="Verdana"/>
          <w:bCs/>
          <w:iCs/>
          <w:sz w:val="18"/>
          <w:szCs w:val="18"/>
        </w:rPr>
        <w:t>.</w:t>
      </w:r>
    </w:p>
    <w:p w14:paraId="2A2DEBDB" w14:textId="77777777" w:rsidR="00BB76B2" w:rsidRPr="00BB76B2" w:rsidRDefault="00BB76B2" w:rsidP="00BB76B2">
      <w:pPr>
        <w:ind w:left="284"/>
        <w:jc w:val="both"/>
        <w:rPr>
          <w:rFonts w:ascii="Verdana" w:hAnsi="Verdana"/>
          <w:bCs/>
          <w:iCs/>
          <w:sz w:val="18"/>
          <w:szCs w:val="18"/>
        </w:rPr>
      </w:pPr>
    </w:p>
    <w:p w14:paraId="1B096395" w14:textId="0AD61EDE" w:rsidR="00BB76B2" w:rsidRPr="00BB76B2" w:rsidRDefault="00A7669F" w:rsidP="00BB76B2">
      <w:pPr>
        <w:ind w:left="284"/>
        <w:jc w:val="both"/>
        <w:rPr>
          <w:rFonts w:ascii="Verdana" w:hAnsi="Verdana"/>
          <w:bCs/>
          <w:iCs/>
          <w:sz w:val="18"/>
          <w:szCs w:val="18"/>
        </w:rPr>
      </w:pPr>
      <w:r>
        <w:rPr>
          <w:rFonts w:ascii="Verdana" w:hAnsi="Verdana"/>
          <w:bCs/>
          <w:iCs/>
          <w:sz w:val="18"/>
          <w:szCs w:val="18"/>
        </w:rPr>
        <w:t xml:space="preserve">A modo de resumen, </w:t>
      </w:r>
      <w:r w:rsidRPr="00A7669F">
        <w:rPr>
          <w:rFonts w:ascii="Verdana" w:hAnsi="Verdana"/>
          <w:b/>
          <w:iCs/>
          <w:sz w:val="18"/>
          <w:szCs w:val="18"/>
        </w:rPr>
        <w:t>n</w:t>
      </w:r>
      <w:r w:rsidR="00BB76B2" w:rsidRPr="00A7669F">
        <w:rPr>
          <w:rFonts w:ascii="Verdana" w:hAnsi="Verdana"/>
          <w:b/>
          <w:iCs/>
          <w:sz w:val="18"/>
          <w:szCs w:val="18"/>
        </w:rPr>
        <w:t>o se presume la existencia de una donación por el mero hecho de que los padres incluyan a su hijo como cotitular en una cuenta bancaria</w:t>
      </w:r>
      <w:r w:rsidR="00BB76B2" w:rsidRPr="00BB76B2">
        <w:rPr>
          <w:rFonts w:ascii="Verdana" w:hAnsi="Verdana"/>
          <w:bCs/>
          <w:iCs/>
          <w:sz w:val="18"/>
          <w:szCs w:val="18"/>
        </w:rPr>
        <w:t>. Para que exista hecho imponible del Impuesto sobre Donaciones es necesario que concurran elementos como la transmisión efectiva del dominio del dinero, la voluntad de donar y la aceptación del donatario.</w:t>
      </w:r>
    </w:p>
    <w:p w14:paraId="523E18C1" w14:textId="77777777" w:rsidR="00BB76B2" w:rsidRPr="00BB76B2" w:rsidRDefault="00BB76B2" w:rsidP="00BB76B2">
      <w:pPr>
        <w:ind w:left="284"/>
        <w:jc w:val="both"/>
        <w:rPr>
          <w:rFonts w:ascii="Verdana" w:hAnsi="Verdana"/>
          <w:bCs/>
          <w:iCs/>
          <w:sz w:val="18"/>
          <w:szCs w:val="18"/>
        </w:rPr>
      </w:pPr>
    </w:p>
    <w:p w14:paraId="0CC09112" w14:textId="77777777" w:rsidR="00DA37E0" w:rsidRDefault="00BB76B2" w:rsidP="00BB76B2">
      <w:pPr>
        <w:ind w:left="284"/>
        <w:jc w:val="both"/>
        <w:rPr>
          <w:rFonts w:ascii="Verdana" w:hAnsi="Verdana"/>
          <w:bCs/>
          <w:iCs/>
          <w:sz w:val="18"/>
          <w:szCs w:val="18"/>
        </w:rPr>
      </w:pPr>
      <w:r w:rsidRPr="00BB76B2">
        <w:rPr>
          <w:rFonts w:ascii="Verdana" w:hAnsi="Verdana"/>
          <w:bCs/>
          <w:iCs/>
          <w:sz w:val="18"/>
          <w:szCs w:val="18"/>
        </w:rPr>
        <w:t xml:space="preserve">No obstante, al tratarse de una cuestión de hecho, la Administración tributaria deberá analizar cada caso concreto a la luz de las pruebas aportadas, pudiendo presumir una donación si detecta un enriquecimiento gratuito y no justificado del hijo. </w:t>
      </w:r>
    </w:p>
    <w:p w14:paraId="2E00BCDB" w14:textId="77777777" w:rsidR="006C02A0" w:rsidRDefault="006C02A0" w:rsidP="00BB76B2">
      <w:pPr>
        <w:ind w:left="284"/>
        <w:jc w:val="both"/>
        <w:rPr>
          <w:rFonts w:ascii="Verdana" w:hAnsi="Verdana"/>
          <w:bCs/>
          <w:iCs/>
          <w:sz w:val="18"/>
          <w:szCs w:val="18"/>
        </w:rPr>
      </w:pPr>
    </w:p>
    <w:p w14:paraId="538066FB" w14:textId="77777777" w:rsidR="006C02A0" w:rsidRDefault="006C02A0" w:rsidP="00BB76B2">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6C02A0" w:rsidRPr="009A12CD" w14:paraId="28163F0A" w14:textId="77777777" w:rsidTr="002B4781">
        <w:trPr>
          <w:trHeight w:val="484"/>
        </w:trPr>
        <w:tc>
          <w:tcPr>
            <w:tcW w:w="180" w:type="dxa"/>
            <w:shd w:val="clear" w:color="auto" w:fill="FF6600"/>
          </w:tcPr>
          <w:p w14:paraId="4F568D98" w14:textId="77777777" w:rsidR="006C02A0" w:rsidRPr="009A12CD" w:rsidRDefault="006C02A0" w:rsidP="002B4781">
            <w:pPr>
              <w:pStyle w:val="Prrafodelista"/>
              <w:numPr>
                <w:ilvl w:val="0"/>
                <w:numId w:val="24"/>
              </w:numPr>
              <w:rPr>
                <w:rFonts w:ascii="Verdana" w:hAnsi="Verdana"/>
                <w:b/>
                <w:bCs/>
                <w:color w:val="800000"/>
                <w:sz w:val="18"/>
                <w:szCs w:val="18"/>
              </w:rPr>
            </w:pPr>
            <w:bookmarkStart w:id="1" w:name="_Hlk209266744"/>
          </w:p>
        </w:tc>
        <w:tc>
          <w:tcPr>
            <w:tcW w:w="8460" w:type="dxa"/>
          </w:tcPr>
          <w:p w14:paraId="4682EEF6" w14:textId="77777777" w:rsidR="006C02A0" w:rsidRPr="009A12CD" w:rsidRDefault="006C02A0" w:rsidP="002B4781">
            <w:pPr>
              <w:pStyle w:val="Prrafodelista"/>
              <w:numPr>
                <w:ilvl w:val="0"/>
                <w:numId w:val="25"/>
              </w:numPr>
              <w:ind w:left="384" w:hanging="283"/>
              <w:jc w:val="both"/>
              <w:rPr>
                <w:rFonts w:ascii="Verdana" w:hAnsi="Verdana"/>
                <w:b/>
                <w:bCs/>
                <w:color w:val="800000"/>
                <w:sz w:val="18"/>
                <w:szCs w:val="18"/>
              </w:rPr>
            </w:pPr>
            <w:r w:rsidRPr="009A12CD">
              <w:rPr>
                <w:rFonts w:ascii="Verdana" w:hAnsi="Verdana"/>
                <w:b/>
                <w:bCs/>
                <w:color w:val="800000"/>
                <w:sz w:val="18"/>
                <w:szCs w:val="18"/>
              </w:rPr>
              <w:t>EL TRIBUNAL SUPREMO SIENTA JURISPRUDENCIA EXIGIENDO UNA VISITA AL INTERIOR DEL INMUEBLE PARA EFECTUAR UNA TASACIÓN PERICIAL</w:t>
            </w:r>
          </w:p>
        </w:tc>
      </w:tr>
    </w:tbl>
    <w:p w14:paraId="787D3D25" w14:textId="77777777" w:rsidR="006C02A0" w:rsidRPr="003464F1" w:rsidRDefault="006C02A0" w:rsidP="006C02A0">
      <w:pPr>
        <w:ind w:left="284"/>
        <w:jc w:val="both"/>
        <w:rPr>
          <w:rFonts w:ascii="Verdana" w:hAnsi="Verdana"/>
          <w:bCs/>
          <w:iCs/>
          <w:sz w:val="18"/>
          <w:szCs w:val="18"/>
        </w:rPr>
      </w:pPr>
      <w:bookmarkStart w:id="2" w:name="_Hlk209546549"/>
      <w:bookmarkEnd w:id="1"/>
      <w:r w:rsidRPr="003464F1">
        <w:rPr>
          <w:rFonts w:ascii="Verdana" w:hAnsi="Verdana"/>
          <w:bCs/>
          <w:iCs/>
          <w:sz w:val="18"/>
          <w:szCs w:val="18"/>
        </w:rPr>
        <w:t xml:space="preserve">El Tribunal Supremo, en su sentencia de 24 de junio de </w:t>
      </w:r>
      <w:r w:rsidRPr="0090437A">
        <w:rPr>
          <w:rFonts w:ascii="Verdana" w:hAnsi="Verdana"/>
          <w:bCs/>
          <w:iCs/>
          <w:sz w:val="18"/>
          <w:szCs w:val="18"/>
        </w:rPr>
        <w:t>2025</w:t>
      </w:r>
      <w:r w:rsidRPr="002E1A5C">
        <w:rPr>
          <w:rFonts w:ascii="Verdana" w:hAnsi="Verdana"/>
          <w:b/>
          <w:iCs/>
          <w:sz w:val="18"/>
          <w:szCs w:val="18"/>
        </w:rPr>
        <w:t xml:space="preserve"> ha reiterado con firmeza que una valoración pericial de inmuebles no puede fundamentarse únicamente en una visita exterior, acompañada de algunas fotografías y referencias catastrales</w:t>
      </w:r>
      <w:bookmarkEnd w:id="2"/>
      <w:r w:rsidRPr="003464F1">
        <w:rPr>
          <w:rFonts w:ascii="Verdana" w:hAnsi="Verdana"/>
          <w:bCs/>
          <w:iCs/>
          <w:sz w:val="18"/>
          <w:szCs w:val="18"/>
        </w:rPr>
        <w:t xml:space="preserve">. Según el </w:t>
      </w:r>
      <w:r>
        <w:rPr>
          <w:rFonts w:ascii="Verdana" w:hAnsi="Verdana"/>
          <w:bCs/>
          <w:iCs/>
          <w:sz w:val="18"/>
          <w:szCs w:val="18"/>
        </w:rPr>
        <w:t xml:space="preserve">Tribunal </w:t>
      </w:r>
      <w:r w:rsidRPr="003464F1">
        <w:rPr>
          <w:rFonts w:ascii="Verdana" w:hAnsi="Verdana"/>
          <w:bCs/>
          <w:iCs/>
          <w:sz w:val="18"/>
          <w:szCs w:val="18"/>
        </w:rPr>
        <w:t>Supremo, esta práctica vulnera las garantías mínimas del contribuyente y no constituye una motivación suficiente para justificar una liquidación tributaria.</w:t>
      </w:r>
    </w:p>
    <w:p w14:paraId="779F9E76" w14:textId="77777777" w:rsidR="006C02A0" w:rsidRPr="003464F1" w:rsidRDefault="006C02A0" w:rsidP="006C02A0">
      <w:pPr>
        <w:ind w:left="284"/>
        <w:jc w:val="both"/>
        <w:rPr>
          <w:rFonts w:ascii="Verdana" w:hAnsi="Verdana"/>
          <w:bCs/>
          <w:iCs/>
          <w:sz w:val="18"/>
          <w:szCs w:val="18"/>
        </w:rPr>
      </w:pPr>
    </w:p>
    <w:p w14:paraId="418F15F8" w14:textId="07EE6510" w:rsidR="006C02A0" w:rsidRPr="003464F1" w:rsidRDefault="006C02A0" w:rsidP="006C02A0">
      <w:pPr>
        <w:ind w:left="284"/>
        <w:jc w:val="both"/>
        <w:rPr>
          <w:rFonts w:ascii="Verdana" w:hAnsi="Verdana"/>
          <w:bCs/>
          <w:iCs/>
          <w:sz w:val="18"/>
          <w:szCs w:val="18"/>
        </w:rPr>
      </w:pPr>
      <w:r w:rsidRPr="003464F1">
        <w:rPr>
          <w:rFonts w:ascii="Verdana" w:hAnsi="Verdana"/>
          <w:bCs/>
          <w:iCs/>
          <w:sz w:val="18"/>
          <w:szCs w:val="18"/>
        </w:rPr>
        <w:t xml:space="preserve">El caso que origina esta </w:t>
      </w:r>
      <w:r w:rsidR="0090437A">
        <w:rPr>
          <w:rFonts w:ascii="Verdana" w:hAnsi="Verdana"/>
          <w:bCs/>
          <w:iCs/>
          <w:sz w:val="18"/>
          <w:szCs w:val="18"/>
        </w:rPr>
        <w:t>sentencia</w:t>
      </w:r>
      <w:r w:rsidRPr="003464F1">
        <w:rPr>
          <w:rFonts w:ascii="Verdana" w:hAnsi="Verdana"/>
          <w:bCs/>
          <w:iCs/>
          <w:sz w:val="18"/>
          <w:szCs w:val="18"/>
        </w:rPr>
        <w:t xml:space="preserve"> nace de una operación de aportación no dineraria de inmuebles a una sociedad mercantil, operación sujeta al régimen especial de fusiones y canjes de valores. La Administración, en lugar de practicar una visita interior a los bienes, </w:t>
      </w:r>
      <w:r w:rsidRPr="002E1A5C">
        <w:rPr>
          <w:rFonts w:ascii="Verdana" w:hAnsi="Verdana"/>
          <w:b/>
          <w:iCs/>
          <w:sz w:val="18"/>
          <w:szCs w:val="18"/>
        </w:rPr>
        <w:t>se limitó a observarlos desde el exterior, asumir su estado de conservación y emitir valoraciones presuntamente objetivas</w:t>
      </w:r>
      <w:r w:rsidRPr="003464F1">
        <w:rPr>
          <w:rFonts w:ascii="Verdana" w:hAnsi="Verdana"/>
          <w:bCs/>
          <w:iCs/>
          <w:sz w:val="18"/>
          <w:szCs w:val="18"/>
        </w:rPr>
        <w:t>. Ni siquiera consta que el técnico intentase acceder al interior o que hubiese habido negativa por parte del obligado tributario.</w:t>
      </w:r>
    </w:p>
    <w:p w14:paraId="294AA3BC" w14:textId="77777777" w:rsidR="006C02A0" w:rsidRPr="003464F1" w:rsidRDefault="006C02A0" w:rsidP="006C02A0">
      <w:pPr>
        <w:ind w:left="284"/>
        <w:jc w:val="both"/>
        <w:rPr>
          <w:rFonts w:ascii="Verdana" w:hAnsi="Verdana"/>
          <w:bCs/>
          <w:iCs/>
          <w:sz w:val="18"/>
          <w:szCs w:val="18"/>
        </w:rPr>
      </w:pPr>
    </w:p>
    <w:p w14:paraId="2F783891" w14:textId="77777777" w:rsidR="006C02A0" w:rsidRPr="003464F1" w:rsidRDefault="006C02A0" w:rsidP="006C02A0">
      <w:pPr>
        <w:ind w:left="284"/>
        <w:jc w:val="both"/>
        <w:rPr>
          <w:rFonts w:ascii="Verdana" w:hAnsi="Verdana"/>
          <w:bCs/>
          <w:iCs/>
          <w:sz w:val="18"/>
          <w:szCs w:val="18"/>
        </w:rPr>
      </w:pPr>
      <w:r w:rsidRPr="003464F1">
        <w:rPr>
          <w:rFonts w:ascii="Verdana" w:hAnsi="Verdana"/>
          <w:bCs/>
          <w:iCs/>
          <w:sz w:val="18"/>
          <w:szCs w:val="18"/>
        </w:rPr>
        <w:t xml:space="preserve">El </w:t>
      </w:r>
      <w:r>
        <w:rPr>
          <w:rFonts w:ascii="Verdana" w:hAnsi="Verdana"/>
          <w:bCs/>
          <w:iCs/>
          <w:sz w:val="18"/>
          <w:szCs w:val="18"/>
        </w:rPr>
        <w:t xml:space="preserve">Tribunal </w:t>
      </w:r>
      <w:r w:rsidRPr="003464F1">
        <w:rPr>
          <w:rFonts w:ascii="Verdana" w:hAnsi="Verdana"/>
          <w:bCs/>
          <w:iCs/>
          <w:sz w:val="18"/>
          <w:szCs w:val="18"/>
        </w:rPr>
        <w:t xml:space="preserve">Supremo ha sido claro: </w:t>
      </w:r>
      <w:r w:rsidRPr="002E1A5C">
        <w:rPr>
          <w:rFonts w:ascii="Verdana" w:hAnsi="Verdana"/>
          <w:b/>
          <w:iCs/>
          <w:sz w:val="18"/>
          <w:szCs w:val="18"/>
        </w:rPr>
        <w:t>este proceder no es razonable. No se puede justificar la ausencia de inspección interna en base a la supuesta eficiencia administrativa</w:t>
      </w:r>
      <w:r w:rsidRPr="003464F1">
        <w:rPr>
          <w:rFonts w:ascii="Verdana" w:hAnsi="Verdana"/>
          <w:bCs/>
          <w:iCs/>
          <w:sz w:val="18"/>
          <w:szCs w:val="18"/>
        </w:rPr>
        <w:t>. La jurisprudencia, cada vez más consolidada, exige una motivación detallada y concreta para prescindir de esta inspección, en especial cuando se trata de inmuebles que, por sus características singulares, requieren observación directa para conocer su estado real, calidades, distribuciones o posibles reformas.</w:t>
      </w:r>
    </w:p>
    <w:p w14:paraId="321EE147" w14:textId="77777777" w:rsidR="006C02A0" w:rsidRPr="003464F1" w:rsidRDefault="006C02A0" w:rsidP="006C02A0">
      <w:pPr>
        <w:ind w:left="284"/>
        <w:jc w:val="both"/>
        <w:rPr>
          <w:rFonts w:ascii="Verdana" w:hAnsi="Verdana"/>
          <w:bCs/>
          <w:iCs/>
          <w:sz w:val="18"/>
          <w:szCs w:val="18"/>
        </w:rPr>
      </w:pPr>
    </w:p>
    <w:p w14:paraId="65B52906" w14:textId="359FACBB" w:rsidR="006C02A0" w:rsidRPr="003464F1" w:rsidRDefault="006C02A0" w:rsidP="006C02A0">
      <w:pPr>
        <w:ind w:left="284"/>
        <w:jc w:val="both"/>
        <w:rPr>
          <w:rFonts w:ascii="Verdana" w:hAnsi="Verdana"/>
          <w:bCs/>
          <w:iCs/>
          <w:sz w:val="18"/>
          <w:szCs w:val="18"/>
        </w:rPr>
      </w:pPr>
      <w:r w:rsidRPr="003464F1">
        <w:rPr>
          <w:rFonts w:ascii="Verdana" w:hAnsi="Verdana"/>
          <w:bCs/>
          <w:iCs/>
          <w:sz w:val="18"/>
          <w:szCs w:val="18"/>
        </w:rPr>
        <w:t xml:space="preserve">En </w:t>
      </w:r>
      <w:r w:rsidR="0090437A">
        <w:rPr>
          <w:rFonts w:ascii="Verdana" w:hAnsi="Verdana"/>
          <w:bCs/>
          <w:iCs/>
          <w:sz w:val="18"/>
          <w:szCs w:val="18"/>
        </w:rPr>
        <w:t>opinión</w:t>
      </w:r>
      <w:r w:rsidRPr="003464F1">
        <w:rPr>
          <w:rFonts w:ascii="Verdana" w:hAnsi="Verdana"/>
          <w:bCs/>
          <w:iCs/>
          <w:sz w:val="18"/>
          <w:szCs w:val="18"/>
        </w:rPr>
        <w:t xml:space="preserve"> del propio Tribunal: </w:t>
      </w:r>
      <w:r w:rsidRPr="002E1A5C">
        <w:rPr>
          <w:rFonts w:ascii="Verdana" w:hAnsi="Verdana"/>
          <w:b/>
          <w:iCs/>
          <w:sz w:val="18"/>
          <w:szCs w:val="18"/>
        </w:rPr>
        <w:t>«La regla sobre la exigencia de comprobación personal y directa no está concebida para la comodidad de los funcionarios o de la Administración»</w:t>
      </w:r>
      <w:r w:rsidRPr="003464F1">
        <w:rPr>
          <w:rFonts w:ascii="Verdana" w:hAnsi="Verdana"/>
          <w:bCs/>
          <w:iCs/>
          <w:sz w:val="18"/>
          <w:szCs w:val="18"/>
        </w:rPr>
        <w:t xml:space="preserve">. La buena praxis pericial, recuerda el Supremo, no es un formalismo prescindible, sino </w:t>
      </w:r>
      <w:r w:rsidRPr="0090437A">
        <w:rPr>
          <w:rFonts w:ascii="Verdana" w:hAnsi="Verdana"/>
          <w:b/>
          <w:iCs/>
          <w:sz w:val="18"/>
          <w:szCs w:val="18"/>
        </w:rPr>
        <w:t>una garantía sustantiva</w:t>
      </w:r>
      <w:r w:rsidRPr="003464F1">
        <w:rPr>
          <w:rFonts w:ascii="Verdana" w:hAnsi="Verdana"/>
          <w:bCs/>
          <w:iCs/>
          <w:sz w:val="18"/>
          <w:szCs w:val="18"/>
        </w:rPr>
        <w:t xml:space="preserve"> que ampara al contribuyente frente a valoraciones automatizadas, estimativas o sesgadas.</w:t>
      </w:r>
    </w:p>
    <w:p w14:paraId="71F3A8EA" w14:textId="77777777" w:rsidR="006C02A0" w:rsidRPr="003464F1" w:rsidRDefault="006C02A0" w:rsidP="006C02A0">
      <w:pPr>
        <w:ind w:left="284"/>
        <w:jc w:val="both"/>
        <w:rPr>
          <w:rFonts w:ascii="Verdana" w:hAnsi="Verdana"/>
          <w:bCs/>
          <w:iCs/>
          <w:sz w:val="18"/>
          <w:szCs w:val="18"/>
        </w:rPr>
      </w:pPr>
    </w:p>
    <w:p w14:paraId="2BA3FBC4" w14:textId="77777777" w:rsidR="006C02A0" w:rsidRPr="003464F1" w:rsidRDefault="006C02A0" w:rsidP="006C02A0">
      <w:pPr>
        <w:ind w:left="284"/>
        <w:jc w:val="both"/>
        <w:rPr>
          <w:rFonts w:ascii="Verdana" w:hAnsi="Verdana"/>
          <w:bCs/>
          <w:iCs/>
          <w:sz w:val="18"/>
          <w:szCs w:val="18"/>
        </w:rPr>
      </w:pPr>
      <w:r w:rsidRPr="003464F1">
        <w:rPr>
          <w:rFonts w:ascii="Verdana" w:hAnsi="Verdana"/>
          <w:bCs/>
          <w:iCs/>
          <w:sz w:val="18"/>
          <w:szCs w:val="18"/>
        </w:rPr>
        <w:t xml:space="preserve">Asimismo, se pone el foco en el principio de capacidad económica, ya que una valoración errónea -basada en una premisa tan superficial como «el aspecto desde fuera parece </w:t>
      </w:r>
      <w:r w:rsidRPr="003464F1">
        <w:rPr>
          <w:rFonts w:ascii="Verdana" w:hAnsi="Verdana"/>
          <w:bCs/>
          <w:iCs/>
          <w:sz w:val="18"/>
          <w:szCs w:val="18"/>
        </w:rPr>
        <w:lastRenderedPageBreak/>
        <w:t>correcto»- puede desembocar en liquidaciones injustas, sanciones indebidas o litigios innecesarios.</w:t>
      </w:r>
    </w:p>
    <w:p w14:paraId="2EF93B4A" w14:textId="77777777" w:rsidR="006C02A0" w:rsidRDefault="006C02A0" w:rsidP="00BB76B2">
      <w:pPr>
        <w:ind w:left="284"/>
        <w:jc w:val="both"/>
        <w:rPr>
          <w:rFonts w:ascii="Verdana" w:hAnsi="Verdana"/>
          <w:bCs/>
          <w:iCs/>
          <w:sz w:val="18"/>
          <w:szCs w:val="18"/>
        </w:rPr>
      </w:pPr>
    </w:p>
    <w:p w14:paraId="6CB0AE87" w14:textId="77777777" w:rsidR="00DA37E0" w:rsidRDefault="00DA37E0" w:rsidP="00BB76B2">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DA37E0" w:rsidRPr="009A12CD" w14:paraId="4A7F6483" w14:textId="77777777" w:rsidTr="00062178">
        <w:tc>
          <w:tcPr>
            <w:tcW w:w="180" w:type="dxa"/>
            <w:shd w:val="clear" w:color="auto" w:fill="FF6600"/>
          </w:tcPr>
          <w:p w14:paraId="69A67393" w14:textId="77777777" w:rsidR="00DA37E0" w:rsidRPr="009A12CD" w:rsidRDefault="00DA37E0">
            <w:pPr>
              <w:pStyle w:val="Prrafodelista"/>
              <w:numPr>
                <w:ilvl w:val="0"/>
                <w:numId w:val="24"/>
              </w:numPr>
              <w:rPr>
                <w:rFonts w:ascii="Verdana" w:hAnsi="Verdana"/>
                <w:b/>
                <w:bCs/>
                <w:color w:val="800000"/>
                <w:sz w:val="18"/>
                <w:szCs w:val="18"/>
              </w:rPr>
            </w:pPr>
            <w:bookmarkStart w:id="3" w:name="_Hlk208334750"/>
          </w:p>
        </w:tc>
        <w:tc>
          <w:tcPr>
            <w:tcW w:w="8460" w:type="dxa"/>
          </w:tcPr>
          <w:p w14:paraId="31ACBA9A" w14:textId="176C2EA1" w:rsidR="00DA37E0" w:rsidRPr="009A12CD" w:rsidRDefault="00DA37E0">
            <w:pPr>
              <w:pStyle w:val="Prrafodelista"/>
              <w:numPr>
                <w:ilvl w:val="0"/>
                <w:numId w:val="25"/>
              </w:numPr>
              <w:ind w:left="384" w:hanging="283"/>
              <w:jc w:val="both"/>
              <w:rPr>
                <w:rFonts w:ascii="Verdana" w:hAnsi="Verdana"/>
                <w:b/>
                <w:bCs/>
                <w:color w:val="800000"/>
                <w:sz w:val="18"/>
                <w:szCs w:val="18"/>
              </w:rPr>
            </w:pPr>
            <w:r w:rsidRPr="009A12CD">
              <w:rPr>
                <w:rFonts w:ascii="Verdana" w:hAnsi="Verdana"/>
                <w:b/>
                <w:bCs/>
                <w:color w:val="800000"/>
                <w:sz w:val="18"/>
                <w:szCs w:val="18"/>
              </w:rPr>
              <w:t>IRPF. - REGULARIZACIÓN DE CUOTAS DEL RETA: IMPUTACIÓN TEMPORAL EN EL IRPF</w:t>
            </w:r>
          </w:p>
        </w:tc>
      </w:tr>
    </w:tbl>
    <w:bookmarkEnd w:id="3"/>
    <w:p w14:paraId="41D69890" w14:textId="08F1618F" w:rsidR="00DA37E0" w:rsidRDefault="00DA37E0" w:rsidP="00DA37E0">
      <w:pPr>
        <w:ind w:left="284"/>
        <w:jc w:val="both"/>
        <w:rPr>
          <w:rFonts w:ascii="Verdana" w:hAnsi="Verdana"/>
          <w:bCs/>
          <w:iCs/>
          <w:sz w:val="18"/>
          <w:szCs w:val="18"/>
        </w:rPr>
      </w:pPr>
      <w:r w:rsidRPr="00DA37E0">
        <w:rPr>
          <w:rFonts w:ascii="Verdana" w:hAnsi="Verdana"/>
          <w:bCs/>
          <w:iCs/>
          <w:sz w:val="18"/>
          <w:szCs w:val="18"/>
        </w:rPr>
        <w:t>El trabajador autónomo de la </w:t>
      </w:r>
      <w:r w:rsidR="00955722">
        <w:rPr>
          <w:rFonts w:ascii="Verdana" w:hAnsi="Verdana"/>
          <w:bCs/>
          <w:iCs/>
          <w:sz w:val="18"/>
          <w:szCs w:val="18"/>
        </w:rPr>
        <w:t>consulta V0874-25, de 22 de mayo de 2025</w:t>
      </w:r>
      <w:r w:rsidRPr="00DA37E0">
        <w:rPr>
          <w:rFonts w:ascii="Verdana" w:hAnsi="Verdana"/>
          <w:bCs/>
          <w:iCs/>
          <w:sz w:val="18"/>
          <w:szCs w:val="18"/>
        </w:rPr>
        <w:t xml:space="preserve">, incluido en el Régimen Especial de Trabajadores por Cuenta Propia o Autónomos (RETA), </w:t>
      </w:r>
      <w:r w:rsidR="0090437A">
        <w:rPr>
          <w:rFonts w:ascii="Verdana" w:hAnsi="Verdana"/>
          <w:bCs/>
          <w:iCs/>
          <w:sz w:val="18"/>
          <w:szCs w:val="18"/>
        </w:rPr>
        <w:t>recibió</w:t>
      </w:r>
      <w:r w:rsidRPr="00DA37E0">
        <w:rPr>
          <w:rFonts w:ascii="Verdana" w:hAnsi="Verdana"/>
          <w:bCs/>
          <w:iCs/>
          <w:sz w:val="18"/>
          <w:szCs w:val="18"/>
        </w:rPr>
        <w:t xml:space="preserve"> en 2025 una </w:t>
      </w:r>
      <w:r w:rsidRPr="00DA37E0">
        <w:rPr>
          <w:rFonts w:ascii="Verdana" w:hAnsi="Verdana"/>
          <w:b/>
          <w:bCs/>
          <w:iCs/>
          <w:sz w:val="18"/>
          <w:szCs w:val="18"/>
        </w:rPr>
        <w:t>comunicación de la Tesorería General de la Seguridad Social en la que se le requiere el pago de una cantidad correspondiente a la</w:t>
      </w:r>
      <w:r w:rsidRPr="00DA37E0">
        <w:rPr>
          <w:rFonts w:ascii="Verdana" w:hAnsi="Verdana"/>
          <w:bCs/>
          <w:iCs/>
          <w:sz w:val="18"/>
          <w:szCs w:val="18"/>
        </w:rPr>
        <w:t> </w:t>
      </w:r>
      <w:r w:rsidRPr="00DA37E0">
        <w:rPr>
          <w:rFonts w:ascii="Verdana" w:hAnsi="Verdana"/>
          <w:b/>
          <w:bCs/>
          <w:iCs/>
          <w:sz w:val="18"/>
          <w:szCs w:val="18"/>
        </w:rPr>
        <w:t>regularización de sus cuotas del ejercicio 2023</w:t>
      </w:r>
      <w:r w:rsidRPr="00DA37E0">
        <w:rPr>
          <w:rFonts w:ascii="Verdana" w:hAnsi="Verdana"/>
          <w:bCs/>
          <w:iCs/>
          <w:sz w:val="18"/>
          <w:szCs w:val="18"/>
        </w:rPr>
        <w:t>, de acuerdo con el nuevo sistema de cotización por rendimientos reales.</w:t>
      </w:r>
    </w:p>
    <w:p w14:paraId="48030A56" w14:textId="77777777" w:rsidR="00A7669F" w:rsidRPr="00DA37E0" w:rsidRDefault="00A7669F" w:rsidP="00DA37E0">
      <w:pPr>
        <w:ind w:left="284"/>
        <w:jc w:val="both"/>
        <w:rPr>
          <w:rFonts w:ascii="Verdana" w:hAnsi="Verdana"/>
          <w:bCs/>
          <w:iCs/>
          <w:sz w:val="18"/>
          <w:szCs w:val="18"/>
        </w:rPr>
      </w:pPr>
    </w:p>
    <w:p w14:paraId="60A790DF"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La cuestión planteada consiste en determinar </w:t>
      </w:r>
      <w:r w:rsidRPr="00DA37E0">
        <w:rPr>
          <w:rFonts w:ascii="Verdana" w:hAnsi="Verdana"/>
          <w:b/>
          <w:bCs/>
          <w:iCs/>
          <w:sz w:val="18"/>
          <w:szCs w:val="18"/>
        </w:rPr>
        <w:t>a qué ejercicio debe imputarse dicho pago</w:t>
      </w:r>
      <w:r w:rsidRPr="00DA37E0">
        <w:rPr>
          <w:rFonts w:ascii="Verdana" w:hAnsi="Verdana"/>
          <w:bCs/>
          <w:iCs/>
          <w:sz w:val="18"/>
          <w:szCs w:val="18"/>
        </w:rPr>
        <w:t> en el Impuesto sobre la Renta de las Personas Físicas (IRPF).</w:t>
      </w:r>
    </w:p>
    <w:p w14:paraId="05B5095D" w14:textId="77777777" w:rsidR="00A7669F" w:rsidRPr="00DA37E0" w:rsidRDefault="00A7669F" w:rsidP="00DA37E0">
      <w:pPr>
        <w:ind w:left="284"/>
        <w:jc w:val="both"/>
        <w:rPr>
          <w:rFonts w:ascii="Verdana" w:hAnsi="Verdana"/>
          <w:bCs/>
          <w:iCs/>
          <w:sz w:val="18"/>
          <w:szCs w:val="18"/>
        </w:rPr>
      </w:pPr>
    </w:p>
    <w:p w14:paraId="176D9C92" w14:textId="77777777" w:rsidR="00DA37E0" w:rsidRPr="00DA37E0" w:rsidRDefault="00DA37E0" w:rsidP="00DA37E0">
      <w:pPr>
        <w:ind w:left="284"/>
        <w:jc w:val="both"/>
        <w:rPr>
          <w:rFonts w:ascii="Verdana" w:hAnsi="Verdana"/>
          <w:b/>
          <w:bCs/>
          <w:iCs/>
          <w:sz w:val="18"/>
          <w:szCs w:val="18"/>
        </w:rPr>
      </w:pPr>
      <w:r w:rsidRPr="00DA37E0">
        <w:rPr>
          <w:rFonts w:ascii="Verdana" w:hAnsi="Verdana"/>
          <w:b/>
          <w:bCs/>
          <w:iCs/>
          <w:sz w:val="18"/>
          <w:szCs w:val="18"/>
        </w:rPr>
        <w:t>Nuevo sistema de cotización de autónomos</w:t>
      </w:r>
    </w:p>
    <w:p w14:paraId="631C538B" w14:textId="77777777" w:rsidR="00DA37E0" w:rsidRPr="00DA37E0" w:rsidRDefault="00DA37E0" w:rsidP="00DA37E0">
      <w:pPr>
        <w:ind w:left="284"/>
        <w:jc w:val="both"/>
        <w:rPr>
          <w:rFonts w:ascii="Verdana" w:hAnsi="Verdana"/>
          <w:bCs/>
          <w:iCs/>
          <w:sz w:val="18"/>
          <w:szCs w:val="18"/>
        </w:rPr>
      </w:pPr>
      <w:r w:rsidRPr="0090437A">
        <w:rPr>
          <w:rFonts w:ascii="Verdana" w:hAnsi="Verdana"/>
          <w:b/>
          <w:iCs/>
          <w:sz w:val="18"/>
          <w:szCs w:val="18"/>
        </w:rPr>
        <w:t>Con efectos desde el 1 de enero de 2023</w:t>
      </w:r>
      <w:r w:rsidRPr="00DA37E0">
        <w:rPr>
          <w:rFonts w:ascii="Verdana" w:hAnsi="Verdana"/>
          <w:bCs/>
          <w:iCs/>
          <w:sz w:val="18"/>
          <w:szCs w:val="18"/>
        </w:rPr>
        <w:t>, el </w:t>
      </w:r>
      <w:r w:rsidRPr="0090437A">
        <w:rPr>
          <w:rFonts w:ascii="Verdana" w:hAnsi="Verdana"/>
          <w:iCs/>
          <w:sz w:val="18"/>
          <w:szCs w:val="18"/>
        </w:rPr>
        <w:t>Real Decreto-ley 13/2022</w:t>
      </w:r>
      <w:r w:rsidRPr="00DA37E0">
        <w:rPr>
          <w:rFonts w:ascii="Verdana" w:hAnsi="Verdana"/>
          <w:bCs/>
          <w:iCs/>
          <w:sz w:val="18"/>
          <w:szCs w:val="18"/>
        </w:rPr>
        <w:t>, de 26 de julio, modificó el artículo 308 del texto refundido de la </w:t>
      </w:r>
      <w:r w:rsidRPr="00DA37E0">
        <w:rPr>
          <w:rFonts w:ascii="Verdana" w:hAnsi="Verdana"/>
          <w:b/>
          <w:bCs/>
          <w:iCs/>
          <w:sz w:val="18"/>
          <w:szCs w:val="18"/>
        </w:rPr>
        <w:t>Ley General de la Seguridad Social (LGSS)</w:t>
      </w:r>
      <w:r w:rsidRPr="00DA37E0">
        <w:rPr>
          <w:rFonts w:ascii="Verdana" w:hAnsi="Verdana"/>
          <w:bCs/>
          <w:iCs/>
          <w:sz w:val="18"/>
          <w:szCs w:val="18"/>
        </w:rPr>
        <w:t>, instaurando un </w:t>
      </w:r>
      <w:r w:rsidRPr="00DA37E0">
        <w:rPr>
          <w:rFonts w:ascii="Verdana" w:hAnsi="Verdana"/>
          <w:b/>
          <w:bCs/>
          <w:iCs/>
          <w:sz w:val="18"/>
          <w:szCs w:val="18"/>
        </w:rPr>
        <w:t>sistema de cotización basado en los rendimientos netos anuales reales</w:t>
      </w:r>
      <w:r w:rsidRPr="00DA37E0">
        <w:rPr>
          <w:rFonts w:ascii="Verdana" w:hAnsi="Verdana"/>
          <w:bCs/>
          <w:iCs/>
          <w:sz w:val="18"/>
          <w:szCs w:val="18"/>
        </w:rPr>
        <w:t>.</w:t>
      </w:r>
    </w:p>
    <w:p w14:paraId="50BDF8C7" w14:textId="77777777" w:rsidR="00DA37E0" w:rsidRPr="00DA37E0" w:rsidRDefault="00DA37E0" w:rsidP="00DA37E0">
      <w:pPr>
        <w:ind w:left="284"/>
        <w:jc w:val="both"/>
        <w:rPr>
          <w:rFonts w:ascii="Verdana" w:hAnsi="Verdana"/>
          <w:bCs/>
          <w:iCs/>
          <w:sz w:val="18"/>
          <w:szCs w:val="18"/>
        </w:rPr>
      </w:pPr>
      <w:r w:rsidRPr="00DA37E0">
        <w:rPr>
          <w:rFonts w:ascii="Verdana" w:hAnsi="Verdana"/>
          <w:bCs/>
          <w:iCs/>
          <w:sz w:val="18"/>
          <w:szCs w:val="18"/>
        </w:rPr>
        <w:t>Este nuevo sistema implica que:</w:t>
      </w:r>
    </w:p>
    <w:p w14:paraId="22FDB8BF" w14:textId="77777777" w:rsidR="00DA37E0" w:rsidRPr="00DA37E0" w:rsidRDefault="00DA37E0">
      <w:pPr>
        <w:numPr>
          <w:ilvl w:val="0"/>
          <w:numId w:val="26"/>
        </w:numPr>
        <w:jc w:val="both"/>
        <w:rPr>
          <w:rFonts w:ascii="Verdana" w:hAnsi="Verdana"/>
          <w:bCs/>
          <w:iCs/>
          <w:sz w:val="18"/>
          <w:szCs w:val="18"/>
        </w:rPr>
      </w:pPr>
      <w:r w:rsidRPr="00DA37E0">
        <w:rPr>
          <w:rFonts w:ascii="Verdana" w:hAnsi="Verdana"/>
          <w:bCs/>
          <w:iCs/>
          <w:sz w:val="18"/>
          <w:szCs w:val="18"/>
        </w:rPr>
        <w:t>El trabajador autónomo debe elegir una </w:t>
      </w:r>
      <w:r w:rsidRPr="00DA37E0">
        <w:rPr>
          <w:rFonts w:ascii="Verdana" w:hAnsi="Verdana"/>
          <w:b/>
          <w:bCs/>
          <w:iCs/>
          <w:sz w:val="18"/>
          <w:szCs w:val="18"/>
        </w:rPr>
        <w:t>base de cotización provisional</w:t>
      </w:r>
      <w:r w:rsidRPr="00DA37E0">
        <w:rPr>
          <w:rFonts w:ascii="Verdana" w:hAnsi="Verdana"/>
          <w:bCs/>
          <w:iCs/>
          <w:sz w:val="18"/>
          <w:szCs w:val="18"/>
        </w:rPr>
        <w:t> en función de su previsión de ingresos.</w:t>
      </w:r>
    </w:p>
    <w:p w14:paraId="7AA531AD" w14:textId="77777777" w:rsidR="00DA37E0" w:rsidRPr="00DA37E0" w:rsidRDefault="00DA37E0">
      <w:pPr>
        <w:numPr>
          <w:ilvl w:val="0"/>
          <w:numId w:val="26"/>
        </w:numPr>
        <w:jc w:val="both"/>
        <w:rPr>
          <w:rFonts w:ascii="Verdana" w:hAnsi="Verdana"/>
          <w:bCs/>
          <w:iCs/>
          <w:sz w:val="18"/>
          <w:szCs w:val="18"/>
        </w:rPr>
      </w:pPr>
      <w:r w:rsidRPr="00DA37E0">
        <w:rPr>
          <w:rFonts w:ascii="Verdana" w:hAnsi="Verdana"/>
          <w:bCs/>
          <w:iCs/>
          <w:sz w:val="18"/>
          <w:szCs w:val="18"/>
        </w:rPr>
        <w:t>Una vez finalizado el ejercicio, y </w:t>
      </w:r>
      <w:r w:rsidRPr="00DA37E0">
        <w:rPr>
          <w:rFonts w:ascii="Verdana" w:hAnsi="Verdana"/>
          <w:b/>
          <w:bCs/>
          <w:iCs/>
          <w:sz w:val="18"/>
          <w:szCs w:val="18"/>
        </w:rPr>
        <w:t>a partir del año siguiente</w:t>
      </w:r>
      <w:r w:rsidRPr="00DA37E0">
        <w:rPr>
          <w:rFonts w:ascii="Verdana" w:hAnsi="Verdana"/>
          <w:bCs/>
          <w:iCs/>
          <w:sz w:val="18"/>
          <w:szCs w:val="18"/>
        </w:rPr>
        <w:t>, la Tesorería General de la Seguridad Social procederá a una </w:t>
      </w:r>
      <w:r w:rsidRPr="00DA37E0">
        <w:rPr>
          <w:rFonts w:ascii="Verdana" w:hAnsi="Verdana"/>
          <w:b/>
          <w:bCs/>
          <w:iCs/>
          <w:sz w:val="18"/>
          <w:szCs w:val="18"/>
        </w:rPr>
        <w:t>regularización</w:t>
      </w:r>
      <w:r w:rsidRPr="00DA37E0">
        <w:rPr>
          <w:rFonts w:ascii="Verdana" w:hAnsi="Verdana"/>
          <w:bCs/>
          <w:iCs/>
          <w:sz w:val="18"/>
          <w:szCs w:val="18"/>
        </w:rPr>
        <w:t> de las cuotas satisfechas, en función de los </w:t>
      </w:r>
      <w:r w:rsidRPr="00DA37E0">
        <w:rPr>
          <w:rFonts w:ascii="Verdana" w:hAnsi="Verdana"/>
          <w:b/>
          <w:bCs/>
          <w:iCs/>
          <w:sz w:val="18"/>
          <w:szCs w:val="18"/>
        </w:rPr>
        <w:t>rendimientos reales obtenidos y comunicados por la Agencia Tributaria (AEAT)</w:t>
      </w:r>
      <w:r w:rsidRPr="00DA37E0">
        <w:rPr>
          <w:rFonts w:ascii="Verdana" w:hAnsi="Verdana"/>
          <w:bCs/>
          <w:iCs/>
          <w:sz w:val="18"/>
          <w:szCs w:val="18"/>
        </w:rPr>
        <w:t>.</w:t>
      </w:r>
    </w:p>
    <w:p w14:paraId="2E6FC631" w14:textId="77777777" w:rsidR="00DA37E0" w:rsidRDefault="00DA37E0">
      <w:pPr>
        <w:numPr>
          <w:ilvl w:val="0"/>
          <w:numId w:val="26"/>
        </w:numPr>
        <w:jc w:val="both"/>
        <w:rPr>
          <w:rFonts w:ascii="Verdana" w:hAnsi="Verdana"/>
          <w:bCs/>
          <w:iCs/>
          <w:sz w:val="18"/>
          <w:szCs w:val="18"/>
        </w:rPr>
      </w:pPr>
      <w:r w:rsidRPr="00DA37E0">
        <w:rPr>
          <w:rFonts w:ascii="Verdana" w:hAnsi="Verdana"/>
          <w:bCs/>
          <w:iCs/>
          <w:sz w:val="18"/>
          <w:szCs w:val="18"/>
        </w:rPr>
        <w:t>Esta regularización puede dar lugar a un </w:t>
      </w:r>
      <w:r w:rsidRPr="00DA37E0">
        <w:rPr>
          <w:rFonts w:ascii="Verdana" w:hAnsi="Verdana"/>
          <w:b/>
          <w:bCs/>
          <w:iCs/>
          <w:sz w:val="18"/>
          <w:szCs w:val="18"/>
        </w:rPr>
        <w:t>pago adicional</w:t>
      </w:r>
      <w:r w:rsidRPr="00DA37E0">
        <w:rPr>
          <w:rFonts w:ascii="Verdana" w:hAnsi="Verdana"/>
          <w:bCs/>
          <w:iCs/>
          <w:sz w:val="18"/>
          <w:szCs w:val="18"/>
        </w:rPr>
        <w:t>, si la base definitiva es superior a la base provisional o a una </w:t>
      </w:r>
      <w:r w:rsidRPr="00DA37E0">
        <w:rPr>
          <w:rFonts w:ascii="Verdana" w:hAnsi="Verdana"/>
          <w:b/>
          <w:bCs/>
          <w:iCs/>
          <w:sz w:val="18"/>
          <w:szCs w:val="18"/>
        </w:rPr>
        <w:t>devolución</w:t>
      </w:r>
      <w:r w:rsidRPr="00DA37E0">
        <w:rPr>
          <w:rFonts w:ascii="Verdana" w:hAnsi="Verdana"/>
          <w:bCs/>
          <w:iCs/>
          <w:sz w:val="18"/>
          <w:szCs w:val="18"/>
        </w:rPr>
        <w:t>, si las cotizaciones efectuadas superan lo debido conforme a los rendimientos definitivos.</w:t>
      </w:r>
    </w:p>
    <w:p w14:paraId="57241DB6" w14:textId="77777777" w:rsidR="00673240" w:rsidRPr="00DA37E0" w:rsidRDefault="00673240" w:rsidP="00673240">
      <w:pPr>
        <w:ind w:left="720"/>
        <w:jc w:val="both"/>
        <w:rPr>
          <w:rFonts w:ascii="Verdana" w:hAnsi="Verdana"/>
          <w:bCs/>
          <w:iCs/>
          <w:sz w:val="18"/>
          <w:szCs w:val="18"/>
        </w:rPr>
      </w:pPr>
    </w:p>
    <w:p w14:paraId="11130186" w14:textId="77777777" w:rsidR="00DA37E0" w:rsidRPr="00DA37E0" w:rsidRDefault="00DA37E0" w:rsidP="00DA37E0">
      <w:pPr>
        <w:ind w:left="284"/>
        <w:jc w:val="both"/>
        <w:rPr>
          <w:rFonts w:ascii="Verdana" w:hAnsi="Verdana"/>
          <w:b/>
          <w:bCs/>
          <w:iCs/>
          <w:sz w:val="18"/>
          <w:szCs w:val="18"/>
        </w:rPr>
      </w:pPr>
      <w:r w:rsidRPr="00DA37E0">
        <w:rPr>
          <w:rFonts w:ascii="Verdana" w:hAnsi="Verdana"/>
          <w:b/>
          <w:bCs/>
          <w:iCs/>
          <w:sz w:val="18"/>
          <w:szCs w:val="18"/>
        </w:rPr>
        <w:t>Naturaleza fiscal de las cuotas del RETA</w:t>
      </w:r>
    </w:p>
    <w:p w14:paraId="212E1C3E"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En el ámbito del IRPF, las cuotas satisfechas al RETA pueden tener la consideración de </w:t>
      </w:r>
      <w:r w:rsidRPr="00DA37E0">
        <w:rPr>
          <w:rFonts w:ascii="Verdana" w:hAnsi="Verdana"/>
          <w:b/>
          <w:bCs/>
          <w:iCs/>
          <w:sz w:val="18"/>
          <w:szCs w:val="18"/>
        </w:rPr>
        <w:t>gasto deducible</w:t>
      </w:r>
      <w:r w:rsidRPr="00DA37E0">
        <w:rPr>
          <w:rFonts w:ascii="Verdana" w:hAnsi="Verdana"/>
          <w:bCs/>
          <w:iCs/>
          <w:sz w:val="18"/>
          <w:szCs w:val="18"/>
        </w:rPr>
        <w:t>, en función de la naturaleza de los rendimientos.</w:t>
      </w:r>
    </w:p>
    <w:p w14:paraId="41438993" w14:textId="77777777" w:rsidR="00A7669F" w:rsidRPr="00DA37E0" w:rsidRDefault="00A7669F" w:rsidP="00DA37E0">
      <w:pPr>
        <w:ind w:left="284"/>
        <w:jc w:val="both"/>
        <w:rPr>
          <w:rFonts w:ascii="Verdana" w:hAnsi="Verdana"/>
          <w:bCs/>
          <w:iCs/>
          <w:sz w:val="18"/>
          <w:szCs w:val="18"/>
        </w:rPr>
      </w:pPr>
    </w:p>
    <w:p w14:paraId="00FE3099"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Pueden ser</w:t>
      </w:r>
      <w:r w:rsidRPr="00DA37E0">
        <w:rPr>
          <w:rFonts w:ascii="Verdana" w:hAnsi="Verdana"/>
          <w:b/>
          <w:bCs/>
          <w:iCs/>
          <w:sz w:val="18"/>
          <w:szCs w:val="18"/>
        </w:rPr>
        <w:t> rendimientos de actividades económicas en estimación directa</w:t>
      </w:r>
      <w:r w:rsidRPr="00DA37E0">
        <w:rPr>
          <w:rFonts w:ascii="Verdana" w:hAnsi="Verdana"/>
          <w:bCs/>
          <w:iCs/>
          <w:sz w:val="18"/>
          <w:szCs w:val="18"/>
        </w:rPr>
        <w:t>: las cuotas del RETA constituyen un </w:t>
      </w:r>
      <w:r w:rsidRPr="00DA37E0">
        <w:rPr>
          <w:rFonts w:ascii="Verdana" w:hAnsi="Verdana"/>
          <w:b/>
          <w:bCs/>
          <w:iCs/>
          <w:sz w:val="18"/>
          <w:szCs w:val="18"/>
        </w:rPr>
        <w:t>gasto deducible ordinario</w:t>
      </w:r>
      <w:r w:rsidRPr="00DA37E0">
        <w:rPr>
          <w:rFonts w:ascii="Verdana" w:hAnsi="Verdana"/>
          <w:bCs/>
          <w:iCs/>
          <w:sz w:val="18"/>
          <w:szCs w:val="18"/>
        </w:rPr>
        <w:t>, en los términos establecidos en el artículo 28 de la Ley del IRPF, que remite a las normas del Impuesto sobre Sociedades.</w:t>
      </w:r>
    </w:p>
    <w:p w14:paraId="386501FC" w14:textId="77777777" w:rsidR="002E1A5C" w:rsidRPr="00DA37E0" w:rsidRDefault="002E1A5C" w:rsidP="00DA37E0">
      <w:pPr>
        <w:ind w:left="284"/>
        <w:jc w:val="both"/>
        <w:rPr>
          <w:rFonts w:ascii="Verdana" w:hAnsi="Verdana"/>
          <w:bCs/>
          <w:iCs/>
          <w:sz w:val="18"/>
          <w:szCs w:val="18"/>
        </w:rPr>
      </w:pPr>
    </w:p>
    <w:p w14:paraId="329B084B"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O bien</w:t>
      </w:r>
      <w:r w:rsidRPr="00DA37E0">
        <w:rPr>
          <w:rFonts w:ascii="Verdana" w:hAnsi="Verdana"/>
          <w:b/>
          <w:bCs/>
          <w:iCs/>
          <w:sz w:val="18"/>
          <w:szCs w:val="18"/>
        </w:rPr>
        <w:t> rendimientos del trabajo</w:t>
      </w:r>
      <w:r w:rsidRPr="00DA37E0">
        <w:rPr>
          <w:rFonts w:ascii="Verdana" w:hAnsi="Verdana"/>
          <w:bCs/>
          <w:iCs/>
          <w:sz w:val="18"/>
          <w:szCs w:val="18"/>
        </w:rPr>
        <w:t>: el artículo 19.2.a) de la Ley del IRPF considera deducibles las </w:t>
      </w:r>
      <w:r w:rsidRPr="00DA37E0">
        <w:rPr>
          <w:rFonts w:ascii="Verdana" w:hAnsi="Verdana"/>
          <w:b/>
          <w:bCs/>
          <w:iCs/>
          <w:sz w:val="18"/>
          <w:szCs w:val="18"/>
        </w:rPr>
        <w:t>cotizaciones a la Seguridad Social</w:t>
      </w:r>
      <w:r w:rsidRPr="00DA37E0">
        <w:rPr>
          <w:rFonts w:ascii="Verdana" w:hAnsi="Verdana"/>
          <w:bCs/>
          <w:iCs/>
          <w:sz w:val="18"/>
          <w:szCs w:val="18"/>
        </w:rPr>
        <w:t>.</w:t>
      </w:r>
    </w:p>
    <w:p w14:paraId="37FD3F7A" w14:textId="77777777" w:rsidR="008F0B06" w:rsidRPr="00DA37E0" w:rsidRDefault="008F0B06" w:rsidP="00DA37E0">
      <w:pPr>
        <w:ind w:left="284"/>
        <w:jc w:val="both"/>
        <w:rPr>
          <w:rFonts w:ascii="Verdana" w:hAnsi="Verdana"/>
          <w:bCs/>
          <w:iCs/>
          <w:sz w:val="18"/>
          <w:szCs w:val="18"/>
        </w:rPr>
      </w:pPr>
    </w:p>
    <w:p w14:paraId="0099ED42" w14:textId="77777777" w:rsidR="00DA37E0" w:rsidRPr="00DA37E0" w:rsidRDefault="00DA37E0" w:rsidP="00DA37E0">
      <w:pPr>
        <w:ind w:left="284"/>
        <w:jc w:val="both"/>
        <w:rPr>
          <w:rFonts w:ascii="Verdana" w:hAnsi="Verdana"/>
          <w:b/>
          <w:bCs/>
          <w:iCs/>
          <w:sz w:val="18"/>
          <w:szCs w:val="18"/>
        </w:rPr>
      </w:pPr>
      <w:r w:rsidRPr="00DA37E0">
        <w:rPr>
          <w:rFonts w:ascii="Verdana" w:hAnsi="Verdana"/>
          <w:b/>
          <w:bCs/>
          <w:iCs/>
          <w:sz w:val="18"/>
          <w:szCs w:val="18"/>
        </w:rPr>
        <w:t>Imputación temporal de la regularización</w:t>
      </w:r>
    </w:p>
    <w:p w14:paraId="2C2FAAF2" w14:textId="77777777" w:rsidR="00DA37E0" w:rsidRPr="00DA37E0" w:rsidRDefault="00DA37E0" w:rsidP="00DA37E0">
      <w:pPr>
        <w:ind w:left="284"/>
        <w:jc w:val="both"/>
        <w:rPr>
          <w:rFonts w:ascii="Verdana" w:hAnsi="Verdana"/>
          <w:bCs/>
          <w:iCs/>
          <w:sz w:val="18"/>
          <w:szCs w:val="18"/>
        </w:rPr>
      </w:pPr>
      <w:r w:rsidRPr="00DA37E0">
        <w:rPr>
          <w:rFonts w:ascii="Verdana" w:hAnsi="Verdana"/>
          <w:bCs/>
          <w:iCs/>
          <w:sz w:val="18"/>
          <w:szCs w:val="18"/>
        </w:rPr>
        <w:t>La cuestión clave que resuelve la Dirección General de Tributos es la </w:t>
      </w:r>
      <w:r w:rsidRPr="00DA37E0">
        <w:rPr>
          <w:rFonts w:ascii="Verdana" w:hAnsi="Verdana"/>
          <w:b/>
          <w:bCs/>
          <w:iCs/>
          <w:sz w:val="18"/>
          <w:szCs w:val="18"/>
        </w:rPr>
        <w:t>imputación temporal</w:t>
      </w:r>
      <w:r w:rsidRPr="00DA37E0">
        <w:rPr>
          <w:rFonts w:ascii="Verdana" w:hAnsi="Verdana"/>
          <w:bCs/>
          <w:iCs/>
          <w:sz w:val="18"/>
          <w:szCs w:val="18"/>
        </w:rPr>
        <w:t> del gasto adicional (o de la devolución) derivado de la regularización de cuotas.</w:t>
      </w:r>
    </w:p>
    <w:p w14:paraId="7EB73661" w14:textId="77777777" w:rsidR="008F0B06" w:rsidRDefault="008F0B06" w:rsidP="00DA37E0">
      <w:pPr>
        <w:ind w:left="284"/>
        <w:jc w:val="both"/>
        <w:rPr>
          <w:rFonts w:ascii="Verdana" w:hAnsi="Verdana"/>
          <w:bCs/>
          <w:iCs/>
          <w:sz w:val="18"/>
          <w:szCs w:val="18"/>
        </w:rPr>
      </w:pPr>
    </w:p>
    <w:p w14:paraId="3BBDDD52" w14:textId="6EBD79D2" w:rsidR="00DA37E0" w:rsidRDefault="00DA37E0" w:rsidP="00DA37E0">
      <w:pPr>
        <w:ind w:left="284"/>
        <w:jc w:val="both"/>
        <w:rPr>
          <w:rFonts w:ascii="Verdana" w:hAnsi="Verdana"/>
          <w:bCs/>
          <w:iCs/>
          <w:sz w:val="18"/>
          <w:szCs w:val="18"/>
        </w:rPr>
      </w:pPr>
      <w:r w:rsidRPr="00DA37E0">
        <w:rPr>
          <w:rFonts w:ascii="Verdana" w:hAnsi="Verdana"/>
          <w:bCs/>
          <w:iCs/>
          <w:sz w:val="18"/>
          <w:szCs w:val="18"/>
        </w:rPr>
        <w:t>De conformidad con el principio de </w:t>
      </w:r>
      <w:r w:rsidRPr="00DA37E0">
        <w:rPr>
          <w:rFonts w:ascii="Verdana" w:hAnsi="Verdana"/>
          <w:b/>
          <w:bCs/>
          <w:iCs/>
          <w:sz w:val="18"/>
          <w:szCs w:val="18"/>
        </w:rPr>
        <w:t>correlación entre ingresos y gastos</w:t>
      </w:r>
      <w:r w:rsidRPr="00DA37E0">
        <w:rPr>
          <w:rFonts w:ascii="Verdana" w:hAnsi="Verdana"/>
          <w:bCs/>
          <w:iCs/>
          <w:sz w:val="18"/>
          <w:szCs w:val="18"/>
        </w:rPr>
        <w:t> recogido en el artículo 15.e) de la Ley del Impuesto sobre Sociedades (aplicable por remisión en</w:t>
      </w:r>
      <w:r w:rsidR="00264346">
        <w:rPr>
          <w:rFonts w:ascii="Verdana" w:hAnsi="Verdana"/>
          <w:bCs/>
          <w:iCs/>
          <w:sz w:val="18"/>
          <w:szCs w:val="18"/>
        </w:rPr>
        <w:t xml:space="preserve"> el</w:t>
      </w:r>
      <w:r w:rsidRPr="00DA37E0">
        <w:rPr>
          <w:rFonts w:ascii="Verdana" w:hAnsi="Verdana"/>
          <w:bCs/>
          <w:iCs/>
          <w:sz w:val="18"/>
          <w:szCs w:val="18"/>
        </w:rPr>
        <w:t xml:space="preserve"> IRPF), solo serán deducibles los gastos que estén </w:t>
      </w:r>
      <w:r w:rsidRPr="00DA37E0">
        <w:rPr>
          <w:rFonts w:ascii="Verdana" w:hAnsi="Verdana"/>
          <w:b/>
          <w:bCs/>
          <w:iCs/>
          <w:sz w:val="18"/>
          <w:szCs w:val="18"/>
        </w:rPr>
        <w:t>vinculados directamente</w:t>
      </w:r>
      <w:r w:rsidRPr="00DA37E0">
        <w:rPr>
          <w:rFonts w:ascii="Verdana" w:hAnsi="Verdana"/>
          <w:bCs/>
          <w:iCs/>
          <w:sz w:val="18"/>
          <w:szCs w:val="18"/>
        </w:rPr>
        <w:t> con la obtención de ingresos. La deducibilidad, además, exige que el gasto esté </w:t>
      </w:r>
      <w:r w:rsidRPr="00DA37E0">
        <w:rPr>
          <w:rFonts w:ascii="Verdana" w:hAnsi="Verdana"/>
          <w:b/>
          <w:bCs/>
          <w:iCs/>
          <w:sz w:val="18"/>
          <w:szCs w:val="18"/>
        </w:rPr>
        <w:t>justificado documentalmente</w:t>
      </w:r>
      <w:r w:rsidRPr="00DA37E0">
        <w:rPr>
          <w:rFonts w:ascii="Verdana" w:hAnsi="Verdana"/>
          <w:bCs/>
          <w:iCs/>
          <w:sz w:val="18"/>
          <w:szCs w:val="18"/>
        </w:rPr>
        <w:t> (factura o documento sustitutivo) y que esté </w:t>
      </w:r>
      <w:r w:rsidRPr="00DA37E0">
        <w:rPr>
          <w:rFonts w:ascii="Verdana" w:hAnsi="Verdana"/>
          <w:b/>
          <w:bCs/>
          <w:iCs/>
          <w:sz w:val="18"/>
          <w:szCs w:val="18"/>
        </w:rPr>
        <w:t>registrado contablemente</w:t>
      </w:r>
      <w:r w:rsidRPr="00DA37E0">
        <w:rPr>
          <w:rFonts w:ascii="Verdana" w:hAnsi="Verdana"/>
          <w:bCs/>
          <w:iCs/>
          <w:sz w:val="18"/>
          <w:szCs w:val="18"/>
        </w:rPr>
        <w:t> en los </w:t>
      </w:r>
      <w:r w:rsidRPr="00DA37E0">
        <w:rPr>
          <w:rFonts w:ascii="Verdana" w:hAnsi="Verdana"/>
          <w:b/>
          <w:bCs/>
          <w:iCs/>
          <w:sz w:val="18"/>
          <w:szCs w:val="18"/>
        </w:rPr>
        <w:t>libros-registro obligatorios</w:t>
      </w:r>
      <w:r w:rsidRPr="00DA37E0">
        <w:rPr>
          <w:rFonts w:ascii="Verdana" w:hAnsi="Verdana"/>
          <w:bCs/>
          <w:iCs/>
          <w:sz w:val="18"/>
          <w:szCs w:val="18"/>
        </w:rPr>
        <w:t> del contribuyente.</w:t>
      </w:r>
    </w:p>
    <w:p w14:paraId="1406259C" w14:textId="77777777" w:rsidR="002E1A5C" w:rsidRPr="00DA37E0" w:rsidRDefault="002E1A5C" w:rsidP="00DA37E0">
      <w:pPr>
        <w:ind w:left="284"/>
        <w:jc w:val="both"/>
        <w:rPr>
          <w:rFonts w:ascii="Verdana" w:hAnsi="Verdana"/>
          <w:bCs/>
          <w:iCs/>
          <w:sz w:val="18"/>
          <w:szCs w:val="18"/>
        </w:rPr>
      </w:pPr>
    </w:p>
    <w:p w14:paraId="7DE0607C" w14:textId="77777777" w:rsidR="00DA37E0" w:rsidRPr="00DA37E0" w:rsidRDefault="00DA37E0" w:rsidP="00DA37E0">
      <w:pPr>
        <w:ind w:left="284"/>
        <w:jc w:val="both"/>
        <w:rPr>
          <w:rFonts w:ascii="Verdana" w:hAnsi="Verdana"/>
          <w:bCs/>
          <w:iCs/>
          <w:sz w:val="18"/>
          <w:szCs w:val="18"/>
        </w:rPr>
      </w:pPr>
      <w:r w:rsidRPr="00DA37E0">
        <w:rPr>
          <w:rFonts w:ascii="Verdana" w:hAnsi="Verdana"/>
          <w:bCs/>
          <w:iCs/>
          <w:sz w:val="18"/>
          <w:szCs w:val="18"/>
        </w:rPr>
        <w:t>Según la doctrina reiterada de la </w:t>
      </w:r>
      <w:r w:rsidRPr="00DA37E0">
        <w:rPr>
          <w:rFonts w:ascii="Verdana" w:hAnsi="Verdana"/>
          <w:b/>
          <w:bCs/>
          <w:iCs/>
          <w:sz w:val="18"/>
          <w:szCs w:val="18"/>
        </w:rPr>
        <w:t>consulta vinculante V2518-22</w:t>
      </w:r>
      <w:r w:rsidRPr="00DA37E0">
        <w:rPr>
          <w:rFonts w:ascii="Verdana" w:hAnsi="Verdana"/>
          <w:bCs/>
          <w:iCs/>
          <w:sz w:val="18"/>
          <w:szCs w:val="18"/>
        </w:rPr>
        <w:t>, que se cita expresamente en la contestación, el tratamiento contable y fiscal del ajuste de cuotas del RETA es el siguiente.</w:t>
      </w:r>
    </w:p>
    <w:p w14:paraId="23E2831D" w14:textId="77777777" w:rsidR="00DA37E0" w:rsidRPr="00DA37E0" w:rsidRDefault="00DA37E0">
      <w:pPr>
        <w:numPr>
          <w:ilvl w:val="0"/>
          <w:numId w:val="27"/>
        </w:numPr>
        <w:jc w:val="both"/>
        <w:rPr>
          <w:rFonts w:ascii="Verdana" w:hAnsi="Verdana"/>
          <w:bCs/>
          <w:iCs/>
          <w:sz w:val="18"/>
          <w:szCs w:val="18"/>
        </w:rPr>
      </w:pPr>
      <w:r w:rsidRPr="00DA37E0">
        <w:rPr>
          <w:rFonts w:ascii="Verdana" w:hAnsi="Verdana"/>
          <w:bCs/>
          <w:iCs/>
          <w:sz w:val="18"/>
          <w:szCs w:val="18"/>
        </w:rPr>
        <w:t>Las cuotas satisfechas durante un ejercicio (por ejemplo, 2023) tienen carácter </w:t>
      </w:r>
      <w:r w:rsidRPr="00DA37E0">
        <w:rPr>
          <w:rFonts w:ascii="Verdana" w:hAnsi="Verdana"/>
          <w:b/>
          <w:bCs/>
          <w:iCs/>
          <w:sz w:val="18"/>
          <w:szCs w:val="18"/>
        </w:rPr>
        <w:t>legalmente exigible</w:t>
      </w:r>
      <w:r w:rsidRPr="00DA37E0">
        <w:rPr>
          <w:rFonts w:ascii="Verdana" w:hAnsi="Verdana"/>
          <w:bCs/>
          <w:iCs/>
          <w:sz w:val="18"/>
          <w:szCs w:val="18"/>
        </w:rPr>
        <w:t> según la normativa en vigor, incluso si posteriormente se demuestra que la base de cotización provisional no coincidía con la base real.</w:t>
      </w:r>
    </w:p>
    <w:p w14:paraId="43CCB1FF" w14:textId="77777777" w:rsidR="00DA37E0" w:rsidRPr="00DA37E0" w:rsidRDefault="00DA37E0">
      <w:pPr>
        <w:numPr>
          <w:ilvl w:val="0"/>
          <w:numId w:val="27"/>
        </w:numPr>
        <w:jc w:val="both"/>
        <w:rPr>
          <w:rFonts w:ascii="Verdana" w:hAnsi="Verdana"/>
          <w:bCs/>
          <w:iCs/>
          <w:sz w:val="18"/>
          <w:szCs w:val="18"/>
        </w:rPr>
      </w:pPr>
      <w:r w:rsidRPr="00DA37E0">
        <w:rPr>
          <w:rFonts w:ascii="Verdana" w:hAnsi="Verdana"/>
          <w:bCs/>
          <w:iCs/>
          <w:sz w:val="18"/>
          <w:szCs w:val="18"/>
        </w:rPr>
        <w:t>Por ello, </w:t>
      </w:r>
      <w:r w:rsidRPr="00DA37E0">
        <w:rPr>
          <w:rFonts w:ascii="Verdana" w:hAnsi="Verdana"/>
          <w:b/>
          <w:bCs/>
          <w:iCs/>
          <w:sz w:val="18"/>
          <w:szCs w:val="18"/>
        </w:rPr>
        <w:t>no procede modificar la declaración del ejercicio 2023</w:t>
      </w:r>
      <w:r w:rsidRPr="00DA37E0">
        <w:rPr>
          <w:rFonts w:ascii="Verdana" w:hAnsi="Verdana"/>
          <w:bCs/>
          <w:iCs/>
          <w:sz w:val="18"/>
          <w:szCs w:val="18"/>
        </w:rPr>
        <w:t>, ni mediante autoliquidación rectificativa ni mediante declaración complementaria.</w:t>
      </w:r>
    </w:p>
    <w:p w14:paraId="1ED561E6" w14:textId="77777777" w:rsidR="00DA37E0" w:rsidRPr="00DA37E0" w:rsidRDefault="00DA37E0">
      <w:pPr>
        <w:numPr>
          <w:ilvl w:val="0"/>
          <w:numId w:val="27"/>
        </w:numPr>
        <w:jc w:val="both"/>
        <w:rPr>
          <w:rFonts w:ascii="Verdana" w:hAnsi="Verdana"/>
          <w:bCs/>
          <w:iCs/>
          <w:sz w:val="18"/>
          <w:szCs w:val="18"/>
        </w:rPr>
      </w:pPr>
      <w:r w:rsidRPr="00DA37E0">
        <w:rPr>
          <w:rFonts w:ascii="Verdana" w:hAnsi="Verdana"/>
          <w:bCs/>
          <w:iCs/>
          <w:sz w:val="18"/>
          <w:szCs w:val="18"/>
        </w:rPr>
        <w:t>La </w:t>
      </w:r>
      <w:r w:rsidRPr="00DA37E0">
        <w:rPr>
          <w:rFonts w:ascii="Verdana" w:hAnsi="Verdana"/>
          <w:b/>
          <w:bCs/>
          <w:iCs/>
          <w:sz w:val="18"/>
          <w:szCs w:val="18"/>
        </w:rPr>
        <w:t>regularización efectuada en el ejercicio 2025</w:t>
      </w:r>
      <w:r w:rsidRPr="00DA37E0">
        <w:rPr>
          <w:rFonts w:ascii="Verdana" w:hAnsi="Verdana"/>
          <w:bCs/>
          <w:iCs/>
          <w:sz w:val="18"/>
          <w:szCs w:val="18"/>
        </w:rPr>
        <w:t> se imputará fiscalmente </w:t>
      </w:r>
      <w:r w:rsidRPr="00DA37E0">
        <w:rPr>
          <w:rFonts w:ascii="Verdana" w:hAnsi="Verdana"/>
          <w:b/>
          <w:bCs/>
          <w:iCs/>
          <w:sz w:val="18"/>
          <w:szCs w:val="18"/>
        </w:rPr>
        <w:t>en dicho ejercicio 2025</w:t>
      </w:r>
      <w:r w:rsidRPr="00DA37E0">
        <w:rPr>
          <w:rFonts w:ascii="Verdana" w:hAnsi="Verdana"/>
          <w:bCs/>
          <w:iCs/>
          <w:sz w:val="18"/>
          <w:szCs w:val="18"/>
        </w:rPr>
        <w:t>, al tratarse de un gasto o ingreso que </w:t>
      </w:r>
      <w:r w:rsidRPr="00DA37E0">
        <w:rPr>
          <w:rFonts w:ascii="Verdana" w:hAnsi="Verdana"/>
          <w:b/>
          <w:bCs/>
          <w:iCs/>
          <w:sz w:val="18"/>
          <w:szCs w:val="18"/>
        </w:rPr>
        <w:t>se devenga en ese momento</w:t>
      </w:r>
      <w:r w:rsidRPr="00DA37E0">
        <w:rPr>
          <w:rFonts w:ascii="Verdana" w:hAnsi="Verdana"/>
          <w:bCs/>
          <w:iCs/>
          <w:sz w:val="18"/>
          <w:szCs w:val="18"/>
        </w:rPr>
        <w:t>, como consecuencia de una actuación administrativa con efectos jurídicos en ese ejercicio.</w:t>
      </w:r>
    </w:p>
    <w:p w14:paraId="360DFA63" w14:textId="77777777" w:rsidR="00A7669F" w:rsidRDefault="00A7669F" w:rsidP="00DA37E0">
      <w:pPr>
        <w:ind w:left="284"/>
        <w:jc w:val="both"/>
        <w:rPr>
          <w:rFonts w:ascii="Verdana" w:hAnsi="Verdana"/>
          <w:b/>
          <w:bCs/>
          <w:iCs/>
          <w:sz w:val="18"/>
          <w:szCs w:val="18"/>
        </w:rPr>
      </w:pPr>
    </w:p>
    <w:p w14:paraId="7B197B5C" w14:textId="314EC5FB" w:rsidR="00DA37E0" w:rsidRPr="00DA37E0" w:rsidRDefault="00DA37E0" w:rsidP="00DA37E0">
      <w:pPr>
        <w:ind w:left="284"/>
        <w:jc w:val="both"/>
        <w:rPr>
          <w:rFonts w:ascii="Verdana" w:hAnsi="Verdana"/>
          <w:b/>
          <w:bCs/>
          <w:iCs/>
          <w:sz w:val="18"/>
          <w:szCs w:val="18"/>
        </w:rPr>
      </w:pPr>
      <w:r w:rsidRPr="00DA37E0">
        <w:rPr>
          <w:rFonts w:ascii="Verdana" w:hAnsi="Verdana"/>
          <w:b/>
          <w:bCs/>
          <w:iCs/>
          <w:sz w:val="18"/>
          <w:szCs w:val="18"/>
        </w:rPr>
        <w:t>Consecuencias fiscales</w:t>
      </w:r>
    </w:p>
    <w:p w14:paraId="1B9E6B37" w14:textId="77777777" w:rsidR="00DA37E0" w:rsidRPr="00DA37E0" w:rsidRDefault="00DA37E0" w:rsidP="00DA37E0">
      <w:pPr>
        <w:ind w:left="284"/>
        <w:jc w:val="both"/>
        <w:rPr>
          <w:rFonts w:ascii="Verdana" w:hAnsi="Verdana"/>
          <w:bCs/>
          <w:iCs/>
          <w:sz w:val="18"/>
          <w:szCs w:val="18"/>
        </w:rPr>
      </w:pPr>
      <w:r w:rsidRPr="00DA37E0">
        <w:rPr>
          <w:rFonts w:ascii="Verdana" w:hAnsi="Verdana"/>
          <w:b/>
          <w:bCs/>
          <w:iCs/>
          <w:sz w:val="18"/>
          <w:szCs w:val="18"/>
        </w:rPr>
        <w:t>A. En caso de pago adicional en 2025</w:t>
      </w:r>
    </w:p>
    <w:p w14:paraId="2783DAF3"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El </w:t>
      </w:r>
      <w:r w:rsidRPr="00DA37E0">
        <w:rPr>
          <w:rFonts w:ascii="Verdana" w:hAnsi="Verdana"/>
          <w:b/>
          <w:bCs/>
          <w:iCs/>
          <w:sz w:val="18"/>
          <w:szCs w:val="18"/>
        </w:rPr>
        <w:t>importe satisfecho en 2025</w:t>
      </w:r>
      <w:r w:rsidRPr="00DA37E0">
        <w:rPr>
          <w:rFonts w:ascii="Verdana" w:hAnsi="Verdana"/>
          <w:bCs/>
          <w:iCs/>
          <w:sz w:val="18"/>
          <w:szCs w:val="18"/>
        </w:rPr>
        <w:t>, correspondiente a cuotas del RETA no cubiertas en 2023, se considerará un </w:t>
      </w:r>
      <w:r w:rsidRPr="00DA37E0">
        <w:rPr>
          <w:rFonts w:ascii="Verdana" w:hAnsi="Verdana"/>
          <w:b/>
          <w:bCs/>
          <w:iCs/>
          <w:sz w:val="18"/>
          <w:szCs w:val="18"/>
        </w:rPr>
        <w:t>mayor gasto deducible</w:t>
      </w:r>
      <w:r w:rsidRPr="00DA37E0">
        <w:rPr>
          <w:rFonts w:ascii="Verdana" w:hAnsi="Verdana"/>
          <w:bCs/>
          <w:iCs/>
          <w:sz w:val="18"/>
          <w:szCs w:val="18"/>
        </w:rPr>
        <w:t> en el ejercicio </w:t>
      </w:r>
      <w:r w:rsidRPr="00DA37E0">
        <w:rPr>
          <w:rFonts w:ascii="Verdana" w:hAnsi="Verdana"/>
          <w:b/>
          <w:bCs/>
          <w:iCs/>
          <w:sz w:val="18"/>
          <w:szCs w:val="18"/>
        </w:rPr>
        <w:t>2025</w:t>
      </w:r>
      <w:r w:rsidRPr="00DA37E0">
        <w:rPr>
          <w:rFonts w:ascii="Verdana" w:hAnsi="Verdana"/>
          <w:bCs/>
          <w:iCs/>
          <w:sz w:val="18"/>
          <w:szCs w:val="18"/>
        </w:rPr>
        <w:t>, en concepto de cotizaciones a la Seguridad Social, ya sea para actividades económicas (estimación directa) o para rendimientos del trabajo.</w:t>
      </w:r>
    </w:p>
    <w:p w14:paraId="323AF298" w14:textId="77777777" w:rsidR="002E1A5C" w:rsidRPr="00DA37E0" w:rsidRDefault="002E1A5C" w:rsidP="00DA37E0">
      <w:pPr>
        <w:ind w:left="284"/>
        <w:jc w:val="both"/>
        <w:rPr>
          <w:rFonts w:ascii="Verdana" w:hAnsi="Verdana"/>
          <w:bCs/>
          <w:iCs/>
          <w:sz w:val="18"/>
          <w:szCs w:val="18"/>
        </w:rPr>
      </w:pPr>
    </w:p>
    <w:p w14:paraId="08735813" w14:textId="77777777" w:rsidR="00DA37E0" w:rsidRPr="00DA37E0" w:rsidRDefault="00DA37E0" w:rsidP="00DA37E0">
      <w:pPr>
        <w:ind w:left="284"/>
        <w:jc w:val="both"/>
        <w:rPr>
          <w:rFonts w:ascii="Verdana" w:hAnsi="Verdana"/>
          <w:bCs/>
          <w:iCs/>
          <w:sz w:val="18"/>
          <w:szCs w:val="18"/>
        </w:rPr>
      </w:pPr>
      <w:r w:rsidRPr="00DA37E0">
        <w:rPr>
          <w:rFonts w:ascii="Verdana" w:hAnsi="Verdana"/>
          <w:b/>
          <w:bCs/>
          <w:iCs/>
          <w:sz w:val="18"/>
          <w:szCs w:val="18"/>
        </w:rPr>
        <w:t>B. En caso de devolución en 2025</w:t>
      </w:r>
    </w:p>
    <w:p w14:paraId="4C06826E" w14:textId="2D928ABB" w:rsidR="00DA37E0" w:rsidRPr="00DA37E0" w:rsidRDefault="00DA37E0" w:rsidP="00DA37E0">
      <w:pPr>
        <w:ind w:left="284"/>
        <w:jc w:val="both"/>
        <w:rPr>
          <w:rFonts w:ascii="Verdana" w:hAnsi="Verdana"/>
          <w:bCs/>
          <w:iCs/>
          <w:sz w:val="18"/>
          <w:szCs w:val="18"/>
        </w:rPr>
      </w:pPr>
      <w:r w:rsidRPr="00DA37E0">
        <w:rPr>
          <w:rFonts w:ascii="Verdana" w:hAnsi="Verdana"/>
          <w:bCs/>
          <w:iCs/>
          <w:sz w:val="18"/>
          <w:szCs w:val="18"/>
        </w:rPr>
        <w:t>La devolución deberá tratarse como una </w:t>
      </w:r>
      <w:r w:rsidRPr="00DA37E0">
        <w:rPr>
          <w:rFonts w:ascii="Verdana" w:hAnsi="Verdana"/>
          <w:b/>
          <w:bCs/>
          <w:iCs/>
          <w:sz w:val="18"/>
          <w:szCs w:val="18"/>
        </w:rPr>
        <w:t>minoración del gasto</w:t>
      </w:r>
      <w:r w:rsidRPr="00DA37E0">
        <w:rPr>
          <w:rFonts w:ascii="Verdana" w:hAnsi="Verdana"/>
          <w:bCs/>
          <w:iCs/>
          <w:sz w:val="18"/>
          <w:szCs w:val="18"/>
        </w:rPr>
        <w:t> en 2025 por cuotas a la Seguridad Social, si hay cuotas satisfechas en ese ejercicio.</w:t>
      </w:r>
    </w:p>
    <w:p w14:paraId="30C69246"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En caso de que </w:t>
      </w:r>
      <w:r w:rsidRPr="00DA37E0">
        <w:rPr>
          <w:rFonts w:ascii="Verdana" w:hAnsi="Verdana"/>
          <w:b/>
          <w:bCs/>
          <w:iCs/>
          <w:sz w:val="18"/>
          <w:szCs w:val="18"/>
        </w:rPr>
        <w:t>no haya cuotas suficientes que compensen la devolución</w:t>
      </w:r>
      <w:r w:rsidRPr="00DA37E0">
        <w:rPr>
          <w:rFonts w:ascii="Verdana" w:hAnsi="Verdana"/>
          <w:bCs/>
          <w:iCs/>
          <w:sz w:val="18"/>
          <w:szCs w:val="18"/>
        </w:rPr>
        <w:t>, el </w:t>
      </w:r>
      <w:r w:rsidRPr="00DA37E0">
        <w:rPr>
          <w:rFonts w:ascii="Verdana" w:hAnsi="Verdana"/>
          <w:b/>
          <w:bCs/>
          <w:iCs/>
          <w:sz w:val="18"/>
          <w:szCs w:val="18"/>
        </w:rPr>
        <w:t>exceso deberá declararse como un ingreso</w:t>
      </w:r>
      <w:r w:rsidRPr="00DA37E0">
        <w:rPr>
          <w:rFonts w:ascii="Verdana" w:hAnsi="Verdana"/>
          <w:bCs/>
          <w:iCs/>
          <w:sz w:val="18"/>
          <w:szCs w:val="18"/>
        </w:rPr>
        <w:t> (mayor rendimiento del trabajo o de la actividad económica).</w:t>
      </w:r>
    </w:p>
    <w:p w14:paraId="42F29A78" w14:textId="77777777" w:rsidR="002E1A5C" w:rsidRPr="00DA37E0" w:rsidRDefault="002E1A5C" w:rsidP="00DA37E0">
      <w:pPr>
        <w:ind w:left="284"/>
        <w:jc w:val="both"/>
        <w:rPr>
          <w:rFonts w:ascii="Verdana" w:hAnsi="Verdana"/>
          <w:bCs/>
          <w:iCs/>
          <w:sz w:val="18"/>
          <w:szCs w:val="18"/>
        </w:rPr>
      </w:pPr>
    </w:p>
    <w:p w14:paraId="4CE658E0" w14:textId="77777777" w:rsidR="00DA37E0" w:rsidRPr="00DA37E0" w:rsidRDefault="00DA37E0" w:rsidP="00DA37E0">
      <w:pPr>
        <w:ind w:left="284"/>
        <w:jc w:val="both"/>
        <w:rPr>
          <w:rFonts w:ascii="Verdana" w:hAnsi="Verdana"/>
          <w:b/>
          <w:bCs/>
          <w:iCs/>
          <w:sz w:val="18"/>
          <w:szCs w:val="18"/>
        </w:rPr>
      </w:pPr>
      <w:r w:rsidRPr="00DA37E0">
        <w:rPr>
          <w:rFonts w:ascii="Verdana" w:hAnsi="Verdana"/>
          <w:b/>
          <w:bCs/>
          <w:iCs/>
          <w:sz w:val="18"/>
          <w:szCs w:val="18"/>
        </w:rPr>
        <w:t>Conclusión</w:t>
      </w:r>
    </w:p>
    <w:p w14:paraId="3BEC7439"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La Dirección General de Tributos concluye que </w:t>
      </w:r>
      <w:r w:rsidRPr="00DA37E0">
        <w:rPr>
          <w:rFonts w:ascii="Verdana" w:hAnsi="Verdana"/>
          <w:b/>
          <w:bCs/>
          <w:iCs/>
          <w:sz w:val="18"/>
          <w:szCs w:val="18"/>
        </w:rPr>
        <w:t>el importe resultante de la regularización de cuotas del RETA correspondiente al ejercicio 2023 debe imputarse al ejercicio 2025</w:t>
      </w:r>
      <w:r w:rsidRPr="00DA37E0">
        <w:rPr>
          <w:rFonts w:ascii="Verdana" w:hAnsi="Verdana"/>
          <w:bCs/>
          <w:iCs/>
          <w:sz w:val="18"/>
          <w:szCs w:val="18"/>
        </w:rPr>
        <w:t>, que es cuando efectivamente se produce el devengo del gasto o ingreso asociado.</w:t>
      </w:r>
    </w:p>
    <w:p w14:paraId="18B49AAD" w14:textId="77777777" w:rsidR="002E1A5C" w:rsidRPr="00DA37E0" w:rsidRDefault="002E1A5C" w:rsidP="00DA37E0">
      <w:pPr>
        <w:ind w:left="284"/>
        <w:jc w:val="both"/>
        <w:rPr>
          <w:rFonts w:ascii="Verdana" w:hAnsi="Verdana"/>
          <w:bCs/>
          <w:iCs/>
          <w:sz w:val="18"/>
          <w:szCs w:val="18"/>
        </w:rPr>
      </w:pPr>
    </w:p>
    <w:p w14:paraId="7933894B" w14:textId="77777777" w:rsidR="00DA37E0" w:rsidRPr="00DA37E0" w:rsidRDefault="00DA37E0" w:rsidP="00DA37E0">
      <w:pPr>
        <w:ind w:left="284"/>
        <w:jc w:val="both"/>
        <w:rPr>
          <w:rFonts w:ascii="Verdana" w:hAnsi="Verdana"/>
          <w:bCs/>
          <w:iCs/>
          <w:sz w:val="18"/>
          <w:szCs w:val="18"/>
        </w:rPr>
      </w:pPr>
      <w:r w:rsidRPr="00DA37E0">
        <w:rPr>
          <w:rFonts w:ascii="Verdana" w:hAnsi="Verdana"/>
          <w:bCs/>
          <w:iCs/>
          <w:sz w:val="18"/>
          <w:szCs w:val="18"/>
        </w:rPr>
        <w:t>Por tanto, n</w:t>
      </w:r>
      <w:r w:rsidRPr="00DA37E0">
        <w:rPr>
          <w:rFonts w:ascii="Verdana" w:hAnsi="Verdana"/>
          <w:b/>
          <w:bCs/>
          <w:iCs/>
          <w:sz w:val="18"/>
          <w:szCs w:val="18"/>
        </w:rPr>
        <w:t>o se modifica</w:t>
      </w:r>
      <w:r w:rsidRPr="00DA37E0">
        <w:rPr>
          <w:rFonts w:ascii="Verdana" w:hAnsi="Verdana"/>
          <w:bCs/>
          <w:iCs/>
          <w:sz w:val="18"/>
          <w:szCs w:val="18"/>
        </w:rPr>
        <w:t> la declaración del IRPF correspondiente al año 2023.</w:t>
      </w:r>
    </w:p>
    <w:p w14:paraId="4926F33D" w14:textId="77777777" w:rsidR="00DA37E0" w:rsidRDefault="00DA37E0" w:rsidP="00DA37E0">
      <w:pPr>
        <w:ind w:left="284"/>
        <w:jc w:val="both"/>
        <w:rPr>
          <w:rFonts w:ascii="Verdana" w:hAnsi="Verdana"/>
          <w:bCs/>
          <w:iCs/>
          <w:sz w:val="18"/>
          <w:szCs w:val="18"/>
        </w:rPr>
      </w:pPr>
      <w:r w:rsidRPr="00DA37E0">
        <w:rPr>
          <w:rFonts w:ascii="Verdana" w:hAnsi="Verdana"/>
          <w:bCs/>
          <w:iCs/>
          <w:sz w:val="18"/>
          <w:szCs w:val="18"/>
        </w:rPr>
        <w:t>Y el </w:t>
      </w:r>
      <w:r w:rsidRPr="00DA37E0">
        <w:rPr>
          <w:rFonts w:ascii="Verdana" w:hAnsi="Verdana"/>
          <w:b/>
          <w:bCs/>
          <w:iCs/>
          <w:sz w:val="18"/>
          <w:szCs w:val="18"/>
        </w:rPr>
        <w:t>ajuste se refleja en la declaración del IRPF del año 2025</w:t>
      </w:r>
      <w:r w:rsidRPr="00DA37E0">
        <w:rPr>
          <w:rFonts w:ascii="Verdana" w:hAnsi="Verdana"/>
          <w:bCs/>
          <w:iCs/>
          <w:sz w:val="18"/>
          <w:szCs w:val="18"/>
        </w:rPr>
        <w:t>, como mayor gasto deducible, si hay pago, o como menor gasto o mayor ingreso, si hay devolución.</w:t>
      </w:r>
    </w:p>
    <w:p w14:paraId="3281F7DB" w14:textId="77777777" w:rsidR="003464F1" w:rsidRPr="00DA37E0" w:rsidRDefault="003464F1" w:rsidP="00DA37E0">
      <w:pPr>
        <w:ind w:left="284"/>
        <w:jc w:val="both"/>
        <w:rPr>
          <w:rFonts w:ascii="Verdana" w:hAnsi="Verdana"/>
          <w:bCs/>
          <w:iCs/>
          <w:sz w:val="18"/>
          <w:szCs w:val="18"/>
        </w:rPr>
      </w:pPr>
    </w:p>
    <w:p w14:paraId="24505A8A" w14:textId="77777777" w:rsidR="003464F1" w:rsidRDefault="003464F1" w:rsidP="00BB76B2">
      <w:pPr>
        <w:ind w:left="284"/>
        <w:jc w:val="both"/>
        <w:rPr>
          <w:rFonts w:ascii="Verdana" w:hAnsi="Verdana"/>
          <w:bCs/>
          <w:iCs/>
          <w:sz w:val="18"/>
          <w:szCs w:val="18"/>
        </w:rPr>
      </w:pPr>
    </w:p>
    <w:p w14:paraId="5933B669" w14:textId="77777777" w:rsidR="001B4760" w:rsidRDefault="001B4760" w:rsidP="003464F1">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55261E" w:rsidRPr="0055261E" w14:paraId="5BBE2AD7" w14:textId="77777777" w:rsidTr="00AB3A42">
        <w:trPr>
          <w:trHeight w:val="484"/>
        </w:trPr>
        <w:tc>
          <w:tcPr>
            <w:tcW w:w="180" w:type="dxa"/>
            <w:shd w:val="clear" w:color="auto" w:fill="FF6600"/>
          </w:tcPr>
          <w:p w14:paraId="17AF33CA" w14:textId="77777777" w:rsidR="0055261E" w:rsidRPr="0055261E" w:rsidRDefault="0055261E" w:rsidP="00AB3A42">
            <w:pPr>
              <w:pStyle w:val="Prrafodelista"/>
              <w:numPr>
                <w:ilvl w:val="0"/>
                <w:numId w:val="24"/>
              </w:numPr>
              <w:rPr>
                <w:rFonts w:ascii="Verdana" w:hAnsi="Verdana"/>
                <w:b/>
                <w:bCs/>
                <w:color w:val="800000"/>
                <w:sz w:val="18"/>
                <w:szCs w:val="18"/>
              </w:rPr>
            </w:pPr>
            <w:bookmarkStart w:id="4" w:name="_Hlk209269074"/>
          </w:p>
        </w:tc>
        <w:tc>
          <w:tcPr>
            <w:tcW w:w="8460" w:type="dxa"/>
          </w:tcPr>
          <w:p w14:paraId="3762936A" w14:textId="14055319" w:rsidR="0055261E" w:rsidRPr="0055261E" w:rsidRDefault="0055261E" w:rsidP="00AB3A42">
            <w:pPr>
              <w:pStyle w:val="Prrafodelista"/>
              <w:numPr>
                <w:ilvl w:val="0"/>
                <w:numId w:val="25"/>
              </w:numPr>
              <w:ind w:left="384" w:hanging="283"/>
              <w:jc w:val="both"/>
              <w:rPr>
                <w:rFonts w:ascii="Verdana" w:hAnsi="Verdana"/>
                <w:b/>
                <w:bCs/>
                <w:color w:val="800000"/>
                <w:sz w:val="18"/>
                <w:szCs w:val="18"/>
              </w:rPr>
            </w:pPr>
            <w:r w:rsidRPr="0055261E">
              <w:rPr>
                <w:rFonts w:ascii="Verdana" w:hAnsi="Verdana"/>
                <w:b/>
                <w:bCs/>
                <w:color w:val="800000"/>
                <w:sz w:val="18"/>
                <w:szCs w:val="18"/>
              </w:rPr>
              <w:t>IRP</w:t>
            </w:r>
            <w:r w:rsidR="00955722">
              <w:rPr>
                <w:rFonts w:ascii="Verdana" w:hAnsi="Verdana"/>
                <w:b/>
                <w:bCs/>
                <w:color w:val="800000"/>
                <w:sz w:val="18"/>
                <w:szCs w:val="18"/>
              </w:rPr>
              <w:t>F</w:t>
            </w:r>
            <w:r w:rsidRPr="0055261E">
              <w:rPr>
                <w:rFonts w:ascii="Verdana" w:hAnsi="Verdana"/>
                <w:b/>
                <w:bCs/>
                <w:color w:val="800000"/>
                <w:sz w:val="18"/>
                <w:szCs w:val="18"/>
              </w:rPr>
              <w:t>. - COMPLEMENTOS POR MATERNIDAD Y PATERNIDAD QUE FIGURAN COMO ATRASOS EN LOS DATOS FISCALES DEL PERÍODO IMPOSITIVO DE 2024</w:t>
            </w:r>
          </w:p>
        </w:tc>
      </w:tr>
    </w:tbl>
    <w:bookmarkEnd w:id="4"/>
    <w:p w14:paraId="755940C3" w14:textId="3F675877" w:rsidR="0055261E" w:rsidRPr="001B4760" w:rsidRDefault="0055261E" w:rsidP="0055261E">
      <w:pPr>
        <w:ind w:left="284"/>
        <w:jc w:val="both"/>
        <w:rPr>
          <w:rFonts w:ascii="Verdana" w:hAnsi="Verdana"/>
          <w:bCs/>
          <w:iCs/>
          <w:sz w:val="18"/>
          <w:szCs w:val="18"/>
        </w:rPr>
      </w:pPr>
      <w:r>
        <w:rPr>
          <w:rFonts w:ascii="Verdana" w:hAnsi="Verdana"/>
          <w:bCs/>
          <w:iCs/>
          <w:sz w:val="18"/>
          <w:szCs w:val="18"/>
        </w:rPr>
        <w:t xml:space="preserve">La DGT en consulta vinculante V1074-20 interpreta que los atrasos por estos complementos no prescriben </w:t>
      </w:r>
      <w:proofErr w:type="gramStart"/>
      <w:r>
        <w:rPr>
          <w:rFonts w:ascii="Verdana" w:hAnsi="Verdana"/>
          <w:bCs/>
          <w:iCs/>
          <w:sz w:val="18"/>
          <w:szCs w:val="18"/>
        </w:rPr>
        <w:t>y</w:t>
      </w:r>
      <w:proofErr w:type="gramEnd"/>
      <w:r>
        <w:rPr>
          <w:rFonts w:ascii="Verdana" w:hAnsi="Verdana"/>
          <w:bCs/>
          <w:iCs/>
          <w:sz w:val="18"/>
          <w:szCs w:val="18"/>
        </w:rPr>
        <w:t xml:space="preserve"> </w:t>
      </w:r>
      <w:r w:rsidR="00955722">
        <w:rPr>
          <w:rFonts w:ascii="Verdana" w:hAnsi="Verdana"/>
          <w:bCs/>
          <w:iCs/>
          <w:sz w:val="18"/>
          <w:szCs w:val="18"/>
        </w:rPr>
        <w:t>en</w:t>
      </w:r>
      <w:r>
        <w:rPr>
          <w:rFonts w:ascii="Verdana" w:hAnsi="Verdana"/>
          <w:bCs/>
          <w:iCs/>
          <w:sz w:val="18"/>
          <w:szCs w:val="18"/>
        </w:rPr>
        <w:t xml:space="preserve"> consecuencia, </w:t>
      </w:r>
      <w:r w:rsidRPr="001B4760">
        <w:rPr>
          <w:rFonts w:ascii="Verdana" w:hAnsi="Verdana"/>
          <w:bCs/>
          <w:iCs/>
          <w:sz w:val="18"/>
          <w:szCs w:val="18"/>
        </w:rPr>
        <w:t>los </w:t>
      </w:r>
      <w:r w:rsidRPr="001B4760">
        <w:rPr>
          <w:rFonts w:ascii="Verdana" w:hAnsi="Verdana"/>
          <w:b/>
          <w:bCs/>
          <w:iCs/>
          <w:sz w:val="18"/>
          <w:szCs w:val="18"/>
        </w:rPr>
        <w:t>complementos por maternidad y paternidad que figuran como atrasos en los datos fiscales del período impositivo de 2024</w:t>
      </w:r>
      <w:r w:rsidRPr="001B4760">
        <w:rPr>
          <w:rFonts w:ascii="Verdana" w:hAnsi="Verdana"/>
          <w:bCs/>
          <w:iCs/>
          <w:sz w:val="18"/>
          <w:szCs w:val="18"/>
        </w:rPr>
        <w:t>, la Dirección General de Tributos, en consulta</w:t>
      </w:r>
      <w:r>
        <w:rPr>
          <w:rFonts w:ascii="Verdana" w:hAnsi="Verdana"/>
          <w:bCs/>
          <w:iCs/>
          <w:sz w:val="18"/>
          <w:szCs w:val="18"/>
        </w:rPr>
        <w:t xml:space="preserve"> </w:t>
      </w:r>
      <w:r w:rsidRPr="002E1A5C">
        <w:rPr>
          <w:rFonts w:ascii="Verdana" w:hAnsi="Verdana"/>
          <w:b/>
          <w:iCs/>
          <w:sz w:val="18"/>
          <w:szCs w:val="18"/>
        </w:rPr>
        <w:t>V0846-</w:t>
      </w:r>
      <w:r w:rsidR="001547E0" w:rsidRPr="002E1A5C">
        <w:rPr>
          <w:rFonts w:ascii="Verdana" w:hAnsi="Verdana"/>
          <w:b/>
          <w:iCs/>
          <w:sz w:val="18"/>
          <w:szCs w:val="18"/>
        </w:rPr>
        <w:t>24 ha</w:t>
      </w:r>
      <w:r w:rsidRPr="002E1A5C">
        <w:rPr>
          <w:rFonts w:ascii="Verdana" w:hAnsi="Verdana"/>
          <w:b/>
          <w:iCs/>
          <w:sz w:val="18"/>
          <w:szCs w:val="18"/>
        </w:rPr>
        <w:t xml:space="preserve"> </w:t>
      </w:r>
      <w:r w:rsidR="008F0B06">
        <w:rPr>
          <w:rFonts w:ascii="Verdana" w:hAnsi="Verdana"/>
          <w:b/>
          <w:iCs/>
          <w:sz w:val="18"/>
          <w:szCs w:val="18"/>
        </w:rPr>
        <w:t>concluid</w:t>
      </w:r>
      <w:r w:rsidR="008F0B06" w:rsidRPr="002E1A5C">
        <w:rPr>
          <w:rFonts w:ascii="Verdana" w:hAnsi="Verdana"/>
          <w:b/>
          <w:iCs/>
          <w:sz w:val="18"/>
          <w:szCs w:val="18"/>
        </w:rPr>
        <w:t>o</w:t>
      </w:r>
      <w:r w:rsidRPr="002E1A5C">
        <w:rPr>
          <w:rFonts w:ascii="Verdana" w:hAnsi="Verdana"/>
          <w:b/>
          <w:iCs/>
          <w:sz w:val="18"/>
          <w:szCs w:val="18"/>
        </w:rPr>
        <w:t xml:space="preserve"> que al percibirse en un período impositivo posterior al de su exigibilidad, resulta operativa la regla especial de imputación a los períodos de la exigibilidad</w:t>
      </w:r>
      <w:r w:rsidRPr="001B4760">
        <w:rPr>
          <w:rFonts w:ascii="Verdana" w:hAnsi="Verdana"/>
          <w:bCs/>
          <w:iCs/>
          <w:sz w:val="18"/>
          <w:szCs w:val="18"/>
        </w:rPr>
        <w:t>.</w:t>
      </w:r>
    </w:p>
    <w:p w14:paraId="7C167418" w14:textId="45B59698" w:rsidR="0055261E" w:rsidRPr="001B4760" w:rsidRDefault="0055261E" w:rsidP="0055261E">
      <w:pPr>
        <w:ind w:left="284"/>
        <w:jc w:val="both"/>
        <w:rPr>
          <w:rFonts w:ascii="Verdana" w:hAnsi="Verdana"/>
          <w:bCs/>
          <w:iCs/>
          <w:sz w:val="18"/>
          <w:szCs w:val="18"/>
        </w:rPr>
      </w:pPr>
    </w:p>
    <w:p w14:paraId="0470B548" w14:textId="5CF3F477" w:rsidR="0055261E" w:rsidRPr="001B4760" w:rsidRDefault="0055261E" w:rsidP="0055261E">
      <w:pPr>
        <w:ind w:left="284"/>
        <w:jc w:val="both"/>
        <w:rPr>
          <w:rFonts w:ascii="Verdana" w:hAnsi="Verdana"/>
          <w:bCs/>
          <w:iCs/>
          <w:sz w:val="18"/>
          <w:szCs w:val="18"/>
        </w:rPr>
      </w:pPr>
      <w:r w:rsidRPr="001B4760">
        <w:rPr>
          <w:rFonts w:ascii="Verdana" w:hAnsi="Verdana"/>
          <w:bCs/>
          <w:iCs/>
          <w:sz w:val="18"/>
          <w:szCs w:val="18"/>
        </w:rPr>
        <w:t>Por lo </w:t>
      </w:r>
      <w:r w:rsidRPr="001B4760">
        <w:rPr>
          <w:rFonts w:ascii="Verdana" w:hAnsi="Verdana"/>
          <w:b/>
          <w:bCs/>
          <w:iCs/>
          <w:sz w:val="18"/>
          <w:szCs w:val="18"/>
        </w:rPr>
        <w:t xml:space="preserve">que se </w:t>
      </w:r>
      <w:r>
        <w:rPr>
          <w:rFonts w:ascii="Verdana" w:hAnsi="Verdana"/>
          <w:b/>
          <w:bCs/>
          <w:iCs/>
          <w:sz w:val="18"/>
          <w:szCs w:val="18"/>
        </w:rPr>
        <w:t>deberán</w:t>
      </w:r>
      <w:r w:rsidRPr="001B4760">
        <w:rPr>
          <w:rFonts w:ascii="Verdana" w:hAnsi="Verdana"/>
          <w:b/>
          <w:bCs/>
          <w:iCs/>
          <w:sz w:val="18"/>
          <w:szCs w:val="18"/>
        </w:rPr>
        <w:t xml:space="preserve"> presentar autoliquidaciones complementarias de todos los períodos prescritos o no prescritos en el plazo que media entre la fecha en que se perciben y el final del inmediato siguiente plazo de declaración por el </w:t>
      </w:r>
      <w:r w:rsidRPr="001B4760">
        <w:rPr>
          <w:rFonts w:ascii="Verdana" w:hAnsi="Verdana"/>
          <w:b/>
          <w:bCs/>
          <w:iCs/>
          <w:sz w:val="18"/>
          <w:szCs w:val="18"/>
        </w:rPr>
        <w:lastRenderedPageBreak/>
        <w:t>impuesto</w:t>
      </w:r>
      <w:r w:rsidR="008F0B06">
        <w:rPr>
          <w:rFonts w:ascii="Verdana" w:hAnsi="Verdana"/>
          <w:b/>
          <w:bCs/>
          <w:iCs/>
          <w:sz w:val="18"/>
          <w:szCs w:val="18"/>
        </w:rPr>
        <w:t xml:space="preserve">. </w:t>
      </w:r>
      <w:r w:rsidR="008F0B06">
        <w:rPr>
          <w:rFonts w:ascii="Verdana" w:hAnsi="Verdana"/>
          <w:bCs/>
          <w:iCs/>
          <w:sz w:val="18"/>
          <w:szCs w:val="18"/>
        </w:rPr>
        <w:t xml:space="preserve">De </w:t>
      </w:r>
      <w:r w:rsidR="00C207E0">
        <w:rPr>
          <w:rFonts w:ascii="Verdana" w:hAnsi="Verdana"/>
          <w:bCs/>
          <w:iCs/>
          <w:sz w:val="18"/>
          <w:szCs w:val="18"/>
        </w:rPr>
        <w:t xml:space="preserve">recibirse </w:t>
      </w:r>
      <w:r w:rsidR="00C207E0" w:rsidRPr="001B4760">
        <w:rPr>
          <w:rFonts w:ascii="Verdana" w:hAnsi="Verdana"/>
          <w:bCs/>
          <w:iCs/>
          <w:sz w:val="18"/>
          <w:szCs w:val="18"/>
        </w:rPr>
        <w:t>el</w:t>
      </w:r>
      <w:r w:rsidR="008F0B06">
        <w:rPr>
          <w:rFonts w:ascii="Verdana" w:hAnsi="Verdana"/>
          <w:bCs/>
          <w:iCs/>
          <w:sz w:val="18"/>
          <w:szCs w:val="18"/>
        </w:rPr>
        <w:t xml:space="preserve"> complemento dentro del año 2025, habrá de plazo </w:t>
      </w:r>
      <w:r w:rsidR="00955722">
        <w:rPr>
          <w:rFonts w:ascii="Verdana" w:hAnsi="Verdana"/>
          <w:bCs/>
          <w:iCs/>
          <w:sz w:val="18"/>
          <w:szCs w:val="18"/>
        </w:rPr>
        <w:t>e</w:t>
      </w:r>
      <w:r w:rsidR="008F0B06">
        <w:rPr>
          <w:rFonts w:ascii="Verdana" w:hAnsi="Verdana"/>
          <w:bCs/>
          <w:iCs/>
          <w:sz w:val="18"/>
          <w:szCs w:val="18"/>
        </w:rPr>
        <w:t>l</w:t>
      </w:r>
      <w:r w:rsidRPr="001B4760">
        <w:rPr>
          <w:rFonts w:ascii="Verdana" w:hAnsi="Verdana"/>
          <w:bCs/>
          <w:iCs/>
          <w:sz w:val="18"/>
          <w:szCs w:val="18"/>
        </w:rPr>
        <w:t xml:space="preserve"> 30 de junio de 202</w:t>
      </w:r>
      <w:r w:rsidR="008F0B06">
        <w:rPr>
          <w:rFonts w:ascii="Verdana" w:hAnsi="Verdana"/>
          <w:bCs/>
          <w:iCs/>
          <w:sz w:val="18"/>
          <w:szCs w:val="18"/>
        </w:rPr>
        <w:t>6</w:t>
      </w:r>
      <w:r w:rsidRPr="001B4760">
        <w:rPr>
          <w:rFonts w:ascii="Verdana" w:hAnsi="Verdana"/>
          <w:bCs/>
          <w:iCs/>
          <w:sz w:val="18"/>
          <w:szCs w:val="18"/>
        </w:rPr>
        <w:t xml:space="preserve"> para presentar las declaraciones complementarias.</w:t>
      </w:r>
    </w:p>
    <w:p w14:paraId="72E748AB" w14:textId="77777777" w:rsidR="0055261E" w:rsidRPr="001B4760" w:rsidRDefault="0055261E" w:rsidP="0055261E">
      <w:pPr>
        <w:ind w:left="284"/>
        <w:jc w:val="both"/>
        <w:rPr>
          <w:rFonts w:ascii="Verdana" w:hAnsi="Verdana"/>
          <w:bCs/>
          <w:iCs/>
          <w:sz w:val="18"/>
          <w:szCs w:val="18"/>
        </w:rPr>
      </w:pPr>
      <w:r w:rsidRPr="001B4760">
        <w:rPr>
          <w:rFonts w:ascii="Verdana" w:hAnsi="Verdana"/>
          <w:bCs/>
          <w:iCs/>
          <w:sz w:val="18"/>
          <w:szCs w:val="18"/>
        </w:rPr>
        <w:br/>
      </w: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9A12CD" w:rsidRPr="009A12CD" w14:paraId="6494653D" w14:textId="77777777" w:rsidTr="00AB3A42">
        <w:trPr>
          <w:trHeight w:val="484"/>
        </w:trPr>
        <w:tc>
          <w:tcPr>
            <w:tcW w:w="180" w:type="dxa"/>
            <w:shd w:val="clear" w:color="auto" w:fill="FF6600"/>
          </w:tcPr>
          <w:p w14:paraId="27DAF49F" w14:textId="77777777" w:rsidR="009A12CD" w:rsidRPr="009A12CD" w:rsidRDefault="009A12CD" w:rsidP="00AB3A42">
            <w:pPr>
              <w:pStyle w:val="Prrafodelista"/>
              <w:numPr>
                <w:ilvl w:val="0"/>
                <w:numId w:val="24"/>
              </w:numPr>
              <w:rPr>
                <w:rFonts w:ascii="Verdana" w:hAnsi="Verdana"/>
                <w:b/>
                <w:bCs/>
                <w:color w:val="800000"/>
                <w:sz w:val="18"/>
                <w:szCs w:val="18"/>
              </w:rPr>
            </w:pPr>
            <w:bookmarkStart w:id="5" w:name="_Hlk209269970"/>
          </w:p>
        </w:tc>
        <w:tc>
          <w:tcPr>
            <w:tcW w:w="8460" w:type="dxa"/>
          </w:tcPr>
          <w:p w14:paraId="15E746D0" w14:textId="68A9445D" w:rsidR="009A12CD" w:rsidRPr="009A12CD" w:rsidRDefault="009A12CD" w:rsidP="00AB3A42">
            <w:pPr>
              <w:pStyle w:val="Prrafodelista"/>
              <w:numPr>
                <w:ilvl w:val="0"/>
                <w:numId w:val="25"/>
              </w:numPr>
              <w:ind w:left="384" w:hanging="283"/>
              <w:jc w:val="both"/>
              <w:rPr>
                <w:rFonts w:ascii="Verdana" w:hAnsi="Verdana"/>
                <w:b/>
                <w:bCs/>
                <w:color w:val="800000"/>
                <w:sz w:val="18"/>
                <w:szCs w:val="18"/>
              </w:rPr>
            </w:pPr>
            <w:r w:rsidRPr="009A12CD">
              <w:rPr>
                <w:rFonts w:ascii="Verdana" w:hAnsi="Verdana"/>
                <w:b/>
                <w:bCs/>
                <w:color w:val="800000"/>
                <w:sz w:val="18"/>
                <w:szCs w:val="18"/>
              </w:rPr>
              <w:t>IRPF. - TRIBUTACIÓN DE UN INMUEBLE A CAMBIO DE CRIPTOMONEDAS</w:t>
            </w:r>
          </w:p>
        </w:tc>
      </w:tr>
    </w:tbl>
    <w:p w14:paraId="77089764" w14:textId="02A956DA" w:rsidR="009A12CD" w:rsidRDefault="00E24D7F" w:rsidP="00E24D7F">
      <w:pPr>
        <w:ind w:left="284"/>
        <w:jc w:val="both"/>
        <w:rPr>
          <w:rFonts w:ascii="Verdana" w:hAnsi="Verdana"/>
          <w:bCs/>
          <w:iCs/>
          <w:sz w:val="18"/>
          <w:szCs w:val="18"/>
        </w:rPr>
      </w:pPr>
      <w:bookmarkStart w:id="6" w:name="_Hlk209269226"/>
      <w:bookmarkEnd w:id="5"/>
      <w:r>
        <w:rPr>
          <w:rFonts w:ascii="Verdana" w:hAnsi="Verdana"/>
          <w:bCs/>
          <w:iCs/>
          <w:sz w:val="18"/>
          <w:szCs w:val="18"/>
        </w:rPr>
        <w:t xml:space="preserve">La </w:t>
      </w:r>
      <w:r w:rsidRPr="000A3D80">
        <w:rPr>
          <w:rFonts w:ascii="Verdana" w:hAnsi="Verdana"/>
          <w:bCs/>
          <w:iCs/>
          <w:sz w:val="18"/>
          <w:szCs w:val="18"/>
        </w:rPr>
        <w:t>DGT</w:t>
      </w:r>
      <w:r>
        <w:rPr>
          <w:rFonts w:ascii="Verdana" w:hAnsi="Verdana"/>
          <w:bCs/>
          <w:iCs/>
          <w:sz w:val="18"/>
          <w:szCs w:val="18"/>
        </w:rPr>
        <w:t xml:space="preserve"> en su r</w:t>
      </w:r>
      <w:r w:rsidRPr="000A3D80">
        <w:rPr>
          <w:rFonts w:ascii="Verdana" w:hAnsi="Verdana"/>
          <w:bCs/>
          <w:iCs/>
          <w:sz w:val="18"/>
          <w:szCs w:val="18"/>
        </w:rPr>
        <w:t>esolución V0935-25, de 27 de mayo de 2025</w:t>
      </w:r>
      <w:r w:rsidR="00955722">
        <w:rPr>
          <w:rFonts w:ascii="Verdana" w:hAnsi="Verdana"/>
          <w:bCs/>
          <w:iCs/>
          <w:sz w:val="18"/>
          <w:szCs w:val="18"/>
        </w:rPr>
        <w:t>, ha concluido que l</w:t>
      </w:r>
      <w:r w:rsidR="009A12CD" w:rsidRPr="009A12CD">
        <w:rPr>
          <w:rFonts w:ascii="Verdana" w:hAnsi="Verdana"/>
          <w:bCs/>
          <w:iCs/>
          <w:sz w:val="18"/>
          <w:szCs w:val="18"/>
        </w:rPr>
        <w:t>a venta de un inmueble a cambio de criptomonedas tributa como permuta en el IRPF</w:t>
      </w:r>
      <w:bookmarkEnd w:id="6"/>
      <w:r>
        <w:rPr>
          <w:rFonts w:ascii="Verdana" w:hAnsi="Verdana"/>
          <w:bCs/>
          <w:iCs/>
          <w:sz w:val="18"/>
          <w:szCs w:val="18"/>
        </w:rPr>
        <w:t>.</w:t>
      </w:r>
    </w:p>
    <w:p w14:paraId="3ADC568F" w14:textId="77777777" w:rsidR="00E24D7F" w:rsidRPr="009A12CD" w:rsidRDefault="00E24D7F" w:rsidP="00E24D7F">
      <w:pPr>
        <w:ind w:left="284"/>
        <w:jc w:val="both"/>
        <w:rPr>
          <w:rFonts w:ascii="Verdana" w:hAnsi="Verdana"/>
          <w:bCs/>
          <w:iCs/>
          <w:sz w:val="18"/>
          <w:szCs w:val="18"/>
        </w:rPr>
      </w:pPr>
    </w:p>
    <w:p w14:paraId="1FA4E013" w14:textId="71532495" w:rsidR="009A12CD" w:rsidRDefault="00E24D7F" w:rsidP="009A12CD">
      <w:pPr>
        <w:ind w:left="284"/>
        <w:jc w:val="both"/>
        <w:rPr>
          <w:rFonts w:ascii="Verdana" w:hAnsi="Verdana"/>
          <w:bCs/>
          <w:iCs/>
          <w:sz w:val="18"/>
          <w:szCs w:val="18"/>
        </w:rPr>
      </w:pPr>
      <w:r>
        <w:rPr>
          <w:rFonts w:ascii="Verdana" w:hAnsi="Verdana"/>
          <w:bCs/>
          <w:iCs/>
          <w:sz w:val="18"/>
          <w:szCs w:val="18"/>
        </w:rPr>
        <w:t xml:space="preserve">De este modo, </w:t>
      </w:r>
      <w:r w:rsidRPr="002E1A5C">
        <w:rPr>
          <w:rFonts w:ascii="Verdana" w:hAnsi="Verdana"/>
          <w:b/>
          <w:iCs/>
          <w:sz w:val="18"/>
          <w:szCs w:val="18"/>
        </w:rPr>
        <w:t>l</w:t>
      </w:r>
      <w:r w:rsidR="009A12CD" w:rsidRPr="002E1A5C">
        <w:rPr>
          <w:rFonts w:ascii="Verdana" w:hAnsi="Verdana"/>
          <w:b/>
          <w:iCs/>
          <w:sz w:val="18"/>
          <w:szCs w:val="18"/>
        </w:rPr>
        <w:t>a venta de un inmueble a cambio de bitcoins es, según la DGT, una permuta</w:t>
      </w:r>
      <w:r w:rsidR="009A12CD" w:rsidRPr="000A3D80">
        <w:rPr>
          <w:rFonts w:ascii="Verdana" w:hAnsi="Verdana"/>
          <w:bCs/>
          <w:iCs/>
          <w:sz w:val="18"/>
          <w:szCs w:val="18"/>
        </w:rPr>
        <w:t xml:space="preserve">. Esta operación genera una alteración patrimonial por la diferencia entre el valor de adquisición del inmueble y el mayor entre el valor de mercado del inmueble entregado y el de las criptomonedas recibidas, que se integrará en la base del ahorro. Además, la operación estará sujeta al </w:t>
      </w:r>
      <w:proofErr w:type="spellStart"/>
      <w:r w:rsidR="009A12CD" w:rsidRPr="000A3D80">
        <w:rPr>
          <w:rFonts w:ascii="Verdana" w:hAnsi="Verdana"/>
          <w:bCs/>
          <w:iCs/>
          <w:sz w:val="18"/>
          <w:szCs w:val="18"/>
        </w:rPr>
        <w:t>ITPyAJD</w:t>
      </w:r>
      <w:proofErr w:type="spellEnd"/>
      <w:r w:rsidR="009A12CD" w:rsidRPr="000A3D80">
        <w:rPr>
          <w:rFonts w:ascii="Verdana" w:hAnsi="Verdana"/>
          <w:bCs/>
          <w:iCs/>
          <w:sz w:val="18"/>
          <w:szCs w:val="18"/>
        </w:rPr>
        <w:t xml:space="preserve"> en la modalidad de </w:t>
      </w:r>
      <w:r w:rsidR="007C7D58">
        <w:rPr>
          <w:rFonts w:ascii="Verdana" w:hAnsi="Verdana"/>
          <w:bCs/>
          <w:iCs/>
          <w:sz w:val="18"/>
          <w:szCs w:val="18"/>
        </w:rPr>
        <w:t>Tr</w:t>
      </w:r>
      <w:r w:rsidR="009A12CD" w:rsidRPr="000A3D80">
        <w:rPr>
          <w:rFonts w:ascii="Verdana" w:hAnsi="Verdana"/>
          <w:bCs/>
          <w:iCs/>
          <w:sz w:val="18"/>
          <w:szCs w:val="18"/>
        </w:rPr>
        <w:t xml:space="preserve">ansmisiones </w:t>
      </w:r>
      <w:r w:rsidR="007C7D58">
        <w:rPr>
          <w:rFonts w:ascii="Verdana" w:hAnsi="Verdana"/>
          <w:bCs/>
          <w:iCs/>
          <w:sz w:val="18"/>
          <w:szCs w:val="18"/>
        </w:rPr>
        <w:t>P</w:t>
      </w:r>
      <w:r w:rsidR="009A12CD" w:rsidRPr="000A3D80">
        <w:rPr>
          <w:rFonts w:ascii="Verdana" w:hAnsi="Verdana"/>
          <w:bCs/>
          <w:iCs/>
          <w:sz w:val="18"/>
          <w:szCs w:val="18"/>
        </w:rPr>
        <w:t xml:space="preserve">atrimoniales </w:t>
      </w:r>
      <w:r w:rsidR="008F0B06">
        <w:rPr>
          <w:rFonts w:ascii="Verdana" w:hAnsi="Verdana"/>
          <w:bCs/>
          <w:iCs/>
          <w:sz w:val="18"/>
          <w:szCs w:val="18"/>
        </w:rPr>
        <w:t>O</w:t>
      </w:r>
      <w:r w:rsidR="009A12CD" w:rsidRPr="000A3D80">
        <w:rPr>
          <w:rFonts w:ascii="Verdana" w:hAnsi="Verdana"/>
          <w:bCs/>
          <w:iCs/>
          <w:sz w:val="18"/>
          <w:szCs w:val="18"/>
        </w:rPr>
        <w:t>nerosas, dado que el transmitente no actúa como empresario o profesional en el ejercicio de una actividad económica, siendo la base imponible el valor de mercado (o el mayor entre este, el declarado o el pactado), y aplicando el tipo de gravamen para bienes muebles aprobado por la comunidad autónoma correspondiente</w:t>
      </w:r>
      <w:r w:rsidR="00955722">
        <w:rPr>
          <w:rFonts w:ascii="Verdana" w:hAnsi="Verdana"/>
          <w:bCs/>
          <w:iCs/>
          <w:sz w:val="18"/>
          <w:szCs w:val="18"/>
        </w:rPr>
        <w:t>.</w:t>
      </w:r>
    </w:p>
    <w:p w14:paraId="59E3FBF2" w14:textId="77777777" w:rsidR="001B4760" w:rsidRDefault="001B4760" w:rsidP="003464F1">
      <w:pPr>
        <w:ind w:left="284"/>
        <w:jc w:val="both"/>
        <w:rPr>
          <w:rFonts w:ascii="Verdana" w:hAnsi="Verdana"/>
          <w:bCs/>
          <w:iCs/>
          <w:sz w:val="18"/>
          <w:szCs w:val="18"/>
        </w:rPr>
      </w:pPr>
    </w:p>
    <w:p w14:paraId="7136876B" w14:textId="77777777" w:rsidR="001B4760" w:rsidRDefault="001B4760" w:rsidP="003464F1">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24D7F" w:rsidRPr="009572B9" w14:paraId="66C14EA8" w14:textId="77777777" w:rsidTr="00AB3A42">
        <w:trPr>
          <w:trHeight w:val="484"/>
        </w:trPr>
        <w:tc>
          <w:tcPr>
            <w:tcW w:w="180" w:type="dxa"/>
            <w:shd w:val="clear" w:color="auto" w:fill="FF6600"/>
          </w:tcPr>
          <w:p w14:paraId="29E8A750" w14:textId="77777777" w:rsidR="00E24D7F" w:rsidRPr="009572B9" w:rsidRDefault="00E24D7F" w:rsidP="00AB3A42">
            <w:pPr>
              <w:pStyle w:val="Prrafodelista"/>
              <w:numPr>
                <w:ilvl w:val="0"/>
                <w:numId w:val="24"/>
              </w:numPr>
              <w:rPr>
                <w:rFonts w:ascii="Verdana" w:hAnsi="Verdana"/>
                <w:b/>
                <w:bCs/>
                <w:color w:val="800000"/>
                <w:sz w:val="18"/>
                <w:szCs w:val="18"/>
              </w:rPr>
            </w:pPr>
            <w:bookmarkStart w:id="7" w:name="_Hlk209611728"/>
          </w:p>
        </w:tc>
        <w:tc>
          <w:tcPr>
            <w:tcW w:w="8460" w:type="dxa"/>
          </w:tcPr>
          <w:p w14:paraId="5D6780B4" w14:textId="53FA64B1" w:rsidR="00E24D7F" w:rsidRPr="009572B9" w:rsidRDefault="00E24D7F" w:rsidP="00AB3A42">
            <w:pPr>
              <w:pStyle w:val="Prrafodelista"/>
              <w:numPr>
                <w:ilvl w:val="0"/>
                <w:numId w:val="25"/>
              </w:numPr>
              <w:ind w:left="384" w:hanging="283"/>
              <w:jc w:val="both"/>
              <w:rPr>
                <w:rFonts w:ascii="Verdana" w:hAnsi="Verdana"/>
                <w:b/>
                <w:bCs/>
                <w:color w:val="800000"/>
                <w:sz w:val="18"/>
                <w:szCs w:val="18"/>
              </w:rPr>
            </w:pPr>
            <w:r w:rsidRPr="009572B9">
              <w:rPr>
                <w:rFonts w:ascii="Verdana" w:hAnsi="Verdana"/>
                <w:b/>
                <w:bCs/>
                <w:color w:val="800000"/>
                <w:sz w:val="18"/>
                <w:szCs w:val="18"/>
              </w:rPr>
              <w:t>IRPF. - MODIFICADO EL PROCEDIMIENTO DE DEVOLUCIÓN A MUTUALISTAS Y OTROS CAMBIOS AL RESPECTO EN LA NORMATIVA DEL IRPF</w:t>
            </w:r>
          </w:p>
        </w:tc>
      </w:tr>
    </w:tbl>
    <w:bookmarkEnd w:id="7"/>
    <w:p w14:paraId="20E6003D" w14:textId="2ADC209A" w:rsidR="001B4760" w:rsidRDefault="00E24D7F" w:rsidP="003464F1">
      <w:pPr>
        <w:ind w:left="284"/>
        <w:jc w:val="both"/>
        <w:rPr>
          <w:rFonts w:ascii="Verdana" w:hAnsi="Verdana"/>
          <w:bCs/>
          <w:iCs/>
          <w:sz w:val="18"/>
          <w:szCs w:val="18"/>
        </w:rPr>
      </w:pPr>
      <w:r>
        <w:rPr>
          <w:rFonts w:ascii="Verdana" w:hAnsi="Verdana"/>
          <w:bCs/>
          <w:iCs/>
          <w:sz w:val="18"/>
          <w:szCs w:val="18"/>
        </w:rPr>
        <w:t xml:space="preserve">La Ley 5/2025 de 24 de julio, publicada en el BOE del pasado </w:t>
      </w:r>
      <w:r w:rsidR="009572B9">
        <w:rPr>
          <w:rFonts w:ascii="Verdana" w:hAnsi="Verdana"/>
          <w:bCs/>
          <w:iCs/>
          <w:sz w:val="18"/>
          <w:szCs w:val="18"/>
        </w:rPr>
        <w:t xml:space="preserve">25 de julio, </w:t>
      </w:r>
      <w:r w:rsidR="009572B9" w:rsidRPr="000A3D80">
        <w:rPr>
          <w:rFonts w:ascii="Verdana" w:hAnsi="Verdana"/>
          <w:b/>
          <w:iCs/>
          <w:sz w:val="18"/>
          <w:szCs w:val="18"/>
        </w:rPr>
        <w:t xml:space="preserve">ha </w:t>
      </w:r>
      <w:bookmarkStart w:id="8" w:name="_Hlk209269722"/>
      <w:r w:rsidR="009572B9" w:rsidRPr="000A3D80">
        <w:rPr>
          <w:rFonts w:ascii="Verdana" w:hAnsi="Verdana"/>
          <w:b/>
          <w:iCs/>
          <w:sz w:val="18"/>
          <w:szCs w:val="18"/>
        </w:rPr>
        <w:t>modificado el procedimient</w:t>
      </w:r>
      <w:r w:rsidR="009572B9" w:rsidRPr="007C7D58">
        <w:rPr>
          <w:rFonts w:ascii="Verdana" w:hAnsi="Verdana"/>
          <w:b/>
          <w:iCs/>
          <w:sz w:val="18"/>
          <w:szCs w:val="18"/>
        </w:rPr>
        <w:t>o</w:t>
      </w:r>
      <w:r w:rsidR="009572B9" w:rsidRPr="000A3D80">
        <w:rPr>
          <w:rFonts w:ascii="Verdana" w:hAnsi="Verdana"/>
          <w:bCs/>
          <w:iCs/>
          <w:sz w:val="18"/>
          <w:szCs w:val="18"/>
        </w:rPr>
        <w:t xml:space="preserve"> de devolución a mutualistas e introducido otros cambios al respecto en la normativa del IRPF</w:t>
      </w:r>
      <w:bookmarkEnd w:id="8"/>
      <w:r w:rsidR="009572B9">
        <w:rPr>
          <w:rFonts w:ascii="Verdana" w:hAnsi="Verdana"/>
          <w:bCs/>
          <w:iCs/>
          <w:sz w:val="18"/>
          <w:szCs w:val="18"/>
        </w:rPr>
        <w:t>.</w:t>
      </w:r>
    </w:p>
    <w:p w14:paraId="270BC15B" w14:textId="77777777" w:rsidR="009572B9" w:rsidRDefault="009572B9" w:rsidP="003464F1">
      <w:pPr>
        <w:ind w:left="284"/>
        <w:jc w:val="both"/>
        <w:rPr>
          <w:rFonts w:ascii="Verdana" w:hAnsi="Verdana"/>
          <w:bCs/>
          <w:iCs/>
          <w:sz w:val="18"/>
          <w:szCs w:val="18"/>
        </w:rPr>
      </w:pPr>
    </w:p>
    <w:p w14:paraId="061E6956" w14:textId="7A58E057" w:rsidR="009572B9" w:rsidRDefault="009572B9" w:rsidP="003464F1">
      <w:pPr>
        <w:ind w:left="284"/>
        <w:jc w:val="both"/>
        <w:rPr>
          <w:rFonts w:ascii="Verdana" w:hAnsi="Verdana"/>
          <w:bCs/>
          <w:iCs/>
          <w:sz w:val="18"/>
          <w:szCs w:val="18"/>
        </w:rPr>
      </w:pPr>
      <w:r>
        <w:rPr>
          <w:rFonts w:ascii="Verdana" w:hAnsi="Verdana"/>
          <w:bCs/>
          <w:iCs/>
          <w:sz w:val="18"/>
          <w:szCs w:val="18"/>
        </w:rPr>
        <w:t>E</w:t>
      </w:r>
      <w:r w:rsidRPr="000A3D80">
        <w:rPr>
          <w:rFonts w:ascii="Verdana" w:hAnsi="Verdana"/>
          <w:bCs/>
          <w:iCs/>
          <w:sz w:val="18"/>
          <w:szCs w:val="18"/>
        </w:rPr>
        <w:t xml:space="preserve">n relación con la tramitación a seguir por la Agencia Tributaria para determinar la procedencia y, en su caso, practicar las devoluciones a mutualistas derivadas de la jurisprudencia establecida por el Tribunal Supremo (entre otras, en su sentencia de 25 de abril de 2023 respecto de los periodos impositivos 2019 y anteriores no </w:t>
      </w:r>
      <w:r w:rsidR="002E1A5C" w:rsidRPr="000A3D80">
        <w:rPr>
          <w:rFonts w:ascii="Verdana" w:hAnsi="Verdana"/>
          <w:bCs/>
          <w:iCs/>
          <w:sz w:val="18"/>
          <w:szCs w:val="18"/>
        </w:rPr>
        <w:t>prescritos,</w:t>
      </w:r>
      <w:r w:rsidRPr="000A3D80">
        <w:rPr>
          <w:rFonts w:ascii="Verdana" w:hAnsi="Verdana"/>
          <w:bCs/>
          <w:iCs/>
          <w:sz w:val="18"/>
          <w:szCs w:val="18"/>
        </w:rPr>
        <w:t xml:space="preserve"> así como 2020 a 2022</w:t>
      </w:r>
      <w:r w:rsidR="00C207E0">
        <w:rPr>
          <w:rFonts w:ascii="Verdana" w:hAnsi="Verdana"/>
          <w:bCs/>
          <w:iCs/>
          <w:sz w:val="18"/>
          <w:szCs w:val="18"/>
        </w:rPr>
        <w:t>)</w:t>
      </w:r>
      <w:r w:rsidRPr="000A3D80">
        <w:rPr>
          <w:rFonts w:ascii="Verdana" w:hAnsi="Verdana"/>
          <w:bCs/>
          <w:iCs/>
          <w:sz w:val="18"/>
          <w:szCs w:val="18"/>
        </w:rPr>
        <w:t xml:space="preserve">. </w:t>
      </w:r>
    </w:p>
    <w:p w14:paraId="59736420" w14:textId="77777777" w:rsidR="009572B9" w:rsidRDefault="009572B9" w:rsidP="003464F1">
      <w:pPr>
        <w:ind w:left="284"/>
        <w:jc w:val="both"/>
        <w:rPr>
          <w:rFonts w:ascii="Verdana" w:hAnsi="Verdana"/>
          <w:bCs/>
          <w:iCs/>
          <w:sz w:val="18"/>
          <w:szCs w:val="18"/>
        </w:rPr>
      </w:pPr>
    </w:p>
    <w:p w14:paraId="1627AC46" w14:textId="339758E9" w:rsidR="009572B9" w:rsidRDefault="009572B9" w:rsidP="003464F1">
      <w:pPr>
        <w:ind w:left="284"/>
        <w:jc w:val="both"/>
        <w:rPr>
          <w:rFonts w:ascii="Verdana" w:hAnsi="Verdana"/>
          <w:bCs/>
          <w:iCs/>
          <w:sz w:val="18"/>
          <w:szCs w:val="18"/>
        </w:rPr>
      </w:pPr>
      <w:r w:rsidRPr="000A3D80">
        <w:rPr>
          <w:rFonts w:ascii="Verdana" w:hAnsi="Verdana"/>
          <w:bCs/>
          <w:iCs/>
          <w:sz w:val="18"/>
          <w:szCs w:val="18"/>
        </w:rPr>
        <w:t xml:space="preserve">Además, </w:t>
      </w:r>
      <w:r w:rsidRPr="008F0B06">
        <w:rPr>
          <w:rFonts w:ascii="Verdana" w:hAnsi="Verdana"/>
          <w:b/>
          <w:iCs/>
          <w:sz w:val="18"/>
          <w:szCs w:val="18"/>
        </w:rPr>
        <w:t>se introducen otras modificaciones en el IRPF</w:t>
      </w:r>
      <w:r>
        <w:rPr>
          <w:rFonts w:ascii="Verdana" w:hAnsi="Verdana"/>
          <w:bCs/>
          <w:iCs/>
          <w:sz w:val="18"/>
          <w:szCs w:val="18"/>
        </w:rPr>
        <w:t>:</w:t>
      </w:r>
      <w:r w:rsidRPr="000A3D80">
        <w:rPr>
          <w:rFonts w:ascii="Verdana" w:hAnsi="Verdana"/>
          <w:bCs/>
          <w:iCs/>
          <w:sz w:val="18"/>
          <w:szCs w:val="18"/>
        </w:rPr>
        <w:t xml:space="preserve"> </w:t>
      </w:r>
    </w:p>
    <w:p w14:paraId="570F4649" w14:textId="77777777" w:rsidR="001B4760" w:rsidRDefault="001B4760" w:rsidP="003464F1">
      <w:pPr>
        <w:ind w:left="284"/>
        <w:jc w:val="both"/>
        <w:rPr>
          <w:rFonts w:ascii="Verdana" w:hAnsi="Verdana"/>
          <w:bCs/>
          <w:iCs/>
          <w:sz w:val="18"/>
          <w:szCs w:val="18"/>
        </w:rPr>
      </w:pPr>
    </w:p>
    <w:p w14:paraId="5721CAB0" w14:textId="1C599777" w:rsidR="001B4760" w:rsidRDefault="009572B9" w:rsidP="00422E6D">
      <w:pPr>
        <w:pStyle w:val="Prrafodelista"/>
        <w:numPr>
          <w:ilvl w:val="0"/>
          <w:numId w:val="33"/>
        </w:numPr>
        <w:jc w:val="both"/>
        <w:rPr>
          <w:rFonts w:ascii="Verdana" w:hAnsi="Verdana"/>
          <w:bCs/>
          <w:iCs/>
          <w:sz w:val="18"/>
          <w:szCs w:val="18"/>
        </w:rPr>
      </w:pPr>
      <w:r>
        <w:rPr>
          <w:rFonts w:ascii="Verdana" w:hAnsi="Verdana"/>
          <w:bCs/>
          <w:iCs/>
          <w:sz w:val="18"/>
          <w:szCs w:val="18"/>
        </w:rPr>
        <w:t xml:space="preserve">Se clarifica </w:t>
      </w:r>
      <w:r w:rsidRPr="009572B9">
        <w:rPr>
          <w:rFonts w:ascii="Verdana" w:hAnsi="Verdana"/>
          <w:bCs/>
          <w:iCs/>
          <w:sz w:val="18"/>
          <w:szCs w:val="18"/>
        </w:rPr>
        <w:t>que están exentas todas las indemnizaciones pagadas por daños a las personas derivados de hechos de la circulación en el caso de que sean pagadas por el Consorcio de Compensación de Seguros y</w:t>
      </w:r>
    </w:p>
    <w:p w14:paraId="49AA793B" w14:textId="77777777" w:rsidR="00422E6D" w:rsidRPr="009572B9" w:rsidRDefault="00422E6D" w:rsidP="00422E6D">
      <w:pPr>
        <w:pStyle w:val="Prrafodelista"/>
        <w:ind w:left="1004"/>
        <w:jc w:val="both"/>
        <w:rPr>
          <w:rFonts w:ascii="Verdana" w:hAnsi="Verdana"/>
          <w:bCs/>
          <w:iCs/>
          <w:sz w:val="18"/>
          <w:szCs w:val="18"/>
        </w:rPr>
      </w:pPr>
    </w:p>
    <w:p w14:paraId="139EFE5E" w14:textId="22D76377" w:rsidR="009572B9" w:rsidRDefault="009572B9" w:rsidP="00422E6D">
      <w:pPr>
        <w:pStyle w:val="Prrafodelista"/>
        <w:numPr>
          <w:ilvl w:val="0"/>
          <w:numId w:val="33"/>
        </w:numPr>
        <w:jc w:val="both"/>
        <w:rPr>
          <w:rFonts w:ascii="Verdana" w:hAnsi="Verdana"/>
          <w:bCs/>
          <w:iCs/>
          <w:sz w:val="18"/>
          <w:szCs w:val="18"/>
        </w:rPr>
      </w:pPr>
      <w:r>
        <w:rPr>
          <w:rFonts w:ascii="Verdana" w:hAnsi="Verdana"/>
          <w:bCs/>
          <w:iCs/>
          <w:sz w:val="18"/>
          <w:szCs w:val="18"/>
        </w:rPr>
        <w:t>Se crea</w:t>
      </w:r>
      <w:r w:rsidRPr="000A3D80">
        <w:rPr>
          <w:rFonts w:ascii="Verdana" w:hAnsi="Verdana"/>
          <w:bCs/>
          <w:iCs/>
          <w:sz w:val="18"/>
          <w:szCs w:val="18"/>
        </w:rPr>
        <w:t xml:space="preserve"> una deducción por obtención de rendimientos del trabajo inferiores a 18.276 euros anuales, siempre que no se obtengan rentas, excluidas las exentas, distintas de las del trabajo, superiores a 6.500 euros.</w:t>
      </w:r>
    </w:p>
    <w:p w14:paraId="5920DA7F" w14:textId="77777777" w:rsidR="00F86EEB" w:rsidRDefault="00F86EEB" w:rsidP="00F86EEB">
      <w:pPr>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86EEB" w:rsidRPr="00F86EEB" w14:paraId="05006567" w14:textId="77777777" w:rsidTr="002B4781">
        <w:trPr>
          <w:trHeight w:val="484"/>
        </w:trPr>
        <w:tc>
          <w:tcPr>
            <w:tcW w:w="180" w:type="dxa"/>
            <w:shd w:val="clear" w:color="auto" w:fill="FF6600"/>
          </w:tcPr>
          <w:p w14:paraId="777F077E" w14:textId="77777777" w:rsidR="00F86EEB" w:rsidRPr="00F86EEB" w:rsidRDefault="00F86EEB" w:rsidP="002B4781">
            <w:pPr>
              <w:pStyle w:val="Prrafodelista"/>
              <w:numPr>
                <w:ilvl w:val="0"/>
                <w:numId w:val="24"/>
              </w:numPr>
              <w:rPr>
                <w:rFonts w:ascii="Verdana" w:hAnsi="Verdana"/>
                <w:b/>
                <w:bCs/>
                <w:color w:val="800000"/>
                <w:sz w:val="18"/>
                <w:szCs w:val="18"/>
              </w:rPr>
            </w:pPr>
          </w:p>
        </w:tc>
        <w:tc>
          <w:tcPr>
            <w:tcW w:w="8460" w:type="dxa"/>
          </w:tcPr>
          <w:p w14:paraId="5F4F6C73" w14:textId="64A698BE" w:rsidR="00F86EEB" w:rsidRPr="00F86EEB" w:rsidRDefault="00F86EEB" w:rsidP="002B4781">
            <w:pPr>
              <w:pStyle w:val="Prrafodelista"/>
              <w:numPr>
                <w:ilvl w:val="0"/>
                <w:numId w:val="25"/>
              </w:numPr>
              <w:ind w:left="384" w:hanging="283"/>
              <w:jc w:val="both"/>
              <w:rPr>
                <w:rFonts w:ascii="Verdana" w:hAnsi="Verdana"/>
                <w:b/>
                <w:bCs/>
                <w:color w:val="800000"/>
                <w:sz w:val="18"/>
                <w:szCs w:val="18"/>
              </w:rPr>
            </w:pPr>
            <w:r w:rsidRPr="00F86EEB">
              <w:rPr>
                <w:rFonts w:ascii="Verdana" w:hAnsi="Verdana"/>
                <w:b/>
                <w:bCs/>
                <w:color w:val="800000"/>
                <w:sz w:val="18"/>
                <w:szCs w:val="18"/>
              </w:rPr>
              <w:t>IRPF. – DEDUCIBILIDAD DE LOS GASTOS DERIVADOS DE UTILIZACIÓN DE REDES SOCIALES</w:t>
            </w:r>
          </w:p>
        </w:tc>
      </w:tr>
    </w:tbl>
    <w:p w14:paraId="23D035FC" w14:textId="77777777" w:rsidR="00F86EEB" w:rsidRPr="00F86EEB" w:rsidRDefault="00F86EEB" w:rsidP="00F86EEB">
      <w:pPr>
        <w:jc w:val="both"/>
        <w:rPr>
          <w:rFonts w:ascii="Verdana" w:hAnsi="Verdana"/>
          <w:bCs/>
          <w:iCs/>
          <w:sz w:val="18"/>
          <w:szCs w:val="18"/>
        </w:rPr>
      </w:pPr>
    </w:p>
    <w:p w14:paraId="437B2CEA" w14:textId="2827B6BA" w:rsidR="00F86EEB" w:rsidRPr="00F86EEB" w:rsidRDefault="00F86EEB" w:rsidP="00F86EEB">
      <w:pPr>
        <w:ind w:left="426"/>
        <w:jc w:val="both"/>
        <w:rPr>
          <w:rFonts w:ascii="Verdana" w:hAnsi="Verdana"/>
          <w:bCs/>
          <w:iCs/>
          <w:sz w:val="18"/>
          <w:szCs w:val="18"/>
        </w:rPr>
      </w:pPr>
      <w:r>
        <w:rPr>
          <w:rFonts w:ascii="Verdana" w:hAnsi="Verdana"/>
          <w:bCs/>
          <w:iCs/>
          <w:sz w:val="18"/>
          <w:szCs w:val="18"/>
        </w:rPr>
        <w:t>La DGT en su consulta vinculante V1138-25, de 30 de junio de 2025, da respuesta a una consulta formulada por u</w:t>
      </w:r>
      <w:r w:rsidRPr="00F86EEB">
        <w:rPr>
          <w:rFonts w:ascii="Verdana" w:hAnsi="Verdana"/>
          <w:bCs/>
          <w:iCs/>
          <w:sz w:val="18"/>
          <w:szCs w:val="18"/>
        </w:rPr>
        <w:t xml:space="preserve">na profesional autónoma, titular de un centro maternal de preparación al parto, </w:t>
      </w:r>
      <w:r>
        <w:rPr>
          <w:rFonts w:ascii="Verdana" w:hAnsi="Verdana"/>
          <w:bCs/>
          <w:iCs/>
          <w:sz w:val="18"/>
          <w:szCs w:val="18"/>
        </w:rPr>
        <w:t xml:space="preserve">acerca de </w:t>
      </w:r>
      <w:r w:rsidRPr="00F86EEB">
        <w:rPr>
          <w:rFonts w:ascii="Verdana" w:hAnsi="Verdana"/>
          <w:bCs/>
          <w:iCs/>
          <w:sz w:val="18"/>
          <w:szCs w:val="18"/>
        </w:rPr>
        <w:t>si los gastos derivados de la utilización de redes sociales como medio de comunicación y publicidad pueden considerarse fiscalmente deducibles en el IRPF</w:t>
      </w:r>
      <w:r>
        <w:rPr>
          <w:rFonts w:ascii="Verdana" w:hAnsi="Verdana"/>
          <w:b/>
          <w:bCs/>
          <w:iCs/>
          <w:sz w:val="18"/>
          <w:szCs w:val="18"/>
        </w:rPr>
        <w:t>.</w:t>
      </w:r>
    </w:p>
    <w:p w14:paraId="6776EEB7" w14:textId="77777777" w:rsidR="00F86EEB" w:rsidRDefault="00F86EEB" w:rsidP="00F86EEB">
      <w:pPr>
        <w:ind w:left="426"/>
        <w:jc w:val="both"/>
        <w:rPr>
          <w:rFonts w:ascii="Verdana" w:hAnsi="Verdana"/>
          <w:bCs/>
          <w:iCs/>
          <w:sz w:val="18"/>
          <w:szCs w:val="18"/>
        </w:rPr>
      </w:pPr>
      <w:r w:rsidRPr="00F86EEB">
        <w:rPr>
          <w:rFonts w:ascii="Verdana" w:hAnsi="Verdana"/>
          <w:bCs/>
          <w:iCs/>
          <w:sz w:val="18"/>
          <w:szCs w:val="18"/>
        </w:rPr>
        <w:t>La normativa aplicable (art. 28.1 LIRPF en conexión con el art. 10.3 LIS) establece que los rendimientos netos de actividades económicas en el régimen de </w:t>
      </w:r>
      <w:r w:rsidRPr="00F86EEB">
        <w:rPr>
          <w:rFonts w:ascii="Verdana" w:hAnsi="Verdana"/>
          <w:b/>
          <w:bCs/>
          <w:iCs/>
          <w:sz w:val="18"/>
          <w:szCs w:val="18"/>
        </w:rPr>
        <w:t>estimación directa</w:t>
      </w:r>
      <w:r w:rsidRPr="00F86EEB">
        <w:rPr>
          <w:rFonts w:ascii="Verdana" w:hAnsi="Verdana"/>
          <w:bCs/>
          <w:iCs/>
          <w:sz w:val="18"/>
          <w:szCs w:val="18"/>
        </w:rPr>
        <w:t> se determinan aplicando las reglas del Impuesto sobre Sociedades. Esto implica que los gastos solo serán deducibles si cumplen con el </w:t>
      </w:r>
      <w:r w:rsidRPr="00F86EEB">
        <w:rPr>
          <w:rFonts w:ascii="Verdana" w:hAnsi="Verdana"/>
          <w:b/>
          <w:bCs/>
          <w:iCs/>
          <w:sz w:val="18"/>
          <w:szCs w:val="18"/>
        </w:rPr>
        <w:t>principio de correlación con los ingresos</w:t>
      </w:r>
      <w:r w:rsidRPr="00F86EEB">
        <w:rPr>
          <w:rFonts w:ascii="Verdana" w:hAnsi="Verdana"/>
          <w:bCs/>
          <w:iCs/>
          <w:sz w:val="18"/>
          <w:szCs w:val="18"/>
        </w:rPr>
        <w:t>, es decir, cuando exista una relación directa entre el gasto y la obtención de ingresos de la actividad.</w:t>
      </w:r>
    </w:p>
    <w:p w14:paraId="1A4EC5A5" w14:textId="77777777" w:rsidR="00F86EEB" w:rsidRPr="00F86EEB" w:rsidRDefault="00F86EEB" w:rsidP="00F86EEB">
      <w:pPr>
        <w:ind w:left="426"/>
        <w:jc w:val="both"/>
        <w:rPr>
          <w:rFonts w:ascii="Verdana" w:hAnsi="Verdana"/>
          <w:bCs/>
          <w:iCs/>
          <w:sz w:val="18"/>
          <w:szCs w:val="18"/>
        </w:rPr>
      </w:pPr>
    </w:p>
    <w:p w14:paraId="58B0C263" w14:textId="77777777" w:rsidR="00F86EEB" w:rsidRDefault="00F86EEB" w:rsidP="00F86EEB">
      <w:pPr>
        <w:ind w:left="426"/>
        <w:jc w:val="both"/>
        <w:rPr>
          <w:rFonts w:ascii="Verdana" w:hAnsi="Verdana"/>
          <w:bCs/>
          <w:iCs/>
          <w:sz w:val="18"/>
          <w:szCs w:val="18"/>
        </w:rPr>
      </w:pPr>
      <w:r w:rsidRPr="00F86EEB">
        <w:rPr>
          <w:rFonts w:ascii="Verdana" w:hAnsi="Verdana"/>
          <w:bCs/>
          <w:iCs/>
          <w:sz w:val="18"/>
          <w:szCs w:val="18"/>
        </w:rPr>
        <w:t>En este sentido, los gastos de publicidad en redes sociales serán deducibles si se acredita su vinculación con la promoción del negocio y la captación de clientes. No obstante, la comprobación de esta correlación es una </w:t>
      </w:r>
      <w:r w:rsidRPr="00F86EEB">
        <w:rPr>
          <w:rFonts w:ascii="Verdana" w:hAnsi="Verdana"/>
          <w:b/>
          <w:bCs/>
          <w:iCs/>
          <w:sz w:val="18"/>
          <w:szCs w:val="18"/>
        </w:rPr>
        <w:t>cuestión fáctica</w:t>
      </w:r>
      <w:r w:rsidRPr="00F86EEB">
        <w:rPr>
          <w:rFonts w:ascii="Verdana" w:hAnsi="Verdana"/>
          <w:bCs/>
          <w:iCs/>
          <w:sz w:val="18"/>
          <w:szCs w:val="18"/>
        </w:rPr>
        <w:t> que corresponde verificar a los órganos de gestión e inspección tributaria, no a la Dirección General de Tributos.</w:t>
      </w:r>
    </w:p>
    <w:p w14:paraId="51D96D46" w14:textId="77777777" w:rsidR="00F86EEB" w:rsidRPr="00F86EEB" w:rsidRDefault="00F86EEB" w:rsidP="00F86EEB">
      <w:pPr>
        <w:ind w:left="426"/>
        <w:jc w:val="both"/>
        <w:rPr>
          <w:rFonts w:ascii="Verdana" w:hAnsi="Verdana"/>
          <w:bCs/>
          <w:iCs/>
          <w:sz w:val="18"/>
          <w:szCs w:val="18"/>
        </w:rPr>
      </w:pPr>
    </w:p>
    <w:p w14:paraId="101E3CFD" w14:textId="77777777" w:rsidR="00F86EEB" w:rsidRDefault="00F86EEB" w:rsidP="00F86EEB">
      <w:pPr>
        <w:ind w:left="426"/>
        <w:jc w:val="both"/>
        <w:rPr>
          <w:rFonts w:ascii="Verdana" w:hAnsi="Verdana"/>
          <w:bCs/>
          <w:iCs/>
          <w:sz w:val="18"/>
          <w:szCs w:val="18"/>
        </w:rPr>
      </w:pPr>
      <w:r w:rsidRPr="00F86EEB">
        <w:rPr>
          <w:rFonts w:ascii="Verdana" w:hAnsi="Verdana"/>
          <w:bCs/>
          <w:iCs/>
          <w:sz w:val="18"/>
          <w:szCs w:val="18"/>
        </w:rPr>
        <w:t>Además, para que un gasto sea fiscalmente deducible debe cumplir otros requisitos generales:</w:t>
      </w:r>
    </w:p>
    <w:p w14:paraId="62982F00" w14:textId="77777777" w:rsidR="007C7D58" w:rsidRPr="00F86EEB" w:rsidRDefault="007C7D58" w:rsidP="00F86EEB">
      <w:pPr>
        <w:ind w:left="426"/>
        <w:jc w:val="both"/>
        <w:rPr>
          <w:rFonts w:ascii="Verdana" w:hAnsi="Verdana"/>
          <w:bCs/>
          <w:iCs/>
          <w:sz w:val="18"/>
          <w:szCs w:val="18"/>
        </w:rPr>
      </w:pPr>
    </w:p>
    <w:p w14:paraId="73167466" w14:textId="77777777" w:rsidR="00F86EEB" w:rsidRPr="00F86EEB" w:rsidRDefault="00F86EEB" w:rsidP="00F86EEB">
      <w:pPr>
        <w:numPr>
          <w:ilvl w:val="0"/>
          <w:numId w:val="32"/>
        </w:numPr>
        <w:ind w:hanging="294"/>
        <w:jc w:val="both"/>
        <w:rPr>
          <w:rFonts w:ascii="Verdana" w:hAnsi="Verdana"/>
          <w:bCs/>
          <w:iCs/>
          <w:sz w:val="18"/>
          <w:szCs w:val="18"/>
        </w:rPr>
      </w:pPr>
      <w:r w:rsidRPr="00F86EEB">
        <w:rPr>
          <w:rFonts w:ascii="Verdana" w:hAnsi="Verdana"/>
          <w:bCs/>
          <w:iCs/>
          <w:sz w:val="18"/>
          <w:szCs w:val="18"/>
        </w:rPr>
        <w:t>Estar </w:t>
      </w:r>
      <w:r w:rsidRPr="00F86EEB">
        <w:rPr>
          <w:rFonts w:ascii="Verdana" w:hAnsi="Verdana"/>
          <w:b/>
          <w:bCs/>
          <w:iCs/>
          <w:sz w:val="18"/>
          <w:szCs w:val="18"/>
        </w:rPr>
        <w:t>debidamente justificado</w:t>
      </w:r>
      <w:r w:rsidRPr="00F86EEB">
        <w:rPr>
          <w:rFonts w:ascii="Verdana" w:hAnsi="Verdana"/>
          <w:bCs/>
          <w:iCs/>
          <w:sz w:val="18"/>
          <w:szCs w:val="18"/>
        </w:rPr>
        <w:t> mediante factura (ordinaria o simplificada).</w:t>
      </w:r>
    </w:p>
    <w:p w14:paraId="3F7C59A0" w14:textId="77777777" w:rsidR="00F86EEB" w:rsidRDefault="00F86EEB" w:rsidP="00F86EEB">
      <w:pPr>
        <w:numPr>
          <w:ilvl w:val="0"/>
          <w:numId w:val="32"/>
        </w:numPr>
        <w:ind w:hanging="294"/>
        <w:jc w:val="both"/>
        <w:rPr>
          <w:rFonts w:ascii="Verdana" w:hAnsi="Verdana"/>
          <w:bCs/>
          <w:iCs/>
          <w:sz w:val="18"/>
          <w:szCs w:val="18"/>
        </w:rPr>
      </w:pPr>
      <w:r w:rsidRPr="00F86EEB">
        <w:rPr>
          <w:rFonts w:ascii="Verdana" w:hAnsi="Verdana"/>
          <w:bCs/>
          <w:iCs/>
          <w:sz w:val="18"/>
          <w:szCs w:val="18"/>
        </w:rPr>
        <w:t>Estar </w:t>
      </w:r>
      <w:r w:rsidRPr="00F86EEB">
        <w:rPr>
          <w:rFonts w:ascii="Verdana" w:hAnsi="Verdana"/>
          <w:b/>
          <w:bCs/>
          <w:iCs/>
          <w:sz w:val="18"/>
          <w:szCs w:val="18"/>
        </w:rPr>
        <w:t>registrado en los libros contables obligatorios</w:t>
      </w:r>
      <w:r w:rsidRPr="00F86EEB">
        <w:rPr>
          <w:rFonts w:ascii="Verdana" w:hAnsi="Verdana"/>
          <w:bCs/>
          <w:iCs/>
          <w:sz w:val="18"/>
          <w:szCs w:val="18"/>
        </w:rPr>
        <w:t> que deben llevar los contribuyentes en estimación directa.</w:t>
      </w:r>
    </w:p>
    <w:p w14:paraId="059179E8" w14:textId="77777777" w:rsidR="00F86EEB" w:rsidRPr="00F86EEB" w:rsidRDefault="00F86EEB" w:rsidP="00F86EEB">
      <w:pPr>
        <w:ind w:left="720"/>
        <w:jc w:val="both"/>
        <w:rPr>
          <w:rFonts w:ascii="Verdana" w:hAnsi="Verdana"/>
          <w:bCs/>
          <w:iCs/>
          <w:sz w:val="18"/>
          <w:szCs w:val="18"/>
        </w:rPr>
      </w:pPr>
    </w:p>
    <w:p w14:paraId="2087309C" w14:textId="77777777" w:rsidR="00F86EEB" w:rsidRPr="00F86EEB" w:rsidRDefault="00F86EEB" w:rsidP="00F86EEB">
      <w:pPr>
        <w:ind w:left="426"/>
        <w:jc w:val="both"/>
        <w:rPr>
          <w:rFonts w:ascii="Verdana" w:hAnsi="Verdana"/>
          <w:bCs/>
          <w:iCs/>
          <w:sz w:val="18"/>
          <w:szCs w:val="18"/>
        </w:rPr>
      </w:pPr>
      <w:r w:rsidRPr="00F86EEB">
        <w:rPr>
          <w:rFonts w:ascii="Verdana" w:hAnsi="Verdana"/>
          <w:bCs/>
          <w:iCs/>
          <w:sz w:val="18"/>
          <w:szCs w:val="18"/>
        </w:rPr>
        <w:t>En conclusión, siempre que se cumplan estas condiciones (correlación con ingresos, justificación documental y registro contable), los gastos en redes sociales destinados a publicitar el centro maternal podrán deducirse íntegramente en la determinación del rendimiento neto de la actividad económica en el régimen de estimación directa.</w:t>
      </w:r>
    </w:p>
    <w:p w14:paraId="5C92A036" w14:textId="776F0958" w:rsidR="001B4760" w:rsidRDefault="001B4760" w:rsidP="00F86EEB">
      <w:pPr>
        <w:ind w:left="426"/>
        <w:jc w:val="both"/>
        <w:rPr>
          <w:rFonts w:ascii="Verdana" w:hAnsi="Verdana"/>
          <w:bCs/>
          <w:iCs/>
          <w:sz w:val="18"/>
          <w:szCs w:val="18"/>
        </w:rPr>
      </w:pPr>
    </w:p>
    <w:p w14:paraId="60E9F732" w14:textId="77777777" w:rsidR="001B4760" w:rsidRDefault="001B4760" w:rsidP="003464F1">
      <w:pPr>
        <w:ind w:left="284"/>
        <w:jc w:val="both"/>
        <w:rPr>
          <w:rFonts w:ascii="Verdana" w:hAnsi="Verdana"/>
          <w:bCs/>
          <w:iCs/>
          <w:sz w:val="18"/>
          <w:szCs w:val="18"/>
        </w:rPr>
      </w:pPr>
    </w:p>
    <w:p w14:paraId="135543C0" w14:textId="77777777" w:rsidR="001B4760" w:rsidRDefault="001B4760" w:rsidP="003464F1">
      <w:pPr>
        <w:ind w:left="284"/>
        <w:jc w:val="both"/>
        <w:rPr>
          <w:rFonts w:ascii="Verdana" w:hAnsi="Verdana"/>
          <w:bCs/>
          <w:iCs/>
          <w:sz w:val="18"/>
          <w:szCs w:val="18"/>
        </w:rPr>
      </w:pPr>
    </w:p>
    <w:p w14:paraId="422B48B6" w14:textId="77777777" w:rsidR="001B4760" w:rsidRDefault="001B4760" w:rsidP="003464F1">
      <w:pPr>
        <w:ind w:left="284"/>
        <w:jc w:val="both"/>
        <w:rPr>
          <w:rFonts w:ascii="Verdana" w:hAnsi="Verdana"/>
          <w:bCs/>
          <w:iCs/>
          <w:sz w:val="18"/>
          <w:szCs w:val="18"/>
        </w:rPr>
      </w:pPr>
    </w:p>
    <w:p w14:paraId="37CE5B42" w14:textId="77777777" w:rsidR="000A3D80" w:rsidRDefault="000A3D80" w:rsidP="003464F1">
      <w:pPr>
        <w:ind w:left="284"/>
        <w:jc w:val="both"/>
        <w:rPr>
          <w:rFonts w:ascii="Verdana" w:hAnsi="Verdana"/>
          <w:bCs/>
          <w:iCs/>
          <w:sz w:val="18"/>
          <w:szCs w:val="18"/>
        </w:rPr>
      </w:pPr>
      <w:bookmarkStart w:id="9" w:name="_Hlk209266807"/>
    </w:p>
    <w:bookmarkEnd w:id="9"/>
    <w:p w14:paraId="61B6FF56" w14:textId="77777777" w:rsidR="000A3D80" w:rsidRDefault="000A3D80" w:rsidP="003464F1">
      <w:pPr>
        <w:ind w:left="284"/>
        <w:jc w:val="both"/>
        <w:rPr>
          <w:rFonts w:ascii="Verdana" w:hAnsi="Verdana"/>
          <w:bCs/>
          <w:iCs/>
          <w:sz w:val="18"/>
          <w:szCs w:val="18"/>
        </w:rPr>
      </w:pPr>
    </w:p>
    <w:p w14:paraId="5DDB3B17" w14:textId="77777777" w:rsidR="000A3D80" w:rsidRDefault="000A3D80" w:rsidP="003464F1">
      <w:pPr>
        <w:ind w:left="284"/>
        <w:jc w:val="both"/>
        <w:rPr>
          <w:rFonts w:ascii="Verdana" w:hAnsi="Verdana"/>
          <w:bCs/>
          <w:iCs/>
          <w:sz w:val="18"/>
          <w:szCs w:val="18"/>
        </w:rPr>
      </w:pPr>
    </w:p>
    <w:p w14:paraId="6D3190BD" w14:textId="77777777" w:rsidR="000A3D80" w:rsidRDefault="000A3D80" w:rsidP="003464F1">
      <w:pPr>
        <w:ind w:left="284"/>
        <w:jc w:val="both"/>
        <w:rPr>
          <w:rFonts w:ascii="Verdana" w:hAnsi="Verdana"/>
          <w:bCs/>
          <w:iCs/>
          <w:sz w:val="18"/>
          <w:szCs w:val="18"/>
        </w:rPr>
      </w:pPr>
    </w:p>
    <w:p w14:paraId="5A7219D4" w14:textId="77777777" w:rsidR="000A3D80" w:rsidRDefault="000A3D80" w:rsidP="003464F1">
      <w:pPr>
        <w:ind w:left="284"/>
        <w:jc w:val="both"/>
        <w:rPr>
          <w:rFonts w:ascii="Verdana" w:hAnsi="Verdana"/>
          <w:bCs/>
          <w:iCs/>
          <w:sz w:val="18"/>
          <w:szCs w:val="18"/>
        </w:rPr>
      </w:pPr>
    </w:p>
    <w:p w14:paraId="73CAD2F7" w14:textId="3C0F8D1E" w:rsidR="001967CD" w:rsidRPr="00E64874" w:rsidRDefault="001967CD" w:rsidP="003464F1">
      <w:pPr>
        <w:ind w:left="284"/>
        <w:jc w:val="both"/>
        <w:rPr>
          <w:rFonts w:ascii="Verdana" w:hAnsi="Verdana"/>
          <w:bCs/>
          <w:iCs/>
          <w:sz w:val="18"/>
          <w:szCs w:val="18"/>
        </w:rPr>
      </w:pPr>
      <w:r w:rsidRPr="00E64874">
        <w:rPr>
          <w:rFonts w:ascii="Verdana" w:hAnsi="Verdana"/>
          <w:bCs/>
          <w:iCs/>
          <w:sz w:val="18"/>
          <w:szCs w:val="18"/>
        </w:rPr>
        <w:br w:type="page"/>
      </w:r>
    </w:p>
    <w:p w14:paraId="28D3B3CF" w14:textId="4412FDA2" w:rsidR="00341BFE" w:rsidRPr="007D6D76" w:rsidRDefault="00341BFE" w:rsidP="004F2C2C">
      <w:pPr>
        <w:tabs>
          <w:tab w:val="left" w:pos="0"/>
        </w:tabs>
        <w:ind w:right="-1"/>
        <w:jc w:val="both"/>
        <w:rPr>
          <w:rFonts w:ascii="Verdana" w:eastAsia="Calibri" w:hAnsi="Verdana"/>
          <w:w w:val="95"/>
          <w:sz w:val="21"/>
          <w:szCs w:val="21"/>
          <w:lang w:eastAsia="en-US"/>
        </w:rPr>
      </w:pPr>
      <w:r w:rsidRPr="007D6D76">
        <w:rPr>
          <w:rFonts w:ascii="Verdana" w:hAnsi="Verdana"/>
          <w:b/>
          <w:bCs/>
          <w:color w:val="800000"/>
          <w:w w:val="95"/>
          <w:sz w:val="21"/>
          <w:szCs w:val="21"/>
        </w:rPr>
        <w:t xml:space="preserve">DISPOSICIONES PUBLICADAS DURANTE </w:t>
      </w:r>
      <w:r w:rsidR="002020F1">
        <w:rPr>
          <w:rFonts w:ascii="Verdana" w:hAnsi="Verdana"/>
          <w:b/>
          <w:bCs/>
          <w:color w:val="800000"/>
          <w:w w:val="95"/>
          <w:sz w:val="21"/>
          <w:szCs w:val="21"/>
        </w:rPr>
        <w:t>EL MES DE SEPTIEMBRE DE 202</w:t>
      </w:r>
      <w:r w:rsidR="00BA1BDE">
        <w:rPr>
          <w:rFonts w:ascii="Verdana" w:hAnsi="Verdana"/>
          <w:b/>
          <w:bCs/>
          <w:color w:val="800000"/>
          <w:w w:val="95"/>
          <w:sz w:val="21"/>
          <w:szCs w:val="21"/>
        </w:rPr>
        <w:t>5</w:t>
      </w:r>
      <w:r w:rsidR="00597995">
        <w:rPr>
          <w:rFonts w:ascii="Verdana" w:hAnsi="Verdana"/>
          <w:b/>
          <w:bCs/>
          <w:color w:val="800000"/>
          <w:w w:val="95"/>
          <w:sz w:val="21"/>
          <w:szCs w:val="21"/>
        </w:rPr>
        <w:t xml:space="preserve"> </w:t>
      </w:r>
    </w:p>
    <w:p w14:paraId="5CA5D567" w14:textId="77777777" w:rsidR="00743066" w:rsidRDefault="00743066" w:rsidP="00A14F37">
      <w:pPr>
        <w:tabs>
          <w:tab w:val="left" w:pos="0"/>
        </w:tabs>
        <w:jc w:val="both"/>
        <w:rPr>
          <w:rFonts w:ascii="Verdana" w:hAnsi="Verdana"/>
          <w:b/>
          <w:bCs/>
          <w:color w:val="800000"/>
          <w:spacing w:val="-20"/>
          <w:sz w:val="22"/>
          <w:szCs w:val="22"/>
        </w:rPr>
      </w:pPr>
    </w:p>
    <w:p w14:paraId="66262802" w14:textId="60D9BB14" w:rsidR="00A141D5" w:rsidRPr="00AD4078" w:rsidRDefault="00A141D5" w:rsidP="00B3500D">
      <w:pPr>
        <w:tabs>
          <w:tab w:val="left" w:pos="0"/>
        </w:tabs>
        <w:jc w:val="both"/>
        <w:rPr>
          <w:rFonts w:ascii="Verdana" w:hAnsi="Verdana"/>
          <w:bCs/>
          <w:i/>
          <w:sz w:val="18"/>
          <w:szCs w:val="18"/>
        </w:rPr>
      </w:pPr>
      <w:bookmarkStart w:id="10" w:name="_Hlk82280079"/>
    </w:p>
    <w:bookmarkEnd w:id="10"/>
    <w:p w14:paraId="0491F98A" w14:textId="77777777" w:rsidR="00626BBF" w:rsidRPr="00626BBF" w:rsidRDefault="00626BBF" w:rsidP="00626BBF">
      <w:pPr>
        <w:tabs>
          <w:tab w:val="left" w:pos="0"/>
        </w:tabs>
        <w:ind w:right="-1"/>
        <w:jc w:val="both"/>
        <w:rPr>
          <w:rFonts w:ascii="Verdana" w:hAnsi="Verdana"/>
          <w:b/>
          <w:bCs/>
          <w:color w:val="800000"/>
          <w:w w:val="95"/>
          <w:sz w:val="21"/>
          <w:szCs w:val="21"/>
        </w:rPr>
      </w:pPr>
      <w:r w:rsidRPr="00626BBF">
        <w:rPr>
          <w:rFonts w:ascii="Verdana" w:hAnsi="Verdana"/>
          <w:b/>
          <w:bCs/>
          <w:color w:val="800000"/>
          <w:w w:val="95"/>
          <w:sz w:val="21"/>
          <w:szCs w:val="21"/>
        </w:rPr>
        <w:t>Subvenciones</w:t>
      </w:r>
    </w:p>
    <w:p w14:paraId="6F1ECB38" w14:textId="77777777" w:rsidR="00626BBF" w:rsidRDefault="00626BBF" w:rsidP="00626BBF">
      <w:pPr>
        <w:tabs>
          <w:tab w:val="left" w:pos="0"/>
        </w:tabs>
        <w:jc w:val="both"/>
        <w:rPr>
          <w:rFonts w:ascii="Verdana" w:hAnsi="Verdana"/>
          <w:bCs/>
          <w:iCs/>
          <w:sz w:val="18"/>
          <w:szCs w:val="18"/>
        </w:rPr>
      </w:pPr>
      <w:r w:rsidRPr="00626BBF">
        <w:rPr>
          <w:rFonts w:ascii="Verdana" w:hAnsi="Verdana"/>
          <w:bCs/>
          <w:iCs/>
          <w:sz w:val="18"/>
          <w:szCs w:val="18"/>
        </w:rPr>
        <w:t>Real Decreto 845/2025, de 23 de septiembre, por el que se regula la concesión directa de subvenciones para realizar actuaciones de interés general en las ciudades de Ceuta y Melilla.</w:t>
      </w:r>
    </w:p>
    <w:p w14:paraId="06CAE610" w14:textId="3EF02F96" w:rsidR="00626BBF" w:rsidRPr="00626BBF" w:rsidRDefault="00626BBF" w:rsidP="00626BBF">
      <w:pPr>
        <w:tabs>
          <w:tab w:val="left" w:pos="0"/>
        </w:tabs>
        <w:jc w:val="both"/>
        <w:rPr>
          <w:rFonts w:ascii="Verdana" w:hAnsi="Verdana"/>
          <w:bCs/>
          <w:i/>
          <w:sz w:val="18"/>
          <w:szCs w:val="18"/>
        </w:rPr>
      </w:pPr>
      <w:r w:rsidRPr="00626BBF">
        <w:rPr>
          <w:rFonts w:ascii="Verdana" w:hAnsi="Verdana"/>
          <w:bCs/>
          <w:i/>
          <w:sz w:val="18"/>
          <w:szCs w:val="18"/>
        </w:rPr>
        <w:t>Ministerio de Hacienda. B.O.E. núm. 232 de 26 de septiembre de 2025.</w:t>
      </w:r>
    </w:p>
    <w:p w14:paraId="1EFAE619" w14:textId="77777777" w:rsidR="00AA5746" w:rsidRPr="00AD4078" w:rsidRDefault="00AA5746" w:rsidP="00B3500D">
      <w:pPr>
        <w:tabs>
          <w:tab w:val="left" w:pos="0"/>
        </w:tabs>
        <w:jc w:val="both"/>
        <w:rPr>
          <w:rFonts w:ascii="Verdana" w:hAnsi="Verdana"/>
          <w:bCs/>
          <w:iCs/>
          <w:sz w:val="18"/>
          <w:szCs w:val="18"/>
        </w:rPr>
      </w:pPr>
    </w:p>
    <w:p w14:paraId="30698369" w14:textId="77777777" w:rsidR="00AA5746" w:rsidRPr="00AD4078" w:rsidRDefault="00AA5746" w:rsidP="00B3500D">
      <w:pPr>
        <w:tabs>
          <w:tab w:val="left" w:pos="0"/>
        </w:tabs>
        <w:jc w:val="both"/>
        <w:rPr>
          <w:rFonts w:ascii="Verdana" w:hAnsi="Verdana"/>
          <w:bCs/>
          <w:iCs/>
          <w:sz w:val="18"/>
          <w:szCs w:val="18"/>
        </w:rPr>
      </w:pPr>
    </w:p>
    <w:p w14:paraId="5E5DC13B" w14:textId="77777777" w:rsidR="00233CC7" w:rsidRPr="00AD4078" w:rsidRDefault="00233CC7" w:rsidP="002115B0">
      <w:pPr>
        <w:tabs>
          <w:tab w:val="left" w:pos="0"/>
        </w:tabs>
        <w:jc w:val="both"/>
        <w:rPr>
          <w:rFonts w:ascii="Verdana" w:hAnsi="Verdana"/>
          <w:bCs/>
          <w:i/>
          <w:sz w:val="18"/>
          <w:szCs w:val="18"/>
        </w:rPr>
      </w:pPr>
    </w:p>
    <w:p w14:paraId="7DFFB8F5" w14:textId="77777777" w:rsidR="00233CC7" w:rsidRPr="002115B0" w:rsidRDefault="00233CC7" w:rsidP="002115B0">
      <w:pPr>
        <w:tabs>
          <w:tab w:val="left" w:pos="0"/>
        </w:tabs>
        <w:jc w:val="both"/>
        <w:rPr>
          <w:rFonts w:ascii="Verdana" w:hAnsi="Verdana"/>
          <w:bCs/>
          <w:iCs/>
          <w:sz w:val="18"/>
          <w:szCs w:val="18"/>
        </w:rPr>
      </w:pPr>
    </w:p>
    <w:p w14:paraId="2D46751E" w14:textId="05B84BDC" w:rsidR="007605E7" w:rsidRDefault="00341BFE" w:rsidP="00B87954">
      <w:pPr>
        <w:ind w:right="-1"/>
        <w:jc w:val="both"/>
        <w:rPr>
          <w:rFonts w:ascii="Verdana" w:hAnsi="Verdana"/>
          <w:b/>
          <w:bCs/>
          <w:color w:val="800000"/>
          <w:sz w:val="22"/>
          <w:szCs w:val="22"/>
        </w:rPr>
      </w:pPr>
      <w:r w:rsidRPr="003C1857">
        <w:rPr>
          <w:rFonts w:ascii="Verdana" w:hAnsi="Verdana"/>
          <w:sz w:val="18"/>
          <w:szCs w:val="18"/>
        </w:rPr>
        <w:br w:type="page"/>
      </w:r>
      <w:r w:rsidR="007605E7" w:rsidRPr="0089506B">
        <w:rPr>
          <w:rFonts w:ascii="Verdana" w:hAnsi="Verdana"/>
          <w:b/>
          <w:bCs/>
          <w:color w:val="800000"/>
          <w:sz w:val="22"/>
          <w:szCs w:val="22"/>
        </w:rPr>
        <w:t xml:space="preserve">CALENDARIO FISCAL PARA EL MES DE OCTUBRE DE </w:t>
      </w:r>
      <w:r w:rsidR="005A7468">
        <w:rPr>
          <w:rFonts w:ascii="Verdana" w:hAnsi="Verdana"/>
          <w:b/>
          <w:bCs/>
          <w:color w:val="800000"/>
          <w:sz w:val="22"/>
          <w:szCs w:val="22"/>
        </w:rPr>
        <w:t>202</w:t>
      </w:r>
      <w:r w:rsidR="00BA1BDE">
        <w:rPr>
          <w:rFonts w:ascii="Verdana" w:hAnsi="Verdana"/>
          <w:b/>
          <w:bCs/>
          <w:color w:val="800000"/>
          <w:sz w:val="22"/>
          <w:szCs w:val="22"/>
        </w:rPr>
        <w:t>5</w:t>
      </w:r>
    </w:p>
    <w:p w14:paraId="0307C00B" w14:textId="77777777" w:rsidR="00A324C5" w:rsidRDefault="00A324C5" w:rsidP="007605E7">
      <w:pPr>
        <w:ind w:right="-1"/>
        <w:jc w:val="both"/>
        <w:rPr>
          <w:rFonts w:ascii="Verdana" w:hAnsi="Verdana"/>
          <w:b/>
          <w:bCs/>
          <w:color w:val="800000"/>
          <w:sz w:val="22"/>
          <w:szCs w:val="22"/>
        </w:rPr>
      </w:pPr>
    </w:p>
    <w:p w14:paraId="49F9DB17" w14:textId="44784A42" w:rsidR="00BA1BDE" w:rsidRDefault="000135AB" w:rsidP="000135AB">
      <w:pPr>
        <w:tabs>
          <w:tab w:val="left" w:pos="0"/>
        </w:tabs>
        <w:ind w:right="-1"/>
        <w:jc w:val="both"/>
        <w:rPr>
          <w:rFonts w:ascii="Verdana" w:hAnsi="Verdana"/>
          <w:b/>
          <w:bCs/>
          <w:color w:val="800000"/>
          <w:w w:val="95"/>
          <w:sz w:val="18"/>
          <w:szCs w:val="18"/>
        </w:rPr>
      </w:pPr>
      <w:r w:rsidRPr="000135AB">
        <w:rPr>
          <w:rFonts w:ascii="Verdana" w:hAnsi="Verdana"/>
          <w:b/>
          <w:bCs/>
          <w:color w:val="800000"/>
          <w:w w:val="95"/>
          <w:sz w:val="18"/>
          <w:szCs w:val="18"/>
        </w:rPr>
        <w:t>HASTA EL 13 DE OCTUBRE</w:t>
      </w:r>
    </w:p>
    <w:p w14:paraId="7AB356AA" w14:textId="77777777" w:rsidR="003F1FE4" w:rsidRPr="000135AB" w:rsidRDefault="003F1FE4" w:rsidP="000135AB">
      <w:pPr>
        <w:tabs>
          <w:tab w:val="left" w:pos="0"/>
        </w:tabs>
        <w:ind w:right="-1"/>
        <w:jc w:val="both"/>
        <w:rPr>
          <w:rFonts w:ascii="Verdana" w:hAnsi="Verdana"/>
          <w:b/>
          <w:bCs/>
          <w:color w:val="800000"/>
          <w:w w:val="95"/>
          <w:sz w:val="18"/>
          <w:szCs w:val="18"/>
        </w:rPr>
      </w:pPr>
    </w:p>
    <w:p w14:paraId="1156DA4C"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INTRASTAT - Estadística Comercio Intracomunitario</w:t>
      </w:r>
    </w:p>
    <w:p w14:paraId="33974E2D" w14:textId="6BDB9A71" w:rsidR="00BA1BDE" w:rsidRPr="000135AB" w:rsidRDefault="00BA1BDE" w:rsidP="00BA1BDE">
      <w:pPr>
        <w:ind w:right="-1"/>
        <w:jc w:val="both"/>
        <w:rPr>
          <w:rFonts w:ascii="Verdana" w:hAnsi="Verdana"/>
          <w:sz w:val="18"/>
          <w:szCs w:val="18"/>
        </w:rPr>
      </w:pPr>
      <w:r w:rsidRPr="000135AB">
        <w:rPr>
          <w:rFonts w:ascii="Verdana" w:hAnsi="Verdana"/>
          <w:sz w:val="18"/>
          <w:szCs w:val="18"/>
        </w:rPr>
        <w:t>Septiembre 2025. Obligados a suministrar información estadística.</w:t>
      </w:r>
    </w:p>
    <w:p w14:paraId="1A244818" w14:textId="77777777" w:rsidR="00BA1BDE" w:rsidRPr="000135AB" w:rsidRDefault="00BA1BDE" w:rsidP="00BA1BDE">
      <w:pPr>
        <w:ind w:right="-1"/>
        <w:jc w:val="both"/>
        <w:rPr>
          <w:rFonts w:ascii="Verdana" w:hAnsi="Verdana"/>
          <w:sz w:val="18"/>
          <w:szCs w:val="18"/>
        </w:rPr>
      </w:pPr>
    </w:p>
    <w:p w14:paraId="1BBBDAD3" w14:textId="7D979068" w:rsidR="00BA1BDE" w:rsidRPr="003F1FE4" w:rsidRDefault="003F1FE4"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HASTA EL 20 DE OCTUBRE</w:t>
      </w:r>
    </w:p>
    <w:p w14:paraId="0312DA09" w14:textId="77777777" w:rsidR="003F1FE4" w:rsidRDefault="003F1FE4" w:rsidP="00BA1BDE">
      <w:pPr>
        <w:ind w:right="-1"/>
        <w:jc w:val="both"/>
        <w:rPr>
          <w:rFonts w:ascii="Verdana" w:hAnsi="Verdana"/>
          <w:b/>
          <w:bCs/>
          <w:color w:val="800000"/>
          <w:w w:val="95"/>
          <w:sz w:val="18"/>
          <w:szCs w:val="18"/>
        </w:rPr>
      </w:pPr>
    </w:p>
    <w:p w14:paraId="10C6A15A" w14:textId="56B89AAE"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Renta y Sociedades</w:t>
      </w:r>
    </w:p>
    <w:p w14:paraId="2F28C539" w14:textId="77777777" w:rsidR="00BA1BDE" w:rsidRPr="000135AB" w:rsidRDefault="00BA1BDE" w:rsidP="00BA1BDE">
      <w:pPr>
        <w:ind w:right="-1"/>
        <w:jc w:val="both"/>
        <w:rPr>
          <w:rFonts w:ascii="Verdana" w:hAnsi="Verdana"/>
          <w:sz w:val="18"/>
          <w:szCs w:val="18"/>
        </w:rPr>
      </w:pPr>
      <w:r w:rsidRPr="000135AB">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4A22F924" w14:textId="77777777" w:rsidR="00BA1BDE" w:rsidRPr="000135AB" w:rsidRDefault="00BA1BDE">
      <w:pPr>
        <w:numPr>
          <w:ilvl w:val="0"/>
          <w:numId w:val="2"/>
        </w:numPr>
        <w:ind w:right="-1"/>
        <w:jc w:val="both"/>
        <w:rPr>
          <w:rFonts w:ascii="Verdana" w:hAnsi="Verdana"/>
          <w:sz w:val="18"/>
          <w:szCs w:val="18"/>
        </w:rPr>
      </w:pPr>
      <w:r w:rsidRPr="000135AB">
        <w:rPr>
          <w:rFonts w:ascii="Verdana" w:hAnsi="Verdana"/>
          <w:sz w:val="18"/>
          <w:szCs w:val="18"/>
        </w:rPr>
        <w:t>Septiembre 2025. Grandes empresas: 111, 115, 117, 123, 124, 126, 128, 216, 230</w:t>
      </w:r>
    </w:p>
    <w:p w14:paraId="3ABCC753" w14:textId="77777777" w:rsidR="00BA1BDE" w:rsidRPr="000135AB" w:rsidRDefault="00BA1BDE">
      <w:pPr>
        <w:numPr>
          <w:ilvl w:val="0"/>
          <w:numId w:val="2"/>
        </w:numPr>
        <w:ind w:right="-1"/>
        <w:jc w:val="both"/>
        <w:rPr>
          <w:rFonts w:ascii="Verdana" w:hAnsi="Verdana"/>
          <w:sz w:val="18"/>
          <w:szCs w:val="18"/>
        </w:rPr>
      </w:pPr>
      <w:r w:rsidRPr="000135AB">
        <w:rPr>
          <w:rFonts w:ascii="Verdana" w:hAnsi="Verdana"/>
          <w:sz w:val="18"/>
          <w:szCs w:val="18"/>
        </w:rPr>
        <w:t>Tercer trimestre 2025: 111, 115, 117, 123, 124, 126, 128, 136, 210, 216</w:t>
      </w:r>
    </w:p>
    <w:p w14:paraId="77378E8B" w14:textId="77777777" w:rsidR="00BA1BDE" w:rsidRPr="000135AB" w:rsidRDefault="00BA1BDE" w:rsidP="00BA1BDE">
      <w:pPr>
        <w:ind w:right="-1"/>
        <w:jc w:val="both"/>
        <w:rPr>
          <w:rFonts w:ascii="Verdana" w:hAnsi="Verdana"/>
          <w:sz w:val="18"/>
          <w:szCs w:val="18"/>
        </w:rPr>
      </w:pPr>
      <w:r w:rsidRPr="000135AB">
        <w:rPr>
          <w:rFonts w:ascii="Verdana" w:hAnsi="Verdana"/>
          <w:sz w:val="18"/>
          <w:szCs w:val="18"/>
        </w:rPr>
        <w:t>Pagos fraccionados Renta</w:t>
      </w:r>
    </w:p>
    <w:p w14:paraId="29647112" w14:textId="77777777" w:rsidR="00BA1BDE" w:rsidRPr="000135AB" w:rsidRDefault="00BA1BDE">
      <w:pPr>
        <w:numPr>
          <w:ilvl w:val="0"/>
          <w:numId w:val="3"/>
        </w:numPr>
        <w:ind w:right="-1"/>
        <w:jc w:val="both"/>
        <w:rPr>
          <w:rFonts w:ascii="Verdana" w:hAnsi="Verdana"/>
          <w:sz w:val="18"/>
          <w:szCs w:val="18"/>
        </w:rPr>
      </w:pPr>
      <w:r w:rsidRPr="000135AB">
        <w:rPr>
          <w:rFonts w:ascii="Verdana" w:hAnsi="Verdana"/>
          <w:sz w:val="18"/>
          <w:szCs w:val="18"/>
        </w:rPr>
        <w:t>Tercer trimestre 2025:</w:t>
      </w:r>
    </w:p>
    <w:p w14:paraId="0D527BB6" w14:textId="77777777" w:rsidR="00BA1BDE" w:rsidRPr="000135AB" w:rsidRDefault="00BA1BDE">
      <w:pPr>
        <w:numPr>
          <w:ilvl w:val="1"/>
          <w:numId w:val="3"/>
        </w:numPr>
        <w:ind w:right="-1"/>
        <w:jc w:val="both"/>
        <w:rPr>
          <w:rFonts w:ascii="Verdana" w:hAnsi="Verdana"/>
          <w:sz w:val="18"/>
          <w:szCs w:val="18"/>
        </w:rPr>
      </w:pPr>
      <w:r w:rsidRPr="000135AB">
        <w:rPr>
          <w:rFonts w:ascii="Verdana" w:hAnsi="Verdana"/>
          <w:sz w:val="18"/>
          <w:szCs w:val="18"/>
        </w:rPr>
        <w:t>Estimación directa: 130</w:t>
      </w:r>
    </w:p>
    <w:p w14:paraId="3060A320" w14:textId="77777777" w:rsidR="00BA1BDE" w:rsidRPr="000135AB" w:rsidRDefault="00BA1BDE">
      <w:pPr>
        <w:numPr>
          <w:ilvl w:val="1"/>
          <w:numId w:val="3"/>
        </w:numPr>
        <w:ind w:right="-1"/>
        <w:jc w:val="both"/>
        <w:rPr>
          <w:rFonts w:ascii="Verdana" w:hAnsi="Verdana"/>
          <w:sz w:val="18"/>
          <w:szCs w:val="18"/>
        </w:rPr>
      </w:pPr>
      <w:r w:rsidRPr="000135AB">
        <w:rPr>
          <w:rFonts w:ascii="Verdana" w:hAnsi="Verdana"/>
          <w:sz w:val="18"/>
          <w:szCs w:val="18"/>
        </w:rPr>
        <w:t>Estimación objetiva: 131</w:t>
      </w:r>
    </w:p>
    <w:p w14:paraId="065ECA56" w14:textId="77777777" w:rsidR="00BA1BDE" w:rsidRPr="000135AB" w:rsidRDefault="00BA1BDE" w:rsidP="00BA1BDE">
      <w:pPr>
        <w:ind w:right="-1"/>
        <w:jc w:val="both"/>
        <w:rPr>
          <w:rFonts w:ascii="Verdana" w:hAnsi="Verdana"/>
          <w:sz w:val="18"/>
          <w:szCs w:val="18"/>
        </w:rPr>
      </w:pPr>
      <w:r w:rsidRPr="000135AB">
        <w:rPr>
          <w:rFonts w:ascii="Verdana" w:hAnsi="Verdana"/>
          <w:sz w:val="18"/>
          <w:szCs w:val="18"/>
        </w:rPr>
        <w:t>Pagos fraccionados Sociedades y Establecimientos Permanentes de no Residentes</w:t>
      </w:r>
    </w:p>
    <w:p w14:paraId="7D84F232" w14:textId="77777777" w:rsidR="00BA1BDE" w:rsidRPr="000135AB" w:rsidRDefault="00BA1BDE">
      <w:pPr>
        <w:numPr>
          <w:ilvl w:val="0"/>
          <w:numId w:val="4"/>
        </w:numPr>
        <w:ind w:right="-1"/>
        <w:jc w:val="both"/>
        <w:rPr>
          <w:rFonts w:ascii="Verdana" w:hAnsi="Verdana"/>
          <w:sz w:val="18"/>
          <w:szCs w:val="18"/>
        </w:rPr>
      </w:pPr>
      <w:r w:rsidRPr="000135AB">
        <w:rPr>
          <w:rFonts w:ascii="Verdana" w:hAnsi="Verdana"/>
          <w:sz w:val="18"/>
          <w:szCs w:val="18"/>
        </w:rPr>
        <w:t>Ejercicio en curso:</w:t>
      </w:r>
    </w:p>
    <w:p w14:paraId="704C67C4" w14:textId="77777777" w:rsidR="00BA1BDE" w:rsidRPr="000135AB" w:rsidRDefault="00BA1BDE">
      <w:pPr>
        <w:numPr>
          <w:ilvl w:val="1"/>
          <w:numId w:val="4"/>
        </w:numPr>
        <w:ind w:right="-1"/>
        <w:jc w:val="both"/>
        <w:rPr>
          <w:rFonts w:ascii="Verdana" w:hAnsi="Verdana"/>
          <w:sz w:val="18"/>
          <w:szCs w:val="18"/>
        </w:rPr>
      </w:pPr>
      <w:r w:rsidRPr="000135AB">
        <w:rPr>
          <w:rFonts w:ascii="Verdana" w:hAnsi="Verdana"/>
          <w:sz w:val="18"/>
          <w:szCs w:val="18"/>
        </w:rPr>
        <w:t>Régimen general: 202</w:t>
      </w:r>
    </w:p>
    <w:p w14:paraId="3E35B0EE" w14:textId="77777777" w:rsidR="00BA1BDE" w:rsidRPr="000135AB" w:rsidRDefault="00BA1BDE">
      <w:pPr>
        <w:numPr>
          <w:ilvl w:val="1"/>
          <w:numId w:val="4"/>
        </w:numPr>
        <w:ind w:right="-1"/>
        <w:jc w:val="both"/>
        <w:rPr>
          <w:rFonts w:ascii="Verdana" w:hAnsi="Verdana"/>
          <w:sz w:val="18"/>
          <w:szCs w:val="18"/>
        </w:rPr>
      </w:pPr>
      <w:r w:rsidRPr="000135AB">
        <w:rPr>
          <w:rFonts w:ascii="Verdana" w:hAnsi="Verdana"/>
          <w:sz w:val="18"/>
          <w:szCs w:val="18"/>
        </w:rPr>
        <w:t>Régimen de consolidación fiscal (grupos fiscales): 222</w:t>
      </w:r>
    </w:p>
    <w:p w14:paraId="2CD17580"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IVA</w:t>
      </w:r>
    </w:p>
    <w:p w14:paraId="7A957D92"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Septiembre 2025. Declaración recapitulativa de operaciones intracomunitarias: 349</w:t>
      </w:r>
    </w:p>
    <w:p w14:paraId="53FF5495"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Tercer trimestre 2025. Autoliquidación: 303</w:t>
      </w:r>
    </w:p>
    <w:p w14:paraId="055CAC6D"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Tercer trimestre 2025. Declaración-liquidación no periódica: 309</w:t>
      </w:r>
    </w:p>
    <w:p w14:paraId="4F4F9256"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Tercer trimestre 2025. Declaración recapitulativa de operaciones intracomunitarias: 349</w:t>
      </w:r>
    </w:p>
    <w:p w14:paraId="3AADC4AF"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Tercer trimestre 2025. Operaciones asimiladas a las importaciones: 380</w:t>
      </w:r>
    </w:p>
    <w:p w14:paraId="375F4671"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Solicitud de devolución de cuotas reembolsadas a viajeros por empresarios en recargo de equivalencia: 308</w:t>
      </w:r>
    </w:p>
    <w:p w14:paraId="5D1E20DC" w14:textId="77777777" w:rsidR="00BA1BDE" w:rsidRPr="000135AB" w:rsidRDefault="00BA1BDE">
      <w:pPr>
        <w:numPr>
          <w:ilvl w:val="0"/>
          <w:numId w:val="5"/>
        </w:numPr>
        <w:ind w:right="-1"/>
        <w:jc w:val="both"/>
        <w:rPr>
          <w:rFonts w:ascii="Verdana" w:hAnsi="Verdana"/>
          <w:sz w:val="18"/>
          <w:szCs w:val="18"/>
        </w:rPr>
      </w:pPr>
      <w:r w:rsidRPr="000135AB">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67DF8085" w14:textId="77777777" w:rsidR="00BA1BDE" w:rsidRDefault="00BA1BDE">
      <w:pPr>
        <w:numPr>
          <w:ilvl w:val="0"/>
          <w:numId w:val="5"/>
        </w:numPr>
        <w:ind w:right="-1"/>
        <w:jc w:val="both"/>
        <w:rPr>
          <w:rFonts w:ascii="Verdana" w:hAnsi="Verdana"/>
          <w:sz w:val="18"/>
          <w:szCs w:val="18"/>
        </w:rPr>
      </w:pPr>
      <w:r w:rsidRPr="000135AB">
        <w:rPr>
          <w:rFonts w:ascii="Verdana" w:hAnsi="Verdana"/>
          <w:sz w:val="18"/>
          <w:szCs w:val="18"/>
        </w:rPr>
        <w:t>Reintegro de compensaciones en el régimen especial de la agricultura, ganadería y pesca: 341</w:t>
      </w:r>
    </w:p>
    <w:p w14:paraId="14D01128" w14:textId="77777777" w:rsidR="003F1FE4" w:rsidRPr="000135AB" w:rsidRDefault="003F1FE4" w:rsidP="003F1FE4">
      <w:pPr>
        <w:ind w:left="720" w:right="-1"/>
        <w:jc w:val="both"/>
        <w:rPr>
          <w:rFonts w:ascii="Verdana" w:hAnsi="Verdana"/>
          <w:sz w:val="18"/>
          <w:szCs w:val="18"/>
        </w:rPr>
      </w:pPr>
    </w:p>
    <w:p w14:paraId="04525E0A"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 sobre las Primas de Seguros</w:t>
      </w:r>
    </w:p>
    <w:p w14:paraId="66EE5270" w14:textId="77777777" w:rsidR="00BA1BDE" w:rsidRPr="000135AB" w:rsidRDefault="00BA1BDE">
      <w:pPr>
        <w:numPr>
          <w:ilvl w:val="0"/>
          <w:numId w:val="6"/>
        </w:numPr>
        <w:ind w:right="-1"/>
        <w:jc w:val="both"/>
        <w:rPr>
          <w:rFonts w:ascii="Verdana" w:hAnsi="Verdana"/>
          <w:sz w:val="18"/>
          <w:szCs w:val="18"/>
        </w:rPr>
      </w:pPr>
      <w:r w:rsidRPr="000135AB">
        <w:rPr>
          <w:rFonts w:ascii="Verdana" w:hAnsi="Verdana"/>
          <w:sz w:val="18"/>
          <w:szCs w:val="18"/>
        </w:rPr>
        <w:t>Septiembre 2025: 430</w:t>
      </w:r>
    </w:p>
    <w:p w14:paraId="39B84740" w14:textId="77777777" w:rsidR="003F1FE4" w:rsidRDefault="003F1FE4" w:rsidP="00BA1BDE">
      <w:pPr>
        <w:ind w:right="-1"/>
        <w:jc w:val="both"/>
        <w:rPr>
          <w:rFonts w:ascii="Verdana" w:hAnsi="Verdana"/>
          <w:b/>
          <w:bCs/>
          <w:color w:val="800000"/>
          <w:w w:val="95"/>
          <w:sz w:val="18"/>
          <w:szCs w:val="18"/>
        </w:rPr>
      </w:pPr>
    </w:p>
    <w:p w14:paraId="5FDD845A" w14:textId="0A88B5EF"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Impuestos Especiales de Fabricación</w:t>
      </w:r>
    </w:p>
    <w:p w14:paraId="502B5F97"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Julio 2025. Grandes empresas: 561, 562, 563</w:t>
      </w:r>
    </w:p>
    <w:p w14:paraId="2AFEF71A"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Septiembre 2025: 548, 566, 581</w:t>
      </w:r>
    </w:p>
    <w:p w14:paraId="125A72B8"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Septiembre 2025: 573 (Autoliquidación), A24 (Solicitud de devolución)</w:t>
      </w:r>
    </w:p>
    <w:p w14:paraId="32EFC141"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Tercer trimestre 2025: 521, 522, 547</w:t>
      </w:r>
    </w:p>
    <w:p w14:paraId="32D5AE3C"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Tercer trimestre 2025. Actividades V1, F1: 553 (establecimientos autorizados para la llevanza de la contabilidad en soporte papel)</w:t>
      </w:r>
    </w:p>
    <w:p w14:paraId="4A8A028C"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Tercer trimestre 2025. Solicitudes de devolución: 506, 507, 508, 524, 572</w:t>
      </w:r>
    </w:p>
    <w:p w14:paraId="2B908B07" w14:textId="77777777" w:rsidR="00BA1BDE" w:rsidRPr="000135AB" w:rsidRDefault="00BA1BDE">
      <w:pPr>
        <w:numPr>
          <w:ilvl w:val="0"/>
          <w:numId w:val="7"/>
        </w:numPr>
        <w:ind w:right="-1"/>
        <w:jc w:val="both"/>
        <w:rPr>
          <w:rFonts w:ascii="Verdana" w:hAnsi="Verdana"/>
          <w:sz w:val="18"/>
          <w:szCs w:val="18"/>
        </w:rPr>
      </w:pPr>
      <w:r w:rsidRPr="000135AB">
        <w:rPr>
          <w:rFonts w:ascii="Verdana" w:hAnsi="Verdana"/>
          <w:sz w:val="18"/>
          <w:szCs w:val="18"/>
        </w:rPr>
        <w:t>Declaración de operaciones por los destinatarios registrados y representantes fiscales: 510</w:t>
      </w:r>
    </w:p>
    <w:p w14:paraId="1B46907E" w14:textId="77777777" w:rsidR="003F1FE4" w:rsidRDefault="003F1FE4" w:rsidP="00BA1BDE">
      <w:pPr>
        <w:ind w:right="-1"/>
        <w:jc w:val="both"/>
        <w:rPr>
          <w:rFonts w:ascii="Verdana" w:hAnsi="Verdana"/>
          <w:b/>
          <w:bCs/>
          <w:color w:val="800000"/>
          <w:w w:val="95"/>
          <w:sz w:val="18"/>
          <w:szCs w:val="18"/>
        </w:rPr>
      </w:pPr>
    </w:p>
    <w:p w14:paraId="63326109" w14:textId="6D922948"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 Especial sobre la Electricidad</w:t>
      </w:r>
    </w:p>
    <w:p w14:paraId="1EC179C7" w14:textId="77777777" w:rsidR="00BA1BDE" w:rsidRPr="000135AB" w:rsidRDefault="00BA1BDE">
      <w:pPr>
        <w:numPr>
          <w:ilvl w:val="0"/>
          <w:numId w:val="8"/>
        </w:numPr>
        <w:ind w:right="-1"/>
        <w:jc w:val="both"/>
        <w:rPr>
          <w:rFonts w:ascii="Verdana" w:hAnsi="Verdana"/>
          <w:sz w:val="18"/>
          <w:szCs w:val="18"/>
        </w:rPr>
      </w:pPr>
      <w:r w:rsidRPr="000135AB">
        <w:rPr>
          <w:rFonts w:ascii="Verdana" w:hAnsi="Verdana"/>
          <w:sz w:val="18"/>
          <w:szCs w:val="18"/>
        </w:rPr>
        <w:t>Septiembre 2025. Grandes empresas: 560</w:t>
      </w:r>
    </w:p>
    <w:p w14:paraId="7F698328" w14:textId="77777777" w:rsidR="00BA1BDE" w:rsidRPr="000135AB" w:rsidRDefault="00BA1BDE">
      <w:pPr>
        <w:numPr>
          <w:ilvl w:val="0"/>
          <w:numId w:val="8"/>
        </w:numPr>
        <w:ind w:right="-1"/>
        <w:jc w:val="both"/>
        <w:rPr>
          <w:rFonts w:ascii="Verdana" w:hAnsi="Verdana"/>
          <w:sz w:val="18"/>
          <w:szCs w:val="18"/>
        </w:rPr>
      </w:pPr>
      <w:r w:rsidRPr="000135AB">
        <w:rPr>
          <w:rFonts w:ascii="Verdana" w:hAnsi="Verdana"/>
          <w:sz w:val="18"/>
          <w:szCs w:val="18"/>
        </w:rPr>
        <w:t>Tercer trimestre 2025. Excepto grandes empresas: 560</w:t>
      </w:r>
    </w:p>
    <w:p w14:paraId="181F9D07" w14:textId="77777777" w:rsidR="003F1FE4" w:rsidRDefault="003F1FE4" w:rsidP="00BA1BDE">
      <w:pPr>
        <w:ind w:right="-1"/>
        <w:jc w:val="both"/>
        <w:rPr>
          <w:rFonts w:ascii="Verdana" w:hAnsi="Verdana"/>
          <w:b/>
          <w:bCs/>
          <w:color w:val="800000"/>
          <w:w w:val="95"/>
          <w:sz w:val="18"/>
          <w:szCs w:val="18"/>
        </w:rPr>
      </w:pPr>
    </w:p>
    <w:p w14:paraId="0DD99AC2" w14:textId="7D21E373"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Impuestos Medioambientales</w:t>
      </w:r>
    </w:p>
    <w:p w14:paraId="7012B673" w14:textId="77777777" w:rsidR="00BA1BDE" w:rsidRPr="000135AB" w:rsidRDefault="00BA1BDE">
      <w:pPr>
        <w:numPr>
          <w:ilvl w:val="0"/>
          <w:numId w:val="9"/>
        </w:numPr>
        <w:ind w:right="-1"/>
        <w:jc w:val="both"/>
        <w:rPr>
          <w:rFonts w:ascii="Verdana" w:hAnsi="Verdana"/>
          <w:sz w:val="18"/>
          <w:szCs w:val="18"/>
        </w:rPr>
      </w:pPr>
      <w:r w:rsidRPr="000135AB">
        <w:rPr>
          <w:rFonts w:ascii="Verdana" w:hAnsi="Verdana"/>
          <w:sz w:val="18"/>
          <w:szCs w:val="18"/>
        </w:rPr>
        <w:t>Septiembre 2025. Impuesto especial sobre los envases de plástico no reutilizables. Autoliquidación: 592</w:t>
      </w:r>
    </w:p>
    <w:p w14:paraId="18EE5FE7" w14:textId="77777777" w:rsidR="00BA1BDE" w:rsidRPr="000135AB" w:rsidRDefault="00BA1BDE">
      <w:pPr>
        <w:numPr>
          <w:ilvl w:val="0"/>
          <w:numId w:val="9"/>
        </w:numPr>
        <w:ind w:right="-1"/>
        <w:jc w:val="both"/>
        <w:rPr>
          <w:rFonts w:ascii="Verdana" w:hAnsi="Verdana"/>
          <w:sz w:val="18"/>
          <w:szCs w:val="18"/>
        </w:rPr>
      </w:pPr>
      <w:r w:rsidRPr="000135AB">
        <w:rPr>
          <w:rFonts w:ascii="Verdana" w:hAnsi="Verdana"/>
          <w:sz w:val="18"/>
          <w:szCs w:val="18"/>
        </w:rPr>
        <w:t>Tercer trimestre 2025. Impuesto sobre los gases fluorados de efecto invernadero. Autoliquidación: 587. Solicitud de devolución: A23. Presentación contabilidad de existencias</w:t>
      </w:r>
    </w:p>
    <w:p w14:paraId="0BE1D9CB" w14:textId="77777777" w:rsidR="00BA1BDE" w:rsidRPr="000135AB" w:rsidRDefault="00BA1BDE">
      <w:pPr>
        <w:numPr>
          <w:ilvl w:val="0"/>
          <w:numId w:val="9"/>
        </w:numPr>
        <w:ind w:right="-1"/>
        <w:jc w:val="both"/>
        <w:rPr>
          <w:rFonts w:ascii="Verdana" w:hAnsi="Verdana"/>
          <w:sz w:val="18"/>
          <w:szCs w:val="18"/>
        </w:rPr>
      </w:pPr>
      <w:r w:rsidRPr="000135AB">
        <w:rPr>
          <w:rFonts w:ascii="Verdana" w:hAnsi="Verdana"/>
          <w:sz w:val="18"/>
          <w:szCs w:val="18"/>
        </w:rPr>
        <w:t>Tercer trimestre 2025. Impuesto especial sobre los envases de plástico no reutilizables. Autoliquidación: 592. Solicitud de devolución: A22</w:t>
      </w:r>
    </w:p>
    <w:p w14:paraId="726CEF0D" w14:textId="77777777" w:rsidR="00BA1BDE" w:rsidRPr="000135AB" w:rsidRDefault="00BA1BDE">
      <w:pPr>
        <w:numPr>
          <w:ilvl w:val="0"/>
          <w:numId w:val="9"/>
        </w:numPr>
        <w:ind w:right="-1"/>
        <w:jc w:val="both"/>
        <w:rPr>
          <w:rFonts w:ascii="Verdana" w:hAnsi="Verdana"/>
          <w:sz w:val="18"/>
          <w:szCs w:val="18"/>
        </w:rPr>
      </w:pPr>
      <w:r w:rsidRPr="000135AB">
        <w:rPr>
          <w:rFonts w:ascii="Verdana" w:hAnsi="Verdana"/>
          <w:sz w:val="18"/>
          <w:szCs w:val="18"/>
        </w:rPr>
        <w:t>Año 2025. Impuesto sobre el almacenamiento de combustible nuclear gastado y residuos radiactivos en instalaciones centralizadas. Tercer pago fraccionado: 585</w:t>
      </w:r>
    </w:p>
    <w:p w14:paraId="581BA94D" w14:textId="77777777" w:rsidR="00BA1BDE" w:rsidRPr="000135AB" w:rsidRDefault="00BA1BDE">
      <w:pPr>
        <w:numPr>
          <w:ilvl w:val="0"/>
          <w:numId w:val="9"/>
        </w:numPr>
        <w:ind w:right="-1"/>
        <w:jc w:val="both"/>
        <w:rPr>
          <w:rFonts w:ascii="Verdana" w:hAnsi="Verdana"/>
          <w:sz w:val="18"/>
          <w:szCs w:val="18"/>
        </w:rPr>
      </w:pPr>
      <w:r w:rsidRPr="000135AB">
        <w:rPr>
          <w:rFonts w:ascii="Verdana" w:hAnsi="Verdana"/>
          <w:sz w:val="18"/>
          <w:szCs w:val="18"/>
        </w:rPr>
        <w:t>Año 2025. Impuesto sobre el Valor de la Extracción de Gas, Petróleo y Condensados. Pago fraccionado: 589</w:t>
      </w:r>
    </w:p>
    <w:p w14:paraId="678EF0B9" w14:textId="77777777" w:rsidR="003F1FE4" w:rsidRDefault="003F1FE4" w:rsidP="00BA1BDE">
      <w:pPr>
        <w:ind w:right="-1"/>
        <w:jc w:val="both"/>
        <w:rPr>
          <w:rFonts w:ascii="Verdana" w:hAnsi="Verdana"/>
          <w:b/>
          <w:bCs/>
          <w:color w:val="800000"/>
          <w:w w:val="95"/>
          <w:sz w:val="18"/>
          <w:szCs w:val="18"/>
        </w:rPr>
      </w:pPr>
    </w:p>
    <w:p w14:paraId="383AD83F" w14:textId="0FD7DEE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 Especial sobre el Carbón</w:t>
      </w:r>
    </w:p>
    <w:p w14:paraId="4486CA98" w14:textId="77777777" w:rsidR="00BA1BDE" w:rsidRPr="000135AB" w:rsidRDefault="00BA1BDE">
      <w:pPr>
        <w:numPr>
          <w:ilvl w:val="0"/>
          <w:numId w:val="10"/>
        </w:numPr>
        <w:ind w:right="-1"/>
        <w:jc w:val="both"/>
        <w:rPr>
          <w:rFonts w:ascii="Verdana" w:hAnsi="Verdana"/>
          <w:sz w:val="18"/>
          <w:szCs w:val="18"/>
        </w:rPr>
      </w:pPr>
      <w:r w:rsidRPr="000135AB">
        <w:rPr>
          <w:rFonts w:ascii="Verdana" w:hAnsi="Verdana"/>
          <w:sz w:val="18"/>
          <w:szCs w:val="18"/>
        </w:rPr>
        <w:t>Tercer trimestre 2025: 595</w:t>
      </w:r>
    </w:p>
    <w:p w14:paraId="689A8BE7" w14:textId="77777777" w:rsidR="003F1FE4" w:rsidRDefault="003F1FE4" w:rsidP="00BA1BDE">
      <w:pPr>
        <w:ind w:right="-1"/>
        <w:jc w:val="both"/>
        <w:rPr>
          <w:rFonts w:ascii="Verdana" w:hAnsi="Verdana"/>
          <w:b/>
          <w:bCs/>
          <w:color w:val="800000"/>
          <w:w w:val="95"/>
          <w:sz w:val="18"/>
          <w:szCs w:val="18"/>
        </w:rPr>
      </w:pPr>
    </w:p>
    <w:p w14:paraId="0216FDAB" w14:textId="71B5DADF"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 sobre las Transacciones Financieras</w:t>
      </w:r>
    </w:p>
    <w:p w14:paraId="470E316F" w14:textId="77777777" w:rsidR="00BA1BDE" w:rsidRPr="000135AB" w:rsidRDefault="00BA1BDE">
      <w:pPr>
        <w:numPr>
          <w:ilvl w:val="0"/>
          <w:numId w:val="11"/>
        </w:numPr>
        <w:ind w:right="-1"/>
        <w:jc w:val="both"/>
        <w:rPr>
          <w:rFonts w:ascii="Verdana" w:hAnsi="Verdana"/>
          <w:sz w:val="18"/>
          <w:szCs w:val="18"/>
        </w:rPr>
      </w:pPr>
      <w:r w:rsidRPr="000135AB">
        <w:rPr>
          <w:rFonts w:ascii="Verdana" w:hAnsi="Verdana"/>
          <w:sz w:val="18"/>
          <w:szCs w:val="18"/>
        </w:rPr>
        <w:t>Septiembre 2025: 604</w:t>
      </w:r>
    </w:p>
    <w:p w14:paraId="7ACB0B50" w14:textId="77777777" w:rsidR="003F1FE4" w:rsidRDefault="003F1FE4" w:rsidP="00BA1BDE">
      <w:pPr>
        <w:ind w:right="-1"/>
        <w:jc w:val="both"/>
        <w:rPr>
          <w:rFonts w:ascii="Verdana" w:hAnsi="Verdana"/>
          <w:b/>
          <w:bCs/>
          <w:color w:val="800000"/>
          <w:w w:val="95"/>
          <w:sz w:val="18"/>
          <w:szCs w:val="18"/>
        </w:rPr>
      </w:pPr>
    </w:p>
    <w:p w14:paraId="068B3E88" w14:textId="0BF61688"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Aportación a realizar por los prestadores del servicio de comunicación audiovisual televisivo y por los prestadores del servicio de intercambio de vídeos a través de plataforma de ámbito geográfico estatal o superior al de una Comunidad Autónoma</w:t>
      </w:r>
    </w:p>
    <w:p w14:paraId="26EA8B4C" w14:textId="77777777" w:rsidR="00BA1BDE" w:rsidRPr="000135AB" w:rsidRDefault="00BA1BDE">
      <w:pPr>
        <w:numPr>
          <w:ilvl w:val="0"/>
          <w:numId w:val="12"/>
        </w:numPr>
        <w:ind w:right="-1"/>
        <w:jc w:val="both"/>
        <w:rPr>
          <w:rFonts w:ascii="Verdana" w:hAnsi="Verdana"/>
          <w:sz w:val="18"/>
          <w:szCs w:val="18"/>
        </w:rPr>
      </w:pPr>
      <w:r w:rsidRPr="000135AB">
        <w:rPr>
          <w:rFonts w:ascii="Verdana" w:hAnsi="Verdana"/>
          <w:sz w:val="18"/>
          <w:szCs w:val="18"/>
        </w:rPr>
        <w:t>Pago a cuenta 3P 2025: 793</w:t>
      </w:r>
    </w:p>
    <w:p w14:paraId="63680E46" w14:textId="77777777" w:rsidR="00BA1BDE" w:rsidRPr="000135AB" w:rsidRDefault="00BA1BDE" w:rsidP="00BA1BDE">
      <w:pPr>
        <w:ind w:right="-1"/>
        <w:jc w:val="both"/>
        <w:rPr>
          <w:rFonts w:ascii="Verdana" w:hAnsi="Verdana"/>
          <w:sz w:val="18"/>
          <w:szCs w:val="18"/>
        </w:rPr>
      </w:pPr>
    </w:p>
    <w:p w14:paraId="2C370C84" w14:textId="21F46207" w:rsidR="00BA1BDE" w:rsidRPr="003F1FE4" w:rsidRDefault="003F1FE4"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HASTA EL 30 DE OCTUBRE</w:t>
      </w:r>
    </w:p>
    <w:p w14:paraId="56E7EE48"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IVA</w:t>
      </w:r>
    </w:p>
    <w:p w14:paraId="1AAD2131" w14:textId="77777777" w:rsidR="00BA1BDE" w:rsidRPr="000135AB" w:rsidRDefault="00BA1BDE">
      <w:pPr>
        <w:numPr>
          <w:ilvl w:val="0"/>
          <w:numId w:val="13"/>
        </w:numPr>
        <w:ind w:right="-1"/>
        <w:jc w:val="both"/>
        <w:rPr>
          <w:rFonts w:ascii="Verdana" w:hAnsi="Verdana"/>
          <w:sz w:val="18"/>
          <w:szCs w:val="18"/>
        </w:rPr>
      </w:pPr>
      <w:r w:rsidRPr="000135AB">
        <w:rPr>
          <w:rFonts w:ascii="Verdana" w:hAnsi="Verdana"/>
          <w:sz w:val="18"/>
          <w:szCs w:val="18"/>
        </w:rPr>
        <w:t>Septiembre 2025. Autoliquidación: 303</w:t>
      </w:r>
    </w:p>
    <w:p w14:paraId="7EDF10E4" w14:textId="77777777" w:rsidR="00BA1BDE" w:rsidRPr="000135AB" w:rsidRDefault="00BA1BDE">
      <w:pPr>
        <w:numPr>
          <w:ilvl w:val="0"/>
          <w:numId w:val="13"/>
        </w:numPr>
        <w:ind w:right="-1"/>
        <w:jc w:val="both"/>
        <w:rPr>
          <w:rFonts w:ascii="Verdana" w:hAnsi="Verdana"/>
          <w:sz w:val="18"/>
          <w:szCs w:val="18"/>
        </w:rPr>
      </w:pPr>
      <w:r w:rsidRPr="000135AB">
        <w:rPr>
          <w:rFonts w:ascii="Verdana" w:hAnsi="Verdana"/>
          <w:sz w:val="18"/>
          <w:szCs w:val="18"/>
        </w:rPr>
        <w:t>Septiembre 2025. Grupo de entidades, modelo individual: 322</w:t>
      </w:r>
    </w:p>
    <w:p w14:paraId="4E97EE97" w14:textId="77777777" w:rsidR="00BA1BDE" w:rsidRPr="000135AB" w:rsidRDefault="00BA1BDE">
      <w:pPr>
        <w:numPr>
          <w:ilvl w:val="0"/>
          <w:numId w:val="13"/>
        </w:numPr>
        <w:ind w:right="-1"/>
        <w:jc w:val="both"/>
        <w:rPr>
          <w:rFonts w:ascii="Verdana" w:hAnsi="Verdana"/>
          <w:sz w:val="18"/>
          <w:szCs w:val="18"/>
        </w:rPr>
      </w:pPr>
      <w:r w:rsidRPr="000135AB">
        <w:rPr>
          <w:rFonts w:ascii="Verdana" w:hAnsi="Verdana"/>
          <w:sz w:val="18"/>
          <w:szCs w:val="18"/>
        </w:rPr>
        <w:t>Septiembre 2025. Grupo de entidades, modelo agregado: 353</w:t>
      </w:r>
    </w:p>
    <w:p w14:paraId="35A9091F" w14:textId="77777777" w:rsidR="00BA1BDE" w:rsidRPr="000135AB" w:rsidRDefault="00BA1BDE">
      <w:pPr>
        <w:numPr>
          <w:ilvl w:val="0"/>
          <w:numId w:val="13"/>
        </w:numPr>
        <w:ind w:right="-1"/>
        <w:jc w:val="both"/>
        <w:rPr>
          <w:rFonts w:ascii="Verdana" w:hAnsi="Verdana"/>
          <w:sz w:val="18"/>
          <w:szCs w:val="18"/>
        </w:rPr>
      </w:pPr>
      <w:r w:rsidRPr="000135AB">
        <w:rPr>
          <w:rFonts w:ascii="Verdana" w:hAnsi="Verdana"/>
          <w:sz w:val="18"/>
          <w:szCs w:val="18"/>
        </w:rPr>
        <w:t>Septiembre 2025. Operaciones asimiladas a las importaciones: 380</w:t>
      </w:r>
    </w:p>
    <w:p w14:paraId="2B0D7370" w14:textId="77777777" w:rsidR="003F1FE4" w:rsidRDefault="003F1FE4" w:rsidP="00BA1BDE">
      <w:pPr>
        <w:ind w:right="-1"/>
        <w:jc w:val="both"/>
        <w:rPr>
          <w:rFonts w:ascii="Verdana" w:hAnsi="Verdana"/>
          <w:b/>
          <w:bCs/>
          <w:color w:val="800000"/>
          <w:w w:val="95"/>
          <w:sz w:val="18"/>
          <w:szCs w:val="18"/>
        </w:rPr>
      </w:pPr>
    </w:p>
    <w:p w14:paraId="30CFC42D" w14:textId="5A7DE6D6"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Impuestos Medioambientales</w:t>
      </w:r>
    </w:p>
    <w:p w14:paraId="2DA5CAFD" w14:textId="77777777" w:rsidR="00BA1BDE" w:rsidRPr="000135AB" w:rsidRDefault="00BA1BDE">
      <w:pPr>
        <w:numPr>
          <w:ilvl w:val="0"/>
          <w:numId w:val="14"/>
        </w:numPr>
        <w:ind w:right="-1"/>
        <w:jc w:val="both"/>
        <w:rPr>
          <w:rFonts w:ascii="Verdana" w:hAnsi="Verdana"/>
          <w:sz w:val="18"/>
          <w:szCs w:val="18"/>
        </w:rPr>
      </w:pPr>
      <w:r w:rsidRPr="000135AB">
        <w:rPr>
          <w:rFonts w:ascii="Verdana" w:hAnsi="Verdana"/>
          <w:sz w:val="18"/>
          <w:szCs w:val="18"/>
        </w:rPr>
        <w:t>Tercer trimestre 2025. Impuesto sobre el depósito de residuos en vertederos, la incineración y la coincineración de residuos. Autoliquidación: 593</w:t>
      </w:r>
    </w:p>
    <w:p w14:paraId="540C85C5" w14:textId="77777777" w:rsidR="00BA1BDE" w:rsidRPr="000135AB" w:rsidRDefault="00BA1BDE" w:rsidP="00BA1BDE">
      <w:pPr>
        <w:ind w:right="-1"/>
        <w:jc w:val="both"/>
        <w:rPr>
          <w:rFonts w:ascii="Verdana" w:hAnsi="Verdana"/>
          <w:sz w:val="18"/>
          <w:szCs w:val="18"/>
        </w:rPr>
      </w:pPr>
    </w:p>
    <w:p w14:paraId="54F15938" w14:textId="2C852677" w:rsidR="00BA1BDE" w:rsidRPr="003F1FE4" w:rsidRDefault="003F1FE4"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HASTA EL 31 DE OCTUBRE</w:t>
      </w:r>
    </w:p>
    <w:p w14:paraId="62C918D3" w14:textId="77777777" w:rsidR="003F1FE4" w:rsidRDefault="003F1FE4" w:rsidP="00BA1BDE">
      <w:pPr>
        <w:ind w:right="-1"/>
        <w:jc w:val="both"/>
        <w:rPr>
          <w:rFonts w:ascii="Verdana" w:hAnsi="Verdana"/>
          <w:b/>
          <w:bCs/>
          <w:color w:val="800000"/>
          <w:w w:val="95"/>
          <w:sz w:val="18"/>
          <w:szCs w:val="18"/>
        </w:rPr>
      </w:pPr>
    </w:p>
    <w:p w14:paraId="49F8A6D0" w14:textId="3E126568"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Número de Identificación Fiscal</w:t>
      </w:r>
    </w:p>
    <w:p w14:paraId="632461DC" w14:textId="77777777" w:rsidR="00BA1BDE" w:rsidRPr="000135AB" w:rsidRDefault="00BA1BDE">
      <w:pPr>
        <w:numPr>
          <w:ilvl w:val="0"/>
          <w:numId w:val="15"/>
        </w:numPr>
        <w:ind w:right="-1"/>
        <w:jc w:val="both"/>
        <w:rPr>
          <w:rFonts w:ascii="Verdana" w:hAnsi="Verdana"/>
          <w:sz w:val="18"/>
          <w:szCs w:val="18"/>
        </w:rPr>
      </w:pPr>
      <w:r w:rsidRPr="000135AB">
        <w:rPr>
          <w:rFonts w:ascii="Verdana" w:hAnsi="Verdana"/>
          <w:sz w:val="18"/>
          <w:szCs w:val="18"/>
        </w:rPr>
        <w:t>Tercer trimestre 2025. Cuentas y operaciones cuyos titulares no han facilitado el NIF a las entidades de crédito: 195</w:t>
      </w:r>
    </w:p>
    <w:p w14:paraId="05CB2F22"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IVA</w:t>
      </w:r>
    </w:p>
    <w:p w14:paraId="5EDBE8A4" w14:textId="77777777" w:rsidR="00BA1BDE" w:rsidRPr="000135AB" w:rsidRDefault="00BA1BDE">
      <w:pPr>
        <w:numPr>
          <w:ilvl w:val="0"/>
          <w:numId w:val="16"/>
        </w:numPr>
        <w:ind w:right="-1"/>
        <w:jc w:val="both"/>
        <w:rPr>
          <w:rFonts w:ascii="Verdana" w:hAnsi="Verdana"/>
          <w:sz w:val="18"/>
          <w:szCs w:val="18"/>
        </w:rPr>
      </w:pPr>
      <w:r w:rsidRPr="000135AB">
        <w:rPr>
          <w:rFonts w:ascii="Verdana" w:hAnsi="Verdana"/>
          <w:sz w:val="18"/>
          <w:szCs w:val="18"/>
        </w:rPr>
        <w:t>Septiembre 2025. Ventanilla única - Régimen de importación: 369</w:t>
      </w:r>
    </w:p>
    <w:p w14:paraId="3578CBBF" w14:textId="77777777" w:rsidR="00BA1BDE" w:rsidRPr="000135AB" w:rsidRDefault="00BA1BDE">
      <w:pPr>
        <w:numPr>
          <w:ilvl w:val="0"/>
          <w:numId w:val="16"/>
        </w:numPr>
        <w:ind w:right="-1"/>
        <w:jc w:val="both"/>
        <w:rPr>
          <w:rFonts w:ascii="Verdana" w:hAnsi="Verdana"/>
          <w:sz w:val="18"/>
          <w:szCs w:val="18"/>
        </w:rPr>
      </w:pPr>
      <w:r w:rsidRPr="000135AB">
        <w:rPr>
          <w:rFonts w:ascii="Verdana" w:hAnsi="Verdana"/>
          <w:sz w:val="18"/>
          <w:szCs w:val="18"/>
        </w:rPr>
        <w:t>Tercer trimestre 2025. Ventanilla única – Regímenes exterior y de la Unión: 369</w:t>
      </w:r>
    </w:p>
    <w:p w14:paraId="07DA8817" w14:textId="77777777" w:rsidR="003F1FE4" w:rsidRDefault="003F1FE4" w:rsidP="00BA1BDE">
      <w:pPr>
        <w:ind w:right="-1"/>
        <w:jc w:val="both"/>
        <w:rPr>
          <w:rFonts w:ascii="Verdana" w:hAnsi="Verdana"/>
          <w:b/>
          <w:bCs/>
          <w:color w:val="800000"/>
          <w:w w:val="95"/>
          <w:sz w:val="18"/>
          <w:szCs w:val="18"/>
        </w:rPr>
      </w:pPr>
    </w:p>
    <w:p w14:paraId="762D3500" w14:textId="57CA52E2"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Impuestos sobre Determinados Servicios Digitales</w:t>
      </w:r>
    </w:p>
    <w:p w14:paraId="3F57404E" w14:textId="77777777" w:rsidR="00BA1BDE" w:rsidRPr="000135AB" w:rsidRDefault="00BA1BDE">
      <w:pPr>
        <w:numPr>
          <w:ilvl w:val="0"/>
          <w:numId w:val="17"/>
        </w:numPr>
        <w:ind w:right="-1"/>
        <w:jc w:val="both"/>
        <w:rPr>
          <w:rFonts w:ascii="Verdana" w:hAnsi="Verdana"/>
          <w:sz w:val="18"/>
          <w:szCs w:val="18"/>
        </w:rPr>
      </w:pPr>
      <w:r w:rsidRPr="000135AB">
        <w:rPr>
          <w:rFonts w:ascii="Verdana" w:hAnsi="Verdana"/>
          <w:sz w:val="18"/>
          <w:szCs w:val="18"/>
        </w:rPr>
        <w:t>Tercer trimestre 2025: 490</w:t>
      </w:r>
    </w:p>
    <w:p w14:paraId="4CB06B21" w14:textId="77777777" w:rsidR="003F1FE4" w:rsidRDefault="003F1FE4" w:rsidP="00BA1BDE">
      <w:pPr>
        <w:ind w:right="-1"/>
        <w:jc w:val="both"/>
        <w:rPr>
          <w:rFonts w:ascii="Verdana" w:hAnsi="Verdana"/>
          <w:b/>
          <w:bCs/>
          <w:color w:val="800000"/>
          <w:w w:val="95"/>
          <w:sz w:val="18"/>
          <w:szCs w:val="18"/>
        </w:rPr>
      </w:pPr>
    </w:p>
    <w:p w14:paraId="1BABB109" w14:textId="77777777" w:rsidR="003F1FE4" w:rsidRDefault="003F1FE4" w:rsidP="00BA1BDE">
      <w:pPr>
        <w:ind w:right="-1"/>
        <w:jc w:val="both"/>
        <w:rPr>
          <w:rFonts w:ascii="Verdana" w:hAnsi="Verdana"/>
          <w:b/>
          <w:bCs/>
          <w:color w:val="800000"/>
          <w:w w:val="95"/>
          <w:sz w:val="18"/>
          <w:szCs w:val="18"/>
        </w:rPr>
      </w:pPr>
    </w:p>
    <w:p w14:paraId="13CDF4CA" w14:textId="77777777" w:rsidR="003F1FE4" w:rsidRDefault="003F1FE4" w:rsidP="00BA1BDE">
      <w:pPr>
        <w:ind w:right="-1"/>
        <w:jc w:val="both"/>
        <w:rPr>
          <w:rFonts w:ascii="Verdana" w:hAnsi="Verdana"/>
          <w:b/>
          <w:bCs/>
          <w:color w:val="800000"/>
          <w:w w:val="95"/>
          <w:sz w:val="18"/>
          <w:szCs w:val="18"/>
        </w:rPr>
      </w:pPr>
    </w:p>
    <w:p w14:paraId="114ABB31" w14:textId="65A3819E"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Impuestos Medioambientales</w:t>
      </w:r>
    </w:p>
    <w:p w14:paraId="7AFC0BE2" w14:textId="77777777" w:rsidR="00BA1BDE" w:rsidRPr="000135AB" w:rsidRDefault="00BA1BDE">
      <w:pPr>
        <w:numPr>
          <w:ilvl w:val="0"/>
          <w:numId w:val="18"/>
        </w:numPr>
        <w:ind w:right="-1"/>
        <w:jc w:val="both"/>
        <w:rPr>
          <w:rFonts w:ascii="Verdana" w:hAnsi="Verdana"/>
          <w:sz w:val="18"/>
          <w:szCs w:val="18"/>
        </w:rPr>
      </w:pPr>
      <w:r w:rsidRPr="000135AB">
        <w:rPr>
          <w:rFonts w:ascii="Verdana" w:hAnsi="Verdana"/>
          <w:sz w:val="18"/>
          <w:szCs w:val="18"/>
        </w:rPr>
        <w:t>Septiembre 2025. Impuesto especial sobre los envases de plástico no reutilizables. Presentación contabilidad y libro registro de existencias</w:t>
      </w:r>
    </w:p>
    <w:p w14:paraId="3260C913" w14:textId="77777777" w:rsidR="00BA1BDE" w:rsidRPr="000135AB" w:rsidRDefault="00BA1BDE">
      <w:pPr>
        <w:numPr>
          <w:ilvl w:val="0"/>
          <w:numId w:val="18"/>
        </w:numPr>
        <w:ind w:right="-1"/>
        <w:jc w:val="both"/>
        <w:rPr>
          <w:rFonts w:ascii="Verdana" w:hAnsi="Verdana"/>
          <w:sz w:val="18"/>
          <w:szCs w:val="18"/>
        </w:rPr>
      </w:pPr>
      <w:r w:rsidRPr="003F1FE4">
        <w:rPr>
          <w:rFonts w:ascii="Verdana" w:hAnsi="Verdana"/>
          <w:sz w:val="18"/>
          <w:szCs w:val="18"/>
        </w:rPr>
        <w:t>Tercer trimestre 2025. Impuesto especial sobre los envases de plástico no</w:t>
      </w:r>
      <w:r w:rsidRPr="000135AB">
        <w:rPr>
          <w:rFonts w:ascii="Verdana" w:hAnsi="Verdana"/>
          <w:sz w:val="18"/>
          <w:szCs w:val="18"/>
        </w:rPr>
        <w:t xml:space="preserve"> reutilizables. Presentación contabilidad y libro registro de existencias</w:t>
      </w:r>
    </w:p>
    <w:p w14:paraId="622557B5" w14:textId="77777777" w:rsidR="003F1FE4" w:rsidRDefault="003F1FE4" w:rsidP="00BA1BDE">
      <w:pPr>
        <w:ind w:right="-1"/>
        <w:jc w:val="both"/>
        <w:rPr>
          <w:rFonts w:ascii="Verdana" w:hAnsi="Verdana"/>
          <w:b/>
          <w:bCs/>
          <w:color w:val="800000"/>
          <w:w w:val="95"/>
          <w:sz w:val="18"/>
          <w:szCs w:val="18"/>
        </w:rPr>
      </w:pPr>
    </w:p>
    <w:p w14:paraId="460EAE00" w14:textId="270ABDF0"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Declaración informativa de actualización de determinados mecanismos transfronterizos comercializables</w:t>
      </w:r>
    </w:p>
    <w:p w14:paraId="3C361682" w14:textId="77777777" w:rsidR="00BA1BDE" w:rsidRPr="000135AB" w:rsidRDefault="00BA1BDE">
      <w:pPr>
        <w:numPr>
          <w:ilvl w:val="0"/>
          <w:numId w:val="19"/>
        </w:numPr>
        <w:ind w:right="-1"/>
        <w:jc w:val="both"/>
        <w:rPr>
          <w:rFonts w:ascii="Verdana" w:hAnsi="Verdana"/>
          <w:sz w:val="18"/>
          <w:szCs w:val="18"/>
        </w:rPr>
      </w:pPr>
      <w:r w:rsidRPr="000135AB">
        <w:rPr>
          <w:rFonts w:ascii="Verdana" w:hAnsi="Verdana"/>
          <w:sz w:val="18"/>
          <w:szCs w:val="18"/>
        </w:rPr>
        <w:t>Tercer trimestre 2024: 235</w:t>
      </w:r>
    </w:p>
    <w:p w14:paraId="74981571" w14:textId="77777777" w:rsidR="003F1FE4" w:rsidRDefault="003F1FE4" w:rsidP="00BA1BDE">
      <w:pPr>
        <w:ind w:right="-1"/>
        <w:jc w:val="both"/>
        <w:rPr>
          <w:rFonts w:ascii="Verdana" w:hAnsi="Verdana"/>
          <w:b/>
          <w:bCs/>
          <w:color w:val="800000"/>
          <w:w w:val="95"/>
          <w:sz w:val="18"/>
          <w:szCs w:val="18"/>
        </w:rPr>
      </w:pPr>
    </w:p>
    <w:p w14:paraId="020A5145" w14:textId="4DA2AB72"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Declaración informativa trimestral de operaciones de comercio de bienes corporales realizadas en la zona especial canaria sin que las mercancías transiten por territorio canario</w:t>
      </w:r>
    </w:p>
    <w:p w14:paraId="60DC87F3" w14:textId="77777777" w:rsidR="00BA1BDE" w:rsidRPr="000135AB" w:rsidRDefault="00BA1BDE">
      <w:pPr>
        <w:numPr>
          <w:ilvl w:val="0"/>
          <w:numId w:val="20"/>
        </w:numPr>
        <w:ind w:right="-1"/>
        <w:jc w:val="both"/>
        <w:rPr>
          <w:rFonts w:ascii="Verdana" w:hAnsi="Verdana"/>
          <w:sz w:val="18"/>
          <w:szCs w:val="18"/>
        </w:rPr>
      </w:pPr>
      <w:r w:rsidRPr="000135AB">
        <w:rPr>
          <w:rFonts w:ascii="Verdana" w:hAnsi="Verdana"/>
          <w:sz w:val="18"/>
          <w:szCs w:val="18"/>
        </w:rPr>
        <w:t>Tercer trimestre 2025: 281</w:t>
      </w:r>
    </w:p>
    <w:p w14:paraId="65A4708F" w14:textId="77777777" w:rsidR="003F1FE4" w:rsidRDefault="003F1FE4" w:rsidP="00BA1BDE">
      <w:pPr>
        <w:ind w:right="-1"/>
        <w:jc w:val="both"/>
        <w:rPr>
          <w:rFonts w:ascii="Verdana" w:hAnsi="Verdana"/>
          <w:b/>
          <w:bCs/>
          <w:color w:val="800000"/>
          <w:w w:val="95"/>
          <w:sz w:val="18"/>
          <w:szCs w:val="18"/>
        </w:rPr>
      </w:pPr>
    </w:p>
    <w:p w14:paraId="075864DA" w14:textId="097B98E0"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Declaración informativa sobre pagos transfronterizos</w:t>
      </w:r>
    </w:p>
    <w:p w14:paraId="6521B511" w14:textId="77777777" w:rsidR="00BA1BDE" w:rsidRPr="000135AB" w:rsidRDefault="00BA1BDE">
      <w:pPr>
        <w:numPr>
          <w:ilvl w:val="0"/>
          <w:numId w:val="21"/>
        </w:numPr>
        <w:ind w:right="-1"/>
        <w:jc w:val="both"/>
        <w:rPr>
          <w:rFonts w:ascii="Verdana" w:hAnsi="Verdana"/>
          <w:sz w:val="18"/>
          <w:szCs w:val="18"/>
        </w:rPr>
      </w:pPr>
      <w:r w:rsidRPr="000135AB">
        <w:rPr>
          <w:rFonts w:ascii="Verdana" w:hAnsi="Verdana"/>
          <w:sz w:val="18"/>
          <w:szCs w:val="18"/>
        </w:rPr>
        <w:t>Tercer trimestre 2025: 379</w:t>
      </w:r>
    </w:p>
    <w:p w14:paraId="57B1AFF8" w14:textId="77777777" w:rsidR="003F1FE4" w:rsidRDefault="003F1FE4" w:rsidP="00BA1BDE">
      <w:pPr>
        <w:ind w:right="-1"/>
        <w:jc w:val="both"/>
        <w:rPr>
          <w:rFonts w:ascii="Verdana" w:hAnsi="Verdana"/>
          <w:b/>
          <w:bCs/>
          <w:color w:val="800000"/>
          <w:w w:val="95"/>
          <w:sz w:val="18"/>
          <w:szCs w:val="18"/>
        </w:rPr>
      </w:pPr>
    </w:p>
    <w:p w14:paraId="592C3E04" w14:textId="707F1E13"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Cuenta Corriente Tributaria</w:t>
      </w:r>
    </w:p>
    <w:p w14:paraId="11540E6D" w14:textId="77777777" w:rsidR="00BA1BDE" w:rsidRPr="000135AB" w:rsidRDefault="00BA1BDE">
      <w:pPr>
        <w:numPr>
          <w:ilvl w:val="0"/>
          <w:numId w:val="22"/>
        </w:numPr>
        <w:ind w:right="-1"/>
        <w:jc w:val="both"/>
        <w:rPr>
          <w:rFonts w:ascii="Verdana" w:hAnsi="Verdana"/>
          <w:sz w:val="18"/>
          <w:szCs w:val="18"/>
        </w:rPr>
      </w:pPr>
      <w:r w:rsidRPr="000135AB">
        <w:rPr>
          <w:rFonts w:ascii="Verdana" w:hAnsi="Verdana"/>
          <w:sz w:val="18"/>
          <w:szCs w:val="18"/>
        </w:rPr>
        <w:t>Solicitud de inclusión para el año 2026: CCT (Cuenta Corriente Tributaria)</w:t>
      </w:r>
    </w:p>
    <w:p w14:paraId="19B98194" w14:textId="77777777" w:rsidR="00BA1BDE" w:rsidRPr="000135AB" w:rsidRDefault="00BA1BDE" w:rsidP="00BA1BDE">
      <w:pPr>
        <w:ind w:right="-1"/>
        <w:jc w:val="both"/>
        <w:rPr>
          <w:rFonts w:ascii="Verdana" w:hAnsi="Verdana"/>
          <w:sz w:val="18"/>
          <w:szCs w:val="18"/>
        </w:rPr>
      </w:pPr>
    </w:p>
    <w:p w14:paraId="589E4A32" w14:textId="00CB9197" w:rsidR="00BA1BDE" w:rsidRPr="003F1FE4" w:rsidRDefault="003F1FE4"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HASTA EL 5 DE NOVIEMBRE</w:t>
      </w:r>
    </w:p>
    <w:p w14:paraId="4B914996" w14:textId="77777777" w:rsidR="00BA1BDE" w:rsidRPr="003F1FE4" w:rsidRDefault="00BA1BDE" w:rsidP="00BA1BDE">
      <w:pPr>
        <w:ind w:right="-1"/>
        <w:jc w:val="both"/>
        <w:rPr>
          <w:rFonts w:ascii="Verdana" w:hAnsi="Verdana"/>
          <w:b/>
          <w:bCs/>
          <w:color w:val="800000"/>
          <w:w w:val="95"/>
          <w:sz w:val="18"/>
          <w:szCs w:val="18"/>
        </w:rPr>
      </w:pPr>
      <w:r w:rsidRPr="003F1FE4">
        <w:rPr>
          <w:rFonts w:ascii="Verdana" w:hAnsi="Verdana"/>
          <w:b/>
          <w:bCs/>
          <w:color w:val="800000"/>
          <w:w w:val="95"/>
          <w:sz w:val="18"/>
          <w:szCs w:val="18"/>
        </w:rPr>
        <w:t>Renta</w:t>
      </w:r>
    </w:p>
    <w:p w14:paraId="1FC0EF23" w14:textId="77777777" w:rsidR="00BA1BDE" w:rsidRPr="000135AB" w:rsidRDefault="00BA1BDE">
      <w:pPr>
        <w:numPr>
          <w:ilvl w:val="0"/>
          <w:numId w:val="23"/>
        </w:numPr>
        <w:ind w:right="-1"/>
        <w:jc w:val="both"/>
        <w:rPr>
          <w:rFonts w:ascii="Verdana" w:hAnsi="Verdana"/>
          <w:sz w:val="18"/>
          <w:szCs w:val="18"/>
        </w:rPr>
      </w:pPr>
      <w:r w:rsidRPr="000135AB">
        <w:rPr>
          <w:rFonts w:ascii="Verdana" w:hAnsi="Verdana"/>
          <w:sz w:val="18"/>
          <w:szCs w:val="18"/>
        </w:rPr>
        <w:t>Ingreso del segundo plazo de la declaración anual de 2024, si se fraccionó el pago: 102</w:t>
      </w:r>
    </w:p>
    <w:p w14:paraId="69033126" w14:textId="77777777" w:rsidR="00BA1BDE" w:rsidRDefault="00BA1BDE" w:rsidP="00BA1BDE">
      <w:pPr>
        <w:ind w:right="-1"/>
        <w:jc w:val="both"/>
        <w:rPr>
          <w:rFonts w:ascii="Verdana" w:hAnsi="Verdana"/>
          <w:b/>
          <w:bCs/>
          <w:color w:val="800000"/>
          <w:sz w:val="22"/>
          <w:szCs w:val="22"/>
        </w:rPr>
      </w:pPr>
    </w:p>
    <w:sectPr w:rsidR="00BA1BDE" w:rsidSect="007C7ACC">
      <w:pgSz w:w="11906" w:h="16838"/>
      <w:pgMar w:top="2836" w:right="1701" w:bottom="1701"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62D9" w14:textId="77777777" w:rsidR="00636947" w:rsidRDefault="00636947">
      <w:r>
        <w:separator/>
      </w:r>
    </w:p>
  </w:endnote>
  <w:endnote w:type="continuationSeparator" w:id="0">
    <w:p w14:paraId="484135BC" w14:textId="77777777" w:rsidR="00636947" w:rsidRDefault="0063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17CC" w14:textId="77777777" w:rsidR="00636947" w:rsidRDefault="00636947">
      <w:r>
        <w:separator/>
      </w:r>
    </w:p>
  </w:footnote>
  <w:footnote w:type="continuationSeparator" w:id="0">
    <w:p w14:paraId="48320ACC" w14:textId="77777777" w:rsidR="00636947" w:rsidRDefault="0063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940"/>
    <w:multiLevelType w:val="multilevel"/>
    <w:tmpl w:val="513E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2E61"/>
    <w:multiLevelType w:val="hybridMultilevel"/>
    <w:tmpl w:val="BCFE0788"/>
    <w:lvl w:ilvl="0" w:tplc="53A2CA0E">
      <w:start w:val="1"/>
      <w:numFmt w:val="decimal"/>
      <w:lvlText w:val="%1."/>
      <w:lvlJc w:val="left"/>
      <w:pPr>
        <w:ind w:left="786"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ED376AB"/>
    <w:multiLevelType w:val="hybridMultilevel"/>
    <w:tmpl w:val="B840FF4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4484557"/>
    <w:multiLevelType w:val="multilevel"/>
    <w:tmpl w:val="492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62B34"/>
    <w:multiLevelType w:val="multilevel"/>
    <w:tmpl w:val="285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E378D"/>
    <w:multiLevelType w:val="multilevel"/>
    <w:tmpl w:val="9C5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E524A"/>
    <w:multiLevelType w:val="multilevel"/>
    <w:tmpl w:val="54AC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A4320"/>
    <w:multiLevelType w:val="multilevel"/>
    <w:tmpl w:val="BAA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320ED"/>
    <w:multiLevelType w:val="multilevel"/>
    <w:tmpl w:val="A25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1246D"/>
    <w:multiLevelType w:val="multilevel"/>
    <w:tmpl w:val="585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B47D4"/>
    <w:multiLevelType w:val="multilevel"/>
    <w:tmpl w:val="CD96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C7DE9"/>
    <w:multiLevelType w:val="hybridMultilevel"/>
    <w:tmpl w:val="5BFA0A6E"/>
    <w:lvl w:ilvl="0" w:tplc="3A8C9C52">
      <w:start w:val="1"/>
      <w:numFmt w:val="decimal"/>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6F6EF2"/>
    <w:multiLevelType w:val="multilevel"/>
    <w:tmpl w:val="207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61BCF"/>
    <w:multiLevelType w:val="multilevel"/>
    <w:tmpl w:val="F3C8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359F5"/>
    <w:multiLevelType w:val="multilevel"/>
    <w:tmpl w:val="93C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61677"/>
    <w:multiLevelType w:val="multilevel"/>
    <w:tmpl w:val="1C9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C2738"/>
    <w:multiLevelType w:val="hybridMultilevel"/>
    <w:tmpl w:val="6E18E96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4DFB5A52"/>
    <w:multiLevelType w:val="hybridMultilevel"/>
    <w:tmpl w:val="5CD859D0"/>
    <w:lvl w:ilvl="0" w:tplc="D13803AC">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F2C1AD8"/>
    <w:multiLevelType w:val="multilevel"/>
    <w:tmpl w:val="2BD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76681"/>
    <w:multiLevelType w:val="hybridMultilevel"/>
    <w:tmpl w:val="71C86902"/>
    <w:lvl w:ilvl="0" w:tplc="B1CA298C">
      <w:start w:val="7"/>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555D2385"/>
    <w:multiLevelType w:val="multilevel"/>
    <w:tmpl w:val="A97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F7A90"/>
    <w:multiLevelType w:val="multilevel"/>
    <w:tmpl w:val="707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8343C"/>
    <w:multiLevelType w:val="multilevel"/>
    <w:tmpl w:val="38B4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83E86"/>
    <w:multiLevelType w:val="hybridMultilevel"/>
    <w:tmpl w:val="85D6EE56"/>
    <w:lvl w:ilvl="0" w:tplc="0C0A0019">
      <w:start w:val="1"/>
      <w:numFmt w:val="lowerLetter"/>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61971FD6"/>
    <w:multiLevelType w:val="hybridMultilevel"/>
    <w:tmpl w:val="1D0A5884"/>
    <w:lvl w:ilvl="0" w:tplc="0C0A0019">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15:restartNumberingAfterBreak="0">
    <w:nsid w:val="63EC27F5"/>
    <w:multiLevelType w:val="hybridMultilevel"/>
    <w:tmpl w:val="719CD630"/>
    <w:lvl w:ilvl="0" w:tplc="0C0A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659125F7"/>
    <w:multiLevelType w:val="multilevel"/>
    <w:tmpl w:val="64EA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47084"/>
    <w:multiLevelType w:val="multilevel"/>
    <w:tmpl w:val="91EE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62C8E"/>
    <w:multiLevelType w:val="multilevel"/>
    <w:tmpl w:val="0398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753E8"/>
    <w:multiLevelType w:val="multilevel"/>
    <w:tmpl w:val="6366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27E1D"/>
    <w:multiLevelType w:val="multilevel"/>
    <w:tmpl w:val="ECF6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92FE1"/>
    <w:multiLevelType w:val="multilevel"/>
    <w:tmpl w:val="127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9C15B1"/>
    <w:multiLevelType w:val="multilevel"/>
    <w:tmpl w:val="D04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B505A"/>
    <w:multiLevelType w:val="multilevel"/>
    <w:tmpl w:val="89E0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C38AD"/>
    <w:multiLevelType w:val="multilevel"/>
    <w:tmpl w:val="05D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23725"/>
    <w:multiLevelType w:val="multilevel"/>
    <w:tmpl w:val="6BD8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601235">
    <w:abstractNumId w:val="1"/>
  </w:num>
  <w:num w:numId="2" w16cid:durableId="1814591693">
    <w:abstractNumId w:val="34"/>
  </w:num>
  <w:num w:numId="3" w16cid:durableId="121116624">
    <w:abstractNumId w:val="10"/>
  </w:num>
  <w:num w:numId="4" w16cid:durableId="854226685">
    <w:abstractNumId w:val="13"/>
  </w:num>
  <w:num w:numId="5" w16cid:durableId="1825470613">
    <w:abstractNumId w:val="7"/>
  </w:num>
  <w:num w:numId="6" w16cid:durableId="687023339">
    <w:abstractNumId w:val="15"/>
  </w:num>
  <w:num w:numId="7" w16cid:durableId="1624775584">
    <w:abstractNumId w:val="32"/>
  </w:num>
  <w:num w:numId="8" w16cid:durableId="259679785">
    <w:abstractNumId w:val="30"/>
  </w:num>
  <w:num w:numId="9" w16cid:durableId="504789336">
    <w:abstractNumId w:val="28"/>
  </w:num>
  <w:num w:numId="10" w16cid:durableId="1394353953">
    <w:abstractNumId w:val="0"/>
  </w:num>
  <w:num w:numId="11" w16cid:durableId="219096477">
    <w:abstractNumId w:val="14"/>
  </w:num>
  <w:num w:numId="12" w16cid:durableId="829751972">
    <w:abstractNumId w:val="8"/>
  </w:num>
  <w:num w:numId="13" w16cid:durableId="266813140">
    <w:abstractNumId w:val="27"/>
  </w:num>
  <w:num w:numId="14" w16cid:durableId="1280336345">
    <w:abstractNumId w:val="31"/>
  </w:num>
  <w:num w:numId="15" w16cid:durableId="1485656297">
    <w:abstractNumId w:val="29"/>
  </w:num>
  <w:num w:numId="16" w16cid:durableId="1321273123">
    <w:abstractNumId w:val="9"/>
  </w:num>
  <w:num w:numId="17" w16cid:durableId="2133744324">
    <w:abstractNumId w:val="33"/>
  </w:num>
  <w:num w:numId="18" w16cid:durableId="66151056">
    <w:abstractNumId w:val="26"/>
  </w:num>
  <w:num w:numId="19" w16cid:durableId="1474760369">
    <w:abstractNumId w:val="35"/>
  </w:num>
  <w:num w:numId="20" w16cid:durableId="1757706200">
    <w:abstractNumId w:val="22"/>
  </w:num>
  <w:num w:numId="21" w16cid:durableId="843593848">
    <w:abstractNumId w:val="21"/>
  </w:num>
  <w:num w:numId="22" w16cid:durableId="1721829690">
    <w:abstractNumId w:val="4"/>
  </w:num>
  <w:num w:numId="23" w16cid:durableId="857816961">
    <w:abstractNumId w:val="20"/>
  </w:num>
  <w:num w:numId="24" w16cid:durableId="204607936">
    <w:abstractNumId w:val="25"/>
  </w:num>
  <w:num w:numId="25" w16cid:durableId="1253860589">
    <w:abstractNumId w:val="11"/>
  </w:num>
  <w:num w:numId="26" w16cid:durableId="639579236">
    <w:abstractNumId w:val="5"/>
  </w:num>
  <w:num w:numId="27" w16cid:durableId="120421314">
    <w:abstractNumId w:val="6"/>
  </w:num>
  <w:num w:numId="28" w16cid:durableId="870723832">
    <w:abstractNumId w:val="17"/>
  </w:num>
  <w:num w:numId="29" w16cid:durableId="271859460">
    <w:abstractNumId w:val="16"/>
  </w:num>
  <w:num w:numId="30" w16cid:durableId="1431699617">
    <w:abstractNumId w:val="19"/>
  </w:num>
  <w:num w:numId="31" w16cid:durableId="1055348461">
    <w:abstractNumId w:val="12"/>
  </w:num>
  <w:num w:numId="32" w16cid:durableId="1323654757">
    <w:abstractNumId w:val="3"/>
  </w:num>
  <w:num w:numId="33" w16cid:durableId="1313948230">
    <w:abstractNumId w:val="23"/>
  </w:num>
  <w:num w:numId="34" w16cid:durableId="606238724">
    <w:abstractNumId w:val="18"/>
  </w:num>
  <w:num w:numId="35" w16cid:durableId="1172064159">
    <w:abstractNumId w:val="24"/>
  </w:num>
  <w:num w:numId="36" w16cid:durableId="140445399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fr-FR"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F8"/>
    <w:rsid w:val="00000AF8"/>
    <w:rsid w:val="00000EBB"/>
    <w:rsid w:val="00002F9E"/>
    <w:rsid w:val="00003318"/>
    <w:rsid w:val="00005F73"/>
    <w:rsid w:val="00010092"/>
    <w:rsid w:val="000108ED"/>
    <w:rsid w:val="000135AB"/>
    <w:rsid w:val="000138C1"/>
    <w:rsid w:val="00014484"/>
    <w:rsid w:val="00022802"/>
    <w:rsid w:val="00022BC0"/>
    <w:rsid w:val="00025D9A"/>
    <w:rsid w:val="000265A1"/>
    <w:rsid w:val="000278D3"/>
    <w:rsid w:val="000301EC"/>
    <w:rsid w:val="00030391"/>
    <w:rsid w:val="000321A5"/>
    <w:rsid w:val="00034A5A"/>
    <w:rsid w:val="00034AD5"/>
    <w:rsid w:val="00035F90"/>
    <w:rsid w:val="0003618D"/>
    <w:rsid w:val="00040AE2"/>
    <w:rsid w:val="00041805"/>
    <w:rsid w:val="00042D5F"/>
    <w:rsid w:val="00042EAE"/>
    <w:rsid w:val="00044B2F"/>
    <w:rsid w:val="00044F39"/>
    <w:rsid w:val="00046CBC"/>
    <w:rsid w:val="000546E6"/>
    <w:rsid w:val="00055094"/>
    <w:rsid w:val="0005547A"/>
    <w:rsid w:val="0005566A"/>
    <w:rsid w:val="00055F73"/>
    <w:rsid w:val="00056B57"/>
    <w:rsid w:val="000602B5"/>
    <w:rsid w:val="00062DE3"/>
    <w:rsid w:val="00065295"/>
    <w:rsid w:val="000657B9"/>
    <w:rsid w:val="00066C80"/>
    <w:rsid w:val="0007053B"/>
    <w:rsid w:val="00071705"/>
    <w:rsid w:val="0007239F"/>
    <w:rsid w:val="00072C53"/>
    <w:rsid w:val="00080954"/>
    <w:rsid w:val="00080A0C"/>
    <w:rsid w:val="00081D99"/>
    <w:rsid w:val="00085669"/>
    <w:rsid w:val="000903FD"/>
    <w:rsid w:val="0009063C"/>
    <w:rsid w:val="000A0A5B"/>
    <w:rsid w:val="000A1D9E"/>
    <w:rsid w:val="000A3A1B"/>
    <w:rsid w:val="000A3D80"/>
    <w:rsid w:val="000A564E"/>
    <w:rsid w:val="000A7E0B"/>
    <w:rsid w:val="000B12A6"/>
    <w:rsid w:val="000B19AD"/>
    <w:rsid w:val="000B1D26"/>
    <w:rsid w:val="000B5B7E"/>
    <w:rsid w:val="000C21E3"/>
    <w:rsid w:val="000D47C1"/>
    <w:rsid w:val="000D698A"/>
    <w:rsid w:val="000E0422"/>
    <w:rsid w:val="000E0A4D"/>
    <w:rsid w:val="000E77D5"/>
    <w:rsid w:val="000F3786"/>
    <w:rsid w:val="000F5C09"/>
    <w:rsid w:val="00100E74"/>
    <w:rsid w:val="0010185D"/>
    <w:rsid w:val="0010284E"/>
    <w:rsid w:val="0010315C"/>
    <w:rsid w:val="001043F7"/>
    <w:rsid w:val="001055A3"/>
    <w:rsid w:val="00105F02"/>
    <w:rsid w:val="00105F41"/>
    <w:rsid w:val="00106026"/>
    <w:rsid w:val="00120098"/>
    <w:rsid w:val="00121DE5"/>
    <w:rsid w:val="00123E93"/>
    <w:rsid w:val="00125310"/>
    <w:rsid w:val="00125555"/>
    <w:rsid w:val="00127183"/>
    <w:rsid w:val="00127569"/>
    <w:rsid w:val="0013272A"/>
    <w:rsid w:val="001328A4"/>
    <w:rsid w:val="001328C2"/>
    <w:rsid w:val="00137B7D"/>
    <w:rsid w:val="00140013"/>
    <w:rsid w:val="001402FF"/>
    <w:rsid w:val="0014291B"/>
    <w:rsid w:val="00145456"/>
    <w:rsid w:val="001464A1"/>
    <w:rsid w:val="001547E0"/>
    <w:rsid w:val="00154809"/>
    <w:rsid w:val="00157737"/>
    <w:rsid w:val="00160540"/>
    <w:rsid w:val="00161428"/>
    <w:rsid w:val="0016265D"/>
    <w:rsid w:val="0016453D"/>
    <w:rsid w:val="00164C1A"/>
    <w:rsid w:val="00164C67"/>
    <w:rsid w:val="001663CC"/>
    <w:rsid w:val="001737F9"/>
    <w:rsid w:val="00175C21"/>
    <w:rsid w:val="00176B37"/>
    <w:rsid w:val="001779BF"/>
    <w:rsid w:val="00177DD7"/>
    <w:rsid w:val="00184518"/>
    <w:rsid w:val="001961C1"/>
    <w:rsid w:val="001967CD"/>
    <w:rsid w:val="00196994"/>
    <w:rsid w:val="001A014D"/>
    <w:rsid w:val="001A06FA"/>
    <w:rsid w:val="001A3597"/>
    <w:rsid w:val="001A47E3"/>
    <w:rsid w:val="001A4DE7"/>
    <w:rsid w:val="001A504A"/>
    <w:rsid w:val="001A6AA9"/>
    <w:rsid w:val="001B1A72"/>
    <w:rsid w:val="001B1D78"/>
    <w:rsid w:val="001B22A0"/>
    <w:rsid w:val="001B262E"/>
    <w:rsid w:val="001B4760"/>
    <w:rsid w:val="001B4BC9"/>
    <w:rsid w:val="001B6535"/>
    <w:rsid w:val="001C2E0C"/>
    <w:rsid w:val="001C47E1"/>
    <w:rsid w:val="001C5060"/>
    <w:rsid w:val="001D129F"/>
    <w:rsid w:val="001D5B8B"/>
    <w:rsid w:val="001D626B"/>
    <w:rsid w:val="001D6335"/>
    <w:rsid w:val="001D67C2"/>
    <w:rsid w:val="001D6B20"/>
    <w:rsid w:val="001D7113"/>
    <w:rsid w:val="001E09EF"/>
    <w:rsid w:val="001E19C5"/>
    <w:rsid w:val="001E1D72"/>
    <w:rsid w:val="001E2BCD"/>
    <w:rsid w:val="001E3D11"/>
    <w:rsid w:val="001E4161"/>
    <w:rsid w:val="001E4998"/>
    <w:rsid w:val="001E63C7"/>
    <w:rsid w:val="001F05F9"/>
    <w:rsid w:val="001F0F34"/>
    <w:rsid w:val="001F254E"/>
    <w:rsid w:val="001F3974"/>
    <w:rsid w:val="001F7C9C"/>
    <w:rsid w:val="00200894"/>
    <w:rsid w:val="002020F1"/>
    <w:rsid w:val="002023DB"/>
    <w:rsid w:val="00202BD7"/>
    <w:rsid w:val="002038F0"/>
    <w:rsid w:val="00211429"/>
    <w:rsid w:val="002115B0"/>
    <w:rsid w:val="00214397"/>
    <w:rsid w:val="00215D3D"/>
    <w:rsid w:val="00216119"/>
    <w:rsid w:val="002209BB"/>
    <w:rsid w:val="00221E78"/>
    <w:rsid w:val="00223E5B"/>
    <w:rsid w:val="00225966"/>
    <w:rsid w:val="00226E79"/>
    <w:rsid w:val="00232067"/>
    <w:rsid w:val="002334FB"/>
    <w:rsid w:val="00233CC7"/>
    <w:rsid w:val="00234703"/>
    <w:rsid w:val="00235959"/>
    <w:rsid w:val="00241557"/>
    <w:rsid w:val="00241B38"/>
    <w:rsid w:val="002453E8"/>
    <w:rsid w:val="002456E7"/>
    <w:rsid w:val="0024622A"/>
    <w:rsid w:val="00246923"/>
    <w:rsid w:val="00246E7D"/>
    <w:rsid w:val="002477CE"/>
    <w:rsid w:val="002478C6"/>
    <w:rsid w:val="00250C38"/>
    <w:rsid w:val="00256418"/>
    <w:rsid w:val="002569F3"/>
    <w:rsid w:val="00264346"/>
    <w:rsid w:val="00264869"/>
    <w:rsid w:val="00264B4C"/>
    <w:rsid w:val="002660A4"/>
    <w:rsid w:val="00267F87"/>
    <w:rsid w:val="0027120A"/>
    <w:rsid w:val="002716D1"/>
    <w:rsid w:val="00273133"/>
    <w:rsid w:val="002733E2"/>
    <w:rsid w:val="0027783B"/>
    <w:rsid w:val="00277C64"/>
    <w:rsid w:val="0028110F"/>
    <w:rsid w:val="0029088E"/>
    <w:rsid w:val="00291F23"/>
    <w:rsid w:val="00292093"/>
    <w:rsid w:val="00293E8E"/>
    <w:rsid w:val="00294030"/>
    <w:rsid w:val="00294E9F"/>
    <w:rsid w:val="002A1A37"/>
    <w:rsid w:val="002A3451"/>
    <w:rsid w:val="002A3F68"/>
    <w:rsid w:val="002A6BDF"/>
    <w:rsid w:val="002A7C46"/>
    <w:rsid w:val="002B094F"/>
    <w:rsid w:val="002B0A78"/>
    <w:rsid w:val="002B2773"/>
    <w:rsid w:val="002B3539"/>
    <w:rsid w:val="002B4B80"/>
    <w:rsid w:val="002B4FAD"/>
    <w:rsid w:val="002B5CD4"/>
    <w:rsid w:val="002C3DFF"/>
    <w:rsid w:val="002C6FD0"/>
    <w:rsid w:val="002D059C"/>
    <w:rsid w:val="002D099F"/>
    <w:rsid w:val="002D0A30"/>
    <w:rsid w:val="002D5051"/>
    <w:rsid w:val="002D739B"/>
    <w:rsid w:val="002E02E4"/>
    <w:rsid w:val="002E1A5C"/>
    <w:rsid w:val="002E238B"/>
    <w:rsid w:val="002E2D4E"/>
    <w:rsid w:val="002E59E9"/>
    <w:rsid w:val="002E75B1"/>
    <w:rsid w:val="002E79D1"/>
    <w:rsid w:val="002F36D0"/>
    <w:rsid w:val="002F3C4A"/>
    <w:rsid w:val="003021B1"/>
    <w:rsid w:val="00302A94"/>
    <w:rsid w:val="00302AE3"/>
    <w:rsid w:val="00304FFF"/>
    <w:rsid w:val="0030616A"/>
    <w:rsid w:val="00306391"/>
    <w:rsid w:val="003107AD"/>
    <w:rsid w:val="00311828"/>
    <w:rsid w:val="003212B7"/>
    <w:rsid w:val="00322F95"/>
    <w:rsid w:val="00324B35"/>
    <w:rsid w:val="003263E5"/>
    <w:rsid w:val="00326C73"/>
    <w:rsid w:val="003300AB"/>
    <w:rsid w:val="003301D4"/>
    <w:rsid w:val="003347C9"/>
    <w:rsid w:val="003368B5"/>
    <w:rsid w:val="00340C47"/>
    <w:rsid w:val="00341BFE"/>
    <w:rsid w:val="00341D4C"/>
    <w:rsid w:val="00343C0E"/>
    <w:rsid w:val="00343D81"/>
    <w:rsid w:val="00345457"/>
    <w:rsid w:val="003464F1"/>
    <w:rsid w:val="00350622"/>
    <w:rsid w:val="0035452A"/>
    <w:rsid w:val="00367B63"/>
    <w:rsid w:val="00371AAC"/>
    <w:rsid w:val="003735A6"/>
    <w:rsid w:val="00373C69"/>
    <w:rsid w:val="003742C1"/>
    <w:rsid w:val="0037482D"/>
    <w:rsid w:val="00374B59"/>
    <w:rsid w:val="00374FD4"/>
    <w:rsid w:val="00377143"/>
    <w:rsid w:val="00377C53"/>
    <w:rsid w:val="003800C3"/>
    <w:rsid w:val="003805E7"/>
    <w:rsid w:val="003813A5"/>
    <w:rsid w:val="0038424A"/>
    <w:rsid w:val="00384866"/>
    <w:rsid w:val="00386046"/>
    <w:rsid w:val="0038641D"/>
    <w:rsid w:val="00391E24"/>
    <w:rsid w:val="003928B6"/>
    <w:rsid w:val="00392F28"/>
    <w:rsid w:val="0039410B"/>
    <w:rsid w:val="00395458"/>
    <w:rsid w:val="0039655E"/>
    <w:rsid w:val="003970A1"/>
    <w:rsid w:val="003A55D5"/>
    <w:rsid w:val="003A71A5"/>
    <w:rsid w:val="003B33E0"/>
    <w:rsid w:val="003B5A87"/>
    <w:rsid w:val="003B61A2"/>
    <w:rsid w:val="003C0761"/>
    <w:rsid w:val="003C1857"/>
    <w:rsid w:val="003C266A"/>
    <w:rsid w:val="003C35D1"/>
    <w:rsid w:val="003C4EBB"/>
    <w:rsid w:val="003C5E11"/>
    <w:rsid w:val="003C71AD"/>
    <w:rsid w:val="003D0ADB"/>
    <w:rsid w:val="003D0E41"/>
    <w:rsid w:val="003D18AC"/>
    <w:rsid w:val="003D330E"/>
    <w:rsid w:val="003D5109"/>
    <w:rsid w:val="003D7150"/>
    <w:rsid w:val="003E1C2A"/>
    <w:rsid w:val="003E68D7"/>
    <w:rsid w:val="003E6E3A"/>
    <w:rsid w:val="003F0CA1"/>
    <w:rsid w:val="003F1456"/>
    <w:rsid w:val="003F1FE4"/>
    <w:rsid w:val="003F31E4"/>
    <w:rsid w:val="003F3813"/>
    <w:rsid w:val="003F3999"/>
    <w:rsid w:val="003F4F5F"/>
    <w:rsid w:val="00401F82"/>
    <w:rsid w:val="004069DA"/>
    <w:rsid w:val="0040724E"/>
    <w:rsid w:val="00417EFE"/>
    <w:rsid w:val="00421737"/>
    <w:rsid w:val="0042174C"/>
    <w:rsid w:val="00422626"/>
    <w:rsid w:val="00422E6D"/>
    <w:rsid w:val="00423254"/>
    <w:rsid w:val="0042490F"/>
    <w:rsid w:val="00426E1C"/>
    <w:rsid w:val="00427153"/>
    <w:rsid w:val="004305B6"/>
    <w:rsid w:val="0043064E"/>
    <w:rsid w:val="004306A9"/>
    <w:rsid w:val="00430A27"/>
    <w:rsid w:val="004356FD"/>
    <w:rsid w:val="00437999"/>
    <w:rsid w:val="00442C8E"/>
    <w:rsid w:val="00443EF4"/>
    <w:rsid w:val="00450D64"/>
    <w:rsid w:val="00450EDD"/>
    <w:rsid w:val="004518EE"/>
    <w:rsid w:val="00454001"/>
    <w:rsid w:val="00454301"/>
    <w:rsid w:val="00454C2B"/>
    <w:rsid w:val="00454CD8"/>
    <w:rsid w:val="00455034"/>
    <w:rsid w:val="00461736"/>
    <w:rsid w:val="004622BD"/>
    <w:rsid w:val="00462555"/>
    <w:rsid w:val="00465EFC"/>
    <w:rsid w:val="00466C85"/>
    <w:rsid w:val="00467EA4"/>
    <w:rsid w:val="004703E8"/>
    <w:rsid w:val="0047249C"/>
    <w:rsid w:val="00473F0B"/>
    <w:rsid w:val="004748E0"/>
    <w:rsid w:val="0048003D"/>
    <w:rsid w:val="00481F19"/>
    <w:rsid w:val="00481F5C"/>
    <w:rsid w:val="00483A90"/>
    <w:rsid w:val="00485016"/>
    <w:rsid w:val="00486D46"/>
    <w:rsid w:val="0049274A"/>
    <w:rsid w:val="00493A93"/>
    <w:rsid w:val="00496284"/>
    <w:rsid w:val="00497DDD"/>
    <w:rsid w:val="004A05DE"/>
    <w:rsid w:val="004A2B12"/>
    <w:rsid w:val="004A4924"/>
    <w:rsid w:val="004A5F63"/>
    <w:rsid w:val="004A778E"/>
    <w:rsid w:val="004B0DF9"/>
    <w:rsid w:val="004B3EFF"/>
    <w:rsid w:val="004B57E9"/>
    <w:rsid w:val="004B62F5"/>
    <w:rsid w:val="004C106A"/>
    <w:rsid w:val="004C2306"/>
    <w:rsid w:val="004C295F"/>
    <w:rsid w:val="004C2BD0"/>
    <w:rsid w:val="004C52A2"/>
    <w:rsid w:val="004D0A71"/>
    <w:rsid w:val="004D15DF"/>
    <w:rsid w:val="004D1A26"/>
    <w:rsid w:val="004D260C"/>
    <w:rsid w:val="004D2AC6"/>
    <w:rsid w:val="004D2B8A"/>
    <w:rsid w:val="004D4BDB"/>
    <w:rsid w:val="004D4DFA"/>
    <w:rsid w:val="004E4B4C"/>
    <w:rsid w:val="004F04E1"/>
    <w:rsid w:val="004F1FA3"/>
    <w:rsid w:val="004F2C2C"/>
    <w:rsid w:val="004F4565"/>
    <w:rsid w:val="004F54E8"/>
    <w:rsid w:val="004F6248"/>
    <w:rsid w:val="004F6966"/>
    <w:rsid w:val="00502B0A"/>
    <w:rsid w:val="00503DB2"/>
    <w:rsid w:val="0050526C"/>
    <w:rsid w:val="00507B6E"/>
    <w:rsid w:val="00513A20"/>
    <w:rsid w:val="00514FDD"/>
    <w:rsid w:val="005206D3"/>
    <w:rsid w:val="00520F62"/>
    <w:rsid w:val="00521A5A"/>
    <w:rsid w:val="00524F65"/>
    <w:rsid w:val="005263E2"/>
    <w:rsid w:val="00526AD8"/>
    <w:rsid w:val="00526B5F"/>
    <w:rsid w:val="00533C29"/>
    <w:rsid w:val="00536236"/>
    <w:rsid w:val="0054076B"/>
    <w:rsid w:val="00541F2F"/>
    <w:rsid w:val="005445AE"/>
    <w:rsid w:val="005449FC"/>
    <w:rsid w:val="00544AFC"/>
    <w:rsid w:val="005502FB"/>
    <w:rsid w:val="00551188"/>
    <w:rsid w:val="0055261E"/>
    <w:rsid w:val="00553C6B"/>
    <w:rsid w:val="00555DC5"/>
    <w:rsid w:val="00557213"/>
    <w:rsid w:val="00557FB0"/>
    <w:rsid w:val="0056096F"/>
    <w:rsid w:val="0056273C"/>
    <w:rsid w:val="00564218"/>
    <w:rsid w:val="00565E67"/>
    <w:rsid w:val="00567373"/>
    <w:rsid w:val="00567BAE"/>
    <w:rsid w:val="00572E2A"/>
    <w:rsid w:val="005732E1"/>
    <w:rsid w:val="005758CA"/>
    <w:rsid w:val="00577C99"/>
    <w:rsid w:val="0058375C"/>
    <w:rsid w:val="00584B80"/>
    <w:rsid w:val="00584DBD"/>
    <w:rsid w:val="00584EFE"/>
    <w:rsid w:val="00585C20"/>
    <w:rsid w:val="00587405"/>
    <w:rsid w:val="00587FDA"/>
    <w:rsid w:val="00597995"/>
    <w:rsid w:val="005A2F98"/>
    <w:rsid w:val="005A46B8"/>
    <w:rsid w:val="005A6ADA"/>
    <w:rsid w:val="005A7468"/>
    <w:rsid w:val="005B03B6"/>
    <w:rsid w:val="005B2B88"/>
    <w:rsid w:val="005B2CD7"/>
    <w:rsid w:val="005B5A76"/>
    <w:rsid w:val="005B675B"/>
    <w:rsid w:val="005C0017"/>
    <w:rsid w:val="005C17E7"/>
    <w:rsid w:val="005C1A3D"/>
    <w:rsid w:val="005D0B9E"/>
    <w:rsid w:val="005D30C7"/>
    <w:rsid w:val="005D3CB2"/>
    <w:rsid w:val="005D3D34"/>
    <w:rsid w:val="005D4B8B"/>
    <w:rsid w:val="005D58D5"/>
    <w:rsid w:val="005D68E4"/>
    <w:rsid w:val="005D70AA"/>
    <w:rsid w:val="005E0086"/>
    <w:rsid w:val="005E030D"/>
    <w:rsid w:val="005E15B0"/>
    <w:rsid w:val="005E29D5"/>
    <w:rsid w:val="005E30F3"/>
    <w:rsid w:val="005E5729"/>
    <w:rsid w:val="005E5822"/>
    <w:rsid w:val="005E5FC8"/>
    <w:rsid w:val="005E730A"/>
    <w:rsid w:val="005F0233"/>
    <w:rsid w:val="005F0DE1"/>
    <w:rsid w:val="005F32A8"/>
    <w:rsid w:val="005F40B0"/>
    <w:rsid w:val="005F5A02"/>
    <w:rsid w:val="00603093"/>
    <w:rsid w:val="006031B4"/>
    <w:rsid w:val="00603DF4"/>
    <w:rsid w:val="006048D2"/>
    <w:rsid w:val="0060634E"/>
    <w:rsid w:val="00610E39"/>
    <w:rsid w:val="0061145F"/>
    <w:rsid w:val="00611C17"/>
    <w:rsid w:val="00612E2F"/>
    <w:rsid w:val="0062448C"/>
    <w:rsid w:val="00626B4C"/>
    <w:rsid w:val="00626BBF"/>
    <w:rsid w:val="00627EDC"/>
    <w:rsid w:val="00630067"/>
    <w:rsid w:val="006308E4"/>
    <w:rsid w:val="006327AC"/>
    <w:rsid w:val="00635B77"/>
    <w:rsid w:val="00636947"/>
    <w:rsid w:val="006409E2"/>
    <w:rsid w:val="00641E88"/>
    <w:rsid w:val="00644665"/>
    <w:rsid w:val="006451AF"/>
    <w:rsid w:val="006455E0"/>
    <w:rsid w:val="006466EF"/>
    <w:rsid w:val="0064721E"/>
    <w:rsid w:val="00647537"/>
    <w:rsid w:val="00655998"/>
    <w:rsid w:val="006560C2"/>
    <w:rsid w:val="006572A4"/>
    <w:rsid w:val="006647DD"/>
    <w:rsid w:val="00664894"/>
    <w:rsid w:val="00664E18"/>
    <w:rsid w:val="0067061C"/>
    <w:rsid w:val="00673240"/>
    <w:rsid w:val="00675EFC"/>
    <w:rsid w:val="0067770F"/>
    <w:rsid w:val="006801B4"/>
    <w:rsid w:val="00681E22"/>
    <w:rsid w:val="0068296D"/>
    <w:rsid w:val="00682FF8"/>
    <w:rsid w:val="00683B3A"/>
    <w:rsid w:val="0068466E"/>
    <w:rsid w:val="006854A0"/>
    <w:rsid w:val="006878F0"/>
    <w:rsid w:val="00695B36"/>
    <w:rsid w:val="006972F4"/>
    <w:rsid w:val="006A0323"/>
    <w:rsid w:val="006A25AF"/>
    <w:rsid w:val="006A5708"/>
    <w:rsid w:val="006A6B7D"/>
    <w:rsid w:val="006A6CD0"/>
    <w:rsid w:val="006B081E"/>
    <w:rsid w:val="006B0CB6"/>
    <w:rsid w:val="006B1DBB"/>
    <w:rsid w:val="006B437C"/>
    <w:rsid w:val="006B5EEF"/>
    <w:rsid w:val="006C02A0"/>
    <w:rsid w:val="006C1B65"/>
    <w:rsid w:val="006C3556"/>
    <w:rsid w:val="006C37D7"/>
    <w:rsid w:val="006C3F10"/>
    <w:rsid w:val="006C507E"/>
    <w:rsid w:val="006C7DBF"/>
    <w:rsid w:val="006D0C6E"/>
    <w:rsid w:val="006D442D"/>
    <w:rsid w:val="006D4FBF"/>
    <w:rsid w:val="006D6B8E"/>
    <w:rsid w:val="006D7B5A"/>
    <w:rsid w:val="006E01B1"/>
    <w:rsid w:val="006E0FB9"/>
    <w:rsid w:val="006E10A0"/>
    <w:rsid w:val="006E3845"/>
    <w:rsid w:val="006E6BB1"/>
    <w:rsid w:val="006F0E86"/>
    <w:rsid w:val="006F38C3"/>
    <w:rsid w:val="006F4BD4"/>
    <w:rsid w:val="006F6A39"/>
    <w:rsid w:val="006F6C94"/>
    <w:rsid w:val="0070135F"/>
    <w:rsid w:val="00702F13"/>
    <w:rsid w:val="00704E04"/>
    <w:rsid w:val="00704F91"/>
    <w:rsid w:val="00707535"/>
    <w:rsid w:val="00715664"/>
    <w:rsid w:val="00716381"/>
    <w:rsid w:val="00717E46"/>
    <w:rsid w:val="0072291F"/>
    <w:rsid w:val="0072750F"/>
    <w:rsid w:val="0073061E"/>
    <w:rsid w:val="00730F01"/>
    <w:rsid w:val="00733EF3"/>
    <w:rsid w:val="00734FA6"/>
    <w:rsid w:val="007365ED"/>
    <w:rsid w:val="00740CF3"/>
    <w:rsid w:val="00743066"/>
    <w:rsid w:val="007524A9"/>
    <w:rsid w:val="00756F71"/>
    <w:rsid w:val="00756F8D"/>
    <w:rsid w:val="00757A01"/>
    <w:rsid w:val="00757C75"/>
    <w:rsid w:val="00760251"/>
    <w:rsid w:val="007605E7"/>
    <w:rsid w:val="00763D1A"/>
    <w:rsid w:val="00770A63"/>
    <w:rsid w:val="007710E9"/>
    <w:rsid w:val="00771A90"/>
    <w:rsid w:val="0077487C"/>
    <w:rsid w:val="007757F0"/>
    <w:rsid w:val="007761B7"/>
    <w:rsid w:val="00777772"/>
    <w:rsid w:val="00777CBB"/>
    <w:rsid w:val="00780841"/>
    <w:rsid w:val="00780D5C"/>
    <w:rsid w:val="0078198E"/>
    <w:rsid w:val="00782293"/>
    <w:rsid w:val="00784AD3"/>
    <w:rsid w:val="007865AE"/>
    <w:rsid w:val="00787221"/>
    <w:rsid w:val="007915FD"/>
    <w:rsid w:val="0079373D"/>
    <w:rsid w:val="00793DEE"/>
    <w:rsid w:val="00794B84"/>
    <w:rsid w:val="00794FE7"/>
    <w:rsid w:val="00795631"/>
    <w:rsid w:val="007A5014"/>
    <w:rsid w:val="007A65FF"/>
    <w:rsid w:val="007A6C1C"/>
    <w:rsid w:val="007B146D"/>
    <w:rsid w:val="007B196B"/>
    <w:rsid w:val="007B1F76"/>
    <w:rsid w:val="007B371C"/>
    <w:rsid w:val="007B573D"/>
    <w:rsid w:val="007B72D3"/>
    <w:rsid w:val="007B7647"/>
    <w:rsid w:val="007C1869"/>
    <w:rsid w:val="007C2792"/>
    <w:rsid w:val="007C32B6"/>
    <w:rsid w:val="007C35A1"/>
    <w:rsid w:val="007C66D2"/>
    <w:rsid w:val="007C67D6"/>
    <w:rsid w:val="007C7ACC"/>
    <w:rsid w:val="007C7D58"/>
    <w:rsid w:val="007C7E84"/>
    <w:rsid w:val="007D1A8E"/>
    <w:rsid w:val="007D43EB"/>
    <w:rsid w:val="007D58DE"/>
    <w:rsid w:val="007D69B6"/>
    <w:rsid w:val="007D6D76"/>
    <w:rsid w:val="007E020D"/>
    <w:rsid w:val="007E182D"/>
    <w:rsid w:val="007E3AC4"/>
    <w:rsid w:val="007E3E7B"/>
    <w:rsid w:val="007E3F69"/>
    <w:rsid w:val="007F03EC"/>
    <w:rsid w:val="007F5586"/>
    <w:rsid w:val="007F62FE"/>
    <w:rsid w:val="007F7CCF"/>
    <w:rsid w:val="00800BAC"/>
    <w:rsid w:val="00800FCA"/>
    <w:rsid w:val="0080246B"/>
    <w:rsid w:val="00802F73"/>
    <w:rsid w:val="008035D0"/>
    <w:rsid w:val="008038A5"/>
    <w:rsid w:val="00814256"/>
    <w:rsid w:val="00814342"/>
    <w:rsid w:val="00815775"/>
    <w:rsid w:val="00817B88"/>
    <w:rsid w:val="00817F84"/>
    <w:rsid w:val="008206F4"/>
    <w:rsid w:val="00823325"/>
    <w:rsid w:val="00824C1F"/>
    <w:rsid w:val="00826758"/>
    <w:rsid w:val="00836C5D"/>
    <w:rsid w:val="0083701A"/>
    <w:rsid w:val="00841DF6"/>
    <w:rsid w:val="00846064"/>
    <w:rsid w:val="00846A04"/>
    <w:rsid w:val="0084742D"/>
    <w:rsid w:val="00847797"/>
    <w:rsid w:val="00850A4F"/>
    <w:rsid w:val="00851564"/>
    <w:rsid w:val="008539CB"/>
    <w:rsid w:val="008556E3"/>
    <w:rsid w:val="00855D9A"/>
    <w:rsid w:val="0085640F"/>
    <w:rsid w:val="00857C4E"/>
    <w:rsid w:val="00857C4F"/>
    <w:rsid w:val="00860A91"/>
    <w:rsid w:val="00861D1D"/>
    <w:rsid w:val="008658C8"/>
    <w:rsid w:val="00867D04"/>
    <w:rsid w:val="00870878"/>
    <w:rsid w:val="008709E7"/>
    <w:rsid w:val="00870C1B"/>
    <w:rsid w:val="00871604"/>
    <w:rsid w:val="008725DD"/>
    <w:rsid w:val="00873E5D"/>
    <w:rsid w:val="008748D4"/>
    <w:rsid w:val="0087536B"/>
    <w:rsid w:val="00875399"/>
    <w:rsid w:val="008812A2"/>
    <w:rsid w:val="008834F9"/>
    <w:rsid w:val="00883B39"/>
    <w:rsid w:val="00886FF3"/>
    <w:rsid w:val="00891BE9"/>
    <w:rsid w:val="008A0B1F"/>
    <w:rsid w:val="008A2EC6"/>
    <w:rsid w:val="008A7258"/>
    <w:rsid w:val="008A7643"/>
    <w:rsid w:val="008A771E"/>
    <w:rsid w:val="008A7C98"/>
    <w:rsid w:val="008B0DE1"/>
    <w:rsid w:val="008B0E29"/>
    <w:rsid w:val="008B456A"/>
    <w:rsid w:val="008B7601"/>
    <w:rsid w:val="008C06F1"/>
    <w:rsid w:val="008C0788"/>
    <w:rsid w:val="008C2A76"/>
    <w:rsid w:val="008C5847"/>
    <w:rsid w:val="008C5ADD"/>
    <w:rsid w:val="008D0D99"/>
    <w:rsid w:val="008D1AEF"/>
    <w:rsid w:val="008D2601"/>
    <w:rsid w:val="008D2E99"/>
    <w:rsid w:val="008D382F"/>
    <w:rsid w:val="008D57A4"/>
    <w:rsid w:val="008D58FA"/>
    <w:rsid w:val="008D5A3C"/>
    <w:rsid w:val="008D6C6B"/>
    <w:rsid w:val="008E0FBD"/>
    <w:rsid w:val="008E1474"/>
    <w:rsid w:val="008E158D"/>
    <w:rsid w:val="008E6115"/>
    <w:rsid w:val="008E6D66"/>
    <w:rsid w:val="008E6E73"/>
    <w:rsid w:val="008E747E"/>
    <w:rsid w:val="008E78AB"/>
    <w:rsid w:val="008F0B06"/>
    <w:rsid w:val="008F4B1E"/>
    <w:rsid w:val="008F5CB0"/>
    <w:rsid w:val="008F6B39"/>
    <w:rsid w:val="0090006B"/>
    <w:rsid w:val="00900714"/>
    <w:rsid w:val="00900E8B"/>
    <w:rsid w:val="0090437A"/>
    <w:rsid w:val="0090483D"/>
    <w:rsid w:val="00911B27"/>
    <w:rsid w:val="00916B9C"/>
    <w:rsid w:val="00923A47"/>
    <w:rsid w:val="009254F9"/>
    <w:rsid w:val="009265B9"/>
    <w:rsid w:val="00927A42"/>
    <w:rsid w:val="009346D9"/>
    <w:rsid w:val="00934D9E"/>
    <w:rsid w:val="009359E4"/>
    <w:rsid w:val="009362D2"/>
    <w:rsid w:val="0094063F"/>
    <w:rsid w:val="00941319"/>
    <w:rsid w:val="00943A03"/>
    <w:rsid w:val="0094744C"/>
    <w:rsid w:val="00955722"/>
    <w:rsid w:val="00955A8A"/>
    <w:rsid w:val="0095682C"/>
    <w:rsid w:val="009572B9"/>
    <w:rsid w:val="00963542"/>
    <w:rsid w:val="009676A5"/>
    <w:rsid w:val="00970091"/>
    <w:rsid w:val="00971B8D"/>
    <w:rsid w:val="009721A7"/>
    <w:rsid w:val="009766AE"/>
    <w:rsid w:val="009767C6"/>
    <w:rsid w:val="00977DAA"/>
    <w:rsid w:val="00981C19"/>
    <w:rsid w:val="009830F4"/>
    <w:rsid w:val="0098405A"/>
    <w:rsid w:val="009840A4"/>
    <w:rsid w:val="00985FCD"/>
    <w:rsid w:val="00990D54"/>
    <w:rsid w:val="00990D76"/>
    <w:rsid w:val="009948D2"/>
    <w:rsid w:val="00995156"/>
    <w:rsid w:val="00995407"/>
    <w:rsid w:val="009A0036"/>
    <w:rsid w:val="009A028D"/>
    <w:rsid w:val="009A12CD"/>
    <w:rsid w:val="009A330D"/>
    <w:rsid w:val="009A4411"/>
    <w:rsid w:val="009A4793"/>
    <w:rsid w:val="009A630A"/>
    <w:rsid w:val="009A758B"/>
    <w:rsid w:val="009A7CE9"/>
    <w:rsid w:val="009B1644"/>
    <w:rsid w:val="009B2752"/>
    <w:rsid w:val="009B282B"/>
    <w:rsid w:val="009B34E5"/>
    <w:rsid w:val="009B3A84"/>
    <w:rsid w:val="009B3D1A"/>
    <w:rsid w:val="009C1296"/>
    <w:rsid w:val="009E2702"/>
    <w:rsid w:val="009E6191"/>
    <w:rsid w:val="009E7A21"/>
    <w:rsid w:val="009F727A"/>
    <w:rsid w:val="009F72F3"/>
    <w:rsid w:val="00A01811"/>
    <w:rsid w:val="00A0414F"/>
    <w:rsid w:val="00A0719E"/>
    <w:rsid w:val="00A07792"/>
    <w:rsid w:val="00A10B13"/>
    <w:rsid w:val="00A11E02"/>
    <w:rsid w:val="00A134DB"/>
    <w:rsid w:val="00A141D5"/>
    <w:rsid w:val="00A14C0B"/>
    <w:rsid w:val="00A14F37"/>
    <w:rsid w:val="00A16C2E"/>
    <w:rsid w:val="00A23FA1"/>
    <w:rsid w:val="00A2716B"/>
    <w:rsid w:val="00A273A0"/>
    <w:rsid w:val="00A302F2"/>
    <w:rsid w:val="00A313BE"/>
    <w:rsid w:val="00A31780"/>
    <w:rsid w:val="00A31970"/>
    <w:rsid w:val="00A323A7"/>
    <w:rsid w:val="00A324C5"/>
    <w:rsid w:val="00A32E9A"/>
    <w:rsid w:val="00A34C97"/>
    <w:rsid w:val="00A35ACF"/>
    <w:rsid w:val="00A3704E"/>
    <w:rsid w:val="00A40923"/>
    <w:rsid w:val="00A41EA0"/>
    <w:rsid w:val="00A44FAE"/>
    <w:rsid w:val="00A4548B"/>
    <w:rsid w:val="00A46213"/>
    <w:rsid w:val="00A46BBC"/>
    <w:rsid w:val="00A51D66"/>
    <w:rsid w:val="00A57CCE"/>
    <w:rsid w:val="00A6069E"/>
    <w:rsid w:val="00A62FCF"/>
    <w:rsid w:val="00A661AF"/>
    <w:rsid w:val="00A677C8"/>
    <w:rsid w:val="00A72080"/>
    <w:rsid w:val="00A724BB"/>
    <w:rsid w:val="00A74D64"/>
    <w:rsid w:val="00A7669F"/>
    <w:rsid w:val="00A778FA"/>
    <w:rsid w:val="00A77A30"/>
    <w:rsid w:val="00A81022"/>
    <w:rsid w:val="00A8173D"/>
    <w:rsid w:val="00A82564"/>
    <w:rsid w:val="00A82C0A"/>
    <w:rsid w:val="00A83CAD"/>
    <w:rsid w:val="00A843A5"/>
    <w:rsid w:val="00A8536D"/>
    <w:rsid w:val="00A9003B"/>
    <w:rsid w:val="00A919CE"/>
    <w:rsid w:val="00AA0066"/>
    <w:rsid w:val="00AA0EC0"/>
    <w:rsid w:val="00AA2617"/>
    <w:rsid w:val="00AA4276"/>
    <w:rsid w:val="00AA5746"/>
    <w:rsid w:val="00AB093F"/>
    <w:rsid w:val="00AB0E63"/>
    <w:rsid w:val="00AB1822"/>
    <w:rsid w:val="00AB4271"/>
    <w:rsid w:val="00AB4C79"/>
    <w:rsid w:val="00AC339E"/>
    <w:rsid w:val="00AC39D6"/>
    <w:rsid w:val="00AC45A6"/>
    <w:rsid w:val="00AC4641"/>
    <w:rsid w:val="00AC70FF"/>
    <w:rsid w:val="00AC754E"/>
    <w:rsid w:val="00AC79CB"/>
    <w:rsid w:val="00AD00BF"/>
    <w:rsid w:val="00AD0BB1"/>
    <w:rsid w:val="00AD1036"/>
    <w:rsid w:val="00AD21C4"/>
    <w:rsid w:val="00AD3921"/>
    <w:rsid w:val="00AD4078"/>
    <w:rsid w:val="00AD5E90"/>
    <w:rsid w:val="00AD61C3"/>
    <w:rsid w:val="00AD6C65"/>
    <w:rsid w:val="00AD712C"/>
    <w:rsid w:val="00AE0358"/>
    <w:rsid w:val="00AE0EC4"/>
    <w:rsid w:val="00AE0F93"/>
    <w:rsid w:val="00AE1F75"/>
    <w:rsid w:val="00AE2433"/>
    <w:rsid w:val="00AE4163"/>
    <w:rsid w:val="00AE7EC2"/>
    <w:rsid w:val="00AF0B1D"/>
    <w:rsid w:val="00AF117E"/>
    <w:rsid w:val="00AF209D"/>
    <w:rsid w:val="00B00F54"/>
    <w:rsid w:val="00B04FDA"/>
    <w:rsid w:val="00B1127A"/>
    <w:rsid w:val="00B11640"/>
    <w:rsid w:val="00B15909"/>
    <w:rsid w:val="00B1684F"/>
    <w:rsid w:val="00B17A53"/>
    <w:rsid w:val="00B2072E"/>
    <w:rsid w:val="00B24F26"/>
    <w:rsid w:val="00B25283"/>
    <w:rsid w:val="00B27890"/>
    <w:rsid w:val="00B30593"/>
    <w:rsid w:val="00B324B2"/>
    <w:rsid w:val="00B34264"/>
    <w:rsid w:val="00B3500D"/>
    <w:rsid w:val="00B42DB7"/>
    <w:rsid w:val="00B431A7"/>
    <w:rsid w:val="00B43441"/>
    <w:rsid w:val="00B43AF6"/>
    <w:rsid w:val="00B44BCD"/>
    <w:rsid w:val="00B46155"/>
    <w:rsid w:val="00B463D4"/>
    <w:rsid w:val="00B46DA5"/>
    <w:rsid w:val="00B50C92"/>
    <w:rsid w:val="00B513D4"/>
    <w:rsid w:val="00B51DF2"/>
    <w:rsid w:val="00B53B07"/>
    <w:rsid w:val="00B551C2"/>
    <w:rsid w:val="00B60CDD"/>
    <w:rsid w:val="00B6396D"/>
    <w:rsid w:val="00B7118C"/>
    <w:rsid w:val="00B72754"/>
    <w:rsid w:val="00B72C99"/>
    <w:rsid w:val="00B75D18"/>
    <w:rsid w:val="00B76DF1"/>
    <w:rsid w:val="00B87954"/>
    <w:rsid w:val="00B90A97"/>
    <w:rsid w:val="00B91463"/>
    <w:rsid w:val="00B919A4"/>
    <w:rsid w:val="00B92762"/>
    <w:rsid w:val="00B954E2"/>
    <w:rsid w:val="00BA1BDE"/>
    <w:rsid w:val="00BA5877"/>
    <w:rsid w:val="00BA6BCF"/>
    <w:rsid w:val="00BA7333"/>
    <w:rsid w:val="00BA7BDA"/>
    <w:rsid w:val="00BB1EA2"/>
    <w:rsid w:val="00BB3B1C"/>
    <w:rsid w:val="00BB400A"/>
    <w:rsid w:val="00BB409B"/>
    <w:rsid w:val="00BB4B2C"/>
    <w:rsid w:val="00BB54DA"/>
    <w:rsid w:val="00BB5F93"/>
    <w:rsid w:val="00BB76B2"/>
    <w:rsid w:val="00BC5AC2"/>
    <w:rsid w:val="00BC5CF9"/>
    <w:rsid w:val="00BC62E3"/>
    <w:rsid w:val="00BC7CB0"/>
    <w:rsid w:val="00BD488D"/>
    <w:rsid w:val="00BE1656"/>
    <w:rsid w:val="00BE4F4A"/>
    <w:rsid w:val="00BF062C"/>
    <w:rsid w:val="00BF0D7E"/>
    <w:rsid w:val="00BF0EE6"/>
    <w:rsid w:val="00BF41C3"/>
    <w:rsid w:val="00BF5894"/>
    <w:rsid w:val="00BF6EA4"/>
    <w:rsid w:val="00BF704B"/>
    <w:rsid w:val="00BF7B28"/>
    <w:rsid w:val="00C011B1"/>
    <w:rsid w:val="00C05304"/>
    <w:rsid w:val="00C06D59"/>
    <w:rsid w:val="00C075DD"/>
    <w:rsid w:val="00C07D45"/>
    <w:rsid w:val="00C16B1A"/>
    <w:rsid w:val="00C2060B"/>
    <w:rsid w:val="00C207E0"/>
    <w:rsid w:val="00C20E0E"/>
    <w:rsid w:val="00C25584"/>
    <w:rsid w:val="00C3080E"/>
    <w:rsid w:val="00C311DB"/>
    <w:rsid w:val="00C318F1"/>
    <w:rsid w:val="00C32716"/>
    <w:rsid w:val="00C327DB"/>
    <w:rsid w:val="00C33A08"/>
    <w:rsid w:val="00C35123"/>
    <w:rsid w:val="00C36C68"/>
    <w:rsid w:val="00C37ABA"/>
    <w:rsid w:val="00C413AD"/>
    <w:rsid w:val="00C41CF3"/>
    <w:rsid w:val="00C50D00"/>
    <w:rsid w:val="00C5291A"/>
    <w:rsid w:val="00C53C2C"/>
    <w:rsid w:val="00C635A4"/>
    <w:rsid w:val="00C636B4"/>
    <w:rsid w:val="00C643FB"/>
    <w:rsid w:val="00C64CD6"/>
    <w:rsid w:val="00C65DA9"/>
    <w:rsid w:val="00C65EEC"/>
    <w:rsid w:val="00C73EE0"/>
    <w:rsid w:val="00C74E3F"/>
    <w:rsid w:val="00C77927"/>
    <w:rsid w:val="00C80C73"/>
    <w:rsid w:val="00C80E43"/>
    <w:rsid w:val="00C8387E"/>
    <w:rsid w:val="00C84591"/>
    <w:rsid w:val="00C84B32"/>
    <w:rsid w:val="00C95807"/>
    <w:rsid w:val="00C96076"/>
    <w:rsid w:val="00C96DF7"/>
    <w:rsid w:val="00CA079B"/>
    <w:rsid w:val="00CA24DA"/>
    <w:rsid w:val="00CA2A4C"/>
    <w:rsid w:val="00CB1460"/>
    <w:rsid w:val="00CB24C9"/>
    <w:rsid w:val="00CB4895"/>
    <w:rsid w:val="00CC123C"/>
    <w:rsid w:val="00CC1640"/>
    <w:rsid w:val="00CC250C"/>
    <w:rsid w:val="00CC27F2"/>
    <w:rsid w:val="00CC28A6"/>
    <w:rsid w:val="00CC35F4"/>
    <w:rsid w:val="00CC6F10"/>
    <w:rsid w:val="00CD0472"/>
    <w:rsid w:val="00CD38D2"/>
    <w:rsid w:val="00CD3B4C"/>
    <w:rsid w:val="00CD675F"/>
    <w:rsid w:val="00CE219D"/>
    <w:rsid w:val="00CE2E09"/>
    <w:rsid w:val="00CE356C"/>
    <w:rsid w:val="00CE3A34"/>
    <w:rsid w:val="00CF2E5F"/>
    <w:rsid w:val="00CF426A"/>
    <w:rsid w:val="00CF6CF9"/>
    <w:rsid w:val="00CF73F8"/>
    <w:rsid w:val="00D01C28"/>
    <w:rsid w:val="00D0381A"/>
    <w:rsid w:val="00D040C3"/>
    <w:rsid w:val="00D06B12"/>
    <w:rsid w:val="00D102B5"/>
    <w:rsid w:val="00D116B3"/>
    <w:rsid w:val="00D1657F"/>
    <w:rsid w:val="00D20501"/>
    <w:rsid w:val="00D20B51"/>
    <w:rsid w:val="00D230E0"/>
    <w:rsid w:val="00D25535"/>
    <w:rsid w:val="00D2678C"/>
    <w:rsid w:val="00D30EB1"/>
    <w:rsid w:val="00D32923"/>
    <w:rsid w:val="00D336FC"/>
    <w:rsid w:val="00D352E2"/>
    <w:rsid w:val="00D41513"/>
    <w:rsid w:val="00D41750"/>
    <w:rsid w:val="00D43CCC"/>
    <w:rsid w:val="00D449ED"/>
    <w:rsid w:val="00D50260"/>
    <w:rsid w:val="00D50859"/>
    <w:rsid w:val="00D52CF7"/>
    <w:rsid w:val="00D539AA"/>
    <w:rsid w:val="00D54930"/>
    <w:rsid w:val="00D602E0"/>
    <w:rsid w:val="00D6343C"/>
    <w:rsid w:val="00D70511"/>
    <w:rsid w:val="00D70B2C"/>
    <w:rsid w:val="00D70F35"/>
    <w:rsid w:val="00D71B12"/>
    <w:rsid w:val="00D75AB2"/>
    <w:rsid w:val="00D77BF7"/>
    <w:rsid w:val="00D82814"/>
    <w:rsid w:val="00D86B33"/>
    <w:rsid w:val="00D875F3"/>
    <w:rsid w:val="00D9673A"/>
    <w:rsid w:val="00DA0887"/>
    <w:rsid w:val="00DA0AD1"/>
    <w:rsid w:val="00DA0DD7"/>
    <w:rsid w:val="00DA2B1D"/>
    <w:rsid w:val="00DA37E0"/>
    <w:rsid w:val="00DA4F4E"/>
    <w:rsid w:val="00DA79FA"/>
    <w:rsid w:val="00DB18AC"/>
    <w:rsid w:val="00DB1FCE"/>
    <w:rsid w:val="00DB5205"/>
    <w:rsid w:val="00DB7E49"/>
    <w:rsid w:val="00DB7F63"/>
    <w:rsid w:val="00DC0E8B"/>
    <w:rsid w:val="00DC1B1E"/>
    <w:rsid w:val="00DC2BC0"/>
    <w:rsid w:val="00DC367F"/>
    <w:rsid w:val="00DC43DD"/>
    <w:rsid w:val="00DC7F6E"/>
    <w:rsid w:val="00DD1B1F"/>
    <w:rsid w:val="00DD5DD1"/>
    <w:rsid w:val="00DE1EDC"/>
    <w:rsid w:val="00DE3A28"/>
    <w:rsid w:val="00DF18C4"/>
    <w:rsid w:val="00DF405C"/>
    <w:rsid w:val="00DF4C86"/>
    <w:rsid w:val="00DF59C8"/>
    <w:rsid w:val="00DF675B"/>
    <w:rsid w:val="00DF757F"/>
    <w:rsid w:val="00E018E3"/>
    <w:rsid w:val="00E066F0"/>
    <w:rsid w:val="00E109A7"/>
    <w:rsid w:val="00E10ECA"/>
    <w:rsid w:val="00E11672"/>
    <w:rsid w:val="00E139FA"/>
    <w:rsid w:val="00E13D48"/>
    <w:rsid w:val="00E155A2"/>
    <w:rsid w:val="00E15EFA"/>
    <w:rsid w:val="00E173D0"/>
    <w:rsid w:val="00E17B38"/>
    <w:rsid w:val="00E23AA2"/>
    <w:rsid w:val="00E24D7F"/>
    <w:rsid w:val="00E32C57"/>
    <w:rsid w:val="00E34DFE"/>
    <w:rsid w:val="00E351DD"/>
    <w:rsid w:val="00E35F0A"/>
    <w:rsid w:val="00E36B3D"/>
    <w:rsid w:val="00E41471"/>
    <w:rsid w:val="00E4568F"/>
    <w:rsid w:val="00E46AFD"/>
    <w:rsid w:val="00E4734E"/>
    <w:rsid w:val="00E47564"/>
    <w:rsid w:val="00E5017C"/>
    <w:rsid w:val="00E50CB9"/>
    <w:rsid w:val="00E51256"/>
    <w:rsid w:val="00E5209B"/>
    <w:rsid w:val="00E54281"/>
    <w:rsid w:val="00E5567A"/>
    <w:rsid w:val="00E56249"/>
    <w:rsid w:val="00E56EAF"/>
    <w:rsid w:val="00E639F6"/>
    <w:rsid w:val="00E64874"/>
    <w:rsid w:val="00E64EB4"/>
    <w:rsid w:val="00E65BB1"/>
    <w:rsid w:val="00E65ECA"/>
    <w:rsid w:val="00E703EA"/>
    <w:rsid w:val="00E748E2"/>
    <w:rsid w:val="00E7574D"/>
    <w:rsid w:val="00E75986"/>
    <w:rsid w:val="00E80DDD"/>
    <w:rsid w:val="00E816B9"/>
    <w:rsid w:val="00E904EE"/>
    <w:rsid w:val="00E90658"/>
    <w:rsid w:val="00E911DE"/>
    <w:rsid w:val="00E91ABB"/>
    <w:rsid w:val="00E92E86"/>
    <w:rsid w:val="00E939A7"/>
    <w:rsid w:val="00EA083E"/>
    <w:rsid w:val="00EA50BF"/>
    <w:rsid w:val="00EA595F"/>
    <w:rsid w:val="00EA5A54"/>
    <w:rsid w:val="00EB36FA"/>
    <w:rsid w:val="00EB39A2"/>
    <w:rsid w:val="00EB4B3C"/>
    <w:rsid w:val="00EB6DDA"/>
    <w:rsid w:val="00EC22E1"/>
    <w:rsid w:val="00EC25C1"/>
    <w:rsid w:val="00EC5583"/>
    <w:rsid w:val="00EC7553"/>
    <w:rsid w:val="00ED2EB5"/>
    <w:rsid w:val="00ED3B81"/>
    <w:rsid w:val="00ED5E03"/>
    <w:rsid w:val="00ED6182"/>
    <w:rsid w:val="00EE01C2"/>
    <w:rsid w:val="00EE22CA"/>
    <w:rsid w:val="00EE2F3E"/>
    <w:rsid w:val="00EE3F54"/>
    <w:rsid w:val="00EE4BA1"/>
    <w:rsid w:val="00EE6CE5"/>
    <w:rsid w:val="00EF28AF"/>
    <w:rsid w:val="00EF2EBE"/>
    <w:rsid w:val="00EF303D"/>
    <w:rsid w:val="00EF4811"/>
    <w:rsid w:val="00EF6F40"/>
    <w:rsid w:val="00F0074A"/>
    <w:rsid w:val="00F0302C"/>
    <w:rsid w:val="00F07595"/>
    <w:rsid w:val="00F137AB"/>
    <w:rsid w:val="00F156F2"/>
    <w:rsid w:val="00F23171"/>
    <w:rsid w:val="00F25235"/>
    <w:rsid w:val="00F25B40"/>
    <w:rsid w:val="00F26F39"/>
    <w:rsid w:val="00F311D1"/>
    <w:rsid w:val="00F37AF3"/>
    <w:rsid w:val="00F42EBA"/>
    <w:rsid w:val="00F4425B"/>
    <w:rsid w:val="00F454FB"/>
    <w:rsid w:val="00F50F96"/>
    <w:rsid w:val="00F52AF8"/>
    <w:rsid w:val="00F554CC"/>
    <w:rsid w:val="00F56ED5"/>
    <w:rsid w:val="00F60259"/>
    <w:rsid w:val="00F66CA8"/>
    <w:rsid w:val="00F70909"/>
    <w:rsid w:val="00F72C4C"/>
    <w:rsid w:val="00F75738"/>
    <w:rsid w:val="00F82212"/>
    <w:rsid w:val="00F859A9"/>
    <w:rsid w:val="00F86EEB"/>
    <w:rsid w:val="00F91C8E"/>
    <w:rsid w:val="00F91D17"/>
    <w:rsid w:val="00F95481"/>
    <w:rsid w:val="00F95F90"/>
    <w:rsid w:val="00F960D6"/>
    <w:rsid w:val="00F969CA"/>
    <w:rsid w:val="00FA05D8"/>
    <w:rsid w:val="00FA10DE"/>
    <w:rsid w:val="00FA3CC1"/>
    <w:rsid w:val="00FB0A4A"/>
    <w:rsid w:val="00FB18FC"/>
    <w:rsid w:val="00FB1959"/>
    <w:rsid w:val="00FB19CD"/>
    <w:rsid w:val="00FB7EEC"/>
    <w:rsid w:val="00FC02C9"/>
    <w:rsid w:val="00FC52C5"/>
    <w:rsid w:val="00FC53C2"/>
    <w:rsid w:val="00FC5EDE"/>
    <w:rsid w:val="00FC7EBC"/>
    <w:rsid w:val="00FD0B11"/>
    <w:rsid w:val="00FD2E37"/>
    <w:rsid w:val="00FD4DF9"/>
    <w:rsid w:val="00FD51F7"/>
    <w:rsid w:val="00FD5B25"/>
    <w:rsid w:val="00FD6748"/>
    <w:rsid w:val="00FD7D3E"/>
    <w:rsid w:val="00FE2E0E"/>
    <w:rsid w:val="00FE380E"/>
    <w:rsid w:val="00FE47CC"/>
    <w:rsid w:val="00FE6742"/>
    <w:rsid w:val="00FE6977"/>
    <w:rsid w:val="00FE7784"/>
    <w:rsid w:val="00FF0602"/>
    <w:rsid w:val="00FF0CB7"/>
    <w:rsid w:val="00FF3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2924B"/>
  <w15:docId w15:val="{6D4CBEAD-C803-474E-9122-200243C3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ACC"/>
  </w:style>
  <w:style w:type="paragraph" w:styleId="Ttulo1">
    <w:name w:val="heading 1"/>
    <w:basedOn w:val="Normal"/>
    <w:next w:val="Normal"/>
    <w:qFormat/>
    <w:pPr>
      <w:keepNext/>
      <w:outlineLvl w:val="0"/>
    </w:pPr>
    <w:rPr>
      <w:rFonts w:ascii="Verdana" w:hAnsi="Verdana"/>
      <w:b/>
      <w:bCs/>
      <w:color w:val="800000"/>
      <w:sz w:val="22"/>
      <w:szCs w:val="22"/>
    </w:rPr>
  </w:style>
  <w:style w:type="paragraph" w:styleId="Ttulo2">
    <w:name w:val="heading 2"/>
    <w:basedOn w:val="Normal"/>
    <w:next w:val="Normal"/>
    <w:qFormat/>
    <w:pPr>
      <w:keepNext/>
      <w:outlineLvl w:val="1"/>
    </w:pPr>
    <w:rPr>
      <w:i/>
      <w:iCs/>
    </w:rPr>
  </w:style>
  <w:style w:type="paragraph" w:styleId="Ttulo3">
    <w:name w:val="heading 3"/>
    <w:basedOn w:val="Normal"/>
    <w:next w:val="Normal"/>
    <w:qFormat/>
    <w:pPr>
      <w:keepNext/>
      <w:jc w:val="both"/>
      <w:outlineLvl w:val="2"/>
    </w:pPr>
    <w:rPr>
      <w:rFonts w:ascii="Verdana" w:hAnsi="Verdana"/>
      <w:b/>
      <w:bCs/>
      <w:color w:val="800000"/>
      <w:sz w:val="22"/>
      <w:szCs w:val="22"/>
    </w:rPr>
  </w:style>
  <w:style w:type="paragraph" w:styleId="Ttulo4">
    <w:name w:val="heading 4"/>
    <w:basedOn w:val="Normal"/>
    <w:next w:val="Normal"/>
    <w:qFormat/>
    <w:pPr>
      <w:keepNext/>
      <w:jc w:val="both"/>
      <w:outlineLvl w:val="3"/>
    </w:pPr>
    <w:rPr>
      <w:rFonts w:ascii="Verdana" w:hAnsi="Verdana"/>
      <w:b/>
      <w:bCs/>
      <w:color w:val="800000"/>
      <w:spacing w:val="-20"/>
      <w:szCs w:val="22"/>
    </w:rPr>
  </w:style>
  <w:style w:type="paragraph" w:styleId="Ttulo5">
    <w:name w:val="heading 5"/>
    <w:basedOn w:val="Normal"/>
    <w:qFormat/>
    <w:pPr>
      <w:spacing w:before="100" w:beforeAutospacing="1" w:after="100" w:afterAutospacing="1"/>
      <w:outlineLvl w:val="4"/>
    </w:pPr>
    <w:rPr>
      <w:rFonts w:ascii="Arial Unicode MS" w:eastAsia="Arial Unicode MS" w:hAnsi="Arial Unicode MS" w:cs="Arial Unicode MS"/>
      <w:b/>
      <w:bCs/>
      <w:sz w:val="24"/>
      <w:szCs w:val="24"/>
    </w:rPr>
  </w:style>
  <w:style w:type="paragraph" w:styleId="Ttulo6">
    <w:name w:val="heading 6"/>
    <w:basedOn w:val="Normal"/>
    <w:next w:val="Normal"/>
    <w:link w:val="Ttulo6Car"/>
    <w:qFormat/>
    <w:rsid w:val="00BA7BDA"/>
    <w:pPr>
      <w:spacing w:before="240" w:after="60"/>
      <w:outlineLvl w:val="5"/>
    </w:pPr>
    <w:rPr>
      <w:rFonts w:ascii="Calibri" w:hAnsi="Calibri"/>
      <w:b/>
      <w:bCs/>
      <w:sz w:val="22"/>
      <w:szCs w:val="22"/>
      <w:lang w:val="x-none" w:eastAsia="x-none"/>
    </w:rPr>
  </w:style>
  <w:style w:type="paragraph" w:styleId="Ttulo9">
    <w:name w:val="heading 9"/>
    <w:basedOn w:val="Normal"/>
    <w:next w:val="Normal"/>
    <w:qFormat/>
    <w:pPr>
      <w:keepNext/>
      <w:jc w:val="center"/>
      <w:outlineLvl w:val="8"/>
    </w:pPr>
    <w:rPr>
      <w:b/>
      <w:bC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b/>
      <w:sz w:val="28"/>
      <w:lang w:val="es-ES_tradnl"/>
    </w:rPr>
  </w:style>
  <w:style w:type="paragraph" w:styleId="Textoindependiente3">
    <w:name w:val="Body Text 3"/>
    <w:basedOn w:val="Normal"/>
    <w:pPr>
      <w:jc w:val="both"/>
    </w:pPr>
    <w:rPr>
      <w:i/>
      <w:iCs/>
      <w:sz w:val="22"/>
    </w:rPr>
  </w:style>
  <w:style w:type="paragraph" w:styleId="Sangra3detindependiente">
    <w:name w:val="Body Text Indent 3"/>
    <w:basedOn w:val="Normal"/>
    <w:pPr>
      <w:autoSpaceDE w:val="0"/>
      <w:autoSpaceDN w:val="0"/>
      <w:adjustRightInd w:val="0"/>
      <w:ind w:left="567"/>
      <w:jc w:val="both"/>
    </w:pPr>
    <w:rPr>
      <w:bCs/>
      <w:i/>
      <w:iCs/>
      <w:sz w:val="24"/>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Prrafodelista">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Helvetica 55 Roman" w:hAnsi="Helvetica 55 Roman" w:cs="Helvetica 55 Roman"/>
      <w:color w:val="000000"/>
      <w:sz w:val="24"/>
      <w:szCs w:val="24"/>
    </w:rPr>
  </w:style>
  <w:style w:type="paragraph" w:customStyle="1" w:styleId="CM2">
    <w:name w:val="CM2"/>
    <w:basedOn w:val="Default"/>
    <w:next w:val="Default"/>
    <w:pPr>
      <w:spacing w:line="176" w:lineRule="atLeast"/>
    </w:pPr>
    <w:rPr>
      <w:rFonts w:cs="Times New Roman"/>
      <w:color w:val="auto"/>
    </w:rPr>
  </w:style>
  <w:style w:type="paragraph" w:styleId="Sangradetextonormal">
    <w:name w:val="Body Text Indent"/>
    <w:basedOn w:val="Normal"/>
    <w:pPr>
      <w:ind w:left="360"/>
      <w:jc w:val="both"/>
    </w:pPr>
    <w:rPr>
      <w:b/>
      <w:bCs/>
      <w:i/>
      <w:iCs/>
      <w:color w:val="800000"/>
      <w:sz w:val="24"/>
      <w:szCs w:val="22"/>
    </w:rPr>
  </w:style>
  <w:style w:type="character" w:styleId="Hipervnculo">
    <w:name w:val="Hyperlink"/>
    <w:rPr>
      <w:color w:val="333333"/>
      <w:u w:val="single"/>
    </w:rPr>
  </w:style>
  <w:style w:type="paragraph" w:styleId="Sangra2detindependiente">
    <w:name w:val="Body Text Indent 2"/>
    <w:basedOn w:val="Normal"/>
    <w:pPr>
      <w:ind w:left="284"/>
      <w:jc w:val="both"/>
    </w:pPr>
    <w:rPr>
      <w:bCs/>
      <w:sz w:val="24"/>
    </w:rPr>
  </w:style>
  <w:style w:type="paragraph" w:styleId="Textodebloque">
    <w:name w:val="Block Text"/>
    <w:basedOn w:val="Normal"/>
    <w:pPr>
      <w:ind w:left="180" w:right="-1"/>
      <w:jc w:val="both"/>
    </w:pPr>
    <w:rPr>
      <w:bCs/>
      <w:sz w:val="24"/>
    </w:rPr>
  </w:style>
  <w:style w:type="character" w:styleId="Refdecomentario">
    <w:name w:val="annotation reference"/>
    <w:semiHidden/>
    <w:rPr>
      <w:sz w:val="16"/>
      <w:szCs w:val="16"/>
    </w:rPr>
  </w:style>
  <w:style w:type="paragraph" w:styleId="Textocomentario">
    <w:name w:val="annotation text"/>
    <w:basedOn w:val="Normal"/>
    <w:semiHidden/>
  </w:style>
  <w:style w:type="character" w:customStyle="1" w:styleId="CarCar2">
    <w:name w:val="Car Car2"/>
    <w:basedOn w:val="Fuentedeprrafopredeter"/>
  </w:style>
  <w:style w:type="paragraph" w:styleId="Asuntodelcomentario">
    <w:name w:val="annotation subject"/>
    <w:basedOn w:val="Textocomentario"/>
    <w:next w:val="Textocomentario"/>
    <w:rPr>
      <w:b/>
      <w:bCs/>
    </w:rPr>
  </w:style>
  <w:style w:type="character" w:customStyle="1" w:styleId="CarCar1">
    <w:name w:val="Car Car1"/>
    <w:rPr>
      <w:b/>
      <w:bCs/>
    </w:rPr>
  </w:style>
  <w:style w:type="paragraph" w:styleId="Textodeglobo">
    <w:name w:val="Balloon Text"/>
    <w:basedOn w:val="Normal"/>
    <w:rPr>
      <w:rFonts w:ascii="Tahoma" w:hAnsi="Tahoma" w:cs="Tahoma"/>
      <w:sz w:val="16"/>
      <w:szCs w:val="16"/>
    </w:rPr>
  </w:style>
  <w:style w:type="character" w:customStyle="1" w:styleId="CarCar">
    <w:name w:val="Car Car"/>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Textoindependiente">
    <w:name w:val="Body Text"/>
    <w:basedOn w:val="Normal"/>
    <w:pPr>
      <w:jc w:val="both"/>
    </w:pPr>
    <w:rPr>
      <w:rFonts w:ascii="Verdana" w:hAnsi="Verdana"/>
      <w:sz w:val="22"/>
      <w:szCs w:val="24"/>
    </w:rPr>
  </w:style>
  <w:style w:type="character" w:customStyle="1" w:styleId="PiedepginaCar">
    <w:name w:val="Pie de página Car"/>
    <w:link w:val="Piedepgina"/>
    <w:uiPriority w:val="99"/>
    <w:rsid w:val="003735A6"/>
  </w:style>
  <w:style w:type="character" w:customStyle="1" w:styleId="Ttulo6Car">
    <w:name w:val="Título 6 Car"/>
    <w:link w:val="Ttulo6"/>
    <w:semiHidden/>
    <w:rsid w:val="00BA7BDA"/>
    <w:rPr>
      <w:rFonts w:ascii="Calibri" w:eastAsia="Times New Roman" w:hAnsi="Calibri" w:cs="Times New Roman"/>
      <w:b/>
      <w:bCs/>
      <w:sz w:val="22"/>
      <w:szCs w:val="22"/>
    </w:rPr>
  </w:style>
  <w:style w:type="paragraph" w:customStyle="1" w:styleId="Textoindependiente22">
    <w:name w:val="Texto independiente 22"/>
    <w:basedOn w:val="Normal"/>
    <w:rsid w:val="005C1A3D"/>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b/>
      <w:sz w:val="28"/>
      <w:lang w:val="es-ES_tradnl"/>
    </w:rPr>
  </w:style>
  <w:style w:type="paragraph" w:styleId="Subttulo">
    <w:name w:val="Subtitle"/>
    <w:basedOn w:val="Normal"/>
    <w:next w:val="Normal"/>
    <w:link w:val="SubttuloCar"/>
    <w:qFormat/>
    <w:rsid w:val="00F554CC"/>
    <w:pPr>
      <w:spacing w:after="60"/>
      <w:jc w:val="center"/>
      <w:outlineLvl w:val="1"/>
    </w:pPr>
    <w:rPr>
      <w:rFonts w:ascii="Calibri Light" w:hAnsi="Calibri Light"/>
      <w:sz w:val="24"/>
      <w:szCs w:val="24"/>
    </w:rPr>
  </w:style>
  <w:style w:type="character" w:customStyle="1" w:styleId="SubttuloCar">
    <w:name w:val="Subtítulo Car"/>
    <w:link w:val="Subttulo"/>
    <w:rsid w:val="00F554CC"/>
    <w:rPr>
      <w:rFonts w:ascii="Calibri Light" w:eastAsia="Times New Roman" w:hAnsi="Calibri Light" w:cs="Times New Roman"/>
      <w:sz w:val="24"/>
      <w:szCs w:val="24"/>
    </w:rPr>
  </w:style>
  <w:style w:type="table" w:styleId="Tablaconcuadrcula">
    <w:name w:val="Table Grid"/>
    <w:basedOn w:val="Tablanormal"/>
    <w:rsid w:val="002A1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25555"/>
  </w:style>
  <w:style w:type="character" w:styleId="Mencinsinresolver">
    <w:name w:val="Unresolved Mention"/>
    <w:basedOn w:val="Fuentedeprrafopredeter"/>
    <w:uiPriority w:val="99"/>
    <w:semiHidden/>
    <w:unhideWhenUsed/>
    <w:rsid w:val="00DA3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2040">
      <w:bodyDiv w:val="1"/>
      <w:marLeft w:val="0"/>
      <w:marRight w:val="0"/>
      <w:marTop w:val="0"/>
      <w:marBottom w:val="0"/>
      <w:divBdr>
        <w:top w:val="single" w:sz="2" w:space="0" w:color="CC3640"/>
        <w:left w:val="none" w:sz="0" w:space="0" w:color="auto"/>
        <w:bottom w:val="none" w:sz="0" w:space="0" w:color="auto"/>
        <w:right w:val="none" w:sz="0" w:space="0" w:color="auto"/>
      </w:divBdr>
      <w:divsChild>
        <w:div w:id="1438138402">
          <w:marLeft w:val="0"/>
          <w:marRight w:val="0"/>
          <w:marTop w:val="0"/>
          <w:marBottom w:val="0"/>
          <w:divBdr>
            <w:top w:val="single" w:sz="2" w:space="0" w:color="FF0000"/>
            <w:left w:val="single" w:sz="2" w:space="0" w:color="FF0000"/>
            <w:bottom w:val="single" w:sz="2" w:space="0" w:color="FF0000"/>
            <w:right w:val="single" w:sz="2" w:space="0" w:color="FF0000"/>
          </w:divBdr>
          <w:divsChild>
            <w:div w:id="1817066799">
              <w:marLeft w:val="0"/>
              <w:marRight w:val="0"/>
              <w:marTop w:val="0"/>
              <w:marBottom w:val="0"/>
              <w:divBdr>
                <w:top w:val="none" w:sz="0" w:space="0" w:color="auto"/>
                <w:left w:val="single" w:sz="6" w:space="0" w:color="DDDDDD"/>
                <w:bottom w:val="none" w:sz="0" w:space="0" w:color="auto"/>
                <w:right w:val="none" w:sz="0" w:space="0" w:color="auto"/>
              </w:divBdr>
              <w:divsChild>
                <w:div w:id="603264568">
                  <w:marLeft w:val="0"/>
                  <w:marRight w:val="0"/>
                  <w:marTop w:val="0"/>
                  <w:marBottom w:val="0"/>
                  <w:divBdr>
                    <w:top w:val="single" w:sz="2" w:space="0" w:color="008000"/>
                    <w:left w:val="single" w:sz="2" w:space="0" w:color="008000"/>
                    <w:bottom w:val="single" w:sz="2" w:space="0" w:color="008000"/>
                    <w:right w:val="single" w:sz="2" w:space="0" w:color="008000"/>
                  </w:divBdr>
                  <w:divsChild>
                    <w:div w:id="1812477817">
                      <w:marLeft w:val="0"/>
                      <w:marRight w:val="0"/>
                      <w:marTop w:val="0"/>
                      <w:marBottom w:val="0"/>
                      <w:divBdr>
                        <w:top w:val="none" w:sz="0" w:space="0" w:color="auto"/>
                        <w:left w:val="none" w:sz="0" w:space="0" w:color="auto"/>
                        <w:bottom w:val="none" w:sz="0" w:space="0" w:color="auto"/>
                        <w:right w:val="none" w:sz="0" w:space="0" w:color="auto"/>
                      </w:divBdr>
                      <w:divsChild>
                        <w:div w:id="1188181832">
                          <w:marLeft w:val="0"/>
                          <w:marRight w:val="0"/>
                          <w:marTop w:val="0"/>
                          <w:marBottom w:val="0"/>
                          <w:divBdr>
                            <w:top w:val="none" w:sz="0" w:space="0" w:color="auto"/>
                            <w:left w:val="none" w:sz="0" w:space="0" w:color="auto"/>
                            <w:bottom w:val="none" w:sz="0" w:space="0" w:color="auto"/>
                            <w:right w:val="none" w:sz="0" w:space="0" w:color="auto"/>
                          </w:divBdr>
                          <w:divsChild>
                            <w:div w:id="149476086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2552433">
      <w:bodyDiv w:val="1"/>
      <w:marLeft w:val="0"/>
      <w:marRight w:val="0"/>
      <w:marTop w:val="0"/>
      <w:marBottom w:val="0"/>
      <w:divBdr>
        <w:top w:val="none" w:sz="0" w:space="0" w:color="auto"/>
        <w:left w:val="none" w:sz="0" w:space="0" w:color="auto"/>
        <w:bottom w:val="none" w:sz="0" w:space="0" w:color="auto"/>
        <w:right w:val="none" w:sz="0" w:space="0" w:color="auto"/>
      </w:divBdr>
    </w:div>
    <w:div w:id="288125558">
      <w:bodyDiv w:val="1"/>
      <w:marLeft w:val="0"/>
      <w:marRight w:val="0"/>
      <w:marTop w:val="0"/>
      <w:marBottom w:val="0"/>
      <w:divBdr>
        <w:top w:val="none" w:sz="0" w:space="0" w:color="auto"/>
        <w:left w:val="none" w:sz="0" w:space="0" w:color="auto"/>
        <w:bottom w:val="none" w:sz="0" w:space="0" w:color="auto"/>
        <w:right w:val="none" w:sz="0" w:space="0" w:color="auto"/>
      </w:divBdr>
      <w:divsChild>
        <w:div w:id="1083377438">
          <w:marLeft w:val="0"/>
          <w:marRight w:val="0"/>
          <w:marTop w:val="0"/>
          <w:marBottom w:val="0"/>
          <w:divBdr>
            <w:top w:val="none" w:sz="0" w:space="0" w:color="auto"/>
            <w:left w:val="none" w:sz="0" w:space="0" w:color="auto"/>
            <w:bottom w:val="none" w:sz="0" w:space="0" w:color="auto"/>
            <w:right w:val="none" w:sz="0" w:space="0" w:color="auto"/>
          </w:divBdr>
          <w:divsChild>
            <w:div w:id="598605979">
              <w:marLeft w:val="0"/>
              <w:marRight w:val="0"/>
              <w:marTop w:val="0"/>
              <w:marBottom w:val="0"/>
              <w:divBdr>
                <w:top w:val="none" w:sz="0" w:space="0" w:color="auto"/>
                <w:left w:val="none" w:sz="0" w:space="0" w:color="auto"/>
                <w:bottom w:val="none" w:sz="0" w:space="0" w:color="auto"/>
                <w:right w:val="none" w:sz="0" w:space="0" w:color="auto"/>
              </w:divBdr>
              <w:divsChild>
                <w:div w:id="9678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4241">
      <w:bodyDiv w:val="1"/>
      <w:marLeft w:val="0"/>
      <w:marRight w:val="0"/>
      <w:marTop w:val="0"/>
      <w:marBottom w:val="0"/>
      <w:divBdr>
        <w:top w:val="none" w:sz="0" w:space="0" w:color="auto"/>
        <w:left w:val="none" w:sz="0" w:space="0" w:color="auto"/>
        <w:bottom w:val="none" w:sz="0" w:space="0" w:color="auto"/>
        <w:right w:val="none" w:sz="0" w:space="0" w:color="auto"/>
      </w:divBdr>
    </w:div>
    <w:div w:id="335306469">
      <w:bodyDiv w:val="1"/>
      <w:marLeft w:val="0"/>
      <w:marRight w:val="0"/>
      <w:marTop w:val="0"/>
      <w:marBottom w:val="0"/>
      <w:divBdr>
        <w:top w:val="none" w:sz="0" w:space="0" w:color="auto"/>
        <w:left w:val="none" w:sz="0" w:space="0" w:color="auto"/>
        <w:bottom w:val="none" w:sz="0" w:space="0" w:color="auto"/>
        <w:right w:val="none" w:sz="0" w:space="0" w:color="auto"/>
      </w:divBdr>
    </w:div>
    <w:div w:id="427654978">
      <w:bodyDiv w:val="1"/>
      <w:marLeft w:val="0"/>
      <w:marRight w:val="0"/>
      <w:marTop w:val="0"/>
      <w:marBottom w:val="0"/>
      <w:divBdr>
        <w:top w:val="none" w:sz="0" w:space="0" w:color="auto"/>
        <w:left w:val="none" w:sz="0" w:space="0" w:color="auto"/>
        <w:bottom w:val="none" w:sz="0" w:space="0" w:color="auto"/>
        <w:right w:val="none" w:sz="0" w:space="0" w:color="auto"/>
      </w:divBdr>
      <w:divsChild>
        <w:div w:id="1793353933">
          <w:marLeft w:val="0"/>
          <w:marRight w:val="0"/>
          <w:marTop w:val="0"/>
          <w:marBottom w:val="0"/>
          <w:divBdr>
            <w:top w:val="none" w:sz="0" w:space="0" w:color="auto"/>
            <w:left w:val="none" w:sz="0" w:space="0" w:color="auto"/>
            <w:bottom w:val="none" w:sz="0" w:space="0" w:color="auto"/>
            <w:right w:val="none" w:sz="0" w:space="0" w:color="auto"/>
          </w:divBdr>
          <w:divsChild>
            <w:div w:id="976449450">
              <w:marLeft w:val="0"/>
              <w:marRight w:val="0"/>
              <w:marTop w:val="0"/>
              <w:marBottom w:val="0"/>
              <w:divBdr>
                <w:top w:val="none" w:sz="0" w:space="0" w:color="auto"/>
                <w:left w:val="none" w:sz="0" w:space="0" w:color="auto"/>
                <w:bottom w:val="none" w:sz="0" w:space="0" w:color="auto"/>
                <w:right w:val="none" w:sz="0" w:space="0" w:color="auto"/>
              </w:divBdr>
              <w:divsChild>
                <w:div w:id="7453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1642">
      <w:bodyDiv w:val="1"/>
      <w:marLeft w:val="0"/>
      <w:marRight w:val="0"/>
      <w:marTop w:val="0"/>
      <w:marBottom w:val="0"/>
      <w:divBdr>
        <w:top w:val="none" w:sz="0" w:space="0" w:color="auto"/>
        <w:left w:val="none" w:sz="0" w:space="0" w:color="auto"/>
        <w:bottom w:val="none" w:sz="0" w:space="0" w:color="auto"/>
        <w:right w:val="none" w:sz="0" w:space="0" w:color="auto"/>
      </w:divBdr>
      <w:divsChild>
        <w:div w:id="267006058">
          <w:marLeft w:val="0"/>
          <w:marRight w:val="0"/>
          <w:marTop w:val="0"/>
          <w:marBottom w:val="0"/>
          <w:divBdr>
            <w:top w:val="none" w:sz="0" w:space="0" w:color="auto"/>
            <w:left w:val="none" w:sz="0" w:space="0" w:color="auto"/>
            <w:bottom w:val="none" w:sz="0" w:space="0" w:color="auto"/>
            <w:right w:val="none" w:sz="0" w:space="0" w:color="auto"/>
          </w:divBdr>
          <w:divsChild>
            <w:div w:id="1723671748">
              <w:marLeft w:val="212"/>
              <w:marRight w:val="0"/>
              <w:marTop w:val="0"/>
              <w:marBottom w:val="0"/>
              <w:divBdr>
                <w:top w:val="none" w:sz="0" w:space="0" w:color="auto"/>
                <w:left w:val="none" w:sz="0" w:space="0" w:color="auto"/>
                <w:bottom w:val="none" w:sz="0" w:space="0" w:color="auto"/>
                <w:right w:val="none" w:sz="0" w:space="0" w:color="auto"/>
              </w:divBdr>
              <w:divsChild>
                <w:div w:id="117381619">
                  <w:marLeft w:val="0"/>
                  <w:marRight w:val="0"/>
                  <w:marTop w:val="0"/>
                  <w:marBottom w:val="225"/>
                  <w:divBdr>
                    <w:top w:val="none" w:sz="0" w:space="0" w:color="auto"/>
                    <w:left w:val="none" w:sz="0" w:space="0" w:color="auto"/>
                    <w:bottom w:val="none" w:sz="0" w:space="0" w:color="auto"/>
                    <w:right w:val="none" w:sz="0" w:space="0" w:color="auto"/>
                  </w:divBdr>
                </w:div>
                <w:div w:id="371728919">
                  <w:marLeft w:val="0"/>
                  <w:marRight w:val="0"/>
                  <w:marTop w:val="0"/>
                  <w:marBottom w:val="0"/>
                  <w:divBdr>
                    <w:top w:val="none" w:sz="0" w:space="0" w:color="auto"/>
                    <w:left w:val="none" w:sz="0" w:space="0" w:color="auto"/>
                    <w:bottom w:val="none" w:sz="0" w:space="0" w:color="auto"/>
                    <w:right w:val="none" w:sz="0" w:space="0" w:color="auto"/>
                  </w:divBdr>
                </w:div>
                <w:div w:id="1983582512">
                  <w:marLeft w:val="0"/>
                  <w:marRight w:val="0"/>
                  <w:marTop w:val="225"/>
                  <w:marBottom w:val="0"/>
                  <w:divBdr>
                    <w:top w:val="none" w:sz="0" w:space="0" w:color="auto"/>
                    <w:left w:val="none" w:sz="0" w:space="0" w:color="auto"/>
                    <w:bottom w:val="none" w:sz="0" w:space="0" w:color="auto"/>
                    <w:right w:val="none" w:sz="0" w:space="0" w:color="auto"/>
                  </w:divBdr>
                  <w:divsChild>
                    <w:div w:id="1505588989">
                      <w:marLeft w:val="0"/>
                      <w:marRight w:val="0"/>
                      <w:marTop w:val="0"/>
                      <w:marBottom w:val="0"/>
                      <w:divBdr>
                        <w:top w:val="none" w:sz="0" w:space="0" w:color="auto"/>
                        <w:left w:val="none" w:sz="0" w:space="0" w:color="auto"/>
                        <w:bottom w:val="none" w:sz="0" w:space="0" w:color="auto"/>
                        <w:right w:val="none" w:sz="0" w:space="0" w:color="auto"/>
                      </w:divBdr>
                    </w:div>
                    <w:div w:id="16319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2247">
          <w:marLeft w:val="0"/>
          <w:marRight w:val="0"/>
          <w:marTop w:val="0"/>
          <w:marBottom w:val="300"/>
          <w:divBdr>
            <w:top w:val="none" w:sz="0" w:space="0" w:color="auto"/>
            <w:left w:val="none" w:sz="0" w:space="0" w:color="auto"/>
            <w:bottom w:val="none" w:sz="0" w:space="0" w:color="auto"/>
            <w:right w:val="none" w:sz="0" w:space="0" w:color="auto"/>
          </w:divBdr>
        </w:div>
      </w:divsChild>
    </w:div>
    <w:div w:id="482087066">
      <w:bodyDiv w:val="1"/>
      <w:marLeft w:val="0"/>
      <w:marRight w:val="0"/>
      <w:marTop w:val="0"/>
      <w:marBottom w:val="0"/>
      <w:divBdr>
        <w:top w:val="none" w:sz="0" w:space="0" w:color="auto"/>
        <w:left w:val="none" w:sz="0" w:space="0" w:color="auto"/>
        <w:bottom w:val="none" w:sz="0" w:space="0" w:color="auto"/>
        <w:right w:val="none" w:sz="0" w:space="0" w:color="auto"/>
      </w:divBdr>
    </w:div>
    <w:div w:id="514808269">
      <w:bodyDiv w:val="1"/>
      <w:marLeft w:val="0"/>
      <w:marRight w:val="0"/>
      <w:marTop w:val="0"/>
      <w:marBottom w:val="0"/>
      <w:divBdr>
        <w:top w:val="none" w:sz="0" w:space="0" w:color="auto"/>
        <w:left w:val="none" w:sz="0" w:space="0" w:color="auto"/>
        <w:bottom w:val="none" w:sz="0" w:space="0" w:color="auto"/>
        <w:right w:val="none" w:sz="0" w:space="0" w:color="auto"/>
      </w:divBdr>
    </w:div>
    <w:div w:id="583148957">
      <w:bodyDiv w:val="1"/>
      <w:marLeft w:val="0"/>
      <w:marRight w:val="0"/>
      <w:marTop w:val="0"/>
      <w:marBottom w:val="0"/>
      <w:divBdr>
        <w:top w:val="none" w:sz="0" w:space="0" w:color="auto"/>
        <w:left w:val="none" w:sz="0" w:space="0" w:color="auto"/>
        <w:bottom w:val="none" w:sz="0" w:space="0" w:color="auto"/>
        <w:right w:val="none" w:sz="0" w:space="0" w:color="auto"/>
      </w:divBdr>
    </w:div>
    <w:div w:id="656155887">
      <w:bodyDiv w:val="1"/>
      <w:marLeft w:val="0"/>
      <w:marRight w:val="0"/>
      <w:marTop w:val="0"/>
      <w:marBottom w:val="0"/>
      <w:divBdr>
        <w:top w:val="none" w:sz="0" w:space="0" w:color="auto"/>
        <w:left w:val="none" w:sz="0" w:space="0" w:color="auto"/>
        <w:bottom w:val="none" w:sz="0" w:space="0" w:color="auto"/>
        <w:right w:val="none" w:sz="0" w:space="0" w:color="auto"/>
      </w:divBdr>
    </w:div>
    <w:div w:id="673148429">
      <w:bodyDiv w:val="1"/>
      <w:marLeft w:val="0"/>
      <w:marRight w:val="0"/>
      <w:marTop w:val="0"/>
      <w:marBottom w:val="0"/>
      <w:divBdr>
        <w:top w:val="none" w:sz="0" w:space="0" w:color="auto"/>
        <w:left w:val="none" w:sz="0" w:space="0" w:color="auto"/>
        <w:bottom w:val="none" w:sz="0" w:space="0" w:color="auto"/>
        <w:right w:val="none" w:sz="0" w:space="0" w:color="auto"/>
      </w:divBdr>
    </w:div>
    <w:div w:id="687023614">
      <w:bodyDiv w:val="1"/>
      <w:marLeft w:val="0"/>
      <w:marRight w:val="0"/>
      <w:marTop w:val="0"/>
      <w:marBottom w:val="0"/>
      <w:divBdr>
        <w:top w:val="none" w:sz="0" w:space="0" w:color="auto"/>
        <w:left w:val="none" w:sz="0" w:space="0" w:color="auto"/>
        <w:bottom w:val="none" w:sz="0" w:space="0" w:color="auto"/>
        <w:right w:val="none" w:sz="0" w:space="0" w:color="auto"/>
      </w:divBdr>
    </w:div>
    <w:div w:id="706178845">
      <w:bodyDiv w:val="1"/>
      <w:marLeft w:val="0"/>
      <w:marRight w:val="0"/>
      <w:marTop w:val="0"/>
      <w:marBottom w:val="0"/>
      <w:divBdr>
        <w:top w:val="none" w:sz="0" w:space="0" w:color="auto"/>
        <w:left w:val="none" w:sz="0" w:space="0" w:color="auto"/>
        <w:bottom w:val="none" w:sz="0" w:space="0" w:color="auto"/>
        <w:right w:val="none" w:sz="0" w:space="0" w:color="auto"/>
      </w:divBdr>
    </w:div>
    <w:div w:id="719984605">
      <w:bodyDiv w:val="1"/>
      <w:marLeft w:val="0"/>
      <w:marRight w:val="0"/>
      <w:marTop w:val="0"/>
      <w:marBottom w:val="0"/>
      <w:divBdr>
        <w:top w:val="single" w:sz="2" w:space="0" w:color="CC3640"/>
        <w:left w:val="none" w:sz="0" w:space="0" w:color="auto"/>
        <w:bottom w:val="none" w:sz="0" w:space="0" w:color="auto"/>
        <w:right w:val="none" w:sz="0" w:space="0" w:color="auto"/>
      </w:divBdr>
      <w:divsChild>
        <w:div w:id="2015374774">
          <w:marLeft w:val="0"/>
          <w:marRight w:val="0"/>
          <w:marTop w:val="0"/>
          <w:marBottom w:val="0"/>
          <w:divBdr>
            <w:top w:val="single" w:sz="2" w:space="0" w:color="FF0000"/>
            <w:left w:val="single" w:sz="2" w:space="0" w:color="FF0000"/>
            <w:bottom w:val="single" w:sz="2" w:space="0" w:color="FF0000"/>
            <w:right w:val="single" w:sz="2" w:space="0" w:color="FF0000"/>
          </w:divBdr>
          <w:divsChild>
            <w:div w:id="1689214525">
              <w:marLeft w:val="0"/>
              <w:marRight w:val="0"/>
              <w:marTop w:val="0"/>
              <w:marBottom w:val="0"/>
              <w:divBdr>
                <w:top w:val="none" w:sz="0" w:space="0" w:color="auto"/>
                <w:left w:val="single" w:sz="6" w:space="0" w:color="DDDDDD"/>
                <w:bottom w:val="none" w:sz="0" w:space="0" w:color="auto"/>
                <w:right w:val="none" w:sz="0" w:space="0" w:color="auto"/>
              </w:divBdr>
              <w:divsChild>
                <w:div w:id="712844937">
                  <w:marLeft w:val="0"/>
                  <w:marRight w:val="0"/>
                  <w:marTop w:val="0"/>
                  <w:marBottom w:val="0"/>
                  <w:divBdr>
                    <w:top w:val="single" w:sz="2" w:space="0" w:color="008000"/>
                    <w:left w:val="single" w:sz="2" w:space="0" w:color="008000"/>
                    <w:bottom w:val="single" w:sz="2" w:space="0" w:color="008000"/>
                    <w:right w:val="single" w:sz="2" w:space="0" w:color="008000"/>
                  </w:divBdr>
                  <w:divsChild>
                    <w:div w:id="1357272261">
                      <w:marLeft w:val="0"/>
                      <w:marRight w:val="0"/>
                      <w:marTop w:val="0"/>
                      <w:marBottom w:val="0"/>
                      <w:divBdr>
                        <w:top w:val="none" w:sz="0" w:space="0" w:color="auto"/>
                        <w:left w:val="none" w:sz="0" w:space="0" w:color="auto"/>
                        <w:bottom w:val="none" w:sz="0" w:space="0" w:color="auto"/>
                        <w:right w:val="none" w:sz="0" w:space="0" w:color="auto"/>
                      </w:divBdr>
                      <w:divsChild>
                        <w:div w:id="487478296">
                          <w:marLeft w:val="0"/>
                          <w:marRight w:val="0"/>
                          <w:marTop w:val="0"/>
                          <w:marBottom w:val="0"/>
                          <w:divBdr>
                            <w:top w:val="none" w:sz="0" w:space="0" w:color="auto"/>
                            <w:left w:val="none" w:sz="0" w:space="0" w:color="auto"/>
                            <w:bottom w:val="none" w:sz="0" w:space="0" w:color="auto"/>
                            <w:right w:val="none" w:sz="0" w:space="0" w:color="auto"/>
                          </w:divBdr>
                          <w:divsChild>
                            <w:div w:id="150119295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63641549">
      <w:bodyDiv w:val="1"/>
      <w:marLeft w:val="0"/>
      <w:marRight w:val="0"/>
      <w:marTop w:val="0"/>
      <w:marBottom w:val="0"/>
      <w:divBdr>
        <w:top w:val="none" w:sz="0" w:space="0" w:color="auto"/>
        <w:left w:val="none" w:sz="0" w:space="0" w:color="auto"/>
        <w:bottom w:val="none" w:sz="0" w:space="0" w:color="auto"/>
        <w:right w:val="none" w:sz="0" w:space="0" w:color="auto"/>
      </w:divBdr>
    </w:div>
    <w:div w:id="891815432">
      <w:bodyDiv w:val="1"/>
      <w:marLeft w:val="0"/>
      <w:marRight w:val="0"/>
      <w:marTop w:val="0"/>
      <w:marBottom w:val="0"/>
      <w:divBdr>
        <w:top w:val="none" w:sz="0" w:space="0" w:color="auto"/>
        <w:left w:val="none" w:sz="0" w:space="0" w:color="auto"/>
        <w:bottom w:val="none" w:sz="0" w:space="0" w:color="auto"/>
        <w:right w:val="none" w:sz="0" w:space="0" w:color="auto"/>
      </w:divBdr>
    </w:div>
    <w:div w:id="949969773">
      <w:bodyDiv w:val="1"/>
      <w:marLeft w:val="0"/>
      <w:marRight w:val="0"/>
      <w:marTop w:val="0"/>
      <w:marBottom w:val="0"/>
      <w:divBdr>
        <w:top w:val="none" w:sz="0" w:space="0" w:color="auto"/>
        <w:left w:val="none" w:sz="0" w:space="0" w:color="auto"/>
        <w:bottom w:val="none" w:sz="0" w:space="0" w:color="auto"/>
        <w:right w:val="none" w:sz="0" w:space="0" w:color="auto"/>
      </w:divBdr>
    </w:div>
    <w:div w:id="951325097">
      <w:bodyDiv w:val="1"/>
      <w:marLeft w:val="0"/>
      <w:marRight w:val="0"/>
      <w:marTop w:val="0"/>
      <w:marBottom w:val="0"/>
      <w:divBdr>
        <w:top w:val="none" w:sz="0" w:space="0" w:color="auto"/>
        <w:left w:val="none" w:sz="0" w:space="0" w:color="auto"/>
        <w:bottom w:val="none" w:sz="0" w:space="0" w:color="auto"/>
        <w:right w:val="none" w:sz="0" w:space="0" w:color="auto"/>
      </w:divBdr>
      <w:divsChild>
        <w:div w:id="84150394">
          <w:marLeft w:val="0"/>
          <w:marRight w:val="0"/>
          <w:marTop w:val="0"/>
          <w:marBottom w:val="750"/>
          <w:divBdr>
            <w:top w:val="none" w:sz="0" w:space="0" w:color="auto"/>
            <w:left w:val="none" w:sz="0" w:space="0" w:color="auto"/>
            <w:bottom w:val="none" w:sz="0" w:space="0" w:color="auto"/>
            <w:right w:val="none" w:sz="0" w:space="0" w:color="auto"/>
          </w:divBdr>
          <w:divsChild>
            <w:div w:id="914122916">
              <w:marLeft w:val="0"/>
              <w:marRight w:val="0"/>
              <w:marTop w:val="0"/>
              <w:marBottom w:val="0"/>
              <w:divBdr>
                <w:top w:val="none" w:sz="0" w:space="0" w:color="auto"/>
                <w:left w:val="none" w:sz="0" w:space="0" w:color="auto"/>
                <w:bottom w:val="none" w:sz="0" w:space="0" w:color="auto"/>
                <w:right w:val="none" w:sz="0" w:space="0" w:color="auto"/>
              </w:divBdr>
              <w:divsChild>
                <w:div w:id="741636973">
                  <w:marLeft w:val="0"/>
                  <w:marRight w:val="0"/>
                  <w:marTop w:val="0"/>
                  <w:marBottom w:val="0"/>
                  <w:divBdr>
                    <w:top w:val="none" w:sz="0" w:space="0" w:color="auto"/>
                    <w:left w:val="none" w:sz="0" w:space="0" w:color="auto"/>
                    <w:bottom w:val="none" w:sz="0" w:space="0" w:color="auto"/>
                    <w:right w:val="none" w:sz="0" w:space="0" w:color="auto"/>
                  </w:divBdr>
                  <w:divsChild>
                    <w:div w:id="260340295">
                      <w:marLeft w:val="0"/>
                      <w:marRight w:val="0"/>
                      <w:marTop w:val="0"/>
                      <w:marBottom w:val="0"/>
                      <w:divBdr>
                        <w:top w:val="none" w:sz="0" w:space="0" w:color="auto"/>
                        <w:left w:val="none" w:sz="0" w:space="0" w:color="auto"/>
                        <w:bottom w:val="none" w:sz="0" w:space="0" w:color="auto"/>
                        <w:right w:val="none" w:sz="0" w:space="0" w:color="auto"/>
                      </w:divBdr>
                      <w:divsChild>
                        <w:div w:id="1815560440">
                          <w:marLeft w:val="0"/>
                          <w:marRight w:val="0"/>
                          <w:marTop w:val="0"/>
                          <w:marBottom w:val="0"/>
                          <w:divBdr>
                            <w:top w:val="none" w:sz="0" w:space="0" w:color="auto"/>
                            <w:left w:val="none" w:sz="0" w:space="0" w:color="auto"/>
                            <w:bottom w:val="none" w:sz="0" w:space="0" w:color="auto"/>
                            <w:right w:val="none" w:sz="0" w:space="0" w:color="auto"/>
                          </w:divBdr>
                          <w:divsChild>
                            <w:div w:id="319314325">
                              <w:marLeft w:val="0"/>
                              <w:marRight w:val="0"/>
                              <w:marTop w:val="0"/>
                              <w:marBottom w:val="0"/>
                              <w:divBdr>
                                <w:top w:val="none" w:sz="0" w:space="0" w:color="auto"/>
                                <w:left w:val="none" w:sz="0" w:space="0" w:color="auto"/>
                                <w:bottom w:val="none" w:sz="0" w:space="0" w:color="auto"/>
                                <w:right w:val="none" w:sz="0" w:space="0" w:color="auto"/>
                              </w:divBdr>
                              <w:divsChild>
                                <w:div w:id="308900842">
                                  <w:marLeft w:val="0"/>
                                  <w:marRight w:val="0"/>
                                  <w:marTop w:val="225"/>
                                  <w:marBottom w:val="0"/>
                                  <w:divBdr>
                                    <w:top w:val="none" w:sz="0" w:space="0" w:color="auto"/>
                                    <w:left w:val="none" w:sz="0" w:space="0" w:color="auto"/>
                                    <w:bottom w:val="none" w:sz="0" w:space="0" w:color="auto"/>
                                    <w:right w:val="none" w:sz="0" w:space="0" w:color="auto"/>
                                  </w:divBdr>
                                  <w:divsChild>
                                    <w:div w:id="898399081">
                                      <w:marLeft w:val="0"/>
                                      <w:marRight w:val="0"/>
                                      <w:marTop w:val="0"/>
                                      <w:marBottom w:val="0"/>
                                      <w:divBdr>
                                        <w:top w:val="none" w:sz="0" w:space="0" w:color="auto"/>
                                        <w:left w:val="none" w:sz="0" w:space="0" w:color="auto"/>
                                        <w:bottom w:val="none" w:sz="0" w:space="0" w:color="auto"/>
                                        <w:right w:val="none" w:sz="0" w:space="0" w:color="auto"/>
                                      </w:divBdr>
                                      <w:divsChild>
                                        <w:div w:id="1868836141">
                                          <w:marLeft w:val="0"/>
                                          <w:marRight w:val="0"/>
                                          <w:marTop w:val="0"/>
                                          <w:marBottom w:val="0"/>
                                          <w:divBdr>
                                            <w:top w:val="none" w:sz="0" w:space="0" w:color="auto"/>
                                            <w:left w:val="none" w:sz="0" w:space="0" w:color="auto"/>
                                            <w:bottom w:val="none" w:sz="0" w:space="0" w:color="auto"/>
                                            <w:right w:val="none" w:sz="0" w:space="0" w:color="auto"/>
                                          </w:divBdr>
                                          <w:divsChild>
                                            <w:div w:id="10428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6748">
                                  <w:marLeft w:val="0"/>
                                  <w:marRight w:val="0"/>
                                  <w:marTop w:val="0"/>
                                  <w:marBottom w:val="0"/>
                                  <w:divBdr>
                                    <w:top w:val="none" w:sz="0" w:space="0" w:color="auto"/>
                                    <w:left w:val="none" w:sz="0" w:space="0" w:color="auto"/>
                                    <w:bottom w:val="none" w:sz="0" w:space="0" w:color="auto"/>
                                    <w:right w:val="none" w:sz="0" w:space="0" w:color="auto"/>
                                  </w:divBdr>
                                  <w:divsChild>
                                    <w:div w:id="701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238">
                              <w:marLeft w:val="0"/>
                              <w:marRight w:val="0"/>
                              <w:marTop w:val="0"/>
                              <w:marBottom w:val="0"/>
                              <w:divBdr>
                                <w:top w:val="none" w:sz="0" w:space="0" w:color="auto"/>
                                <w:left w:val="none" w:sz="0" w:space="0" w:color="auto"/>
                                <w:bottom w:val="none" w:sz="0" w:space="0" w:color="auto"/>
                                <w:right w:val="none" w:sz="0" w:space="0" w:color="auto"/>
                              </w:divBdr>
                              <w:divsChild>
                                <w:div w:id="1092355151">
                                  <w:marLeft w:val="0"/>
                                  <w:marRight w:val="0"/>
                                  <w:marTop w:val="0"/>
                                  <w:marBottom w:val="0"/>
                                  <w:divBdr>
                                    <w:top w:val="none" w:sz="0" w:space="0" w:color="auto"/>
                                    <w:left w:val="none" w:sz="0" w:space="0" w:color="auto"/>
                                    <w:bottom w:val="none" w:sz="0" w:space="0" w:color="auto"/>
                                    <w:right w:val="none" w:sz="0" w:space="0" w:color="auto"/>
                                  </w:divBdr>
                                  <w:divsChild>
                                    <w:div w:id="1003817816">
                                      <w:marLeft w:val="0"/>
                                      <w:marRight w:val="0"/>
                                      <w:marTop w:val="0"/>
                                      <w:marBottom w:val="0"/>
                                      <w:divBdr>
                                        <w:top w:val="none" w:sz="0" w:space="0" w:color="auto"/>
                                        <w:left w:val="none" w:sz="0" w:space="0" w:color="auto"/>
                                        <w:bottom w:val="none" w:sz="0" w:space="0" w:color="auto"/>
                                        <w:right w:val="none" w:sz="0" w:space="0" w:color="auto"/>
                                      </w:divBdr>
                                      <w:divsChild>
                                        <w:div w:id="69739607">
                                          <w:marLeft w:val="0"/>
                                          <w:marRight w:val="0"/>
                                          <w:marTop w:val="0"/>
                                          <w:marBottom w:val="0"/>
                                          <w:divBdr>
                                            <w:top w:val="none" w:sz="0" w:space="0" w:color="auto"/>
                                            <w:left w:val="none" w:sz="0" w:space="0" w:color="auto"/>
                                            <w:bottom w:val="none" w:sz="0" w:space="0" w:color="auto"/>
                                            <w:right w:val="none" w:sz="0" w:space="0" w:color="auto"/>
                                          </w:divBdr>
                                          <w:divsChild>
                                            <w:div w:id="1533836303">
                                              <w:marLeft w:val="0"/>
                                              <w:marRight w:val="0"/>
                                              <w:marTop w:val="0"/>
                                              <w:marBottom w:val="0"/>
                                              <w:divBdr>
                                                <w:top w:val="none" w:sz="0" w:space="0" w:color="auto"/>
                                                <w:left w:val="none" w:sz="0" w:space="0" w:color="auto"/>
                                                <w:bottom w:val="none" w:sz="0" w:space="0" w:color="auto"/>
                                                <w:right w:val="none" w:sz="0" w:space="0" w:color="auto"/>
                                              </w:divBdr>
                                              <w:divsChild>
                                                <w:div w:id="2016878927">
                                                  <w:marLeft w:val="0"/>
                                                  <w:marRight w:val="0"/>
                                                  <w:marTop w:val="0"/>
                                                  <w:marBottom w:val="0"/>
                                                  <w:divBdr>
                                                    <w:top w:val="none" w:sz="0" w:space="0" w:color="auto"/>
                                                    <w:left w:val="none" w:sz="0" w:space="0" w:color="auto"/>
                                                    <w:bottom w:val="none" w:sz="0" w:space="0" w:color="auto"/>
                                                    <w:right w:val="none" w:sz="0" w:space="0" w:color="auto"/>
                                                  </w:divBdr>
                                                  <w:divsChild>
                                                    <w:div w:id="1634095223">
                                                      <w:marLeft w:val="0"/>
                                                      <w:marRight w:val="0"/>
                                                      <w:marTop w:val="0"/>
                                                      <w:marBottom w:val="0"/>
                                                      <w:divBdr>
                                                        <w:top w:val="none" w:sz="0" w:space="0" w:color="auto"/>
                                                        <w:left w:val="none" w:sz="0" w:space="0" w:color="auto"/>
                                                        <w:bottom w:val="none" w:sz="0" w:space="0" w:color="auto"/>
                                                        <w:right w:val="none" w:sz="0" w:space="0" w:color="auto"/>
                                                      </w:divBdr>
                                                      <w:divsChild>
                                                        <w:div w:id="127092136">
                                                          <w:marLeft w:val="0"/>
                                                          <w:marRight w:val="0"/>
                                                          <w:marTop w:val="0"/>
                                                          <w:marBottom w:val="0"/>
                                                          <w:divBdr>
                                                            <w:top w:val="none" w:sz="0" w:space="0" w:color="auto"/>
                                                            <w:left w:val="none" w:sz="0" w:space="0" w:color="auto"/>
                                                            <w:bottom w:val="none" w:sz="0" w:space="0" w:color="auto"/>
                                                            <w:right w:val="none" w:sz="0" w:space="0" w:color="auto"/>
                                                          </w:divBdr>
                                                          <w:divsChild>
                                                            <w:div w:id="2040078899">
                                                              <w:marLeft w:val="0"/>
                                                              <w:marRight w:val="0"/>
                                                              <w:marTop w:val="0"/>
                                                              <w:marBottom w:val="0"/>
                                                              <w:divBdr>
                                                                <w:top w:val="none" w:sz="0" w:space="0" w:color="auto"/>
                                                                <w:left w:val="none" w:sz="0" w:space="0" w:color="auto"/>
                                                                <w:bottom w:val="none" w:sz="0" w:space="0" w:color="auto"/>
                                                                <w:right w:val="none" w:sz="0" w:space="0" w:color="auto"/>
                                                              </w:divBdr>
                                                              <w:divsChild>
                                                                <w:div w:id="1157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977">
                                                          <w:marLeft w:val="0"/>
                                                          <w:marRight w:val="0"/>
                                                          <w:marTop w:val="0"/>
                                                          <w:marBottom w:val="450"/>
                                                          <w:divBdr>
                                                            <w:top w:val="none" w:sz="0" w:space="0" w:color="auto"/>
                                                            <w:left w:val="none" w:sz="0" w:space="0" w:color="auto"/>
                                                            <w:bottom w:val="none" w:sz="0" w:space="0" w:color="auto"/>
                                                            <w:right w:val="none" w:sz="0" w:space="0" w:color="auto"/>
                                                          </w:divBdr>
                                                          <w:divsChild>
                                                            <w:div w:id="1360932791">
                                                              <w:marLeft w:val="0"/>
                                                              <w:marRight w:val="0"/>
                                                              <w:marTop w:val="0"/>
                                                              <w:marBottom w:val="0"/>
                                                              <w:divBdr>
                                                                <w:top w:val="none" w:sz="0" w:space="0" w:color="auto"/>
                                                                <w:left w:val="none" w:sz="0" w:space="0" w:color="auto"/>
                                                                <w:bottom w:val="none" w:sz="0" w:space="0" w:color="auto"/>
                                                                <w:right w:val="none" w:sz="0" w:space="0" w:color="auto"/>
                                                              </w:divBdr>
                                                              <w:divsChild>
                                                                <w:div w:id="11878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3448">
                                                          <w:marLeft w:val="0"/>
                                                          <w:marRight w:val="0"/>
                                                          <w:marTop w:val="0"/>
                                                          <w:marBottom w:val="0"/>
                                                          <w:divBdr>
                                                            <w:top w:val="none" w:sz="0" w:space="0" w:color="auto"/>
                                                            <w:left w:val="none" w:sz="0" w:space="0" w:color="auto"/>
                                                            <w:bottom w:val="none" w:sz="0" w:space="0" w:color="auto"/>
                                                            <w:right w:val="none" w:sz="0" w:space="0" w:color="auto"/>
                                                          </w:divBdr>
                                                          <w:divsChild>
                                                            <w:div w:id="634221301">
                                                              <w:marLeft w:val="0"/>
                                                              <w:marRight w:val="0"/>
                                                              <w:marTop w:val="0"/>
                                                              <w:marBottom w:val="0"/>
                                                              <w:divBdr>
                                                                <w:top w:val="none" w:sz="0" w:space="0" w:color="auto"/>
                                                                <w:left w:val="none" w:sz="0" w:space="0" w:color="auto"/>
                                                                <w:bottom w:val="none" w:sz="0" w:space="0" w:color="auto"/>
                                                                <w:right w:val="none" w:sz="0" w:space="0" w:color="auto"/>
                                                              </w:divBdr>
                                                              <w:divsChild>
                                                                <w:div w:id="17431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934129">
          <w:marLeft w:val="0"/>
          <w:marRight w:val="0"/>
          <w:marTop w:val="0"/>
          <w:marBottom w:val="0"/>
          <w:divBdr>
            <w:top w:val="none" w:sz="0" w:space="0" w:color="auto"/>
            <w:left w:val="none" w:sz="0" w:space="0" w:color="auto"/>
            <w:bottom w:val="none" w:sz="0" w:space="0" w:color="auto"/>
            <w:right w:val="none" w:sz="0" w:space="0" w:color="auto"/>
          </w:divBdr>
          <w:divsChild>
            <w:div w:id="1640067832">
              <w:marLeft w:val="0"/>
              <w:marRight w:val="0"/>
              <w:marTop w:val="0"/>
              <w:marBottom w:val="0"/>
              <w:divBdr>
                <w:top w:val="none" w:sz="0" w:space="0" w:color="auto"/>
                <w:left w:val="none" w:sz="0" w:space="0" w:color="auto"/>
                <w:bottom w:val="none" w:sz="0" w:space="0" w:color="auto"/>
                <w:right w:val="none" w:sz="0" w:space="0" w:color="auto"/>
              </w:divBdr>
              <w:divsChild>
                <w:div w:id="208691780">
                  <w:marLeft w:val="0"/>
                  <w:marRight w:val="0"/>
                  <w:marTop w:val="480"/>
                  <w:marBottom w:val="390"/>
                  <w:divBdr>
                    <w:top w:val="none" w:sz="0" w:space="0" w:color="auto"/>
                    <w:left w:val="none" w:sz="0" w:space="0" w:color="auto"/>
                    <w:bottom w:val="none" w:sz="0" w:space="0" w:color="auto"/>
                    <w:right w:val="none" w:sz="0" w:space="0" w:color="auto"/>
                  </w:divBdr>
                </w:div>
              </w:divsChild>
            </w:div>
          </w:divsChild>
        </w:div>
      </w:divsChild>
    </w:div>
    <w:div w:id="969819535">
      <w:bodyDiv w:val="1"/>
      <w:marLeft w:val="0"/>
      <w:marRight w:val="0"/>
      <w:marTop w:val="0"/>
      <w:marBottom w:val="0"/>
      <w:divBdr>
        <w:top w:val="none" w:sz="0" w:space="0" w:color="auto"/>
        <w:left w:val="none" w:sz="0" w:space="0" w:color="auto"/>
        <w:bottom w:val="none" w:sz="0" w:space="0" w:color="auto"/>
        <w:right w:val="none" w:sz="0" w:space="0" w:color="auto"/>
      </w:divBdr>
    </w:div>
    <w:div w:id="1131676973">
      <w:bodyDiv w:val="1"/>
      <w:marLeft w:val="0"/>
      <w:marRight w:val="0"/>
      <w:marTop w:val="0"/>
      <w:marBottom w:val="0"/>
      <w:divBdr>
        <w:top w:val="none" w:sz="0" w:space="0" w:color="auto"/>
        <w:left w:val="none" w:sz="0" w:space="0" w:color="auto"/>
        <w:bottom w:val="none" w:sz="0" w:space="0" w:color="auto"/>
        <w:right w:val="none" w:sz="0" w:space="0" w:color="auto"/>
      </w:divBdr>
    </w:div>
    <w:div w:id="1147622396">
      <w:bodyDiv w:val="1"/>
      <w:marLeft w:val="0"/>
      <w:marRight w:val="0"/>
      <w:marTop w:val="0"/>
      <w:marBottom w:val="0"/>
      <w:divBdr>
        <w:top w:val="none" w:sz="0" w:space="0" w:color="auto"/>
        <w:left w:val="none" w:sz="0" w:space="0" w:color="auto"/>
        <w:bottom w:val="none" w:sz="0" w:space="0" w:color="auto"/>
        <w:right w:val="none" w:sz="0" w:space="0" w:color="auto"/>
      </w:divBdr>
    </w:div>
    <w:div w:id="1328705882">
      <w:bodyDiv w:val="1"/>
      <w:marLeft w:val="0"/>
      <w:marRight w:val="0"/>
      <w:marTop w:val="0"/>
      <w:marBottom w:val="0"/>
      <w:divBdr>
        <w:top w:val="none" w:sz="0" w:space="0" w:color="auto"/>
        <w:left w:val="none" w:sz="0" w:space="0" w:color="auto"/>
        <w:bottom w:val="none" w:sz="0" w:space="0" w:color="auto"/>
        <w:right w:val="none" w:sz="0" w:space="0" w:color="auto"/>
      </w:divBdr>
      <w:divsChild>
        <w:div w:id="311175830">
          <w:marLeft w:val="0"/>
          <w:marRight w:val="0"/>
          <w:marTop w:val="0"/>
          <w:marBottom w:val="0"/>
          <w:divBdr>
            <w:top w:val="none" w:sz="0" w:space="0" w:color="auto"/>
            <w:left w:val="none" w:sz="0" w:space="0" w:color="auto"/>
            <w:bottom w:val="none" w:sz="0" w:space="0" w:color="auto"/>
            <w:right w:val="none" w:sz="0" w:space="0" w:color="auto"/>
          </w:divBdr>
          <w:divsChild>
            <w:div w:id="870142829">
              <w:marLeft w:val="0"/>
              <w:marRight w:val="0"/>
              <w:marTop w:val="0"/>
              <w:marBottom w:val="360"/>
              <w:divBdr>
                <w:top w:val="none" w:sz="0" w:space="0" w:color="auto"/>
                <w:left w:val="none" w:sz="0" w:space="0" w:color="auto"/>
                <w:bottom w:val="none" w:sz="0" w:space="0" w:color="auto"/>
                <w:right w:val="none" w:sz="0" w:space="0" w:color="auto"/>
              </w:divBdr>
              <w:divsChild>
                <w:div w:id="2066100969">
                  <w:marLeft w:val="0"/>
                  <w:marRight w:val="0"/>
                  <w:marTop w:val="0"/>
                  <w:marBottom w:val="0"/>
                  <w:divBdr>
                    <w:top w:val="none" w:sz="0" w:space="0" w:color="auto"/>
                    <w:left w:val="none" w:sz="0" w:space="0" w:color="auto"/>
                    <w:bottom w:val="none" w:sz="0" w:space="0" w:color="auto"/>
                    <w:right w:val="none" w:sz="0" w:space="0" w:color="auto"/>
                  </w:divBdr>
                  <w:divsChild>
                    <w:div w:id="1628468993">
                      <w:marLeft w:val="0"/>
                      <w:marRight w:val="0"/>
                      <w:marTop w:val="0"/>
                      <w:marBottom w:val="0"/>
                      <w:divBdr>
                        <w:top w:val="none" w:sz="0" w:space="0" w:color="auto"/>
                        <w:left w:val="none" w:sz="0" w:space="0" w:color="auto"/>
                        <w:bottom w:val="none" w:sz="0" w:space="0" w:color="auto"/>
                        <w:right w:val="none" w:sz="0" w:space="0" w:color="auto"/>
                      </w:divBdr>
                      <w:divsChild>
                        <w:div w:id="1305892779">
                          <w:marLeft w:val="0"/>
                          <w:marRight w:val="0"/>
                          <w:marTop w:val="0"/>
                          <w:marBottom w:val="0"/>
                          <w:divBdr>
                            <w:top w:val="none" w:sz="0" w:space="0" w:color="auto"/>
                            <w:left w:val="none" w:sz="0" w:space="0" w:color="auto"/>
                            <w:bottom w:val="none" w:sz="0" w:space="0" w:color="auto"/>
                            <w:right w:val="none" w:sz="0" w:space="0" w:color="auto"/>
                          </w:divBdr>
                          <w:divsChild>
                            <w:div w:id="1363171980">
                              <w:marLeft w:val="0"/>
                              <w:marRight w:val="0"/>
                              <w:marTop w:val="0"/>
                              <w:marBottom w:val="0"/>
                              <w:divBdr>
                                <w:top w:val="none" w:sz="0" w:space="0" w:color="auto"/>
                                <w:left w:val="none" w:sz="0" w:space="0" w:color="auto"/>
                                <w:bottom w:val="none" w:sz="0" w:space="0" w:color="auto"/>
                                <w:right w:val="none" w:sz="0" w:space="0" w:color="auto"/>
                              </w:divBdr>
                              <w:divsChild>
                                <w:div w:id="19198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758333">
      <w:bodyDiv w:val="1"/>
      <w:marLeft w:val="0"/>
      <w:marRight w:val="0"/>
      <w:marTop w:val="0"/>
      <w:marBottom w:val="0"/>
      <w:divBdr>
        <w:top w:val="none" w:sz="0" w:space="0" w:color="auto"/>
        <w:left w:val="none" w:sz="0" w:space="0" w:color="auto"/>
        <w:bottom w:val="none" w:sz="0" w:space="0" w:color="auto"/>
        <w:right w:val="none" w:sz="0" w:space="0" w:color="auto"/>
      </w:divBdr>
    </w:div>
    <w:div w:id="1442535186">
      <w:bodyDiv w:val="1"/>
      <w:marLeft w:val="0"/>
      <w:marRight w:val="0"/>
      <w:marTop w:val="0"/>
      <w:marBottom w:val="0"/>
      <w:divBdr>
        <w:top w:val="none" w:sz="0" w:space="0" w:color="auto"/>
        <w:left w:val="none" w:sz="0" w:space="0" w:color="auto"/>
        <w:bottom w:val="none" w:sz="0" w:space="0" w:color="auto"/>
        <w:right w:val="none" w:sz="0" w:space="0" w:color="auto"/>
      </w:divBdr>
    </w:div>
    <w:div w:id="1508789665">
      <w:bodyDiv w:val="1"/>
      <w:marLeft w:val="0"/>
      <w:marRight w:val="0"/>
      <w:marTop w:val="0"/>
      <w:marBottom w:val="0"/>
      <w:divBdr>
        <w:top w:val="none" w:sz="0" w:space="0" w:color="auto"/>
        <w:left w:val="none" w:sz="0" w:space="0" w:color="auto"/>
        <w:bottom w:val="none" w:sz="0" w:space="0" w:color="auto"/>
        <w:right w:val="none" w:sz="0" w:space="0" w:color="auto"/>
      </w:divBdr>
    </w:div>
    <w:div w:id="1532063018">
      <w:bodyDiv w:val="1"/>
      <w:marLeft w:val="0"/>
      <w:marRight w:val="0"/>
      <w:marTop w:val="0"/>
      <w:marBottom w:val="0"/>
      <w:divBdr>
        <w:top w:val="none" w:sz="0" w:space="0" w:color="auto"/>
        <w:left w:val="none" w:sz="0" w:space="0" w:color="auto"/>
        <w:bottom w:val="none" w:sz="0" w:space="0" w:color="auto"/>
        <w:right w:val="none" w:sz="0" w:space="0" w:color="auto"/>
      </w:divBdr>
    </w:div>
    <w:div w:id="1614481521">
      <w:bodyDiv w:val="1"/>
      <w:marLeft w:val="0"/>
      <w:marRight w:val="0"/>
      <w:marTop w:val="0"/>
      <w:marBottom w:val="0"/>
      <w:divBdr>
        <w:top w:val="none" w:sz="0" w:space="0" w:color="auto"/>
        <w:left w:val="none" w:sz="0" w:space="0" w:color="auto"/>
        <w:bottom w:val="none" w:sz="0" w:space="0" w:color="auto"/>
        <w:right w:val="none" w:sz="0" w:space="0" w:color="auto"/>
      </w:divBdr>
    </w:div>
    <w:div w:id="1660579331">
      <w:bodyDiv w:val="1"/>
      <w:marLeft w:val="0"/>
      <w:marRight w:val="0"/>
      <w:marTop w:val="0"/>
      <w:marBottom w:val="0"/>
      <w:divBdr>
        <w:top w:val="none" w:sz="0" w:space="0" w:color="auto"/>
        <w:left w:val="none" w:sz="0" w:space="0" w:color="auto"/>
        <w:bottom w:val="none" w:sz="0" w:space="0" w:color="auto"/>
        <w:right w:val="none" w:sz="0" w:space="0" w:color="auto"/>
      </w:divBdr>
    </w:div>
    <w:div w:id="1746151239">
      <w:bodyDiv w:val="1"/>
      <w:marLeft w:val="0"/>
      <w:marRight w:val="0"/>
      <w:marTop w:val="0"/>
      <w:marBottom w:val="0"/>
      <w:divBdr>
        <w:top w:val="single" w:sz="2" w:space="0" w:color="CC3640"/>
        <w:left w:val="none" w:sz="0" w:space="0" w:color="auto"/>
        <w:bottom w:val="none" w:sz="0" w:space="0" w:color="auto"/>
        <w:right w:val="none" w:sz="0" w:space="0" w:color="auto"/>
      </w:divBdr>
      <w:divsChild>
        <w:div w:id="1263418999">
          <w:marLeft w:val="0"/>
          <w:marRight w:val="0"/>
          <w:marTop w:val="0"/>
          <w:marBottom w:val="0"/>
          <w:divBdr>
            <w:top w:val="single" w:sz="2" w:space="0" w:color="FF0000"/>
            <w:left w:val="single" w:sz="2" w:space="0" w:color="FF0000"/>
            <w:bottom w:val="single" w:sz="2" w:space="0" w:color="FF0000"/>
            <w:right w:val="single" w:sz="2" w:space="0" w:color="FF0000"/>
          </w:divBdr>
          <w:divsChild>
            <w:div w:id="43452492">
              <w:marLeft w:val="0"/>
              <w:marRight w:val="0"/>
              <w:marTop w:val="0"/>
              <w:marBottom w:val="0"/>
              <w:divBdr>
                <w:top w:val="none" w:sz="0" w:space="0" w:color="auto"/>
                <w:left w:val="single" w:sz="6" w:space="0" w:color="DDDDDD"/>
                <w:bottom w:val="none" w:sz="0" w:space="0" w:color="auto"/>
                <w:right w:val="none" w:sz="0" w:space="0" w:color="auto"/>
              </w:divBdr>
              <w:divsChild>
                <w:div w:id="795296239">
                  <w:marLeft w:val="0"/>
                  <w:marRight w:val="0"/>
                  <w:marTop w:val="0"/>
                  <w:marBottom w:val="0"/>
                  <w:divBdr>
                    <w:top w:val="single" w:sz="2" w:space="0" w:color="008000"/>
                    <w:left w:val="single" w:sz="2" w:space="0" w:color="008000"/>
                    <w:bottom w:val="single" w:sz="2" w:space="0" w:color="008000"/>
                    <w:right w:val="single" w:sz="2" w:space="0" w:color="008000"/>
                  </w:divBdr>
                  <w:divsChild>
                    <w:div w:id="547182613">
                      <w:marLeft w:val="0"/>
                      <w:marRight w:val="0"/>
                      <w:marTop w:val="0"/>
                      <w:marBottom w:val="0"/>
                      <w:divBdr>
                        <w:top w:val="none" w:sz="0" w:space="0" w:color="auto"/>
                        <w:left w:val="none" w:sz="0" w:space="0" w:color="auto"/>
                        <w:bottom w:val="none" w:sz="0" w:space="0" w:color="auto"/>
                        <w:right w:val="none" w:sz="0" w:space="0" w:color="auto"/>
                      </w:divBdr>
                      <w:divsChild>
                        <w:div w:id="1466503467">
                          <w:marLeft w:val="0"/>
                          <w:marRight w:val="0"/>
                          <w:marTop w:val="0"/>
                          <w:marBottom w:val="0"/>
                          <w:divBdr>
                            <w:top w:val="none" w:sz="0" w:space="0" w:color="auto"/>
                            <w:left w:val="none" w:sz="0" w:space="0" w:color="auto"/>
                            <w:bottom w:val="none" w:sz="0" w:space="0" w:color="auto"/>
                            <w:right w:val="none" w:sz="0" w:space="0" w:color="auto"/>
                          </w:divBdr>
                          <w:divsChild>
                            <w:div w:id="144245474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58551411">
      <w:bodyDiv w:val="1"/>
      <w:marLeft w:val="0"/>
      <w:marRight w:val="0"/>
      <w:marTop w:val="0"/>
      <w:marBottom w:val="0"/>
      <w:divBdr>
        <w:top w:val="none" w:sz="0" w:space="0" w:color="auto"/>
        <w:left w:val="none" w:sz="0" w:space="0" w:color="auto"/>
        <w:bottom w:val="none" w:sz="0" w:space="0" w:color="auto"/>
        <w:right w:val="none" w:sz="0" w:space="0" w:color="auto"/>
      </w:divBdr>
    </w:div>
    <w:div w:id="1849128168">
      <w:bodyDiv w:val="1"/>
      <w:marLeft w:val="0"/>
      <w:marRight w:val="0"/>
      <w:marTop w:val="0"/>
      <w:marBottom w:val="0"/>
      <w:divBdr>
        <w:top w:val="none" w:sz="0" w:space="0" w:color="auto"/>
        <w:left w:val="none" w:sz="0" w:space="0" w:color="auto"/>
        <w:bottom w:val="none" w:sz="0" w:space="0" w:color="auto"/>
        <w:right w:val="none" w:sz="0" w:space="0" w:color="auto"/>
      </w:divBdr>
    </w:div>
    <w:div w:id="1891647934">
      <w:bodyDiv w:val="1"/>
      <w:marLeft w:val="0"/>
      <w:marRight w:val="0"/>
      <w:marTop w:val="0"/>
      <w:marBottom w:val="0"/>
      <w:divBdr>
        <w:top w:val="none" w:sz="0" w:space="0" w:color="auto"/>
        <w:left w:val="none" w:sz="0" w:space="0" w:color="auto"/>
        <w:bottom w:val="none" w:sz="0" w:space="0" w:color="auto"/>
        <w:right w:val="none" w:sz="0" w:space="0" w:color="auto"/>
      </w:divBdr>
    </w:div>
    <w:div w:id="1935435423">
      <w:bodyDiv w:val="1"/>
      <w:marLeft w:val="0"/>
      <w:marRight w:val="0"/>
      <w:marTop w:val="0"/>
      <w:marBottom w:val="0"/>
      <w:divBdr>
        <w:top w:val="none" w:sz="0" w:space="0" w:color="auto"/>
        <w:left w:val="none" w:sz="0" w:space="0" w:color="auto"/>
        <w:bottom w:val="none" w:sz="0" w:space="0" w:color="auto"/>
        <w:right w:val="none" w:sz="0" w:space="0" w:color="auto"/>
      </w:divBdr>
    </w:div>
    <w:div w:id="2011449120">
      <w:bodyDiv w:val="1"/>
      <w:marLeft w:val="0"/>
      <w:marRight w:val="0"/>
      <w:marTop w:val="0"/>
      <w:marBottom w:val="0"/>
      <w:divBdr>
        <w:top w:val="none" w:sz="0" w:space="0" w:color="auto"/>
        <w:left w:val="none" w:sz="0" w:space="0" w:color="auto"/>
        <w:bottom w:val="none" w:sz="0" w:space="0" w:color="auto"/>
        <w:right w:val="none" w:sz="0" w:space="0" w:color="auto"/>
      </w:divBdr>
    </w:div>
    <w:div w:id="2048869371">
      <w:bodyDiv w:val="1"/>
      <w:marLeft w:val="0"/>
      <w:marRight w:val="0"/>
      <w:marTop w:val="0"/>
      <w:marBottom w:val="0"/>
      <w:divBdr>
        <w:top w:val="none" w:sz="0" w:space="0" w:color="auto"/>
        <w:left w:val="none" w:sz="0" w:space="0" w:color="auto"/>
        <w:bottom w:val="none" w:sz="0" w:space="0" w:color="auto"/>
        <w:right w:val="none" w:sz="0" w:space="0" w:color="auto"/>
      </w:divBdr>
    </w:div>
    <w:div w:id="2085225634">
      <w:bodyDiv w:val="1"/>
      <w:marLeft w:val="0"/>
      <w:marRight w:val="0"/>
      <w:marTop w:val="0"/>
      <w:marBottom w:val="0"/>
      <w:divBdr>
        <w:top w:val="none" w:sz="0" w:space="0" w:color="auto"/>
        <w:left w:val="none" w:sz="0" w:space="0" w:color="auto"/>
        <w:bottom w:val="none" w:sz="0" w:space="0" w:color="auto"/>
        <w:right w:val="none" w:sz="0" w:space="0" w:color="auto"/>
      </w:divBdr>
      <w:divsChild>
        <w:div w:id="1439912170">
          <w:marLeft w:val="300"/>
          <w:marRight w:val="30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0185-D72D-4F65-856A-97833B7A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3602</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OCTUBRE</vt:lpstr>
    </vt:vector>
  </TitlesOfParts>
  <Company>Atlantis Hotels</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OCTUBRE</dc:title>
  <dc:subject/>
  <dc:creator>Juan Lorente</dc:creator>
  <cp:keywords/>
  <cp:lastModifiedBy>Jose Luis Chico Bersabe</cp:lastModifiedBy>
  <cp:revision>10</cp:revision>
  <cp:lastPrinted>2019-09-26T15:17:00Z</cp:lastPrinted>
  <dcterms:created xsi:type="dcterms:W3CDTF">2025-09-25T10:31:00Z</dcterms:created>
  <dcterms:modified xsi:type="dcterms:W3CDTF">2025-09-29T16:03:00Z</dcterms:modified>
</cp:coreProperties>
</file>