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shd w:val="clear" w:color="auto" w:fill="800000"/>
        <w:tblCellMar>
          <w:left w:w="70" w:type="dxa"/>
          <w:right w:w="70" w:type="dxa"/>
        </w:tblCellMar>
        <w:tblLook w:val="0000" w:firstRow="0" w:lastRow="0" w:firstColumn="0" w:lastColumn="0" w:noHBand="0" w:noVBand="0"/>
      </w:tblPr>
      <w:tblGrid>
        <w:gridCol w:w="1513"/>
        <w:gridCol w:w="6991"/>
      </w:tblGrid>
      <w:tr w:rsidR="00341BFE" w14:paraId="0E87AB39" w14:textId="77777777">
        <w:trPr>
          <w:trHeight w:val="889"/>
        </w:trPr>
        <w:tc>
          <w:tcPr>
            <w:tcW w:w="1150" w:type="dxa"/>
            <w:shd w:val="clear" w:color="auto" w:fill="000000"/>
            <w:vAlign w:val="center"/>
          </w:tcPr>
          <w:p w14:paraId="5BFA0FC6" w14:textId="77777777" w:rsidR="00341BFE" w:rsidRPr="00005F73" w:rsidRDefault="003735A6" w:rsidP="003735A6">
            <w:pPr>
              <w:pStyle w:val="Ttulo9"/>
              <w:jc w:val="left"/>
              <w:rPr>
                <w:rFonts w:ascii="Verdana" w:hAnsi="Verdana"/>
                <w:szCs w:val="20"/>
              </w:rPr>
            </w:pPr>
            <w:r w:rsidRPr="00005F73">
              <w:rPr>
                <w:rFonts w:ascii="Verdana" w:hAnsi="Verdana"/>
                <w:szCs w:val="20"/>
              </w:rPr>
              <w:t>NOVIEMBRE</w:t>
            </w:r>
          </w:p>
          <w:p w14:paraId="233C1518" w14:textId="77777777" w:rsidR="00341BFE" w:rsidRDefault="00341BFE" w:rsidP="00AC6F47">
            <w:pPr>
              <w:jc w:val="center"/>
              <w:rPr>
                <w:rFonts w:ascii="Verdana" w:hAnsi="Verdana"/>
                <w:b/>
                <w:bCs/>
                <w:sz w:val="22"/>
                <w:szCs w:val="32"/>
              </w:rPr>
            </w:pPr>
            <w:r w:rsidRPr="00005F73">
              <w:rPr>
                <w:rFonts w:ascii="Verdana" w:hAnsi="Verdana"/>
                <w:b/>
                <w:bCs/>
              </w:rPr>
              <w:t>20</w:t>
            </w:r>
            <w:r w:rsidR="00AC6F47">
              <w:rPr>
                <w:rFonts w:ascii="Verdana" w:hAnsi="Verdana"/>
                <w:b/>
                <w:bCs/>
              </w:rPr>
              <w:t>2</w:t>
            </w:r>
            <w:r w:rsidR="00BD797B">
              <w:rPr>
                <w:rFonts w:ascii="Verdana" w:hAnsi="Verdana"/>
                <w:b/>
                <w:bCs/>
              </w:rPr>
              <w:t>6</w:t>
            </w:r>
          </w:p>
        </w:tc>
        <w:tc>
          <w:tcPr>
            <w:tcW w:w="7494" w:type="dxa"/>
            <w:shd w:val="clear" w:color="auto" w:fill="993300"/>
            <w:vAlign w:val="center"/>
          </w:tcPr>
          <w:p w14:paraId="5301FE5A" w14:textId="77777777" w:rsidR="00341BFE" w:rsidRPr="00005F73" w:rsidRDefault="00341BFE">
            <w:pPr>
              <w:jc w:val="center"/>
              <w:rPr>
                <w:rFonts w:ascii="Verdana" w:hAnsi="Verdana"/>
                <w:b/>
                <w:bCs/>
                <w:color w:val="FFFFFF"/>
                <w:sz w:val="24"/>
                <w:szCs w:val="24"/>
              </w:rPr>
            </w:pPr>
            <w:r w:rsidRPr="00005F73">
              <w:rPr>
                <w:rFonts w:ascii="Verdana" w:hAnsi="Verdana"/>
                <w:b/>
                <w:bCs/>
                <w:color w:val="FFFFFF"/>
                <w:sz w:val="24"/>
                <w:szCs w:val="24"/>
              </w:rPr>
              <w:t>APUNTES SOBRE LA ACTUALIDAD FISCAL</w:t>
            </w:r>
          </w:p>
        </w:tc>
      </w:tr>
    </w:tbl>
    <w:p w14:paraId="05C06C19" w14:textId="77777777" w:rsidR="00341BFE" w:rsidRDefault="00341BFE">
      <w:pPr>
        <w:jc w:val="both"/>
        <w:rPr>
          <w:rFonts w:ascii="Verdana" w:hAnsi="Verdana"/>
          <w:b/>
          <w:sz w:val="22"/>
        </w:rPr>
      </w:pPr>
    </w:p>
    <w:p w14:paraId="41FFAC03" w14:textId="77777777" w:rsidR="00341BFE" w:rsidRDefault="00341BFE">
      <w:pPr>
        <w:jc w:val="both"/>
        <w:rPr>
          <w:rFonts w:ascii="Verdana" w:hAnsi="Verdana"/>
          <w:b/>
          <w:sz w:val="22"/>
        </w:rPr>
      </w:pPr>
    </w:p>
    <w:p w14:paraId="0876BA06" w14:textId="77777777" w:rsidR="00341BFE" w:rsidRPr="00005F73" w:rsidRDefault="00341BFE" w:rsidP="00DC2BC0">
      <w:pPr>
        <w:tabs>
          <w:tab w:val="left" w:pos="284"/>
        </w:tabs>
        <w:jc w:val="center"/>
        <w:rPr>
          <w:rFonts w:ascii="Verdana" w:hAnsi="Verdana"/>
          <w:color w:val="800000"/>
          <w:u w:val="single"/>
        </w:rPr>
      </w:pPr>
      <w:r w:rsidRPr="00005F73">
        <w:rPr>
          <w:rFonts w:ascii="Verdana" w:hAnsi="Verdana"/>
          <w:b/>
          <w:bCs/>
          <w:color w:val="800000"/>
          <w:u w:val="single"/>
        </w:rPr>
        <w:t>SUMARIO</w:t>
      </w:r>
    </w:p>
    <w:p w14:paraId="4DCB1DDE" w14:textId="77777777" w:rsidR="00341BFE" w:rsidRDefault="00341BFE" w:rsidP="00A84591">
      <w:pPr>
        <w:jc w:val="center"/>
        <w:rPr>
          <w:rFonts w:ascii="Verdana" w:hAnsi="Verdana"/>
          <w:b/>
          <w:bCs/>
          <w:i/>
          <w:iCs/>
          <w:color w:val="800000"/>
          <w:sz w:val="18"/>
          <w:szCs w:val="18"/>
          <w:u w:val="single"/>
        </w:rPr>
      </w:pPr>
    </w:p>
    <w:p w14:paraId="0445B581" w14:textId="77777777" w:rsidR="00F84821" w:rsidRPr="00F84821" w:rsidRDefault="00F84821" w:rsidP="009E07F4">
      <w:pPr>
        <w:pStyle w:val="Prrafodelista"/>
        <w:numPr>
          <w:ilvl w:val="0"/>
          <w:numId w:val="3"/>
        </w:numPr>
        <w:tabs>
          <w:tab w:val="left" w:pos="142"/>
        </w:tabs>
        <w:spacing w:line="240" w:lineRule="auto"/>
        <w:ind w:left="284" w:hanging="284"/>
        <w:jc w:val="both"/>
        <w:rPr>
          <w:rFonts w:ascii="Verdana" w:hAnsi="Verdana"/>
          <w:b/>
          <w:bCs/>
          <w:i/>
          <w:iCs/>
          <w:color w:val="800000"/>
          <w:sz w:val="18"/>
          <w:szCs w:val="18"/>
        </w:rPr>
      </w:pPr>
      <w:r w:rsidRPr="00F84821">
        <w:rPr>
          <w:rFonts w:ascii="Verdana" w:hAnsi="Verdana"/>
          <w:b/>
          <w:bCs/>
          <w:i/>
          <w:iCs/>
          <w:color w:val="800000"/>
          <w:sz w:val="18"/>
          <w:szCs w:val="18"/>
        </w:rPr>
        <w:t>LA NUEVA SOLUCIÓN PÚBLICA DE FACTURACIÓN ELECTRÓNICA DE LA AGENCIA TRIBUTARIA: REQUISITOS TÉCNICOS, EMISIÓN E INTERCONEXIÓN DE FACTURAS Y COMUNICACIÓN DE SUS ESTADOS Y PAGOS</w:t>
      </w:r>
    </w:p>
    <w:p w14:paraId="0150BFE7" w14:textId="77777777" w:rsidR="00A86E93" w:rsidRDefault="00F84821" w:rsidP="00B6654F">
      <w:pPr>
        <w:pStyle w:val="Prrafodelista"/>
        <w:tabs>
          <w:tab w:val="left" w:pos="142"/>
        </w:tabs>
        <w:spacing w:line="240" w:lineRule="auto"/>
        <w:ind w:left="284"/>
        <w:jc w:val="both"/>
        <w:rPr>
          <w:rFonts w:ascii="Verdana" w:hAnsi="Verdana"/>
          <w:b/>
          <w:bCs/>
          <w:i/>
          <w:iCs/>
          <w:color w:val="800000"/>
          <w:sz w:val="18"/>
          <w:szCs w:val="18"/>
        </w:rPr>
      </w:pPr>
      <w:bookmarkStart w:id="0" w:name="_Hlk212030107"/>
      <w:r w:rsidRPr="00F84821">
        <w:rPr>
          <w:rFonts w:ascii="Verdana" w:hAnsi="Verdana"/>
          <w:b/>
          <w:bCs/>
          <w:i/>
          <w:iCs/>
          <w:color w:val="800000"/>
          <w:sz w:val="18"/>
          <w:szCs w:val="18"/>
        </w:rPr>
        <w:t>La norma completa el desarrollo técnico de la factura electrónica obligatoria y configura la solución pública de la Agencia Tributaria como un elemento central del nuevo sistema, tanto para facilitar la emisión, recepción e intercambio de facturas como para centralizar la información sobre sus estados y pagos y permitir un mayor control de los plazos de pago entre empresarios y profesionales.</w:t>
      </w:r>
    </w:p>
    <w:p w14:paraId="11DEB093" w14:textId="77777777" w:rsidR="00F14F72" w:rsidRDefault="00F14F72" w:rsidP="00B6654F">
      <w:pPr>
        <w:pStyle w:val="Prrafodelista"/>
        <w:tabs>
          <w:tab w:val="left" w:pos="142"/>
        </w:tabs>
        <w:spacing w:line="240" w:lineRule="auto"/>
        <w:ind w:left="284"/>
        <w:jc w:val="both"/>
        <w:rPr>
          <w:rFonts w:ascii="Verdana" w:hAnsi="Verdana"/>
          <w:b/>
          <w:bCs/>
          <w:i/>
          <w:iCs/>
          <w:color w:val="800000"/>
          <w:sz w:val="18"/>
          <w:szCs w:val="18"/>
        </w:rPr>
      </w:pPr>
    </w:p>
    <w:p w14:paraId="2728BEF6" w14:textId="77777777" w:rsidR="00F14F72" w:rsidRDefault="00F14F72" w:rsidP="009E07F4">
      <w:pPr>
        <w:pStyle w:val="Prrafodelista"/>
        <w:numPr>
          <w:ilvl w:val="0"/>
          <w:numId w:val="3"/>
        </w:numPr>
        <w:tabs>
          <w:tab w:val="left" w:pos="142"/>
        </w:tabs>
        <w:spacing w:line="240" w:lineRule="auto"/>
        <w:ind w:left="284" w:hanging="284"/>
        <w:jc w:val="both"/>
        <w:rPr>
          <w:rFonts w:ascii="Verdana" w:hAnsi="Verdana"/>
          <w:b/>
          <w:bCs/>
          <w:i/>
          <w:iCs/>
          <w:color w:val="800000"/>
          <w:sz w:val="18"/>
          <w:szCs w:val="18"/>
        </w:rPr>
      </w:pPr>
      <w:r w:rsidRPr="00F14F72">
        <w:rPr>
          <w:rFonts w:ascii="Verdana" w:hAnsi="Verdana"/>
          <w:b/>
          <w:bCs/>
          <w:i/>
          <w:iCs/>
          <w:color w:val="800000"/>
          <w:sz w:val="18"/>
          <w:szCs w:val="18"/>
        </w:rPr>
        <w:t>NUEVA LEY DE DISCAPACIDAD</w:t>
      </w:r>
      <w:r>
        <w:rPr>
          <w:rFonts w:ascii="Verdana" w:hAnsi="Verdana"/>
          <w:b/>
          <w:bCs/>
          <w:i/>
          <w:iCs/>
          <w:color w:val="800000"/>
          <w:sz w:val="18"/>
          <w:szCs w:val="18"/>
        </w:rPr>
        <w:t>. SE</w:t>
      </w:r>
      <w:r w:rsidRPr="00F14F72">
        <w:rPr>
          <w:rFonts w:ascii="Verdana" w:hAnsi="Verdana"/>
          <w:b/>
          <w:bCs/>
          <w:i/>
          <w:iCs/>
          <w:color w:val="800000"/>
          <w:sz w:val="18"/>
          <w:szCs w:val="18"/>
        </w:rPr>
        <w:t xml:space="preserve"> AMPLÍA</w:t>
      </w:r>
      <w:r>
        <w:rPr>
          <w:rFonts w:ascii="Verdana" w:hAnsi="Verdana"/>
          <w:b/>
          <w:bCs/>
          <w:i/>
          <w:iCs/>
          <w:color w:val="800000"/>
          <w:sz w:val="18"/>
          <w:szCs w:val="18"/>
        </w:rPr>
        <w:t>N</w:t>
      </w:r>
      <w:r w:rsidRPr="00F14F72">
        <w:rPr>
          <w:rFonts w:ascii="Verdana" w:hAnsi="Verdana"/>
          <w:b/>
          <w:bCs/>
          <w:i/>
          <w:iCs/>
          <w:color w:val="800000"/>
          <w:sz w:val="18"/>
          <w:szCs w:val="18"/>
        </w:rPr>
        <w:t xml:space="preserve"> LAS EXENCIONES EN EL IRPF Y </w:t>
      </w:r>
      <w:r>
        <w:rPr>
          <w:rFonts w:ascii="Verdana" w:hAnsi="Verdana"/>
          <w:b/>
          <w:bCs/>
          <w:i/>
          <w:iCs/>
          <w:color w:val="800000"/>
          <w:sz w:val="18"/>
          <w:szCs w:val="18"/>
        </w:rPr>
        <w:t xml:space="preserve">SE </w:t>
      </w:r>
      <w:r w:rsidRPr="00F14F72">
        <w:rPr>
          <w:rFonts w:ascii="Verdana" w:hAnsi="Verdana"/>
          <w:b/>
          <w:bCs/>
          <w:i/>
          <w:iCs/>
          <w:color w:val="800000"/>
          <w:sz w:val="18"/>
          <w:szCs w:val="18"/>
        </w:rPr>
        <w:t>REFUERZA</w:t>
      </w:r>
      <w:r>
        <w:rPr>
          <w:rFonts w:ascii="Verdana" w:hAnsi="Verdana"/>
          <w:b/>
          <w:bCs/>
          <w:i/>
          <w:iCs/>
          <w:color w:val="800000"/>
          <w:sz w:val="18"/>
          <w:szCs w:val="18"/>
        </w:rPr>
        <w:t>N</w:t>
      </w:r>
      <w:r w:rsidRPr="00F14F72">
        <w:rPr>
          <w:rFonts w:ascii="Verdana" w:hAnsi="Verdana"/>
          <w:b/>
          <w:bCs/>
          <w:i/>
          <w:iCs/>
          <w:color w:val="800000"/>
          <w:sz w:val="18"/>
          <w:szCs w:val="18"/>
        </w:rPr>
        <w:t xml:space="preserve"> LOS INCENTIVOS A LA INCLUSIÓN</w:t>
      </w:r>
    </w:p>
    <w:p w14:paraId="6132B440" w14:textId="77777777" w:rsidR="00F14F72" w:rsidRDefault="00F14F72" w:rsidP="00F14F72">
      <w:pPr>
        <w:pStyle w:val="Prrafodelista"/>
        <w:tabs>
          <w:tab w:val="left" w:pos="142"/>
        </w:tabs>
        <w:spacing w:line="240" w:lineRule="auto"/>
        <w:ind w:left="284"/>
        <w:jc w:val="both"/>
        <w:rPr>
          <w:rFonts w:ascii="Verdana" w:hAnsi="Verdana"/>
          <w:b/>
          <w:bCs/>
          <w:i/>
          <w:iCs/>
          <w:color w:val="800000"/>
          <w:sz w:val="18"/>
          <w:szCs w:val="18"/>
        </w:rPr>
      </w:pPr>
      <w:r w:rsidRPr="00F14F72">
        <w:rPr>
          <w:rFonts w:ascii="Verdana" w:hAnsi="Verdana"/>
          <w:b/>
          <w:bCs/>
          <w:i/>
          <w:iCs/>
          <w:color w:val="800000"/>
          <w:sz w:val="18"/>
          <w:szCs w:val="18"/>
        </w:rPr>
        <w:t>Se amplía la exención del art. 7.x) de la Ley IRPF para incluir las prestaciones económicas públicas vinculadas al servicio para cuidados en el entorno familiar, asistencia personal y cuidados y apoyos en viviendas</w:t>
      </w:r>
      <w:r w:rsidR="00223A80">
        <w:rPr>
          <w:rFonts w:ascii="Verdana" w:hAnsi="Verdana"/>
          <w:b/>
          <w:bCs/>
          <w:i/>
          <w:iCs/>
          <w:color w:val="800000"/>
          <w:sz w:val="18"/>
          <w:szCs w:val="18"/>
        </w:rPr>
        <w:t>.</w:t>
      </w:r>
    </w:p>
    <w:p w14:paraId="7139EB61" w14:textId="77777777" w:rsidR="000A3FDB" w:rsidRDefault="000A3FDB" w:rsidP="00F14F72">
      <w:pPr>
        <w:pStyle w:val="Prrafodelista"/>
        <w:tabs>
          <w:tab w:val="left" w:pos="142"/>
        </w:tabs>
        <w:spacing w:line="240" w:lineRule="auto"/>
        <w:ind w:left="284"/>
        <w:jc w:val="both"/>
        <w:rPr>
          <w:rFonts w:ascii="Verdana" w:hAnsi="Verdana"/>
          <w:b/>
          <w:bCs/>
          <w:i/>
          <w:iCs/>
          <w:color w:val="800000"/>
          <w:sz w:val="18"/>
          <w:szCs w:val="18"/>
        </w:rPr>
      </w:pPr>
    </w:p>
    <w:p w14:paraId="5607CE97" w14:textId="77777777" w:rsidR="000A3FDB" w:rsidRDefault="000A3FDB" w:rsidP="009E07F4">
      <w:pPr>
        <w:pStyle w:val="Prrafodelista"/>
        <w:numPr>
          <w:ilvl w:val="0"/>
          <w:numId w:val="3"/>
        </w:numPr>
        <w:tabs>
          <w:tab w:val="left" w:pos="142"/>
        </w:tabs>
        <w:spacing w:line="240" w:lineRule="auto"/>
        <w:ind w:left="284" w:hanging="284"/>
        <w:jc w:val="both"/>
        <w:rPr>
          <w:rFonts w:ascii="Verdana" w:hAnsi="Verdana"/>
          <w:b/>
          <w:bCs/>
          <w:i/>
          <w:iCs/>
          <w:color w:val="800000"/>
          <w:sz w:val="18"/>
          <w:szCs w:val="18"/>
        </w:rPr>
      </w:pPr>
      <w:r w:rsidRPr="000A3FDB">
        <w:rPr>
          <w:rFonts w:ascii="Verdana" w:hAnsi="Verdana"/>
          <w:b/>
          <w:bCs/>
          <w:i/>
          <w:iCs/>
          <w:color w:val="800000"/>
          <w:sz w:val="18"/>
          <w:szCs w:val="18"/>
        </w:rPr>
        <w:t>SE APRUEBAN POR SEGUNDA VEZ LAS MEDIDAS TRIBUTARIAS RELATIVAS AL ALQUILER RESIDENCIAL Y VIVIENDA ASEQUIBLE: MODIFICACIONES EN IRPF, IVA, IBI, IS Y PLUSVALÍA MUNICIPAL</w:t>
      </w:r>
    </w:p>
    <w:p w14:paraId="048D557E" w14:textId="77777777" w:rsidR="000A3FDB" w:rsidRPr="000A3FDB" w:rsidRDefault="000A3FDB" w:rsidP="000A3FDB">
      <w:pPr>
        <w:pStyle w:val="Prrafodelista"/>
        <w:tabs>
          <w:tab w:val="left" w:pos="142"/>
        </w:tabs>
        <w:spacing w:line="240" w:lineRule="auto"/>
        <w:ind w:left="284"/>
        <w:jc w:val="both"/>
        <w:rPr>
          <w:rFonts w:ascii="Verdana" w:hAnsi="Verdana"/>
          <w:b/>
          <w:bCs/>
          <w:i/>
          <w:iCs/>
          <w:color w:val="800000"/>
          <w:sz w:val="18"/>
          <w:szCs w:val="18"/>
        </w:rPr>
      </w:pPr>
      <w:r w:rsidRPr="000A3FDB">
        <w:rPr>
          <w:rFonts w:ascii="Verdana" w:hAnsi="Verdana"/>
          <w:b/>
          <w:bCs/>
          <w:i/>
          <w:iCs/>
          <w:color w:val="800000"/>
          <w:sz w:val="18"/>
          <w:szCs w:val="18"/>
        </w:rPr>
        <w:t>El 7 de octubre se ha publicado en el BOE el Real Decreto-ley 29/2026, de 6 de octubre, por el que se adoptan medidas urgentes para la protección de la función social de la vivienda y la ampliación de la oferta de vivienda asequible.</w:t>
      </w:r>
    </w:p>
    <w:p w14:paraId="3D15860F" w14:textId="77777777" w:rsidR="00223A80" w:rsidRDefault="00223A80" w:rsidP="00F14F72">
      <w:pPr>
        <w:pStyle w:val="Prrafodelista"/>
        <w:tabs>
          <w:tab w:val="left" w:pos="142"/>
        </w:tabs>
        <w:spacing w:line="240" w:lineRule="auto"/>
        <w:ind w:left="284"/>
        <w:jc w:val="both"/>
        <w:rPr>
          <w:rFonts w:ascii="Verdana" w:hAnsi="Verdana"/>
          <w:b/>
          <w:bCs/>
          <w:i/>
          <w:iCs/>
          <w:color w:val="800000"/>
          <w:sz w:val="18"/>
          <w:szCs w:val="18"/>
        </w:rPr>
      </w:pPr>
    </w:p>
    <w:p w14:paraId="7DC4CBA1" w14:textId="77777777" w:rsidR="00223A80" w:rsidRDefault="000A3FDB" w:rsidP="009E07F4">
      <w:pPr>
        <w:pStyle w:val="Prrafodelista"/>
        <w:numPr>
          <w:ilvl w:val="0"/>
          <w:numId w:val="3"/>
        </w:numPr>
        <w:tabs>
          <w:tab w:val="left" w:pos="142"/>
        </w:tabs>
        <w:spacing w:line="240" w:lineRule="auto"/>
        <w:ind w:left="284" w:hanging="284"/>
        <w:jc w:val="both"/>
        <w:rPr>
          <w:rFonts w:ascii="Verdana" w:hAnsi="Verdana"/>
          <w:b/>
          <w:bCs/>
          <w:i/>
          <w:iCs/>
          <w:color w:val="800000"/>
          <w:sz w:val="18"/>
          <w:szCs w:val="18"/>
        </w:rPr>
      </w:pPr>
      <w:r>
        <w:rPr>
          <w:rFonts w:ascii="Verdana" w:hAnsi="Verdana"/>
          <w:b/>
          <w:bCs/>
          <w:i/>
          <w:iCs/>
          <w:color w:val="800000"/>
          <w:sz w:val="18"/>
          <w:szCs w:val="18"/>
        </w:rPr>
        <w:t>I</w:t>
      </w:r>
      <w:r w:rsidR="00223A80">
        <w:rPr>
          <w:rFonts w:ascii="Verdana" w:hAnsi="Verdana"/>
          <w:b/>
          <w:bCs/>
          <w:i/>
          <w:iCs/>
          <w:color w:val="800000"/>
          <w:sz w:val="18"/>
          <w:szCs w:val="18"/>
        </w:rPr>
        <w:t xml:space="preserve">S.- </w:t>
      </w:r>
      <w:r w:rsidR="00223A80" w:rsidRPr="00223A80">
        <w:rPr>
          <w:rFonts w:ascii="Verdana" w:hAnsi="Verdana"/>
          <w:b/>
          <w:bCs/>
          <w:i/>
          <w:iCs/>
          <w:color w:val="800000"/>
          <w:sz w:val="18"/>
          <w:szCs w:val="18"/>
        </w:rPr>
        <w:t>LOS RENDIMIENTOS DE LAS CUENTAS EN PARTICIPACIÓN NO PUEDEN ACOGERSE A LA EXENCIÓN DE DIVIDENDOS DEL ARTÍCULO 21 DE LA LIS</w:t>
      </w:r>
    </w:p>
    <w:p w14:paraId="01C4EC0F" w14:textId="77777777" w:rsidR="00223A80" w:rsidRDefault="00223A80" w:rsidP="00223A80">
      <w:pPr>
        <w:pStyle w:val="Prrafodelista"/>
        <w:tabs>
          <w:tab w:val="left" w:pos="142"/>
        </w:tabs>
        <w:spacing w:line="240" w:lineRule="auto"/>
        <w:ind w:left="284"/>
        <w:jc w:val="both"/>
        <w:rPr>
          <w:rFonts w:ascii="Verdana" w:hAnsi="Verdana"/>
          <w:b/>
          <w:bCs/>
          <w:i/>
          <w:iCs/>
          <w:color w:val="800000"/>
          <w:sz w:val="18"/>
          <w:szCs w:val="18"/>
        </w:rPr>
      </w:pPr>
      <w:r w:rsidRPr="00223A80">
        <w:rPr>
          <w:rFonts w:ascii="Verdana" w:hAnsi="Verdana"/>
          <w:b/>
          <w:bCs/>
          <w:i/>
          <w:iCs/>
          <w:color w:val="800000"/>
          <w:sz w:val="18"/>
          <w:szCs w:val="18"/>
        </w:rPr>
        <w:t>La Dirección General de Tributos considera que los beneficios percibidos por el partícipe no gestor de un contrato de cuentas en participación tienen la naturaleza fiscal de ingresos financieros, aunque procedan económicamente de dividendos obtenidos por la entidad gestora.</w:t>
      </w:r>
    </w:p>
    <w:p w14:paraId="7AA0A5A1" w14:textId="77777777" w:rsidR="00564C84" w:rsidRDefault="00564C84" w:rsidP="00223A80">
      <w:pPr>
        <w:pStyle w:val="Prrafodelista"/>
        <w:tabs>
          <w:tab w:val="left" w:pos="142"/>
        </w:tabs>
        <w:spacing w:line="240" w:lineRule="auto"/>
        <w:ind w:left="284"/>
        <w:jc w:val="both"/>
        <w:rPr>
          <w:rFonts w:ascii="Verdana" w:hAnsi="Verdana"/>
          <w:b/>
          <w:bCs/>
          <w:i/>
          <w:iCs/>
          <w:color w:val="800000"/>
          <w:sz w:val="18"/>
          <w:szCs w:val="18"/>
        </w:rPr>
      </w:pPr>
    </w:p>
    <w:p w14:paraId="7FFF1BCE" w14:textId="77777777" w:rsidR="00564C84" w:rsidRDefault="00564C84" w:rsidP="009E07F4">
      <w:pPr>
        <w:pStyle w:val="Prrafodelista"/>
        <w:numPr>
          <w:ilvl w:val="0"/>
          <w:numId w:val="3"/>
        </w:numPr>
        <w:tabs>
          <w:tab w:val="left" w:pos="142"/>
        </w:tabs>
        <w:spacing w:line="240" w:lineRule="auto"/>
        <w:ind w:left="284" w:hanging="284"/>
        <w:jc w:val="both"/>
        <w:rPr>
          <w:rFonts w:ascii="Verdana" w:hAnsi="Verdana"/>
          <w:b/>
          <w:bCs/>
          <w:i/>
          <w:iCs/>
          <w:color w:val="800000"/>
          <w:sz w:val="18"/>
          <w:szCs w:val="18"/>
        </w:rPr>
      </w:pPr>
      <w:r>
        <w:rPr>
          <w:rFonts w:ascii="Verdana" w:hAnsi="Verdana"/>
          <w:b/>
          <w:bCs/>
          <w:i/>
          <w:iCs/>
          <w:color w:val="800000"/>
          <w:sz w:val="18"/>
          <w:szCs w:val="18"/>
        </w:rPr>
        <w:t xml:space="preserve">IRPF. - </w:t>
      </w:r>
      <w:r w:rsidRPr="00564C84">
        <w:rPr>
          <w:rFonts w:ascii="Verdana" w:hAnsi="Verdana"/>
          <w:b/>
          <w:bCs/>
          <w:i/>
          <w:iCs/>
          <w:color w:val="800000"/>
          <w:sz w:val="18"/>
          <w:szCs w:val="18"/>
        </w:rPr>
        <w:t>IMPUTACIÓN DE LAS RENTAS GENERADAS POR UNA HERENCIA YACENTE A LOS INSTITUIDOS HEREDEROS A TÉRMINO</w:t>
      </w:r>
    </w:p>
    <w:p w14:paraId="78DAAA97" w14:textId="77777777" w:rsidR="0089649E" w:rsidRDefault="00564C84" w:rsidP="00223A80">
      <w:pPr>
        <w:pStyle w:val="Prrafodelista"/>
        <w:tabs>
          <w:tab w:val="left" w:pos="142"/>
        </w:tabs>
        <w:spacing w:line="240" w:lineRule="auto"/>
        <w:ind w:left="284"/>
        <w:jc w:val="both"/>
        <w:rPr>
          <w:rFonts w:ascii="Verdana" w:hAnsi="Verdana"/>
          <w:b/>
          <w:bCs/>
          <w:i/>
          <w:iCs/>
          <w:color w:val="800000"/>
          <w:sz w:val="18"/>
          <w:szCs w:val="18"/>
        </w:rPr>
      </w:pPr>
      <w:r w:rsidRPr="00564C84">
        <w:rPr>
          <w:rFonts w:ascii="Verdana" w:hAnsi="Verdana"/>
          <w:b/>
          <w:bCs/>
          <w:i/>
          <w:iCs/>
          <w:color w:val="800000"/>
          <w:sz w:val="18"/>
          <w:szCs w:val="18"/>
        </w:rPr>
        <w:t>El Tribunal Supremo, en su Sentencia de 2 de julio de 2026 (</w:t>
      </w:r>
      <w:proofErr w:type="spellStart"/>
      <w:r w:rsidRPr="00564C84">
        <w:rPr>
          <w:rFonts w:ascii="Verdana" w:hAnsi="Verdana"/>
          <w:b/>
          <w:bCs/>
          <w:i/>
          <w:iCs/>
          <w:color w:val="800000"/>
          <w:sz w:val="18"/>
          <w:szCs w:val="18"/>
        </w:rPr>
        <w:t>rec.</w:t>
      </w:r>
      <w:proofErr w:type="spellEnd"/>
      <w:r w:rsidRPr="00564C84">
        <w:rPr>
          <w:rFonts w:ascii="Verdana" w:hAnsi="Verdana"/>
          <w:b/>
          <w:bCs/>
          <w:i/>
          <w:iCs/>
          <w:color w:val="800000"/>
          <w:sz w:val="18"/>
          <w:szCs w:val="18"/>
        </w:rPr>
        <w:t xml:space="preserve"> núm. 2040/2024), analiza si las rentas generadas por una herencia yacente deben ser imputadas en todo caso a sus partícipes en su impuesto sobre la renta de las personas físicas (IRPF)</w:t>
      </w:r>
      <w:r w:rsidR="000930D0">
        <w:rPr>
          <w:rFonts w:ascii="Verdana" w:hAnsi="Verdana"/>
          <w:b/>
          <w:bCs/>
          <w:i/>
          <w:iCs/>
          <w:color w:val="800000"/>
          <w:sz w:val="18"/>
          <w:szCs w:val="18"/>
        </w:rPr>
        <w:t>.</w:t>
      </w:r>
    </w:p>
    <w:p w14:paraId="77CF4D53" w14:textId="77777777" w:rsidR="000930D0" w:rsidRDefault="000930D0" w:rsidP="00223A80">
      <w:pPr>
        <w:pStyle w:val="Prrafodelista"/>
        <w:tabs>
          <w:tab w:val="left" w:pos="142"/>
        </w:tabs>
        <w:spacing w:line="240" w:lineRule="auto"/>
        <w:ind w:left="284"/>
        <w:jc w:val="both"/>
        <w:rPr>
          <w:rFonts w:ascii="Verdana" w:hAnsi="Verdana"/>
          <w:b/>
          <w:bCs/>
          <w:i/>
          <w:iCs/>
          <w:color w:val="800000"/>
          <w:sz w:val="18"/>
          <w:szCs w:val="18"/>
        </w:rPr>
      </w:pPr>
    </w:p>
    <w:p w14:paraId="66D66DB3" w14:textId="77777777" w:rsidR="000930D0" w:rsidRDefault="000930D0" w:rsidP="009E07F4">
      <w:pPr>
        <w:pStyle w:val="Prrafodelista"/>
        <w:numPr>
          <w:ilvl w:val="0"/>
          <w:numId w:val="3"/>
        </w:numPr>
        <w:tabs>
          <w:tab w:val="left" w:pos="142"/>
        </w:tabs>
        <w:spacing w:line="240" w:lineRule="auto"/>
        <w:ind w:left="284" w:hanging="284"/>
        <w:jc w:val="both"/>
        <w:rPr>
          <w:rFonts w:ascii="Verdana" w:hAnsi="Verdana"/>
          <w:b/>
          <w:bCs/>
          <w:i/>
          <w:iCs/>
          <w:color w:val="800000"/>
          <w:sz w:val="18"/>
          <w:szCs w:val="18"/>
        </w:rPr>
      </w:pPr>
      <w:r w:rsidRPr="000930D0">
        <w:rPr>
          <w:rFonts w:ascii="Verdana" w:hAnsi="Verdana"/>
          <w:b/>
          <w:bCs/>
          <w:i/>
          <w:iCs/>
          <w:color w:val="800000"/>
          <w:sz w:val="18"/>
          <w:szCs w:val="18"/>
        </w:rPr>
        <w:t>IRPF – LAS DERRAMAS POR OBRAS ESTRUCTURALES INCREMENTAN EL VALOR DE ADQUISICIÓN DE LA VIVIENDA</w:t>
      </w:r>
    </w:p>
    <w:p w14:paraId="4B3B524E" w14:textId="77777777" w:rsidR="000930D0" w:rsidRDefault="00362565" w:rsidP="000930D0">
      <w:pPr>
        <w:pStyle w:val="Prrafodelista"/>
        <w:tabs>
          <w:tab w:val="left" w:pos="142"/>
        </w:tabs>
        <w:spacing w:line="240" w:lineRule="auto"/>
        <w:ind w:left="284"/>
        <w:jc w:val="both"/>
        <w:rPr>
          <w:rFonts w:ascii="Verdana" w:hAnsi="Verdana"/>
          <w:b/>
          <w:bCs/>
          <w:i/>
          <w:iCs/>
          <w:color w:val="800000"/>
          <w:sz w:val="18"/>
          <w:szCs w:val="18"/>
        </w:rPr>
      </w:pPr>
      <w:r w:rsidRPr="00362565">
        <w:rPr>
          <w:rFonts w:ascii="Verdana" w:hAnsi="Verdana"/>
          <w:b/>
          <w:bCs/>
          <w:i/>
          <w:iCs/>
          <w:color w:val="800000"/>
          <w:sz w:val="18"/>
          <w:szCs w:val="18"/>
        </w:rPr>
        <w:t>La Dirección General de Tributos aclara que las derramas satisfechas por los propietarios para financiar obras estructurales del edificio, cuando tengan la consideración de mejoras, no son deducibles directamente en el IRPF, sino que incrementan el valor de adquisición del inmueble a efectos del cálculo de la ganancia o pérdida patrimonial en una futura transmisión.</w:t>
      </w:r>
    </w:p>
    <w:p w14:paraId="3DD151DA" w14:textId="77777777" w:rsidR="00564C84" w:rsidRDefault="00564C84" w:rsidP="00223A80">
      <w:pPr>
        <w:pStyle w:val="Prrafodelista"/>
        <w:tabs>
          <w:tab w:val="left" w:pos="142"/>
        </w:tabs>
        <w:spacing w:line="240" w:lineRule="auto"/>
        <w:ind w:left="284"/>
        <w:jc w:val="both"/>
        <w:rPr>
          <w:rFonts w:ascii="Verdana" w:hAnsi="Verdana"/>
          <w:b/>
          <w:bCs/>
          <w:i/>
          <w:iCs/>
          <w:color w:val="800000"/>
          <w:sz w:val="18"/>
          <w:szCs w:val="18"/>
        </w:rPr>
      </w:pPr>
    </w:p>
    <w:p w14:paraId="223DF808" w14:textId="77777777" w:rsidR="0089649E" w:rsidRPr="00F14F72" w:rsidRDefault="0089649E" w:rsidP="009E07F4">
      <w:pPr>
        <w:pStyle w:val="Prrafodelista"/>
        <w:numPr>
          <w:ilvl w:val="0"/>
          <w:numId w:val="3"/>
        </w:numPr>
        <w:tabs>
          <w:tab w:val="left" w:pos="142"/>
        </w:tabs>
        <w:spacing w:line="240" w:lineRule="auto"/>
        <w:ind w:left="284" w:hanging="284"/>
        <w:jc w:val="both"/>
        <w:rPr>
          <w:rFonts w:ascii="Verdana" w:hAnsi="Verdana"/>
          <w:b/>
          <w:bCs/>
          <w:i/>
          <w:iCs/>
          <w:color w:val="800000"/>
          <w:sz w:val="18"/>
          <w:szCs w:val="18"/>
        </w:rPr>
      </w:pPr>
      <w:r>
        <w:rPr>
          <w:rFonts w:ascii="Verdana" w:hAnsi="Verdana"/>
          <w:b/>
          <w:bCs/>
          <w:i/>
          <w:iCs/>
          <w:color w:val="800000"/>
          <w:sz w:val="18"/>
          <w:szCs w:val="18"/>
        </w:rPr>
        <w:t xml:space="preserve">IVA. - </w:t>
      </w:r>
      <w:r w:rsidRPr="0089649E">
        <w:rPr>
          <w:rFonts w:ascii="Verdana" w:hAnsi="Verdana"/>
          <w:b/>
          <w:bCs/>
          <w:i/>
          <w:iCs/>
          <w:color w:val="800000"/>
          <w:sz w:val="18"/>
          <w:szCs w:val="18"/>
        </w:rPr>
        <w:t>EL TRIBUNAL SUPREMO CONFIRMA LA NO SUJECIÓN AL IVA DE LA CESIÓN GRATUITA DE VEHÍCULOS A EMPLEADOS Y MANTIENE LAS RESTRICCIONES A LA DEDUCCIÓN EN GASTOS DE REPRESENTACIÓN</w:t>
      </w:r>
    </w:p>
    <w:p w14:paraId="3E610A99" w14:textId="77777777" w:rsidR="00F84821" w:rsidRDefault="00A93A33" w:rsidP="00B6654F">
      <w:pPr>
        <w:pStyle w:val="Prrafodelista"/>
        <w:tabs>
          <w:tab w:val="left" w:pos="142"/>
        </w:tabs>
        <w:spacing w:line="240" w:lineRule="auto"/>
        <w:ind w:left="284"/>
        <w:jc w:val="both"/>
        <w:rPr>
          <w:rFonts w:ascii="Verdana" w:hAnsi="Verdana"/>
          <w:b/>
          <w:bCs/>
          <w:i/>
          <w:iCs/>
          <w:color w:val="800000"/>
          <w:sz w:val="18"/>
          <w:szCs w:val="18"/>
        </w:rPr>
      </w:pPr>
      <w:r w:rsidRPr="00A93A33">
        <w:rPr>
          <w:rFonts w:ascii="Verdana" w:hAnsi="Verdana"/>
          <w:b/>
          <w:bCs/>
          <w:i/>
          <w:iCs/>
          <w:color w:val="800000"/>
          <w:sz w:val="18"/>
          <w:szCs w:val="18"/>
        </w:rPr>
        <w:t>El Tribunal Supremo declara que la cesión gratuita por el empresario a un empleado del uso de un vehículo afecto en un 50 % a la actividad empresarial no está sujeta al IVA si el trabajador no realiza pago alguno ni renuncia a parte de su retribución o a otras ventajas a cambio.</w:t>
      </w:r>
    </w:p>
    <w:p w14:paraId="2BE05232" w14:textId="77777777" w:rsidR="0089649E" w:rsidRDefault="0089649E" w:rsidP="00B6654F">
      <w:pPr>
        <w:pStyle w:val="Prrafodelista"/>
        <w:tabs>
          <w:tab w:val="left" w:pos="142"/>
        </w:tabs>
        <w:spacing w:line="240" w:lineRule="auto"/>
        <w:ind w:left="284"/>
        <w:jc w:val="both"/>
        <w:rPr>
          <w:rFonts w:ascii="Verdana" w:hAnsi="Verdana"/>
          <w:b/>
          <w:bCs/>
          <w:i/>
          <w:iCs/>
          <w:color w:val="800000"/>
          <w:sz w:val="18"/>
          <w:szCs w:val="18"/>
        </w:rPr>
      </w:pPr>
    </w:p>
    <w:p w14:paraId="57BE0DFF" w14:textId="77777777" w:rsidR="0089649E" w:rsidRDefault="0089649E" w:rsidP="00B6654F">
      <w:pPr>
        <w:pStyle w:val="Prrafodelista"/>
        <w:tabs>
          <w:tab w:val="left" w:pos="142"/>
        </w:tabs>
        <w:spacing w:line="240" w:lineRule="auto"/>
        <w:ind w:left="284"/>
        <w:jc w:val="both"/>
        <w:rPr>
          <w:rFonts w:ascii="Verdana" w:hAnsi="Verdana"/>
          <w:b/>
          <w:bCs/>
          <w:i/>
          <w:iCs/>
          <w:color w:val="800000"/>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BD56AA" w:rsidRPr="00F14F72" w14:paraId="39B0077B" w14:textId="77777777" w:rsidTr="004D0BD0">
        <w:tc>
          <w:tcPr>
            <w:tcW w:w="180" w:type="dxa"/>
            <w:shd w:val="clear" w:color="auto" w:fill="FF6600"/>
          </w:tcPr>
          <w:p w14:paraId="312BD491" w14:textId="77777777" w:rsidR="00BD56AA" w:rsidRPr="00F14F72" w:rsidRDefault="00BD56AA" w:rsidP="004D0BD0">
            <w:pPr>
              <w:rPr>
                <w:rFonts w:ascii="Verdana" w:hAnsi="Verdana"/>
                <w:b/>
                <w:bCs/>
                <w:color w:val="800000"/>
                <w:sz w:val="18"/>
                <w:szCs w:val="18"/>
              </w:rPr>
            </w:pPr>
            <w:bookmarkStart w:id="1" w:name="_Hlk243472138"/>
          </w:p>
        </w:tc>
        <w:tc>
          <w:tcPr>
            <w:tcW w:w="8460" w:type="dxa"/>
          </w:tcPr>
          <w:p w14:paraId="79868BD9" w14:textId="77777777" w:rsidR="00BD56AA" w:rsidRPr="00F14F72" w:rsidRDefault="00F84821">
            <w:pPr>
              <w:numPr>
                <w:ilvl w:val="0"/>
                <w:numId w:val="1"/>
              </w:numPr>
              <w:tabs>
                <w:tab w:val="clear" w:pos="928"/>
                <w:tab w:val="num" w:pos="320"/>
              </w:tabs>
              <w:ind w:left="317" w:hanging="280"/>
              <w:jc w:val="both"/>
              <w:rPr>
                <w:rFonts w:ascii="Verdana" w:hAnsi="Verdana"/>
                <w:b/>
                <w:bCs/>
                <w:color w:val="800000"/>
                <w:sz w:val="18"/>
                <w:szCs w:val="18"/>
              </w:rPr>
            </w:pPr>
            <w:r w:rsidRPr="00F14F72">
              <w:rPr>
                <w:rFonts w:ascii="Verdana" w:hAnsi="Verdana"/>
                <w:b/>
                <w:bCs/>
                <w:color w:val="800000"/>
                <w:sz w:val="18"/>
                <w:szCs w:val="18"/>
              </w:rPr>
              <w:t>LA NUEVA SOLUCIÓN PÚBLICA DE FACTURACIÓN ELECTRÓNICA DE LA AGENCIA TRIBUTARIA: REQUISITOS TÉCNICOS, EMISIÓN E INTERCONEXIÓN DE FACTURAS Y COMUNICACIÓN DE SUS ESTADOS Y PAGOS</w:t>
            </w:r>
          </w:p>
        </w:tc>
      </w:tr>
      <w:bookmarkEnd w:id="0"/>
      <w:bookmarkEnd w:id="1"/>
    </w:tbl>
    <w:p w14:paraId="311BD912" w14:textId="77777777" w:rsidR="00A86E93" w:rsidRDefault="00A86E93" w:rsidP="003C75DE">
      <w:pPr>
        <w:ind w:left="284"/>
        <w:jc w:val="both"/>
        <w:rPr>
          <w:rFonts w:ascii="Verdana" w:hAnsi="Verdana" w:cs="Open Sans"/>
          <w:color w:val="222222"/>
          <w:sz w:val="18"/>
          <w:szCs w:val="18"/>
          <w:shd w:val="clear" w:color="auto" w:fill="FFFFFF"/>
        </w:rPr>
      </w:pPr>
    </w:p>
    <w:p w14:paraId="146343C9" w14:textId="77777777" w:rsidR="00F84821" w:rsidRDefault="00F84821" w:rsidP="00F84821">
      <w:pPr>
        <w:ind w:left="284"/>
        <w:jc w:val="both"/>
        <w:rPr>
          <w:rFonts w:ascii="Verdana" w:hAnsi="Verdana" w:cs="Open Sans"/>
          <w:b/>
          <w:bCs/>
          <w:color w:val="222222"/>
          <w:sz w:val="18"/>
          <w:szCs w:val="18"/>
          <w:shd w:val="clear" w:color="auto" w:fill="FFFFFF"/>
        </w:rPr>
      </w:pPr>
      <w:r w:rsidRPr="00F84821">
        <w:rPr>
          <w:rFonts w:ascii="Verdana" w:hAnsi="Verdana" w:cs="Open Sans"/>
          <w:b/>
          <w:bCs/>
          <w:color w:val="222222"/>
          <w:sz w:val="18"/>
          <w:szCs w:val="18"/>
          <w:shd w:val="clear" w:color="auto" w:fill="FFFFFF"/>
        </w:rPr>
        <w:t>La Agencia Tributaria desarrolla su solución pública de facturación electrónica obligatoria</w:t>
      </w:r>
      <w:r>
        <w:rPr>
          <w:rFonts w:ascii="Verdana" w:hAnsi="Verdana" w:cs="Open Sans"/>
          <w:b/>
          <w:bCs/>
          <w:color w:val="222222"/>
          <w:sz w:val="18"/>
          <w:szCs w:val="18"/>
          <w:shd w:val="clear" w:color="auto" w:fill="FFFFFF"/>
        </w:rPr>
        <w:t>.</w:t>
      </w:r>
    </w:p>
    <w:p w14:paraId="3F2C2AFF" w14:textId="77777777" w:rsidR="00F84821" w:rsidRPr="00F84821" w:rsidRDefault="00F84821" w:rsidP="00F84821">
      <w:pPr>
        <w:ind w:left="284"/>
        <w:jc w:val="both"/>
        <w:rPr>
          <w:rFonts w:ascii="Verdana" w:hAnsi="Verdana" w:cs="Open Sans"/>
          <w:b/>
          <w:bCs/>
          <w:color w:val="222222"/>
          <w:sz w:val="18"/>
          <w:szCs w:val="18"/>
          <w:shd w:val="clear" w:color="auto" w:fill="FFFFFF"/>
        </w:rPr>
      </w:pPr>
    </w:p>
    <w:p w14:paraId="1C7A3C39" w14:textId="77777777" w:rsidR="00F84821" w:rsidRDefault="00F84821" w:rsidP="00F84821">
      <w:pPr>
        <w:ind w:left="284"/>
        <w:jc w:val="both"/>
        <w:rPr>
          <w:rFonts w:ascii="Verdana" w:hAnsi="Verdana" w:cs="Open Sans"/>
          <w:b/>
          <w:bCs/>
          <w:color w:val="222222"/>
          <w:sz w:val="18"/>
          <w:szCs w:val="18"/>
          <w:shd w:val="clear" w:color="auto" w:fill="FFFFFF"/>
        </w:rPr>
      </w:pPr>
      <w:r>
        <w:rPr>
          <w:rFonts w:ascii="Verdana" w:hAnsi="Verdana" w:cs="Open Sans"/>
          <w:b/>
          <w:bCs/>
          <w:color w:val="222222"/>
          <w:sz w:val="18"/>
          <w:szCs w:val="18"/>
          <w:shd w:val="clear" w:color="auto" w:fill="FFFFFF"/>
        </w:rPr>
        <w:t>Mediante l</w:t>
      </w:r>
      <w:r w:rsidRPr="00F84821">
        <w:rPr>
          <w:rFonts w:ascii="Verdana" w:hAnsi="Verdana" w:cs="Open Sans"/>
          <w:b/>
          <w:bCs/>
          <w:color w:val="222222"/>
          <w:sz w:val="18"/>
          <w:szCs w:val="18"/>
          <w:shd w:val="clear" w:color="auto" w:fill="FFFFFF"/>
        </w:rPr>
        <w:t>a Orden HAC/1028/2026 establece los requisitos técnicos de la solución pública de facturación electrónica, regula el intercambio de facturas y refuerza el control de los plazos de pago entre empresarios y profesionales.</w:t>
      </w:r>
    </w:p>
    <w:p w14:paraId="18652A68" w14:textId="77777777" w:rsidR="00F84821" w:rsidRPr="00F84821" w:rsidRDefault="00F84821" w:rsidP="00F84821">
      <w:pPr>
        <w:ind w:left="284"/>
        <w:jc w:val="both"/>
        <w:rPr>
          <w:rFonts w:ascii="Verdana" w:hAnsi="Verdana" w:cs="Open Sans"/>
          <w:color w:val="222222"/>
          <w:sz w:val="18"/>
          <w:szCs w:val="18"/>
          <w:shd w:val="clear" w:color="auto" w:fill="FFFFFF"/>
        </w:rPr>
      </w:pPr>
    </w:p>
    <w:p w14:paraId="7C188722" w14:textId="77777777" w:rsidR="00F84821" w:rsidRDefault="00F84821" w:rsidP="00F84821">
      <w:pPr>
        <w:ind w:left="284"/>
        <w:jc w:val="both"/>
        <w:rPr>
          <w:rFonts w:ascii="Verdana" w:hAnsi="Verdana" w:cs="Open Sans"/>
          <w:color w:val="222222"/>
          <w:sz w:val="18"/>
          <w:szCs w:val="18"/>
          <w:shd w:val="clear" w:color="auto" w:fill="FFFFFF"/>
        </w:rPr>
      </w:pPr>
      <w:r w:rsidRPr="00F84821">
        <w:rPr>
          <w:rFonts w:ascii="Verdana" w:hAnsi="Verdana" w:cs="Open Sans"/>
          <w:color w:val="222222"/>
          <w:sz w:val="18"/>
          <w:szCs w:val="18"/>
          <w:shd w:val="clear" w:color="auto" w:fill="FFFFFF"/>
        </w:rPr>
        <w:t xml:space="preserve">El BOE de 5 de octubre de 2026 ha publicado la </w:t>
      </w:r>
      <w:r w:rsidRPr="00F84821">
        <w:rPr>
          <w:rFonts w:ascii="Verdana" w:hAnsi="Verdana" w:cs="Open Sans"/>
          <w:b/>
          <w:bCs/>
          <w:color w:val="222222"/>
          <w:sz w:val="18"/>
          <w:szCs w:val="18"/>
          <w:shd w:val="clear" w:color="auto" w:fill="FFFFFF"/>
        </w:rPr>
        <w:t>Orden HAC/1028/2026, de 2 de octubre</w:t>
      </w:r>
      <w:r w:rsidRPr="00F84821">
        <w:rPr>
          <w:rFonts w:ascii="Verdana" w:hAnsi="Verdana" w:cs="Open Sans"/>
          <w:color w:val="222222"/>
          <w:sz w:val="18"/>
          <w:szCs w:val="18"/>
          <w:shd w:val="clear" w:color="auto" w:fill="FFFFFF"/>
        </w:rPr>
        <w:t>, que desarrolla la solución pública de facturación electrónica gestionada por la Agencia Estatal de Administración Tributaria (AEAT), en el marco del sistema de facturación electrónica obligatoria entre empresarios y profesionales regulado por el Real Decreto 238/2026.</w:t>
      </w:r>
    </w:p>
    <w:p w14:paraId="54051BC3" w14:textId="77777777" w:rsidR="001001A5" w:rsidRDefault="001001A5" w:rsidP="00F84821">
      <w:pPr>
        <w:ind w:left="284"/>
        <w:jc w:val="both"/>
        <w:rPr>
          <w:rFonts w:ascii="Verdana" w:hAnsi="Verdana" w:cs="Open Sans"/>
          <w:color w:val="222222"/>
          <w:sz w:val="18"/>
          <w:szCs w:val="18"/>
          <w:shd w:val="clear" w:color="auto" w:fill="FFFFFF"/>
        </w:rPr>
      </w:pPr>
    </w:p>
    <w:p w14:paraId="6306DDC8" w14:textId="77777777" w:rsidR="001001A5" w:rsidRPr="00F84821" w:rsidRDefault="001001A5" w:rsidP="001001A5">
      <w:pPr>
        <w:ind w:left="284"/>
        <w:jc w:val="both"/>
        <w:rPr>
          <w:rFonts w:ascii="Verdana" w:hAnsi="Verdana" w:cs="Open Sans"/>
          <w:color w:val="222222"/>
          <w:sz w:val="18"/>
          <w:szCs w:val="18"/>
          <w:shd w:val="clear" w:color="auto" w:fill="FFFFFF"/>
        </w:rPr>
      </w:pPr>
      <w:r>
        <w:rPr>
          <w:rFonts w:ascii="Verdana" w:hAnsi="Verdana" w:cs="Open Sans"/>
          <w:color w:val="222222"/>
          <w:sz w:val="18"/>
          <w:szCs w:val="18"/>
          <w:shd w:val="clear" w:color="auto" w:fill="FFFFFF"/>
        </w:rPr>
        <w:t>Si bien l</w:t>
      </w:r>
      <w:r w:rsidRPr="00F84821">
        <w:rPr>
          <w:rFonts w:ascii="Verdana" w:hAnsi="Verdana" w:cs="Open Sans"/>
          <w:color w:val="222222"/>
          <w:sz w:val="18"/>
          <w:szCs w:val="18"/>
          <w:shd w:val="clear" w:color="auto" w:fill="FFFFFF"/>
        </w:rPr>
        <w:t xml:space="preserve">a Orden entró en vigor el </w:t>
      </w:r>
      <w:r w:rsidRPr="00F84821">
        <w:rPr>
          <w:rFonts w:ascii="Verdana" w:hAnsi="Verdana" w:cs="Open Sans"/>
          <w:b/>
          <w:bCs/>
          <w:color w:val="222222"/>
          <w:sz w:val="18"/>
          <w:szCs w:val="18"/>
          <w:shd w:val="clear" w:color="auto" w:fill="FFFFFF"/>
        </w:rPr>
        <w:t>6 de octubre de 2026</w:t>
      </w:r>
      <w:r w:rsidRPr="00F84821">
        <w:rPr>
          <w:rFonts w:ascii="Verdana" w:hAnsi="Verdana" w:cs="Open Sans"/>
          <w:color w:val="222222"/>
          <w:sz w:val="18"/>
          <w:szCs w:val="18"/>
          <w:shd w:val="clear" w:color="auto" w:fill="FFFFFF"/>
        </w:rPr>
        <w:t>, la aplicación efectiva de las obligaciones de facturación electrónica se producirá conforme a los plazos previstos en la Ley 18/2022 y el Real Decreto 238/2026. La solución pública deberá estar disponible al menos dos meses antes de la primera aplicación efectiva de la Orden.</w:t>
      </w:r>
    </w:p>
    <w:p w14:paraId="1977289C" w14:textId="77777777" w:rsidR="001001A5" w:rsidRDefault="001001A5" w:rsidP="00F84821">
      <w:pPr>
        <w:ind w:left="284"/>
        <w:jc w:val="both"/>
        <w:rPr>
          <w:rFonts w:ascii="Verdana" w:hAnsi="Verdana" w:cs="Open Sans"/>
          <w:color w:val="222222"/>
          <w:sz w:val="18"/>
          <w:szCs w:val="18"/>
          <w:shd w:val="clear" w:color="auto" w:fill="FFFFFF"/>
        </w:rPr>
      </w:pPr>
    </w:p>
    <w:p w14:paraId="0B5DB22E" w14:textId="77777777" w:rsidR="00F84821" w:rsidRPr="00F84821" w:rsidRDefault="00F84821" w:rsidP="00F84821">
      <w:pPr>
        <w:ind w:left="284"/>
        <w:jc w:val="both"/>
        <w:rPr>
          <w:rFonts w:ascii="Verdana" w:hAnsi="Verdana" w:cs="Open Sans"/>
          <w:b/>
          <w:bCs/>
          <w:color w:val="222222"/>
          <w:sz w:val="18"/>
          <w:szCs w:val="18"/>
          <w:shd w:val="clear" w:color="auto" w:fill="FFFFFF"/>
        </w:rPr>
      </w:pPr>
      <w:r w:rsidRPr="00F84821">
        <w:rPr>
          <w:rFonts w:ascii="Verdana" w:hAnsi="Verdana" w:cs="Open Sans"/>
          <w:b/>
          <w:bCs/>
          <w:color w:val="222222"/>
          <w:sz w:val="18"/>
          <w:szCs w:val="18"/>
          <w:shd w:val="clear" w:color="auto" w:fill="FFFFFF"/>
        </w:rPr>
        <w:t>Principales novedades</w:t>
      </w:r>
    </w:p>
    <w:p w14:paraId="24894975" w14:textId="77777777" w:rsidR="00F84821" w:rsidRPr="00F84821" w:rsidRDefault="00F84821" w:rsidP="009E07F4">
      <w:pPr>
        <w:numPr>
          <w:ilvl w:val="0"/>
          <w:numId w:val="4"/>
        </w:numPr>
        <w:jc w:val="both"/>
        <w:rPr>
          <w:rFonts w:ascii="Verdana" w:hAnsi="Verdana" w:cs="Open Sans"/>
          <w:color w:val="222222"/>
          <w:sz w:val="18"/>
          <w:szCs w:val="18"/>
          <w:shd w:val="clear" w:color="auto" w:fill="FFFFFF"/>
        </w:rPr>
      </w:pPr>
      <w:r w:rsidRPr="00F84821">
        <w:rPr>
          <w:rFonts w:ascii="Verdana" w:hAnsi="Verdana" w:cs="Open Sans"/>
          <w:b/>
          <w:bCs/>
          <w:color w:val="222222"/>
          <w:sz w:val="18"/>
          <w:szCs w:val="18"/>
          <w:shd w:val="clear" w:color="auto" w:fill="FFFFFF"/>
        </w:rPr>
        <w:t>Solución pública de facturación electrónica.</w:t>
      </w:r>
      <w:r w:rsidRPr="00F84821">
        <w:rPr>
          <w:rFonts w:ascii="Verdana" w:hAnsi="Verdana" w:cs="Open Sans"/>
          <w:color w:val="222222"/>
          <w:sz w:val="18"/>
          <w:szCs w:val="18"/>
          <w:shd w:val="clear" w:color="auto" w:fill="FFFFFF"/>
        </w:rPr>
        <w:t xml:space="preserve"> La AEAT ofrecerá una alternativa a las plataformas privadas que permitirá emitir, recibir, intercambiar, consultar y descargar facturas electrónicas, así como centralizar información sobre su estado y pago.</w:t>
      </w:r>
    </w:p>
    <w:p w14:paraId="41D3D091" w14:textId="77777777" w:rsidR="00F84821" w:rsidRPr="00F84821" w:rsidRDefault="00F84821" w:rsidP="009E07F4">
      <w:pPr>
        <w:numPr>
          <w:ilvl w:val="0"/>
          <w:numId w:val="4"/>
        </w:numPr>
        <w:jc w:val="both"/>
        <w:rPr>
          <w:rFonts w:ascii="Verdana" w:hAnsi="Verdana" w:cs="Open Sans"/>
          <w:color w:val="222222"/>
          <w:sz w:val="18"/>
          <w:szCs w:val="18"/>
          <w:shd w:val="clear" w:color="auto" w:fill="FFFFFF"/>
        </w:rPr>
      </w:pPr>
      <w:r w:rsidRPr="00F84821">
        <w:rPr>
          <w:rFonts w:ascii="Verdana" w:hAnsi="Verdana" w:cs="Open Sans"/>
          <w:b/>
          <w:bCs/>
          <w:color w:val="222222"/>
          <w:sz w:val="18"/>
          <w:szCs w:val="18"/>
          <w:shd w:val="clear" w:color="auto" w:fill="FFFFFF"/>
        </w:rPr>
        <w:t>Interoperabilidad y requisitos técnicos.</w:t>
      </w:r>
      <w:r w:rsidRPr="00F84821">
        <w:rPr>
          <w:rFonts w:ascii="Verdana" w:hAnsi="Verdana" w:cs="Open Sans"/>
          <w:color w:val="222222"/>
          <w:sz w:val="18"/>
          <w:szCs w:val="18"/>
          <w:shd w:val="clear" w:color="auto" w:fill="FFFFFF"/>
        </w:rPr>
        <w:t xml:space="preserve"> Las facturas deberán ajustarse al modelo semántico europeo EN 16931 y utilizar la sintaxis UBL. Asimismo, se establecen requisitos mínimos de contenido, identificación mediante un código único y procedimientos de validación y rechazo.</w:t>
      </w:r>
    </w:p>
    <w:p w14:paraId="75F513F4" w14:textId="77777777" w:rsidR="00F84821" w:rsidRPr="00F84821" w:rsidRDefault="00F84821" w:rsidP="009E07F4">
      <w:pPr>
        <w:numPr>
          <w:ilvl w:val="0"/>
          <w:numId w:val="4"/>
        </w:numPr>
        <w:jc w:val="both"/>
        <w:rPr>
          <w:rFonts w:ascii="Verdana" w:hAnsi="Verdana" w:cs="Open Sans"/>
          <w:color w:val="222222"/>
          <w:sz w:val="18"/>
          <w:szCs w:val="18"/>
          <w:shd w:val="clear" w:color="auto" w:fill="FFFFFF"/>
        </w:rPr>
      </w:pPr>
      <w:r w:rsidRPr="00F84821">
        <w:rPr>
          <w:rFonts w:ascii="Verdana" w:hAnsi="Verdana" w:cs="Open Sans"/>
          <w:b/>
          <w:bCs/>
          <w:color w:val="222222"/>
          <w:sz w:val="18"/>
          <w:szCs w:val="18"/>
          <w:shd w:val="clear" w:color="auto" w:fill="FFFFFF"/>
        </w:rPr>
        <w:t>Obligaciones de las plataformas privadas.</w:t>
      </w:r>
      <w:r w:rsidRPr="00F84821">
        <w:rPr>
          <w:rFonts w:ascii="Verdana" w:hAnsi="Verdana" w:cs="Open Sans"/>
          <w:color w:val="222222"/>
          <w:sz w:val="18"/>
          <w:szCs w:val="18"/>
          <w:shd w:val="clear" w:color="auto" w:fill="FFFFFF"/>
        </w:rPr>
        <w:t xml:space="preserve"> Los empresarios y profesionales que utilicen estas plataformas deberán remitir simultáneamente a la solución pública una copia electrónica fiel de cada factura, conforme a los requisitos reglamentarios. El rechazo de dicha copia por motivos técnicos no invalida, por sí mismo, la factura original.</w:t>
      </w:r>
    </w:p>
    <w:p w14:paraId="560B6A34" w14:textId="77777777" w:rsidR="00F84821" w:rsidRPr="00F84821" w:rsidRDefault="00F84821" w:rsidP="009E07F4">
      <w:pPr>
        <w:numPr>
          <w:ilvl w:val="0"/>
          <w:numId w:val="4"/>
        </w:numPr>
        <w:jc w:val="both"/>
        <w:rPr>
          <w:rFonts w:ascii="Verdana" w:hAnsi="Verdana" w:cs="Open Sans"/>
          <w:color w:val="222222"/>
          <w:sz w:val="18"/>
          <w:szCs w:val="18"/>
          <w:shd w:val="clear" w:color="auto" w:fill="FFFFFF"/>
        </w:rPr>
      </w:pPr>
      <w:r w:rsidRPr="00F84821">
        <w:rPr>
          <w:rFonts w:ascii="Verdana" w:hAnsi="Verdana" w:cs="Open Sans"/>
          <w:b/>
          <w:bCs/>
          <w:color w:val="222222"/>
          <w:sz w:val="18"/>
          <w:szCs w:val="18"/>
          <w:shd w:val="clear" w:color="auto" w:fill="FFFFFF"/>
        </w:rPr>
        <w:t>Comunicación de estados y pagos.</w:t>
      </w:r>
      <w:r w:rsidRPr="00F84821">
        <w:rPr>
          <w:rFonts w:ascii="Verdana" w:hAnsi="Verdana" w:cs="Open Sans"/>
          <w:color w:val="222222"/>
          <w:sz w:val="18"/>
          <w:szCs w:val="18"/>
          <w:shd w:val="clear" w:color="auto" w:fill="FFFFFF"/>
        </w:rPr>
        <w:t xml:space="preserve"> El destinatario deberá comunicar el rechazo de la factura, la fecha del pago efectivo completo y la fecha de vencimiento del plazo de pago. También podrá facilitar información relevante sobre la recepción de bienes, servicios o facturas. El emisor podrá comunicar voluntariamente datos sobre el cobro o impago.</w:t>
      </w:r>
    </w:p>
    <w:p w14:paraId="0EF642C2" w14:textId="5DD8965C" w:rsidR="00F84821" w:rsidRPr="00F84821" w:rsidRDefault="00F84821" w:rsidP="009E07F4">
      <w:pPr>
        <w:numPr>
          <w:ilvl w:val="0"/>
          <w:numId w:val="4"/>
        </w:numPr>
        <w:jc w:val="both"/>
        <w:rPr>
          <w:rFonts w:ascii="Verdana" w:hAnsi="Verdana" w:cs="Open Sans"/>
          <w:color w:val="222222"/>
          <w:sz w:val="18"/>
          <w:szCs w:val="18"/>
          <w:shd w:val="clear" w:color="auto" w:fill="FFFFFF"/>
        </w:rPr>
      </w:pPr>
      <w:r w:rsidRPr="00F84821">
        <w:rPr>
          <w:rFonts w:ascii="Verdana" w:hAnsi="Verdana" w:cs="Open Sans"/>
          <w:b/>
          <w:bCs/>
          <w:color w:val="222222"/>
          <w:sz w:val="18"/>
          <w:szCs w:val="18"/>
          <w:shd w:val="clear" w:color="auto" w:fill="FFFFFF"/>
        </w:rPr>
        <w:t>Acceso e identificación electrónica.</w:t>
      </w:r>
      <w:r w:rsidRPr="00F84821">
        <w:rPr>
          <w:rFonts w:ascii="Verdana" w:hAnsi="Verdana" w:cs="Open Sans"/>
          <w:color w:val="222222"/>
          <w:sz w:val="18"/>
          <w:szCs w:val="18"/>
          <w:shd w:val="clear" w:color="auto" w:fill="FFFFFF"/>
        </w:rPr>
        <w:t xml:space="preserve"> La consulta y gestión de facturas podrá realizarse mediante servicios web o formularios de la Sede electrónica de la AEAT, utilizando certificados electrónicos y, en los formularios habilitados,</w:t>
      </w:r>
      <w:r w:rsidR="005D746B">
        <w:rPr>
          <w:rFonts w:ascii="Verdana" w:hAnsi="Verdana" w:cs="Open Sans"/>
          <w:color w:val="222222"/>
          <w:sz w:val="18"/>
          <w:szCs w:val="18"/>
          <w:shd w:val="clear" w:color="auto" w:fill="FFFFFF"/>
        </w:rPr>
        <w:t xml:space="preserve"> también podrá</w:t>
      </w:r>
      <w:r w:rsidRPr="00F84821">
        <w:rPr>
          <w:rFonts w:ascii="Verdana" w:hAnsi="Verdana" w:cs="Open Sans"/>
          <w:color w:val="222222"/>
          <w:sz w:val="18"/>
          <w:szCs w:val="18"/>
          <w:shd w:val="clear" w:color="auto" w:fill="FFFFFF"/>
        </w:rPr>
        <w:t xml:space="preserve"> </w:t>
      </w:r>
      <w:r w:rsidR="00AA77AA">
        <w:rPr>
          <w:rFonts w:ascii="Verdana" w:hAnsi="Verdana" w:cs="Open Sans"/>
          <w:color w:val="222222"/>
          <w:sz w:val="18"/>
          <w:szCs w:val="18"/>
          <w:shd w:val="clear" w:color="auto" w:fill="FFFFFF"/>
        </w:rPr>
        <w:t xml:space="preserve">utilizarse </w:t>
      </w:r>
      <w:r w:rsidRPr="00F84821">
        <w:rPr>
          <w:rFonts w:ascii="Verdana" w:hAnsi="Verdana" w:cs="Open Sans"/>
          <w:color w:val="222222"/>
          <w:sz w:val="18"/>
          <w:szCs w:val="18"/>
          <w:shd w:val="clear" w:color="auto" w:fill="FFFFFF"/>
        </w:rPr>
        <w:t xml:space="preserve">el sistema </w:t>
      </w:r>
      <w:proofErr w:type="spellStart"/>
      <w:r w:rsidRPr="00F84821">
        <w:rPr>
          <w:rFonts w:ascii="Verdana" w:hAnsi="Verdana" w:cs="Open Sans"/>
          <w:color w:val="222222"/>
          <w:sz w:val="18"/>
          <w:szCs w:val="18"/>
          <w:shd w:val="clear" w:color="auto" w:fill="FFFFFF"/>
        </w:rPr>
        <w:t>Cl@ve</w:t>
      </w:r>
      <w:proofErr w:type="spellEnd"/>
      <w:r w:rsidRPr="00F84821">
        <w:rPr>
          <w:rFonts w:ascii="Verdana" w:hAnsi="Verdana" w:cs="Open Sans"/>
          <w:color w:val="222222"/>
          <w:sz w:val="18"/>
          <w:szCs w:val="18"/>
          <w:shd w:val="clear" w:color="auto" w:fill="FFFFFF"/>
        </w:rPr>
        <w:t>. También podrá actuar un representante debidamente apoderado.</w:t>
      </w:r>
    </w:p>
    <w:p w14:paraId="186BB53E" w14:textId="77777777" w:rsidR="00F84821" w:rsidRPr="00F84821" w:rsidRDefault="00F84821" w:rsidP="009E07F4">
      <w:pPr>
        <w:numPr>
          <w:ilvl w:val="0"/>
          <w:numId w:val="4"/>
        </w:numPr>
        <w:jc w:val="both"/>
        <w:rPr>
          <w:rFonts w:ascii="Verdana" w:hAnsi="Verdana" w:cs="Open Sans"/>
          <w:color w:val="222222"/>
          <w:sz w:val="18"/>
          <w:szCs w:val="18"/>
          <w:shd w:val="clear" w:color="auto" w:fill="FFFFFF"/>
        </w:rPr>
      </w:pPr>
      <w:r w:rsidRPr="00F84821">
        <w:rPr>
          <w:rFonts w:ascii="Verdana" w:hAnsi="Verdana" w:cs="Open Sans"/>
          <w:b/>
          <w:bCs/>
          <w:color w:val="222222"/>
          <w:sz w:val="18"/>
          <w:szCs w:val="18"/>
          <w:shd w:val="clear" w:color="auto" w:fill="FFFFFF"/>
        </w:rPr>
        <w:t>Protección de datos y seguridad.</w:t>
      </w:r>
      <w:r w:rsidRPr="00F84821">
        <w:rPr>
          <w:rFonts w:ascii="Verdana" w:hAnsi="Verdana" w:cs="Open Sans"/>
          <w:color w:val="222222"/>
          <w:sz w:val="18"/>
          <w:szCs w:val="18"/>
          <w:shd w:val="clear" w:color="auto" w:fill="FFFFFF"/>
        </w:rPr>
        <w:t xml:space="preserve"> El sistema deberá respetar la normativa de protección de datos personales y cumplir los requisitos del Esquema Nacional de Seguridad.</w:t>
      </w:r>
    </w:p>
    <w:p w14:paraId="7714B7CE" w14:textId="77777777" w:rsidR="00F84821" w:rsidRDefault="00F84821" w:rsidP="00F84821">
      <w:pPr>
        <w:ind w:left="284"/>
        <w:jc w:val="both"/>
        <w:rPr>
          <w:rFonts w:ascii="Verdana" w:hAnsi="Verdana" w:cs="Open Sans"/>
          <w:b/>
          <w:bCs/>
          <w:color w:val="222222"/>
          <w:sz w:val="18"/>
          <w:szCs w:val="18"/>
          <w:shd w:val="clear" w:color="auto" w:fill="FFFFFF"/>
        </w:rPr>
      </w:pPr>
    </w:p>
    <w:p w14:paraId="70DC4116" w14:textId="77777777" w:rsidR="00F84821" w:rsidRDefault="00F84821" w:rsidP="00F84821">
      <w:pPr>
        <w:ind w:left="284"/>
        <w:jc w:val="both"/>
        <w:rPr>
          <w:rFonts w:ascii="Verdana" w:hAnsi="Verdana" w:cs="Open Sans"/>
          <w:color w:val="222222"/>
          <w:sz w:val="18"/>
          <w:szCs w:val="18"/>
          <w:shd w:val="clear" w:color="auto" w:fill="FFFFFF"/>
        </w:rPr>
      </w:pPr>
      <w:r w:rsidRPr="00F84821">
        <w:rPr>
          <w:rFonts w:ascii="Verdana" w:hAnsi="Verdana" w:cs="Open Sans"/>
          <w:b/>
          <w:bCs/>
          <w:color w:val="222222"/>
          <w:sz w:val="18"/>
          <w:szCs w:val="18"/>
          <w:shd w:val="clear" w:color="auto" w:fill="FFFFFF"/>
        </w:rPr>
        <w:t>Implicación práctica:</w:t>
      </w:r>
      <w:r w:rsidRPr="00F84821">
        <w:rPr>
          <w:rFonts w:ascii="Verdana" w:hAnsi="Verdana" w:cs="Open Sans"/>
          <w:color w:val="222222"/>
          <w:sz w:val="18"/>
          <w:szCs w:val="18"/>
          <w:shd w:val="clear" w:color="auto" w:fill="FFFFFF"/>
        </w:rPr>
        <w:t xml:space="preserve"> las empresas y los profesionales deberán revisar sus sistemas de facturación y sus procedimientos de intercambio de información, especialmente si utilizan plataformas privadas, para garantizar la interoperabilidad y la remisión de las copias fieles exigidas. La comunicación estructurada de los estados y pagos permitirá, además, mejorar el seguimiento de los plazos efectivos de pago y contribuir a combatir la morosidad comercial.</w:t>
      </w:r>
    </w:p>
    <w:p w14:paraId="4CB9CE85" w14:textId="77777777" w:rsidR="00B322AC" w:rsidRDefault="00B322AC" w:rsidP="00F84821">
      <w:pPr>
        <w:ind w:left="284"/>
        <w:jc w:val="both"/>
        <w:rPr>
          <w:rFonts w:ascii="Verdana" w:hAnsi="Verdana" w:cs="Open Sans"/>
          <w:color w:val="222222"/>
          <w:sz w:val="18"/>
          <w:szCs w:val="18"/>
          <w:shd w:val="clear" w:color="auto" w:fill="FFFFFF"/>
        </w:rPr>
      </w:pPr>
    </w:p>
    <w:p w14:paraId="0F34A2F4" w14:textId="77777777" w:rsidR="00B322AC" w:rsidRDefault="00B322AC" w:rsidP="00F84821">
      <w:pPr>
        <w:ind w:left="284"/>
        <w:jc w:val="both"/>
        <w:rPr>
          <w:rFonts w:ascii="Verdana" w:hAnsi="Verdana" w:cs="Open Sans"/>
          <w:b/>
          <w:bCs/>
          <w:color w:val="222222"/>
          <w:sz w:val="18"/>
          <w:szCs w:val="18"/>
          <w:shd w:val="clear" w:color="auto" w:fill="FFFFFF"/>
        </w:rPr>
      </w:pPr>
      <w:r w:rsidRPr="00B322AC">
        <w:rPr>
          <w:rFonts w:ascii="Verdana" w:hAnsi="Verdana" w:cs="Open Sans"/>
          <w:b/>
          <w:bCs/>
          <w:color w:val="222222"/>
          <w:sz w:val="18"/>
          <w:szCs w:val="18"/>
          <w:shd w:val="clear" w:color="auto" w:fill="FFFFFF"/>
        </w:rPr>
        <w:t>Precisiones sobre la efectiva implementación de la facturación electrónica obligatoria en las operaciones B2B</w:t>
      </w:r>
    </w:p>
    <w:p w14:paraId="715C2DEC" w14:textId="77777777" w:rsidR="00B322AC" w:rsidRPr="00B322AC" w:rsidRDefault="00B322AC" w:rsidP="00F84821">
      <w:pPr>
        <w:ind w:left="284"/>
        <w:jc w:val="both"/>
        <w:rPr>
          <w:rFonts w:ascii="Verdana" w:hAnsi="Verdana" w:cs="Open Sans"/>
          <w:b/>
          <w:bCs/>
          <w:color w:val="222222"/>
          <w:sz w:val="18"/>
          <w:szCs w:val="18"/>
          <w:shd w:val="clear" w:color="auto" w:fill="FFFFFF"/>
        </w:rPr>
      </w:pPr>
    </w:p>
    <w:p w14:paraId="785ABB48" w14:textId="4DA42413" w:rsidR="00B322AC" w:rsidRDefault="00B322AC" w:rsidP="00B322AC">
      <w:pPr>
        <w:ind w:left="284"/>
        <w:jc w:val="both"/>
        <w:rPr>
          <w:rFonts w:ascii="Verdana" w:hAnsi="Verdana" w:cs="Open Sans"/>
          <w:color w:val="222222"/>
          <w:sz w:val="18"/>
          <w:szCs w:val="18"/>
          <w:shd w:val="clear" w:color="auto" w:fill="FFFFFF"/>
        </w:rPr>
      </w:pPr>
      <w:r w:rsidRPr="00B322AC">
        <w:rPr>
          <w:rFonts w:ascii="Verdana" w:hAnsi="Verdana" w:cs="Open Sans"/>
          <w:color w:val="222222"/>
          <w:sz w:val="18"/>
          <w:szCs w:val="18"/>
          <w:shd w:val="clear" w:color="auto" w:fill="FFFFFF"/>
        </w:rPr>
        <w:t xml:space="preserve">En concreto, la Orden </w:t>
      </w:r>
      <w:r w:rsidR="00802A44">
        <w:rPr>
          <w:rFonts w:ascii="Verdana" w:hAnsi="Verdana" w:cs="Open Sans"/>
          <w:color w:val="222222"/>
          <w:sz w:val="18"/>
          <w:szCs w:val="18"/>
          <w:shd w:val="clear" w:color="auto" w:fill="FFFFFF"/>
        </w:rPr>
        <w:t>entró</w:t>
      </w:r>
      <w:r w:rsidRPr="00B322AC">
        <w:rPr>
          <w:rFonts w:ascii="Verdana" w:hAnsi="Verdana" w:cs="Open Sans"/>
          <w:color w:val="222222"/>
          <w:sz w:val="18"/>
          <w:szCs w:val="18"/>
          <w:shd w:val="clear" w:color="auto" w:fill="FFFFFF"/>
        </w:rPr>
        <w:t xml:space="preserve"> en vigor </w:t>
      </w:r>
      <w:r w:rsidR="00802A44">
        <w:rPr>
          <w:rFonts w:ascii="Verdana" w:hAnsi="Verdana" w:cs="Open Sans"/>
          <w:color w:val="222222"/>
          <w:sz w:val="18"/>
          <w:szCs w:val="18"/>
          <w:shd w:val="clear" w:color="auto" w:fill="FFFFFF"/>
        </w:rPr>
        <w:t xml:space="preserve">el </w:t>
      </w:r>
      <w:r w:rsidRPr="00B322AC">
        <w:rPr>
          <w:rFonts w:ascii="Verdana" w:hAnsi="Verdana" w:cs="Open Sans"/>
          <w:color w:val="222222"/>
          <w:sz w:val="18"/>
          <w:szCs w:val="18"/>
          <w:shd w:val="clear" w:color="auto" w:fill="FFFFFF"/>
        </w:rPr>
        <w:t xml:space="preserve">6 de octubre de 2026 (unos días más tarde de la fecha inicialmente prevista), y las fechas límite para </w:t>
      </w:r>
      <w:bookmarkStart w:id="2" w:name="_Hlk243473731"/>
      <w:r w:rsidRPr="00B322AC">
        <w:rPr>
          <w:rFonts w:ascii="Verdana" w:hAnsi="Verdana" w:cs="Open Sans"/>
          <w:color w:val="222222"/>
          <w:sz w:val="18"/>
          <w:szCs w:val="18"/>
          <w:shd w:val="clear" w:color="auto" w:fill="FFFFFF"/>
        </w:rPr>
        <w:t xml:space="preserve">la efectiva implementación de la </w:t>
      </w:r>
      <w:r w:rsidRPr="00B322AC">
        <w:rPr>
          <w:rFonts w:ascii="Verdana" w:hAnsi="Verdana" w:cs="Open Sans"/>
          <w:b/>
          <w:bCs/>
          <w:color w:val="222222"/>
          <w:sz w:val="18"/>
          <w:szCs w:val="18"/>
          <w:shd w:val="clear" w:color="auto" w:fill="FFFFFF"/>
        </w:rPr>
        <w:lastRenderedPageBreak/>
        <w:t>facturación electrónica obligatoria</w:t>
      </w:r>
      <w:r w:rsidRPr="00B322AC">
        <w:rPr>
          <w:rFonts w:ascii="Verdana" w:hAnsi="Verdana" w:cs="Open Sans"/>
          <w:color w:val="222222"/>
          <w:sz w:val="18"/>
          <w:szCs w:val="18"/>
          <w:shd w:val="clear" w:color="auto" w:fill="FFFFFF"/>
        </w:rPr>
        <w:t xml:space="preserve"> en las operaciones B2B</w:t>
      </w:r>
      <w:bookmarkEnd w:id="2"/>
      <w:r w:rsidRPr="00B322AC">
        <w:rPr>
          <w:rFonts w:ascii="Verdana" w:hAnsi="Verdana" w:cs="Open Sans"/>
          <w:color w:val="222222"/>
          <w:sz w:val="18"/>
          <w:szCs w:val="18"/>
          <w:shd w:val="clear" w:color="auto" w:fill="FFFFFF"/>
        </w:rPr>
        <w:t xml:space="preserve">, </w:t>
      </w:r>
      <w:r w:rsidRPr="00B322AC">
        <w:rPr>
          <w:rFonts w:ascii="Verdana" w:hAnsi="Verdana" w:cs="Open Sans"/>
          <w:b/>
          <w:bCs/>
          <w:color w:val="222222"/>
          <w:sz w:val="18"/>
          <w:szCs w:val="18"/>
          <w:shd w:val="clear" w:color="auto" w:fill="FFFFFF"/>
        </w:rPr>
        <w:t>dependen del volumen de operaciones</w:t>
      </w:r>
      <w:r w:rsidRPr="00B322AC">
        <w:rPr>
          <w:rFonts w:ascii="Verdana" w:hAnsi="Verdana" w:cs="Open Sans"/>
          <w:color w:val="222222"/>
          <w:sz w:val="18"/>
          <w:szCs w:val="18"/>
          <w:shd w:val="clear" w:color="auto" w:fill="FFFFFF"/>
        </w:rPr>
        <w:t xml:space="preserve"> —calculado de acuerdo con el </w:t>
      </w:r>
      <w:hyperlink r:id="rId8" w:anchor="a121:~:text=Art%C3%ADculo%20121.%20Determinaci%C3%B3n%20del%20volumen%20de%20operaciones." w:history="1">
        <w:r w:rsidRPr="00B322AC">
          <w:rPr>
            <w:rStyle w:val="Hipervnculo"/>
            <w:rFonts w:ascii="Verdana" w:hAnsi="Verdana" w:cs="Open Sans"/>
            <w:sz w:val="18"/>
            <w:szCs w:val="18"/>
            <w:shd w:val="clear" w:color="auto" w:fill="FFFFFF"/>
          </w:rPr>
          <w:t>artículo 121</w:t>
        </w:r>
      </w:hyperlink>
      <w:r w:rsidRPr="00B322AC">
        <w:rPr>
          <w:rFonts w:ascii="Verdana" w:hAnsi="Verdana" w:cs="Open Sans"/>
          <w:color w:val="222222"/>
          <w:sz w:val="18"/>
          <w:szCs w:val="18"/>
          <w:shd w:val="clear" w:color="auto" w:fill="FFFFFF"/>
        </w:rPr>
        <w:t xml:space="preserve"> de la Ley 37/1992, del Impuesto sobre el Valor Añadido (IVA)— de los empresarios o profesionales (entidades o personas físicas) afectados. En concreto, estas fechas son:</w:t>
      </w:r>
    </w:p>
    <w:p w14:paraId="4BCF9F6F" w14:textId="77777777" w:rsidR="00B322AC" w:rsidRPr="00B322AC" w:rsidRDefault="00B322AC" w:rsidP="00B322AC">
      <w:pPr>
        <w:ind w:left="284"/>
        <w:jc w:val="both"/>
        <w:rPr>
          <w:rFonts w:ascii="Verdana" w:hAnsi="Verdana" w:cs="Open Sans"/>
          <w:color w:val="222222"/>
          <w:sz w:val="18"/>
          <w:szCs w:val="18"/>
          <w:shd w:val="clear" w:color="auto" w:fill="FFFFFF"/>
        </w:rPr>
      </w:pPr>
    </w:p>
    <w:p w14:paraId="77243CEA" w14:textId="021B608B" w:rsidR="00B322AC" w:rsidRPr="00B322AC" w:rsidRDefault="00B322AC" w:rsidP="009E07F4">
      <w:pPr>
        <w:numPr>
          <w:ilvl w:val="0"/>
          <w:numId w:val="30"/>
        </w:numPr>
        <w:jc w:val="both"/>
        <w:rPr>
          <w:rFonts w:ascii="Verdana" w:hAnsi="Verdana" w:cs="Open Sans"/>
          <w:color w:val="222222"/>
          <w:sz w:val="18"/>
          <w:szCs w:val="18"/>
          <w:shd w:val="clear" w:color="auto" w:fill="FFFFFF"/>
        </w:rPr>
      </w:pPr>
      <w:r w:rsidRPr="00B322AC">
        <w:rPr>
          <w:rFonts w:ascii="Verdana" w:hAnsi="Verdana" w:cs="Open Sans"/>
          <w:color w:val="222222"/>
          <w:sz w:val="18"/>
          <w:szCs w:val="18"/>
          <w:shd w:val="clear" w:color="auto" w:fill="FFFFFF"/>
        </w:rPr>
        <w:t xml:space="preserve">El </w:t>
      </w:r>
      <w:r w:rsidRPr="00B322AC">
        <w:rPr>
          <w:rFonts w:ascii="Verdana" w:hAnsi="Verdana" w:cs="Open Sans"/>
          <w:b/>
          <w:bCs/>
          <w:color w:val="222222"/>
          <w:sz w:val="18"/>
          <w:szCs w:val="18"/>
          <w:shd w:val="clear" w:color="auto" w:fill="FFFFFF"/>
        </w:rPr>
        <w:t>6 de octubre de 2027</w:t>
      </w:r>
      <w:r w:rsidRPr="00B322AC">
        <w:rPr>
          <w:rFonts w:ascii="Verdana" w:hAnsi="Verdana" w:cs="Open Sans"/>
          <w:color w:val="222222"/>
          <w:sz w:val="18"/>
          <w:szCs w:val="18"/>
          <w:shd w:val="clear" w:color="auto" w:fill="FFFFFF"/>
        </w:rPr>
        <w:t>, para los empresarios o profesion</w:t>
      </w:r>
      <w:r w:rsidR="00802A44">
        <w:rPr>
          <w:rFonts w:ascii="Verdana" w:hAnsi="Verdana" w:cs="Open Sans"/>
          <w:color w:val="222222"/>
          <w:sz w:val="18"/>
          <w:szCs w:val="18"/>
          <w:shd w:val="clear" w:color="auto" w:fill="FFFFFF"/>
        </w:rPr>
        <w:t>ales</w:t>
      </w:r>
      <w:r w:rsidRPr="00B322AC">
        <w:rPr>
          <w:rFonts w:ascii="Verdana" w:hAnsi="Verdana" w:cs="Open Sans"/>
          <w:color w:val="222222"/>
          <w:sz w:val="18"/>
          <w:szCs w:val="18"/>
          <w:shd w:val="clear" w:color="auto" w:fill="FFFFFF"/>
        </w:rPr>
        <w:t xml:space="preserve"> con un volumen de operaciones </w:t>
      </w:r>
      <w:r w:rsidRPr="00B322AC">
        <w:rPr>
          <w:rFonts w:ascii="Verdana" w:hAnsi="Verdana" w:cs="Open Sans"/>
          <w:b/>
          <w:bCs/>
          <w:color w:val="222222"/>
          <w:sz w:val="18"/>
          <w:szCs w:val="18"/>
          <w:shd w:val="clear" w:color="auto" w:fill="FFFFFF"/>
        </w:rPr>
        <w:t>superior a 8 millones de euros</w:t>
      </w:r>
      <w:r w:rsidRPr="00B322AC">
        <w:rPr>
          <w:rFonts w:ascii="Verdana" w:hAnsi="Verdana" w:cs="Open Sans"/>
          <w:color w:val="222222"/>
          <w:sz w:val="18"/>
          <w:szCs w:val="18"/>
          <w:shd w:val="clear" w:color="auto" w:fill="FFFFFF"/>
        </w:rPr>
        <w:t xml:space="preserve"> en el año natural anterior (es decir, a los 12 meses posteriores a la entrada en vigor de la Orden HAC/1028/2026), y</w:t>
      </w:r>
    </w:p>
    <w:p w14:paraId="4441C3CF" w14:textId="50BAA393" w:rsidR="00B322AC" w:rsidRPr="00B322AC" w:rsidRDefault="00B322AC" w:rsidP="009E07F4">
      <w:pPr>
        <w:numPr>
          <w:ilvl w:val="0"/>
          <w:numId w:val="30"/>
        </w:numPr>
        <w:jc w:val="both"/>
        <w:rPr>
          <w:rFonts w:ascii="Verdana" w:hAnsi="Verdana" w:cs="Open Sans"/>
          <w:color w:val="222222"/>
          <w:sz w:val="18"/>
          <w:szCs w:val="18"/>
          <w:shd w:val="clear" w:color="auto" w:fill="FFFFFF"/>
        </w:rPr>
      </w:pPr>
      <w:r w:rsidRPr="00B322AC">
        <w:rPr>
          <w:rFonts w:ascii="Verdana" w:hAnsi="Verdana" w:cs="Open Sans"/>
          <w:color w:val="222222"/>
          <w:sz w:val="18"/>
          <w:szCs w:val="18"/>
          <w:shd w:val="clear" w:color="auto" w:fill="FFFFFF"/>
        </w:rPr>
        <w:t xml:space="preserve">El </w:t>
      </w:r>
      <w:r w:rsidRPr="00B322AC">
        <w:rPr>
          <w:rFonts w:ascii="Verdana" w:hAnsi="Verdana" w:cs="Open Sans"/>
          <w:b/>
          <w:bCs/>
          <w:color w:val="222222"/>
          <w:sz w:val="18"/>
          <w:szCs w:val="18"/>
          <w:shd w:val="clear" w:color="auto" w:fill="FFFFFF"/>
        </w:rPr>
        <w:t>6 de octubre de 2028</w:t>
      </w:r>
      <w:r w:rsidRPr="00B322AC">
        <w:rPr>
          <w:rFonts w:ascii="Verdana" w:hAnsi="Verdana" w:cs="Open Sans"/>
          <w:color w:val="222222"/>
          <w:sz w:val="18"/>
          <w:szCs w:val="18"/>
          <w:shd w:val="clear" w:color="auto" w:fill="FFFFFF"/>
        </w:rPr>
        <w:t xml:space="preserve">, para el </w:t>
      </w:r>
      <w:r w:rsidRPr="00B322AC">
        <w:rPr>
          <w:rFonts w:ascii="Verdana" w:hAnsi="Verdana" w:cs="Open Sans"/>
          <w:b/>
          <w:bCs/>
          <w:color w:val="222222"/>
          <w:sz w:val="18"/>
          <w:szCs w:val="18"/>
          <w:shd w:val="clear" w:color="auto" w:fill="FFFFFF"/>
        </w:rPr>
        <w:t>resto de los empresarios o profesionales</w:t>
      </w:r>
      <w:r w:rsidRPr="00B322AC">
        <w:rPr>
          <w:rFonts w:ascii="Verdana" w:hAnsi="Verdana" w:cs="Open Sans"/>
          <w:color w:val="222222"/>
          <w:sz w:val="18"/>
          <w:szCs w:val="18"/>
          <w:shd w:val="clear" w:color="auto" w:fill="FFFFFF"/>
        </w:rPr>
        <w:t xml:space="preserve"> (24 meses posteriores a </w:t>
      </w:r>
      <w:r w:rsidR="00802A44">
        <w:rPr>
          <w:rFonts w:ascii="Verdana" w:hAnsi="Verdana" w:cs="Open Sans"/>
          <w:color w:val="222222"/>
          <w:sz w:val="18"/>
          <w:szCs w:val="18"/>
          <w:shd w:val="clear" w:color="auto" w:fill="FFFFFF"/>
        </w:rPr>
        <w:t xml:space="preserve">la </w:t>
      </w:r>
      <w:r w:rsidRPr="00B322AC">
        <w:rPr>
          <w:rFonts w:ascii="Verdana" w:hAnsi="Verdana" w:cs="Open Sans"/>
          <w:color w:val="222222"/>
          <w:sz w:val="18"/>
          <w:szCs w:val="18"/>
          <w:shd w:val="clear" w:color="auto" w:fill="FFFFFF"/>
        </w:rPr>
        <w:t>entrada en vigor de la Orden HAC/1028/2026), y </w:t>
      </w:r>
    </w:p>
    <w:p w14:paraId="2A01BE22" w14:textId="77777777" w:rsidR="00B322AC" w:rsidRPr="00B322AC" w:rsidRDefault="00B322AC" w:rsidP="009E07F4">
      <w:pPr>
        <w:numPr>
          <w:ilvl w:val="0"/>
          <w:numId w:val="30"/>
        </w:numPr>
        <w:jc w:val="both"/>
        <w:rPr>
          <w:rFonts w:ascii="Verdana" w:hAnsi="Verdana" w:cs="Open Sans"/>
          <w:color w:val="222222"/>
          <w:sz w:val="18"/>
          <w:szCs w:val="18"/>
          <w:shd w:val="clear" w:color="auto" w:fill="FFFFFF"/>
        </w:rPr>
      </w:pPr>
      <w:r w:rsidRPr="00B322AC">
        <w:rPr>
          <w:rFonts w:ascii="Verdana" w:hAnsi="Verdana" w:cs="Open Sans"/>
          <w:color w:val="222222"/>
          <w:sz w:val="18"/>
          <w:szCs w:val="18"/>
          <w:shd w:val="clear" w:color="auto" w:fill="FFFFFF"/>
        </w:rPr>
        <w:t xml:space="preserve">El </w:t>
      </w:r>
      <w:r w:rsidRPr="00B322AC">
        <w:rPr>
          <w:rFonts w:ascii="Verdana" w:hAnsi="Verdana" w:cs="Open Sans"/>
          <w:b/>
          <w:bCs/>
          <w:color w:val="222222"/>
          <w:sz w:val="18"/>
          <w:szCs w:val="18"/>
          <w:shd w:val="clear" w:color="auto" w:fill="FFFFFF"/>
        </w:rPr>
        <w:t>6 de octubre de 2029</w:t>
      </w:r>
      <w:r w:rsidRPr="00B322AC">
        <w:rPr>
          <w:rFonts w:ascii="Verdana" w:hAnsi="Verdana" w:cs="Open Sans"/>
          <w:color w:val="222222"/>
          <w:sz w:val="18"/>
          <w:szCs w:val="18"/>
          <w:shd w:val="clear" w:color="auto" w:fill="FFFFFF"/>
        </w:rPr>
        <w:t xml:space="preserve">, para la obligación específica de </w:t>
      </w:r>
      <w:r w:rsidRPr="00B322AC">
        <w:rPr>
          <w:rFonts w:ascii="Verdana" w:hAnsi="Verdana" w:cs="Open Sans"/>
          <w:b/>
          <w:bCs/>
          <w:color w:val="222222"/>
          <w:sz w:val="18"/>
          <w:szCs w:val="18"/>
          <w:shd w:val="clear" w:color="auto" w:fill="FFFFFF"/>
        </w:rPr>
        <w:t>informar sobre los estados de la factura</w:t>
      </w:r>
      <w:r w:rsidRPr="00B322AC">
        <w:rPr>
          <w:rFonts w:ascii="Verdana" w:hAnsi="Verdana" w:cs="Open Sans"/>
          <w:color w:val="222222"/>
          <w:sz w:val="18"/>
          <w:szCs w:val="18"/>
          <w:shd w:val="clear" w:color="auto" w:fill="FFFFFF"/>
        </w:rPr>
        <w:t xml:space="preserve">, por parte de </w:t>
      </w:r>
      <w:r w:rsidRPr="00B322AC">
        <w:rPr>
          <w:rFonts w:ascii="Verdana" w:hAnsi="Verdana" w:cs="Open Sans"/>
          <w:b/>
          <w:bCs/>
          <w:color w:val="222222"/>
          <w:sz w:val="18"/>
          <w:szCs w:val="18"/>
          <w:shd w:val="clear" w:color="auto" w:fill="FFFFFF"/>
        </w:rPr>
        <w:t>empresarios y profesionales</w:t>
      </w:r>
      <w:r w:rsidRPr="00B322AC">
        <w:rPr>
          <w:rFonts w:ascii="Verdana" w:hAnsi="Verdana" w:cs="Open Sans"/>
          <w:color w:val="222222"/>
          <w:sz w:val="18"/>
          <w:szCs w:val="18"/>
          <w:shd w:val="clear" w:color="auto" w:fill="FFFFFF"/>
        </w:rPr>
        <w:t>, personas físicas (36 meses posteriores), con volumen de operaciones inferior a 8 millones de euros. </w:t>
      </w:r>
    </w:p>
    <w:p w14:paraId="1FE7E157" w14:textId="77777777" w:rsidR="00B322AC" w:rsidRDefault="00B322AC" w:rsidP="00F84821">
      <w:pPr>
        <w:ind w:left="284"/>
        <w:jc w:val="both"/>
        <w:rPr>
          <w:rFonts w:ascii="Verdana" w:hAnsi="Verdana" w:cs="Open Sans"/>
          <w:color w:val="222222"/>
          <w:sz w:val="18"/>
          <w:szCs w:val="18"/>
          <w:shd w:val="clear" w:color="auto" w:fill="FFFFFF"/>
        </w:rPr>
      </w:pPr>
    </w:p>
    <w:p w14:paraId="1DBC88EB" w14:textId="77777777" w:rsidR="00B322AC" w:rsidRDefault="00B322AC" w:rsidP="00B322AC">
      <w:pPr>
        <w:ind w:left="284"/>
        <w:jc w:val="both"/>
        <w:rPr>
          <w:rFonts w:ascii="Verdana" w:hAnsi="Verdana" w:cs="Open Sans"/>
          <w:b/>
          <w:bCs/>
          <w:color w:val="222222"/>
          <w:sz w:val="18"/>
          <w:szCs w:val="18"/>
          <w:shd w:val="clear" w:color="auto" w:fill="FFFFFF"/>
        </w:rPr>
      </w:pPr>
      <w:r w:rsidRPr="00B322AC">
        <w:rPr>
          <w:rFonts w:ascii="Verdana" w:hAnsi="Verdana" w:cs="Open Sans"/>
          <w:b/>
          <w:bCs/>
          <w:color w:val="222222"/>
          <w:sz w:val="18"/>
          <w:szCs w:val="18"/>
          <w:shd w:val="clear" w:color="auto" w:fill="FFFFFF"/>
        </w:rPr>
        <w:t>Distinción con la normativa sobre los sistemas y programas de facturación</w:t>
      </w:r>
    </w:p>
    <w:p w14:paraId="64DD6FB1" w14:textId="77777777" w:rsidR="00B322AC" w:rsidRPr="00B322AC" w:rsidRDefault="00B322AC" w:rsidP="00B322AC">
      <w:pPr>
        <w:ind w:left="284"/>
        <w:jc w:val="both"/>
        <w:rPr>
          <w:rFonts w:ascii="Verdana" w:hAnsi="Verdana" w:cs="Open Sans"/>
          <w:b/>
          <w:bCs/>
          <w:color w:val="222222"/>
          <w:sz w:val="18"/>
          <w:szCs w:val="18"/>
          <w:shd w:val="clear" w:color="auto" w:fill="FFFFFF"/>
        </w:rPr>
      </w:pPr>
    </w:p>
    <w:p w14:paraId="1E12CEB7" w14:textId="77777777" w:rsidR="00B322AC" w:rsidRDefault="00B322AC" w:rsidP="00F84821">
      <w:pPr>
        <w:ind w:left="284"/>
        <w:jc w:val="both"/>
        <w:rPr>
          <w:rFonts w:ascii="Verdana" w:hAnsi="Verdana" w:cs="Open Sans"/>
          <w:color w:val="222222"/>
          <w:sz w:val="18"/>
          <w:szCs w:val="18"/>
          <w:shd w:val="clear" w:color="auto" w:fill="FFFFFF"/>
        </w:rPr>
      </w:pPr>
      <w:r>
        <w:rPr>
          <w:rFonts w:ascii="Verdana" w:hAnsi="Verdana" w:cs="Open Sans"/>
          <w:color w:val="222222"/>
          <w:sz w:val="18"/>
          <w:szCs w:val="18"/>
          <w:shd w:val="clear" w:color="auto" w:fill="FFFFFF"/>
        </w:rPr>
        <w:t>N</w:t>
      </w:r>
      <w:r w:rsidRPr="00B322AC">
        <w:rPr>
          <w:rFonts w:ascii="Verdana" w:hAnsi="Verdana" w:cs="Open Sans"/>
          <w:color w:val="222222"/>
          <w:sz w:val="18"/>
          <w:szCs w:val="18"/>
          <w:shd w:val="clear" w:color="auto" w:fill="FFFFFF"/>
        </w:rPr>
        <w:t xml:space="preserve">o debe confundirse esta nueva obligación con la </w:t>
      </w:r>
      <w:r w:rsidRPr="00B322AC">
        <w:rPr>
          <w:rFonts w:ascii="Verdana" w:hAnsi="Verdana" w:cs="Open Sans"/>
          <w:b/>
          <w:bCs/>
          <w:color w:val="222222"/>
          <w:sz w:val="18"/>
          <w:szCs w:val="18"/>
          <w:shd w:val="clear" w:color="auto" w:fill="FFFFFF"/>
        </w:rPr>
        <w:t xml:space="preserve">adaptación de los sistemas y programas informáticos y electrónicos de facturación </w:t>
      </w:r>
      <w:r w:rsidRPr="00B322AC">
        <w:rPr>
          <w:rFonts w:ascii="Verdana" w:hAnsi="Verdana" w:cs="Open Sans"/>
          <w:color w:val="222222"/>
          <w:sz w:val="18"/>
          <w:szCs w:val="18"/>
          <w:shd w:val="clear" w:color="auto" w:fill="FFFFFF"/>
        </w:rPr>
        <w:t>("</w:t>
      </w:r>
      <w:r w:rsidRPr="00B322AC">
        <w:rPr>
          <w:rFonts w:ascii="Verdana" w:hAnsi="Verdana" w:cs="Open Sans"/>
          <w:b/>
          <w:bCs/>
          <w:i/>
          <w:iCs/>
          <w:color w:val="222222"/>
          <w:sz w:val="18"/>
          <w:szCs w:val="18"/>
          <w:shd w:val="clear" w:color="auto" w:fill="FFFFFF"/>
        </w:rPr>
        <w:t>software</w:t>
      </w:r>
      <w:r w:rsidRPr="00B322AC">
        <w:rPr>
          <w:rFonts w:ascii="Verdana" w:hAnsi="Verdana" w:cs="Open Sans"/>
          <w:b/>
          <w:bCs/>
          <w:color w:val="222222"/>
          <w:sz w:val="18"/>
          <w:szCs w:val="18"/>
          <w:shd w:val="clear" w:color="auto" w:fill="FFFFFF"/>
        </w:rPr>
        <w:t xml:space="preserve"> de facturación</w:t>
      </w:r>
      <w:r w:rsidRPr="00B322AC">
        <w:rPr>
          <w:rFonts w:ascii="Verdana" w:hAnsi="Verdana" w:cs="Open Sans"/>
          <w:color w:val="222222"/>
          <w:sz w:val="18"/>
          <w:szCs w:val="18"/>
          <w:shd w:val="clear" w:color="auto" w:fill="FFFFFF"/>
        </w:rPr>
        <w:t xml:space="preserve">"), a raíz de la </w:t>
      </w:r>
      <w:r w:rsidRPr="00B322AC">
        <w:rPr>
          <w:rFonts w:ascii="Verdana" w:hAnsi="Verdana" w:cs="Open Sans"/>
          <w:b/>
          <w:bCs/>
          <w:color w:val="222222"/>
          <w:sz w:val="18"/>
          <w:szCs w:val="18"/>
          <w:shd w:val="clear" w:color="auto" w:fill="FFFFFF"/>
        </w:rPr>
        <w:t xml:space="preserve">normativa conocida como </w:t>
      </w:r>
      <w:r w:rsidRPr="00B322AC">
        <w:rPr>
          <w:rFonts w:ascii="Verdana" w:hAnsi="Verdana" w:cs="Open Sans"/>
          <w:b/>
          <w:bCs/>
          <w:i/>
          <w:iCs/>
          <w:color w:val="222222"/>
          <w:sz w:val="18"/>
          <w:szCs w:val="18"/>
          <w:shd w:val="clear" w:color="auto" w:fill="FFFFFF"/>
        </w:rPr>
        <w:t>Veri*</w:t>
      </w:r>
      <w:proofErr w:type="spellStart"/>
      <w:r w:rsidRPr="00B322AC">
        <w:rPr>
          <w:rFonts w:ascii="Verdana" w:hAnsi="Verdana" w:cs="Open Sans"/>
          <w:b/>
          <w:bCs/>
          <w:i/>
          <w:iCs/>
          <w:color w:val="222222"/>
          <w:sz w:val="18"/>
          <w:szCs w:val="18"/>
          <w:shd w:val="clear" w:color="auto" w:fill="FFFFFF"/>
        </w:rPr>
        <w:t>factu</w:t>
      </w:r>
      <w:proofErr w:type="spellEnd"/>
      <w:r w:rsidRPr="00B322AC">
        <w:rPr>
          <w:rFonts w:ascii="Verdana" w:hAnsi="Verdana" w:cs="Open Sans"/>
          <w:color w:val="222222"/>
          <w:sz w:val="18"/>
          <w:szCs w:val="18"/>
          <w:shd w:val="clear" w:color="auto" w:fill="FFFFFF"/>
        </w:rPr>
        <w:t xml:space="preserve">, y que afecta a los empresarios y profesionales (entidades y personas físicas) </w:t>
      </w:r>
      <w:r w:rsidRPr="00B322AC">
        <w:rPr>
          <w:rFonts w:ascii="Verdana" w:hAnsi="Verdana" w:cs="Open Sans"/>
          <w:b/>
          <w:bCs/>
          <w:color w:val="222222"/>
          <w:sz w:val="18"/>
          <w:szCs w:val="18"/>
          <w:shd w:val="clear" w:color="auto" w:fill="FFFFFF"/>
        </w:rPr>
        <w:t xml:space="preserve">que no llevan sus libros registros del Impuesto sobre el Valor Añadido a través de la sede electrónica de la AEAT </w:t>
      </w:r>
      <w:r w:rsidRPr="00B322AC">
        <w:rPr>
          <w:rFonts w:ascii="Verdana" w:hAnsi="Verdana" w:cs="Open Sans"/>
          <w:color w:val="222222"/>
          <w:sz w:val="18"/>
          <w:szCs w:val="18"/>
          <w:shd w:val="clear" w:color="auto" w:fill="FFFFFF"/>
        </w:rPr>
        <w:t>("</w:t>
      </w:r>
      <w:r w:rsidRPr="00B322AC">
        <w:rPr>
          <w:rFonts w:ascii="Verdana" w:hAnsi="Verdana" w:cs="Open Sans"/>
          <w:b/>
          <w:bCs/>
          <w:color w:val="222222"/>
          <w:sz w:val="18"/>
          <w:szCs w:val="18"/>
          <w:shd w:val="clear" w:color="auto" w:fill="FFFFFF"/>
        </w:rPr>
        <w:t>SII-IVA</w:t>
      </w:r>
      <w:r w:rsidRPr="00B322AC">
        <w:rPr>
          <w:rFonts w:ascii="Verdana" w:hAnsi="Verdana" w:cs="Open Sans"/>
          <w:color w:val="222222"/>
          <w:sz w:val="18"/>
          <w:szCs w:val="18"/>
          <w:shd w:val="clear" w:color="auto" w:fill="FFFFFF"/>
        </w:rPr>
        <w:t>")</w:t>
      </w:r>
      <w:r w:rsidR="008C164D">
        <w:rPr>
          <w:rFonts w:ascii="Verdana" w:hAnsi="Verdana" w:cs="Open Sans"/>
          <w:color w:val="222222"/>
          <w:sz w:val="18"/>
          <w:szCs w:val="18"/>
          <w:shd w:val="clear" w:color="auto" w:fill="FFFFFF"/>
        </w:rPr>
        <w:t>.</w:t>
      </w:r>
    </w:p>
    <w:p w14:paraId="52910E28" w14:textId="77777777" w:rsidR="008C164D" w:rsidRDefault="008C164D" w:rsidP="00F84821">
      <w:pPr>
        <w:ind w:left="284"/>
        <w:jc w:val="both"/>
        <w:rPr>
          <w:rFonts w:ascii="Verdana" w:hAnsi="Verdana" w:cs="Open Sans"/>
          <w:color w:val="222222"/>
          <w:sz w:val="18"/>
          <w:szCs w:val="18"/>
          <w:shd w:val="clear" w:color="auto" w:fill="FFFFFF"/>
        </w:rPr>
      </w:pPr>
    </w:p>
    <w:p w14:paraId="21D8FFE8" w14:textId="4B456B79" w:rsidR="008C164D" w:rsidRDefault="008C164D" w:rsidP="00473CE1">
      <w:pPr>
        <w:ind w:left="284"/>
        <w:contextualSpacing/>
        <w:jc w:val="both"/>
        <w:rPr>
          <w:rFonts w:ascii="Verdana" w:hAnsi="Verdana" w:cs="Open Sans"/>
          <w:color w:val="222222"/>
          <w:sz w:val="18"/>
          <w:szCs w:val="18"/>
          <w:shd w:val="clear" w:color="auto" w:fill="FFFFFF"/>
        </w:rPr>
      </w:pPr>
      <w:r>
        <w:rPr>
          <w:rFonts w:ascii="Verdana" w:hAnsi="Verdana" w:cs="Open Sans"/>
          <w:color w:val="222222"/>
          <w:sz w:val="18"/>
          <w:szCs w:val="18"/>
          <w:shd w:val="clear" w:color="auto" w:fill="FFFFFF"/>
        </w:rPr>
        <w:t>La implantación del sistema Veri*</w:t>
      </w:r>
      <w:proofErr w:type="spellStart"/>
      <w:r>
        <w:rPr>
          <w:rFonts w:ascii="Verdana" w:hAnsi="Verdana" w:cs="Open Sans"/>
          <w:color w:val="222222"/>
          <w:sz w:val="18"/>
          <w:szCs w:val="18"/>
          <w:shd w:val="clear" w:color="auto" w:fill="FFFFFF"/>
        </w:rPr>
        <w:t>factu</w:t>
      </w:r>
      <w:proofErr w:type="spellEnd"/>
      <w:r w:rsidR="00802A44">
        <w:rPr>
          <w:rFonts w:ascii="Verdana" w:hAnsi="Verdana" w:cs="Open Sans"/>
          <w:color w:val="222222"/>
          <w:sz w:val="18"/>
          <w:szCs w:val="18"/>
          <w:shd w:val="clear" w:color="auto" w:fill="FFFFFF"/>
        </w:rPr>
        <w:t>,</w:t>
      </w:r>
      <w:r>
        <w:rPr>
          <w:rFonts w:ascii="Verdana" w:hAnsi="Verdana" w:cs="Open Sans"/>
          <w:color w:val="222222"/>
          <w:sz w:val="18"/>
          <w:szCs w:val="18"/>
          <w:shd w:val="clear" w:color="auto" w:fill="FFFFFF"/>
        </w:rPr>
        <w:t xml:space="preserve"> como se precisó en </w:t>
      </w:r>
      <w:r w:rsidR="00473CE1">
        <w:rPr>
          <w:rFonts w:ascii="Verdana" w:hAnsi="Verdana" w:cs="Open Sans"/>
          <w:color w:val="222222"/>
          <w:sz w:val="18"/>
          <w:szCs w:val="18"/>
          <w:shd w:val="clear" w:color="auto" w:fill="FFFFFF"/>
        </w:rPr>
        <w:t>la adenda</w:t>
      </w:r>
      <w:r>
        <w:rPr>
          <w:rFonts w:ascii="Verdana" w:hAnsi="Verdana" w:cs="Open Sans"/>
          <w:color w:val="222222"/>
          <w:sz w:val="18"/>
          <w:szCs w:val="18"/>
          <w:shd w:val="clear" w:color="auto" w:fill="FFFFFF"/>
        </w:rPr>
        <w:t xml:space="preserve"> a estos Apuntes del mes de octubre, </w:t>
      </w:r>
      <w:r w:rsidR="00473CE1" w:rsidRPr="00473CE1">
        <w:rPr>
          <w:rFonts w:ascii="Verdana" w:hAnsi="Verdana" w:cs="Open Sans"/>
          <w:b/>
          <w:bCs/>
          <w:color w:val="222222"/>
          <w:sz w:val="18"/>
          <w:szCs w:val="18"/>
          <w:shd w:val="clear" w:color="auto" w:fill="FFFFFF"/>
        </w:rPr>
        <w:t>se ha aplazado a octubre de 2028</w:t>
      </w:r>
      <w:r w:rsidR="00473CE1">
        <w:rPr>
          <w:rFonts w:ascii="Verdana" w:hAnsi="Verdana" w:cs="Open Sans"/>
          <w:color w:val="222222"/>
          <w:sz w:val="18"/>
          <w:szCs w:val="18"/>
          <w:shd w:val="clear" w:color="auto" w:fill="FFFFFF"/>
        </w:rPr>
        <w:t>.</w:t>
      </w:r>
    </w:p>
    <w:p w14:paraId="1CDE25EC" w14:textId="77777777" w:rsidR="00F84821" w:rsidRDefault="00F84821" w:rsidP="00473CE1">
      <w:pPr>
        <w:ind w:left="284"/>
        <w:contextualSpacing/>
        <w:jc w:val="both"/>
        <w:rPr>
          <w:rFonts w:ascii="Verdana" w:hAnsi="Verdana" w:cs="Open Sans"/>
          <w:color w:val="222222"/>
          <w:sz w:val="18"/>
          <w:szCs w:val="18"/>
          <w:shd w:val="clear" w:color="auto" w:fill="FFFFFF"/>
        </w:rPr>
      </w:pPr>
    </w:p>
    <w:p w14:paraId="1161A2E2" w14:textId="77777777" w:rsidR="00F14F72" w:rsidRPr="00B6654F" w:rsidRDefault="00F14F72" w:rsidP="00473CE1">
      <w:pPr>
        <w:ind w:left="284"/>
        <w:contextualSpacing/>
        <w:jc w:val="both"/>
        <w:rPr>
          <w:rFonts w:ascii="Verdana" w:hAnsi="Verdana" w:cs="Open Sans"/>
          <w:color w:val="222222"/>
          <w:sz w:val="18"/>
          <w:szCs w:val="18"/>
          <w:shd w:val="clear" w:color="auto" w:fill="FFFFFF"/>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F14F72" w:rsidRPr="00F14F72" w14:paraId="53498F0F" w14:textId="77777777" w:rsidTr="00B93EF9">
        <w:tc>
          <w:tcPr>
            <w:tcW w:w="180" w:type="dxa"/>
            <w:shd w:val="clear" w:color="auto" w:fill="FF6600"/>
          </w:tcPr>
          <w:p w14:paraId="69B26AE7" w14:textId="77777777" w:rsidR="00F14F72" w:rsidRPr="00F14F72" w:rsidRDefault="00F14F72" w:rsidP="00473CE1">
            <w:pPr>
              <w:contextualSpacing/>
              <w:rPr>
                <w:rFonts w:ascii="Verdana" w:hAnsi="Verdana"/>
                <w:b/>
                <w:bCs/>
                <w:color w:val="800000"/>
                <w:sz w:val="18"/>
                <w:szCs w:val="18"/>
              </w:rPr>
            </w:pPr>
            <w:bookmarkStart w:id="3" w:name="_Hlk243476405"/>
          </w:p>
        </w:tc>
        <w:tc>
          <w:tcPr>
            <w:tcW w:w="8460" w:type="dxa"/>
          </w:tcPr>
          <w:p w14:paraId="7CBBFF99" w14:textId="77777777" w:rsidR="00F14F72" w:rsidRPr="00F14F72" w:rsidRDefault="00F14F72" w:rsidP="00473CE1">
            <w:pPr>
              <w:numPr>
                <w:ilvl w:val="0"/>
                <w:numId w:val="1"/>
              </w:numPr>
              <w:tabs>
                <w:tab w:val="clear" w:pos="928"/>
                <w:tab w:val="num" w:pos="320"/>
              </w:tabs>
              <w:ind w:left="317" w:hanging="280"/>
              <w:contextualSpacing/>
              <w:jc w:val="both"/>
              <w:rPr>
                <w:rFonts w:ascii="Verdana" w:hAnsi="Verdana"/>
                <w:b/>
                <w:bCs/>
                <w:color w:val="800000"/>
                <w:sz w:val="18"/>
                <w:szCs w:val="18"/>
              </w:rPr>
            </w:pPr>
            <w:r w:rsidRPr="00F14F72">
              <w:rPr>
                <w:rFonts w:ascii="Verdana" w:hAnsi="Verdana"/>
                <w:b/>
                <w:bCs/>
                <w:color w:val="800000"/>
                <w:sz w:val="18"/>
                <w:szCs w:val="18"/>
              </w:rPr>
              <w:t>NUEVA LEY DE DISCAPACIDAD. SE AMPLÍAN LAS EXENCIONES EN EL IRPF Y SE REFUERZAN LOS INCENTIVOS A LA INCLUSIÓN</w:t>
            </w:r>
          </w:p>
        </w:tc>
      </w:tr>
    </w:tbl>
    <w:bookmarkEnd w:id="3"/>
    <w:p w14:paraId="480223AA" w14:textId="5EFD7A5A" w:rsidR="00F14F72" w:rsidRPr="00F14F72" w:rsidRDefault="00802A44" w:rsidP="00F14F72">
      <w:pPr>
        <w:spacing w:before="100" w:beforeAutospacing="1" w:after="100" w:afterAutospacing="1"/>
        <w:ind w:left="284"/>
        <w:jc w:val="both"/>
        <w:rPr>
          <w:rFonts w:ascii="Verdana" w:hAnsi="Verdana"/>
          <w:sz w:val="18"/>
          <w:szCs w:val="18"/>
        </w:rPr>
      </w:pPr>
      <w:r>
        <w:rPr>
          <w:rFonts w:ascii="Verdana" w:hAnsi="Verdana"/>
          <w:sz w:val="18"/>
          <w:szCs w:val="18"/>
        </w:rPr>
        <w:t>L</w:t>
      </w:r>
      <w:r w:rsidR="00F14F72" w:rsidRPr="00F14F72">
        <w:rPr>
          <w:rFonts w:ascii="Verdana" w:hAnsi="Verdana"/>
          <w:sz w:val="18"/>
          <w:szCs w:val="18"/>
        </w:rPr>
        <w:t xml:space="preserve">a Ley 4/2026, de 1 de octubre, </w:t>
      </w:r>
      <w:r w:rsidR="00F14F72">
        <w:rPr>
          <w:rFonts w:ascii="Verdana" w:hAnsi="Verdana"/>
          <w:sz w:val="18"/>
          <w:szCs w:val="18"/>
        </w:rPr>
        <w:t xml:space="preserve">publicada en el B.O.E. del pasado día 3 de octubre, </w:t>
      </w:r>
      <w:r w:rsidR="00F14F72" w:rsidRPr="00F14F72">
        <w:rPr>
          <w:rFonts w:ascii="Verdana" w:hAnsi="Verdana"/>
          <w:sz w:val="18"/>
          <w:szCs w:val="18"/>
        </w:rPr>
        <w:t xml:space="preserve">introduce modificaciones relevantes en materia de discapacidad y dependencia, </w:t>
      </w:r>
      <w:r w:rsidR="00F14F72" w:rsidRPr="00F14F72">
        <w:rPr>
          <w:rFonts w:ascii="Verdana" w:hAnsi="Verdana"/>
          <w:b/>
          <w:bCs/>
          <w:sz w:val="18"/>
          <w:szCs w:val="18"/>
        </w:rPr>
        <w:t>con efectos sobre el IRPF</w:t>
      </w:r>
      <w:r w:rsidR="00F14F72" w:rsidRPr="00F14F72">
        <w:rPr>
          <w:rFonts w:ascii="Verdana" w:hAnsi="Verdana"/>
          <w:sz w:val="18"/>
          <w:szCs w:val="18"/>
        </w:rPr>
        <w:t>, las cotizaciones sociales y el régimen de prestaciones públicas. La norma también reforma la legislación laboral, aseguradora y de accesibilidad para reforzar la autonomía personal y la inclusión social.</w:t>
      </w:r>
    </w:p>
    <w:p w14:paraId="151F1C35" w14:textId="77777777" w:rsidR="00F14F72" w:rsidRPr="00F14F72" w:rsidRDefault="00F14F72" w:rsidP="00F14F72">
      <w:pPr>
        <w:spacing w:before="100" w:beforeAutospacing="1" w:after="100" w:afterAutospacing="1"/>
        <w:ind w:left="284"/>
        <w:jc w:val="both"/>
        <w:outlineLvl w:val="2"/>
        <w:rPr>
          <w:rFonts w:ascii="Verdana" w:hAnsi="Verdana"/>
          <w:b/>
          <w:bCs/>
          <w:sz w:val="18"/>
          <w:szCs w:val="18"/>
        </w:rPr>
      </w:pPr>
      <w:r w:rsidRPr="00F14F72">
        <w:rPr>
          <w:rFonts w:ascii="Verdana" w:hAnsi="Verdana"/>
          <w:b/>
          <w:bCs/>
          <w:sz w:val="18"/>
          <w:szCs w:val="18"/>
        </w:rPr>
        <w:t>Principales novedades fiscales</w:t>
      </w:r>
    </w:p>
    <w:p w14:paraId="6589E2DC" w14:textId="77777777" w:rsidR="00F14F72" w:rsidRPr="00F14F72" w:rsidRDefault="00F14F72" w:rsidP="00F14F72">
      <w:pPr>
        <w:spacing w:before="100" w:beforeAutospacing="1" w:after="100" w:afterAutospacing="1"/>
        <w:ind w:left="284"/>
        <w:jc w:val="both"/>
        <w:rPr>
          <w:rFonts w:ascii="Verdana" w:hAnsi="Verdana"/>
          <w:b/>
          <w:bCs/>
          <w:sz w:val="18"/>
          <w:szCs w:val="18"/>
        </w:rPr>
      </w:pPr>
      <w:r w:rsidRPr="00F14F72">
        <w:rPr>
          <w:rFonts w:ascii="Verdana" w:hAnsi="Verdana"/>
          <w:b/>
          <w:bCs/>
          <w:sz w:val="18"/>
          <w:szCs w:val="18"/>
        </w:rPr>
        <w:t>1. Ampliación de las prestaciones exentas en el IRPF</w:t>
      </w:r>
    </w:p>
    <w:p w14:paraId="75D1084E" w14:textId="77777777" w:rsidR="00F14F72" w:rsidRPr="00F14F72" w:rsidRDefault="00F14F72" w:rsidP="00F14F72">
      <w:pPr>
        <w:spacing w:before="100" w:beforeAutospacing="1" w:after="100" w:afterAutospacing="1"/>
        <w:ind w:left="284"/>
        <w:jc w:val="both"/>
        <w:rPr>
          <w:rFonts w:ascii="Verdana" w:hAnsi="Verdana"/>
          <w:sz w:val="18"/>
          <w:szCs w:val="18"/>
        </w:rPr>
      </w:pPr>
      <w:r w:rsidRPr="00F14F72">
        <w:rPr>
          <w:rFonts w:ascii="Verdana" w:hAnsi="Verdana"/>
          <w:sz w:val="18"/>
          <w:szCs w:val="18"/>
        </w:rPr>
        <w:t>La disposición final octava modifica el artículo 7.x) de la Ley 35/2006 del IRPF para incluir expresamente entre las rentas exentas las prestaciones económicas públicas vinculadas a:</w:t>
      </w:r>
    </w:p>
    <w:p w14:paraId="6F38983C" w14:textId="77777777" w:rsidR="00F14F72" w:rsidRPr="00F14F72" w:rsidRDefault="00F14F72" w:rsidP="009E07F4">
      <w:pPr>
        <w:numPr>
          <w:ilvl w:val="0"/>
          <w:numId w:val="28"/>
        </w:numPr>
        <w:spacing w:before="100" w:beforeAutospacing="1" w:after="100" w:afterAutospacing="1"/>
        <w:ind w:left="284" w:firstLine="0"/>
        <w:jc w:val="both"/>
        <w:rPr>
          <w:rFonts w:ascii="Verdana" w:hAnsi="Verdana"/>
          <w:sz w:val="18"/>
          <w:szCs w:val="18"/>
        </w:rPr>
      </w:pPr>
      <w:r w:rsidRPr="00F14F72">
        <w:rPr>
          <w:rFonts w:ascii="Verdana" w:hAnsi="Verdana"/>
          <w:sz w:val="18"/>
          <w:szCs w:val="18"/>
        </w:rPr>
        <w:t>Los cuidados en el entorno familiar.</w:t>
      </w:r>
    </w:p>
    <w:p w14:paraId="69353865" w14:textId="77777777" w:rsidR="00F14F72" w:rsidRPr="00F14F72" w:rsidRDefault="00F14F72" w:rsidP="009E07F4">
      <w:pPr>
        <w:numPr>
          <w:ilvl w:val="0"/>
          <w:numId w:val="28"/>
        </w:numPr>
        <w:spacing w:before="100" w:beforeAutospacing="1" w:after="100" w:afterAutospacing="1"/>
        <w:ind w:left="284" w:firstLine="0"/>
        <w:jc w:val="both"/>
        <w:rPr>
          <w:rFonts w:ascii="Verdana" w:hAnsi="Verdana"/>
          <w:sz w:val="18"/>
          <w:szCs w:val="18"/>
        </w:rPr>
      </w:pPr>
      <w:r w:rsidRPr="00F14F72">
        <w:rPr>
          <w:rFonts w:ascii="Verdana" w:hAnsi="Verdana"/>
          <w:sz w:val="18"/>
          <w:szCs w:val="18"/>
        </w:rPr>
        <w:t>La asistencia personal.</w:t>
      </w:r>
    </w:p>
    <w:p w14:paraId="39C16B9C" w14:textId="77777777" w:rsidR="00F14F72" w:rsidRPr="00F14F72" w:rsidRDefault="00F14F72" w:rsidP="009E07F4">
      <w:pPr>
        <w:numPr>
          <w:ilvl w:val="0"/>
          <w:numId w:val="28"/>
        </w:numPr>
        <w:spacing w:before="100" w:beforeAutospacing="1" w:after="100" w:afterAutospacing="1"/>
        <w:ind w:left="284" w:firstLine="0"/>
        <w:jc w:val="both"/>
        <w:rPr>
          <w:rFonts w:ascii="Verdana" w:hAnsi="Verdana"/>
          <w:sz w:val="18"/>
          <w:szCs w:val="18"/>
        </w:rPr>
      </w:pPr>
      <w:r w:rsidRPr="00F14F72">
        <w:rPr>
          <w:rFonts w:ascii="Verdana" w:hAnsi="Verdana"/>
          <w:sz w:val="18"/>
          <w:szCs w:val="18"/>
        </w:rPr>
        <w:t>Los cuidados y apoyos en viviendas.</w:t>
      </w:r>
    </w:p>
    <w:p w14:paraId="4C4A0F3F" w14:textId="77777777" w:rsidR="00F14F72" w:rsidRPr="00F14F72" w:rsidRDefault="00F14F72" w:rsidP="00F14F72">
      <w:pPr>
        <w:spacing w:before="100" w:beforeAutospacing="1" w:after="100" w:afterAutospacing="1"/>
        <w:ind w:left="284"/>
        <w:jc w:val="both"/>
        <w:rPr>
          <w:rFonts w:ascii="Verdana" w:hAnsi="Verdana"/>
          <w:sz w:val="18"/>
          <w:szCs w:val="18"/>
        </w:rPr>
      </w:pPr>
      <w:r w:rsidRPr="00F14F72">
        <w:rPr>
          <w:rFonts w:ascii="Verdana" w:hAnsi="Verdana"/>
          <w:sz w:val="18"/>
          <w:szCs w:val="18"/>
        </w:rPr>
        <w:t>La exención alcanza a las prestaciones derivadas de la Ley 39/2006, de promoción de la autonomía personal y atención a las personas en situación de dependencia. La modificación produce efectos desde la entrada en vigor de la Ley 4/2026.</w:t>
      </w:r>
    </w:p>
    <w:p w14:paraId="5037B9FB" w14:textId="77777777" w:rsidR="00F14F72" w:rsidRPr="00F14F72" w:rsidRDefault="00F14F72" w:rsidP="00F14F72">
      <w:pPr>
        <w:spacing w:before="100" w:beforeAutospacing="1" w:after="100" w:afterAutospacing="1"/>
        <w:ind w:left="284"/>
        <w:jc w:val="both"/>
        <w:rPr>
          <w:rFonts w:ascii="Verdana" w:hAnsi="Verdana"/>
          <w:b/>
          <w:bCs/>
          <w:sz w:val="18"/>
          <w:szCs w:val="18"/>
        </w:rPr>
      </w:pPr>
      <w:r w:rsidRPr="00F14F72">
        <w:rPr>
          <w:rFonts w:ascii="Verdana" w:hAnsi="Verdana"/>
          <w:b/>
          <w:bCs/>
          <w:sz w:val="18"/>
          <w:szCs w:val="18"/>
        </w:rPr>
        <w:t>2. Bonificación del 100 % de las cotizaciones empresariales</w:t>
      </w:r>
    </w:p>
    <w:p w14:paraId="04E6A0B6" w14:textId="77777777" w:rsidR="00F14F72" w:rsidRPr="00F14F72" w:rsidRDefault="00F14F72" w:rsidP="00F14F72">
      <w:pPr>
        <w:spacing w:before="100" w:beforeAutospacing="1" w:after="100" w:afterAutospacing="1"/>
        <w:ind w:left="284"/>
        <w:jc w:val="both"/>
        <w:rPr>
          <w:rFonts w:ascii="Verdana" w:hAnsi="Verdana"/>
          <w:sz w:val="18"/>
          <w:szCs w:val="18"/>
        </w:rPr>
      </w:pPr>
      <w:r w:rsidRPr="00F14F72">
        <w:rPr>
          <w:rFonts w:ascii="Verdana" w:hAnsi="Verdana"/>
          <w:sz w:val="18"/>
          <w:szCs w:val="18"/>
        </w:rPr>
        <w:t>Se modifica la disposición adicional segunda de la Ley 7/2024 para reconocer una bonificación del 100 % de la cuota empresarial por contingencias comunes a los clubes, asociaciones y entidades deportivas no profesionales sin ánimo de lucro que contraten entrenadores o monitores dedicados a la formación de menores de 18 años.</w:t>
      </w:r>
    </w:p>
    <w:p w14:paraId="1EB02762" w14:textId="77777777" w:rsidR="00F14F72" w:rsidRPr="00F14F72" w:rsidRDefault="00F14F72" w:rsidP="00F14F72">
      <w:pPr>
        <w:spacing w:before="100" w:beforeAutospacing="1" w:after="100" w:afterAutospacing="1"/>
        <w:ind w:left="284"/>
        <w:jc w:val="both"/>
        <w:rPr>
          <w:rFonts w:ascii="Verdana" w:hAnsi="Verdana"/>
          <w:sz w:val="18"/>
          <w:szCs w:val="18"/>
        </w:rPr>
      </w:pPr>
      <w:r w:rsidRPr="00F14F72">
        <w:rPr>
          <w:rFonts w:ascii="Verdana" w:hAnsi="Verdana"/>
          <w:sz w:val="18"/>
          <w:szCs w:val="18"/>
        </w:rPr>
        <w:t xml:space="preserve">El límite de edad no se aplica cuando las entidades desarrollan programas de deporte adaptado o inclusivo. Si una entidad combina actividad deportiva profesional y no </w:t>
      </w:r>
      <w:r w:rsidRPr="00F14F72">
        <w:rPr>
          <w:rFonts w:ascii="Verdana" w:hAnsi="Verdana"/>
          <w:sz w:val="18"/>
          <w:szCs w:val="18"/>
        </w:rPr>
        <w:lastRenderedPageBreak/>
        <w:t>profesional, la bonificación se limita a los entrenadores y monitores vinculados a esta última.</w:t>
      </w:r>
    </w:p>
    <w:p w14:paraId="66E39618" w14:textId="77777777" w:rsidR="00F14F72" w:rsidRPr="00F14F72" w:rsidRDefault="00F14F72" w:rsidP="00F14F72">
      <w:pPr>
        <w:spacing w:before="100" w:beforeAutospacing="1" w:after="100" w:afterAutospacing="1"/>
        <w:ind w:left="284"/>
        <w:jc w:val="both"/>
        <w:rPr>
          <w:rFonts w:ascii="Verdana" w:hAnsi="Verdana"/>
          <w:b/>
          <w:bCs/>
          <w:sz w:val="18"/>
          <w:szCs w:val="18"/>
        </w:rPr>
      </w:pPr>
      <w:r w:rsidRPr="00F14F72">
        <w:rPr>
          <w:rFonts w:ascii="Verdana" w:hAnsi="Verdana"/>
          <w:b/>
          <w:bCs/>
          <w:sz w:val="18"/>
          <w:szCs w:val="18"/>
        </w:rPr>
        <w:t>3. Importante cautela: la equiparación entre dependencia y discapacidad no se extiende automáticamente al ámbito tributario</w:t>
      </w:r>
    </w:p>
    <w:p w14:paraId="4401F91A" w14:textId="77777777" w:rsidR="00F14F72" w:rsidRPr="00F14F72" w:rsidRDefault="00F14F72" w:rsidP="00F14F72">
      <w:pPr>
        <w:spacing w:before="100" w:beforeAutospacing="1" w:after="100" w:afterAutospacing="1"/>
        <w:ind w:left="284"/>
        <w:jc w:val="both"/>
        <w:rPr>
          <w:rFonts w:ascii="Verdana" w:hAnsi="Verdana"/>
          <w:sz w:val="18"/>
          <w:szCs w:val="18"/>
        </w:rPr>
      </w:pPr>
      <w:r w:rsidRPr="00F14F72">
        <w:rPr>
          <w:rFonts w:ascii="Verdana" w:hAnsi="Verdana"/>
          <w:sz w:val="18"/>
          <w:szCs w:val="18"/>
        </w:rPr>
        <w:t>La Ley reconoce, a efectos de la legislación de discapacidad, una discapacidad del 33 % para las personas con dependencia de grado I y del 65 % para los grados II y III. Sin embargo, la propia norma excluye expresamente esta equiparación del ámbito tributario. Por tanto, no debe utilizarse automáticamente para aplicar beneficios fiscales del IRPF u otros impuestos.</w:t>
      </w:r>
    </w:p>
    <w:p w14:paraId="1ABE20E1" w14:textId="77777777" w:rsidR="00F14F72" w:rsidRPr="00F14F72" w:rsidRDefault="00F14F72" w:rsidP="00F14F72">
      <w:pPr>
        <w:spacing w:before="100" w:beforeAutospacing="1" w:after="100" w:afterAutospacing="1"/>
        <w:ind w:left="284"/>
        <w:jc w:val="both"/>
        <w:outlineLvl w:val="2"/>
        <w:rPr>
          <w:rFonts w:ascii="Verdana" w:hAnsi="Verdana"/>
          <w:b/>
          <w:bCs/>
          <w:sz w:val="18"/>
          <w:szCs w:val="18"/>
        </w:rPr>
      </w:pPr>
      <w:r w:rsidRPr="00F14F72">
        <w:rPr>
          <w:rFonts w:ascii="Verdana" w:hAnsi="Verdana"/>
          <w:b/>
          <w:bCs/>
          <w:sz w:val="18"/>
          <w:szCs w:val="18"/>
        </w:rPr>
        <w:t>Otras medidas de interés</w:t>
      </w:r>
    </w:p>
    <w:p w14:paraId="0B0027B1" w14:textId="77777777" w:rsidR="00F14F72" w:rsidRPr="00F14F72" w:rsidRDefault="00F14F72" w:rsidP="009E07F4">
      <w:pPr>
        <w:numPr>
          <w:ilvl w:val="0"/>
          <w:numId w:val="29"/>
        </w:numPr>
        <w:spacing w:before="100" w:beforeAutospacing="1" w:after="100" w:afterAutospacing="1"/>
        <w:ind w:left="284" w:firstLine="0"/>
        <w:jc w:val="both"/>
        <w:rPr>
          <w:rFonts w:ascii="Verdana" w:hAnsi="Verdana"/>
          <w:sz w:val="18"/>
          <w:szCs w:val="18"/>
        </w:rPr>
      </w:pPr>
      <w:r w:rsidRPr="00F14F72">
        <w:rPr>
          <w:rFonts w:ascii="Verdana" w:hAnsi="Verdana"/>
          <w:sz w:val="18"/>
          <w:szCs w:val="18"/>
        </w:rPr>
        <w:t>Ayudas de emergencia social: quedan excluidas del ámbito de aplicación de la Ley General de Subvenciones las ayudas económicas de emergencia o urgencia social destinadas a cubrir necesidades básicas, cuando sean gestionadas por los servicios sociales competentes.</w:t>
      </w:r>
    </w:p>
    <w:p w14:paraId="1FFF5D83" w14:textId="77777777" w:rsidR="00F14F72" w:rsidRPr="00F14F72" w:rsidRDefault="00F14F72" w:rsidP="009E07F4">
      <w:pPr>
        <w:numPr>
          <w:ilvl w:val="0"/>
          <w:numId w:val="29"/>
        </w:numPr>
        <w:spacing w:before="100" w:beforeAutospacing="1" w:after="100" w:afterAutospacing="1"/>
        <w:ind w:left="284" w:firstLine="0"/>
        <w:jc w:val="both"/>
        <w:rPr>
          <w:rFonts w:ascii="Verdana" w:hAnsi="Verdana"/>
          <w:sz w:val="18"/>
          <w:szCs w:val="18"/>
        </w:rPr>
      </w:pPr>
      <w:r w:rsidRPr="00F14F72">
        <w:rPr>
          <w:rFonts w:ascii="Verdana" w:hAnsi="Verdana"/>
          <w:sz w:val="18"/>
          <w:szCs w:val="18"/>
        </w:rPr>
        <w:t>Accesibilidad universal: se refuerzan las obligaciones de accesibilidad y se prevé un programa estatal para financiar actuaciones en entornos y servicios públicos.</w:t>
      </w:r>
    </w:p>
    <w:p w14:paraId="22B32483" w14:textId="77777777" w:rsidR="00F14F72" w:rsidRPr="00F14F72" w:rsidRDefault="00F14F72" w:rsidP="009E07F4">
      <w:pPr>
        <w:numPr>
          <w:ilvl w:val="0"/>
          <w:numId w:val="29"/>
        </w:numPr>
        <w:spacing w:before="100" w:beforeAutospacing="1" w:after="100" w:afterAutospacing="1"/>
        <w:ind w:left="284" w:firstLine="0"/>
        <w:jc w:val="both"/>
        <w:rPr>
          <w:rFonts w:ascii="Verdana" w:hAnsi="Verdana"/>
          <w:sz w:val="18"/>
          <w:szCs w:val="18"/>
        </w:rPr>
      </w:pPr>
      <w:r w:rsidRPr="00F14F72">
        <w:rPr>
          <w:rFonts w:ascii="Verdana" w:hAnsi="Verdana"/>
          <w:sz w:val="18"/>
          <w:szCs w:val="18"/>
        </w:rPr>
        <w:t>Entrada en vigor: la ley establece su entrada en vigor a los veinte días de su publicación en el BOE.</w:t>
      </w:r>
    </w:p>
    <w:p w14:paraId="4D8C78BA" w14:textId="77777777" w:rsidR="00F14F72" w:rsidRPr="00F14F72" w:rsidRDefault="00F14F72" w:rsidP="00F14F72">
      <w:pPr>
        <w:spacing w:before="100" w:beforeAutospacing="1" w:after="100" w:afterAutospacing="1"/>
        <w:ind w:left="284"/>
        <w:jc w:val="both"/>
        <w:outlineLvl w:val="2"/>
        <w:rPr>
          <w:rFonts w:ascii="Verdana" w:hAnsi="Verdana"/>
          <w:b/>
          <w:bCs/>
          <w:sz w:val="18"/>
          <w:szCs w:val="18"/>
        </w:rPr>
      </w:pPr>
      <w:r w:rsidRPr="00F14F72">
        <w:rPr>
          <w:rFonts w:ascii="Verdana" w:hAnsi="Verdana"/>
          <w:b/>
          <w:bCs/>
          <w:sz w:val="18"/>
          <w:szCs w:val="18"/>
        </w:rPr>
        <w:t>Valoración práctica</w:t>
      </w:r>
    </w:p>
    <w:p w14:paraId="210047D2" w14:textId="77777777" w:rsidR="00F14F72" w:rsidRDefault="00F14F72" w:rsidP="00C37053">
      <w:pPr>
        <w:spacing w:before="100" w:beforeAutospacing="1" w:after="100" w:afterAutospacing="1"/>
        <w:ind w:left="284"/>
        <w:contextualSpacing/>
        <w:jc w:val="both"/>
        <w:rPr>
          <w:rFonts w:ascii="Verdana" w:hAnsi="Verdana"/>
          <w:sz w:val="18"/>
          <w:szCs w:val="18"/>
        </w:rPr>
      </w:pPr>
      <w:r w:rsidRPr="00F14F72">
        <w:rPr>
          <w:rFonts w:ascii="Verdana" w:hAnsi="Verdana"/>
          <w:sz w:val="18"/>
          <w:szCs w:val="18"/>
        </w:rPr>
        <w:t xml:space="preserve">La principal novedad fiscal para contribuyentes y asesores es </w:t>
      </w:r>
      <w:r w:rsidRPr="00F14F72">
        <w:rPr>
          <w:rFonts w:ascii="Verdana" w:hAnsi="Verdana"/>
          <w:b/>
          <w:bCs/>
          <w:sz w:val="18"/>
          <w:szCs w:val="18"/>
        </w:rPr>
        <w:t>la ampliación expresa de las prestaciones públicas exentas en el IRPF vinculadas a los cuidados y apoyos a personas en situación de dependencia</w:t>
      </w:r>
      <w:r w:rsidRPr="00F14F72">
        <w:rPr>
          <w:rFonts w:ascii="Verdana" w:hAnsi="Verdana"/>
          <w:sz w:val="18"/>
          <w:szCs w:val="18"/>
        </w:rPr>
        <w:t>. Por su parte, las entidades deportivas sin ánimo de lucro deberán revisar los requisitos de contratación y cotización para aplicar correctamente la bonificación del 100 %.</w:t>
      </w:r>
    </w:p>
    <w:p w14:paraId="22D00B5F" w14:textId="77777777" w:rsidR="00C37053" w:rsidRDefault="00C37053" w:rsidP="00C37053">
      <w:pPr>
        <w:spacing w:before="100" w:beforeAutospacing="1" w:after="100" w:afterAutospacing="1"/>
        <w:ind w:left="284"/>
        <w:contextualSpacing/>
        <w:jc w:val="both"/>
        <w:rPr>
          <w:rFonts w:ascii="Verdana" w:hAnsi="Verdana"/>
          <w:sz w:val="18"/>
          <w:szCs w:val="18"/>
        </w:rPr>
      </w:pPr>
    </w:p>
    <w:p w14:paraId="22510B50" w14:textId="77777777" w:rsidR="00C37053" w:rsidRDefault="00C37053" w:rsidP="00C37053">
      <w:pPr>
        <w:spacing w:before="100" w:beforeAutospacing="1" w:after="100" w:afterAutospacing="1"/>
        <w:ind w:left="284"/>
        <w:contextualSpacing/>
        <w:jc w:val="both"/>
        <w:rPr>
          <w:rFonts w:ascii="Verdana" w:hAnsi="Verdana"/>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0A3FDB" w:rsidRPr="000A3FDB" w14:paraId="71ACFB2F" w14:textId="77777777" w:rsidTr="00372826">
        <w:tc>
          <w:tcPr>
            <w:tcW w:w="180" w:type="dxa"/>
            <w:shd w:val="clear" w:color="auto" w:fill="FF6600"/>
          </w:tcPr>
          <w:p w14:paraId="1A2BC0B3" w14:textId="77777777" w:rsidR="000A3FDB" w:rsidRPr="000A3FDB" w:rsidRDefault="000A3FDB" w:rsidP="00C37053">
            <w:pPr>
              <w:contextualSpacing/>
              <w:rPr>
                <w:rFonts w:ascii="Verdana" w:hAnsi="Verdana"/>
                <w:b/>
                <w:bCs/>
                <w:color w:val="800000"/>
                <w:sz w:val="18"/>
                <w:szCs w:val="18"/>
              </w:rPr>
            </w:pPr>
          </w:p>
        </w:tc>
        <w:tc>
          <w:tcPr>
            <w:tcW w:w="8460" w:type="dxa"/>
          </w:tcPr>
          <w:p w14:paraId="1B8C5531" w14:textId="77777777" w:rsidR="000A3FDB" w:rsidRPr="000A3FDB" w:rsidRDefault="000A3FDB" w:rsidP="00C37053">
            <w:pPr>
              <w:numPr>
                <w:ilvl w:val="0"/>
                <w:numId w:val="1"/>
              </w:numPr>
              <w:tabs>
                <w:tab w:val="clear" w:pos="928"/>
                <w:tab w:val="num" w:pos="320"/>
              </w:tabs>
              <w:ind w:left="317" w:hanging="280"/>
              <w:contextualSpacing/>
              <w:jc w:val="both"/>
              <w:rPr>
                <w:rFonts w:ascii="Verdana" w:hAnsi="Verdana"/>
                <w:b/>
                <w:bCs/>
                <w:color w:val="800000"/>
                <w:sz w:val="18"/>
                <w:szCs w:val="18"/>
              </w:rPr>
            </w:pPr>
            <w:r w:rsidRPr="000A3FDB">
              <w:rPr>
                <w:rFonts w:ascii="Verdana" w:hAnsi="Verdana"/>
                <w:b/>
                <w:bCs/>
                <w:color w:val="800000"/>
                <w:sz w:val="18"/>
                <w:szCs w:val="18"/>
              </w:rPr>
              <w:t>SE APRUEBAN POR SEGUNDA VEZ LAS MEDIDAS TRIBUTARIAS RELATIVAS AL ALQUILER RESIDENCIAL Y VIVIENDA ASEQUIBLE: MODIFICACIONES EN IRPF, IVA, IBI, IS Y PLUSVALÍA MUNICIPAL</w:t>
            </w:r>
          </w:p>
        </w:tc>
      </w:tr>
    </w:tbl>
    <w:p w14:paraId="142D37BB" w14:textId="77777777" w:rsid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El Real Decreto-ley 29/2026, de 6 de octubre, introduce importantes modificaciones tributarias destinadas a incentivar el alquiler residencial, ampliar la oferta de vivienda asequible y modificar la fiscalidad de determinadas operaciones inmobiliarias. Las medidas afectan principalmente al IRPF, IVA, IBI, Impuesto sobre Sociedades e IIVTNU.</w:t>
      </w:r>
    </w:p>
    <w:p w14:paraId="25BFCBF0" w14:textId="77777777" w:rsidR="008C4D3E" w:rsidRDefault="008C4D3E" w:rsidP="008C4D3E">
      <w:pPr>
        <w:spacing w:before="100" w:beforeAutospacing="1" w:after="100" w:afterAutospacing="1"/>
        <w:ind w:left="284"/>
        <w:jc w:val="both"/>
        <w:rPr>
          <w:rFonts w:ascii="Verdana" w:hAnsi="Verdana"/>
          <w:sz w:val="18"/>
          <w:szCs w:val="18"/>
        </w:rPr>
      </w:pPr>
      <w:r w:rsidRPr="00473CE1">
        <w:rPr>
          <w:rFonts w:ascii="Verdana" w:hAnsi="Verdana"/>
          <w:b/>
          <w:bCs/>
          <w:sz w:val="18"/>
          <w:szCs w:val="18"/>
        </w:rPr>
        <w:t xml:space="preserve">Dicho </w:t>
      </w:r>
      <w:r w:rsidRPr="008C4D3E">
        <w:rPr>
          <w:rFonts w:ascii="Verdana" w:hAnsi="Verdana"/>
          <w:b/>
          <w:bCs/>
          <w:sz w:val="18"/>
          <w:szCs w:val="18"/>
        </w:rPr>
        <w:t>Real Decreto-ley debe ser convalidado</w:t>
      </w:r>
      <w:r w:rsidRPr="008C4D3E">
        <w:rPr>
          <w:rFonts w:ascii="Verdana" w:hAnsi="Verdana"/>
          <w:sz w:val="18"/>
          <w:szCs w:val="18"/>
        </w:rPr>
        <w:t xml:space="preserve"> por la Diputación Permanente para mantener las medidas.  </w:t>
      </w:r>
    </w:p>
    <w:p w14:paraId="49FF8935" w14:textId="77777777" w:rsidR="008C4D3E" w:rsidRPr="008C4D3E" w:rsidRDefault="008C4D3E"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PRINCIPALES NOVEDADES FISCALES</w:t>
      </w:r>
    </w:p>
    <w:p w14:paraId="6B3F99FB" w14:textId="77777777" w:rsidR="008C4D3E" w:rsidRPr="008C4D3E" w:rsidRDefault="008C4D3E"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1. IRPF: incentivos al alquiler de vivienda habitual</w:t>
      </w:r>
    </w:p>
    <w:p w14:paraId="02032953"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 xml:space="preserve">Se establece un nuevo </w:t>
      </w:r>
      <w:r w:rsidRPr="008C4D3E">
        <w:rPr>
          <w:rFonts w:ascii="Verdana" w:hAnsi="Verdana"/>
          <w:b/>
          <w:bCs/>
          <w:sz w:val="18"/>
          <w:szCs w:val="18"/>
        </w:rPr>
        <w:t>régimen de reducciones sobre los rendimientos netos positivos del arrendamiento</w:t>
      </w:r>
      <w:r w:rsidRPr="008C4D3E">
        <w:rPr>
          <w:rFonts w:ascii="Verdana" w:hAnsi="Verdana"/>
          <w:sz w:val="18"/>
          <w:szCs w:val="18"/>
        </w:rPr>
        <w:t>, con porcentajes que pueden alcanzar el 100 %, en función de circunstancias como la reducción de la renta, la ubicación en zonas tensionadas, la edad de los arrendatarios o la aplicación de índices de referencia. También se prevén incentivos para viviendas rehabilitadas, alquiler social y viviendas arrendadas por primera vez.</w:t>
      </w:r>
    </w:p>
    <w:p w14:paraId="4E55016F"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 xml:space="preserve">Asimismo, se introduce una deducción estatal del 10 % por alquiler de vivienda habitual para contribuyentes </w:t>
      </w:r>
      <w:r w:rsidRPr="008C4D3E">
        <w:rPr>
          <w:rFonts w:ascii="Verdana" w:hAnsi="Verdana"/>
          <w:b/>
          <w:bCs/>
          <w:sz w:val="18"/>
          <w:szCs w:val="18"/>
        </w:rPr>
        <w:t>con una base imponible inferior a 33.007,20 euros</w:t>
      </w:r>
      <w:r w:rsidRPr="008C4D3E">
        <w:rPr>
          <w:rFonts w:ascii="Verdana" w:hAnsi="Verdana"/>
          <w:sz w:val="18"/>
          <w:szCs w:val="18"/>
        </w:rPr>
        <w:t xml:space="preserve">, con límites y reducción progresiva de la base máxima de deducción. </w:t>
      </w:r>
    </w:p>
    <w:p w14:paraId="2E24E694" w14:textId="77777777" w:rsidR="008C4D3E" w:rsidRPr="008C4D3E" w:rsidRDefault="008C4D3E"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2. EXENCIÓN DE GANANCIAS PATRIMONIALES POR TRANSMISIÓN DE VIVIENDAS</w:t>
      </w:r>
    </w:p>
    <w:p w14:paraId="58AE91C8"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lastRenderedPageBreak/>
        <w:t xml:space="preserve">Se contempla, </w:t>
      </w:r>
      <w:r w:rsidRPr="008C4D3E">
        <w:rPr>
          <w:rFonts w:ascii="Verdana" w:hAnsi="Verdana"/>
          <w:b/>
          <w:bCs/>
          <w:sz w:val="18"/>
          <w:szCs w:val="18"/>
        </w:rPr>
        <w:t>hasta el 31 de diciembre de 2027</w:t>
      </w:r>
      <w:r w:rsidRPr="008C4D3E">
        <w:rPr>
          <w:rFonts w:ascii="Verdana" w:hAnsi="Verdana"/>
          <w:sz w:val="18"/>
          <w:szCs w:val="18"/>
        </w:rPr>
        <w:t xml:space="preserve">, una exención para determinadas ganancias derivadas de la transmisión de viviendas a entidades del sector público dedicadas a promover o gestionar vivienda social y asequible. Entre los requisitos figuran un valor de transmisión inferior a 800.000 euros y que la vivienda haya permanecido desocupada durante los dos años anteriores. La exención es total hasta 200.000 euros y decreciente hasta el límite indicado. </w:t>
      </w:r>
    </w:p>
    <w:p w14:paraId="3C1B9394" w14:textId="77777777" w:rsidR="008C4D3E" w:rsidRPr="008C4D3E" w:rsidRDefault="00C37053"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3. NUEVOS INSTRUMENTOS DE AHORRO E INVERSIÓN</w:t>
      </w:r>
    </w:p>
    <w:p w14:paraId="08F95A27"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 xml:space="preserve">Se crean la </w:t>
      </w:r>
      <w:r w:rsidRPr="008C4D3E">
        <w:rPr>
          <w:rFonts w:ascii="Verdana" w:hAnsi="Verdana"/>
          <w:i/>
          <w:iCs/>
          <w:sz w:val="18"/>
          <w:szCs w:val="18"/>
          <w:u w:val="single"/>
        </w:rPr>
        <w:t>Cuenta de Ahorro e Inversión Financia Europa</w:t>
      </w:r>
      <w:r w:rsidRPr="008C4D3E">
        <w:rPr>
          <w:rFonts w:ascii="Verdana" w:hAnsi="Verdana"/>
          <w:sz w:val="18"/>
          <w:szCs w:val="18"/>
          <w:u w:val="single"/>
        </w:rPr>
        <w:t xml:space="preserve"> </w:t>
      </w:r>
      <w:r w:rsidRPr="008C4D3E">
        <w:rPr>
          <w:rFonts w:ascii="Verdana" w:hAnsi="Verdana"/>
          <w:sz w:val="18"/>
          <w:szCs w:val="18"/>
        </w:rPr>
        <w:t xml:space="preserve">y el </w:t>
      </w:r>
      <w:r w:rsidRPr="008C4D3E">
        <w:rPr>
          <w:rFonts w:ascii="Verdana" w:hAnsi="Verdana"/>
          <w:i/>
          <w:iCs/>
          <w:sz w:val="18"/>
          <w:szCs w:val="18"/>
          <w:u w:val="single"/>
        </w:rPr>
        <w:t>Seguro Individual de Ahorro a Largo Plazo Financia Europa</w:t>
      </w:r>
      <w:r w:rsidRPr="008C4D3E">
        <w:rPr>
          <w:rFonts w:ascii="Verdana" w:hAnsi="Verdana"/>
          <w:sz w:val="18"/>
          <w:szCs w:val="18"/>
        </w:rPr>
        <w:t xml:space="preserve">, con incentivos fiscales y condiciones específicas de permanencia, aportaciones y tributación. También se establece una modalidad vinculada a la reinversión de determinadas ganancias procedentes de transmisiones de viviendas. </w:t>
      </w:r>
    </w:p>
    <w:p w14:paraId="61044549" w14:textId="77777777" w:rsidR="008C4D3E" w:rsidRPr="008C4D3E" w:rsidRDefault="00C37053"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4. IVA: ALQUILERES, REHABILITACIÓN Y VIVIENDA PROTEGIDA</w:t>
      </w:r>
    </w:p>
    <w:p w14:paraId="7BE2E76B" w14:textId="36B43251"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Desde el 1 de diciembre de 2026, determinados arrendamientos de apartamentos o viviendas amueblados,</w:t>
      </w:r>
      <w:r w:rsidR="00802A44">
        <w:rPr>
          <w:rFonts w:ascii="Verdana" w:hAnsi="Verdana"/>
          <w:sz w:val="18"/>
          <w:szCs w:val="18"/>
        </w:rPr>
        <w:t xml:space="preserve"> cuya duración para un mismo arrendatario no supere las 30 </w:t>
      </w:r>
      <w:r w:rsidR="008B2CDC">
        <w:rPr>
          <w:rFonts w:ascii="Verdana" w:hAnsi="Verdana"/>
          <w:sz w:val="18"/>
          <w:szCs w:val="18"/>
        </w:rPr>
        <w:t>noches,</w:t>
      </w:r>
      <w:r w:rsidR="008B2CDC" w:rsidRPr="008C4D3E">
        <w:rPr>
          <w:rFonts w:ascii="Verdana" w:hAnsi="Verdana"/>
          <w:sz w:val="18"/>
          <w:szCs w:val="18"/>
        </w:rPr>
        <w:t xml:space="preserve"> pasarán</w:t>
      </w:r>
      <w:r w:rsidRPr="008C4D3E">
        <w:rPr>
          <w:rFonts w:ascii="Verdana" w:hAnsi="Verdana"/>
          <w:b/>
          <w:bCs/>
          <w:sz w:val="18"/>
          <w:szCs w:val="18"/>
        </w:rPr>
        <w:t xml:space="preserve"> a tributar al tipo reducido del 10 % cuando concurran las condiciones legales</w:t>
      </w:r>
      <w:r w:rsidRPr="008C4D3E">
        <w:rPr>
          <w:rFonts w:ascii="Verdana" w:hAnsi="Verdana"/>
          <w:sz w:val="18"/>
          <w:szCs w:val="18"/>
        </w:rPr>
        <w:t>.</w:t>
      </w:r>
    </w:p>
    <w:p w14:paraId="4AD4F546"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 xml:space="preserve">Además, se amplía la aplicación del tipo reducido a determinadas obras de renovación y reparación de viviendas destinadas al alquiler habitual y se incorpora al tipo superreducido la entrega de determinadas viviendas protegidas de calificación permanente o indefinida. </w:t>
      </w:r>
    </w:p>
    <w:p w14:paraId="66D24C94" w14:textId="77777777" w:rsidR="008C4D3E" w:rsidRPr="008C4D3E" w:rsidRDefault="00C37053"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5. IBI: RECARGOS SOBRE ALOJAMIENTOS TURÍSTICOS</w:t>
      </w:r>
    </w:p>
    <w:p w14:paraId="2CD0B4EA"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 xml:space="preserve">Los ayuntamientos de municipios situados en zonas de mercado residencial tensionado podrán establecer, mediante ordenanza fiscal, </w:t>
      </w:r>
      <w:r w:rsidRPr="008C4D3E">
        <w:rPr>
          <w:rFonts w:ascii="Verdana" w:hAnsi="Verdana"/>
          <w:b/>
          <w:bCs/>
          <w:sz w:val="18"/>
          <w:szCs w:val="18"/>
        </w:rPr>
        <w:t>recargos de hasta el 50 % de la cuota líquida del IBI</w:t>
      </w:r>
      <w:r w:rsidRPr="008C4D3E">
        <w:rPr>
          <w:rFonts w:ascii="Verdana" w:hAnsi="Verdana"/>
          <w:sz w:val="18"/>
          <w:szCs w:val="18"/>
        </w:rPr>
        <w:t xml:space="preserve"> sobre inmuebles residenciales destinados a alojamientos turísticos. El recargo podrá elevarse </w:t>
      </w:r>
      <w:r w:rsidRPr="008C4D3E">
        <w:rPr>
          <w:rFonts w:ascii="Verdana" w:hAnsi="Verdana"/>
          <w:b/>
          <w:bCs/>
          <w:sz w:val="18"/>
          <w:szCs w:val="18"/>
        </w:rPr>
        <w:t>al 100 % cuando el titular tenga dos o más inmuebles destinados a este uso y al 150 % cuando tenga cuatro o más</w:t>
      </w:r>
      <w:r w:rsidRPr="008C4D3E">
        <w:rPr>
          <w:rFonts w:ascii="Verdana" w:hAnsi="Verdana"/>
          <w:sz w:val="18"/>
          <w:szCs w:val="18"/>
        </w:rPr>
        <w:t xml:space="preserve">. </w:t>
      </w:r>
    </w:p>
    <w:p w14:paraId="5DB9451B" w14:textId="77777777" w:rsidR="008C4D3E" w:rsidRPr="008C4D3E" w:rsidRDefault="00C37053"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6. IMPUESTO SOBRE SOCIEDADES: RÉGIMEN DE LAS SOCIMI</w:t>
      </w:r>
    </w:p>
    <w:p w14:paraId="279CFD51"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 xml:space="preserve">Se establece un </w:t>
      </w:r>
      <w:r w:rsidRPr="008C4D3E">
        <w:rPr>
          <w:rFonts w:ascii="Verdana" w:hAnsi="Verdana"/>
          <w:b/>
          <w:bCs/>
          <w:sz w:val="18"/>
          <w:szCs w:val="18"/>
        </w:rPr>
        <w:t>gravamen especial del 25 % sobre determinados beneficios no distribuidos procedentes del arrendamiento o cesión de uso residencial</w:t>
      </w:r>
      <w:r w:rsidRPr="008C4D3E">
        <w:rPr>
          <w:rFonts w:ascii="Verdana" w:hAnsi="Verdana"/>
          <w:sz w:val="18"/>
          <w:szCs w:val="18"/>
        </w:rPr>
        <w:t xml:space="preserve">, incluidos alojamientos turísticos y de corta duración, cuando concurran los requisitos previstos. Se contemplan reducciones del gravamen vinculadas al porcentaje de viviendas asequibles y a la reinversión de los beneficios en este tipo de viviendas. </w:t>
      </w:r>
    </w:p>
    <w:p w14:paraId="4CAEE477" w14:textId="77777777" w:rsidR="008C4D3E" w:rsidRPr="008C4D3E" w:rsidRDefault="00C37053" w:rsidP="008C4D3E">
      <w:pPr>
        <w:spacing w:before="100" w:beforeAutospacing="1" w:after="100" w:afterAutospacing="1"/>
        <w:ind w:left="284"/>
        <w:jc w:val="both"/>
        <w:rPr>
          <w:rFonts w:ascii="Verdana" w:hAnsi="Verdana"/>
          <w:b/>
          <w:bCs/>
          <w:sz w:val="18"/>
          <w:szCs w:val="18"/>
        </w:rPr>
      </w:pPr>
      <w:r w:rsidRPr="008C4D3E">
        <w:rPr>
          <w:rFonts w:ascii="Verdana" w:hAnsi="Verdana"/>
          <w:b/>
          <w:bCs/>
          <w:sz w:val="18"/>
          <w:szCs w:val="18"/>
        </w:rPr>
        <w:t>7. PLUSVALÍA MUNICIPAL (IIVTNU)</w:t>
      </w:r>
    </w:p>
    <w:p w14:paraId="6C7F937A" w14:textId="77777777" w:rsidR="008C4D3E" w:rsidRPr="008C4D3E" w:rsidRDefault="008C4D3E" w:rsidP="008C4D3E">
      <w:pPr>
        <w:spacing w:before="100" w:beforeAutospacing="1" w:after="100" w:afterAutospacing="1"/>
        <w:ind w:left="284"/>
        <w:jc w:val="both"/>
        <w:rPr>
          <w:rFonts w:ascii="Verdana" w:hAnsi="Verdana"/>
          <w:sz w:val="18"/>
          <w:szCs w:val="18"/>
        </w:rPr>
      </w:pPr>
      <w:r w:rsidRPr="008C4D3E">
        <w:rPr>
          <w:rFonts w:ascii="Verdana" w:hAnsi="Verdana"/>
          <w:sz w:val="18"/>
          <w:szCs w:val="18"/>
        </w:rPr>
        <w:t xml:space="preserve">Se modifican los </w:t>
      </w:r>
      <w:r w:rsidRPr="008C4D3E">
        <w:rPr>
          <w:rFonts w:ascii="Verdana" w:hAnsi="Verdana"/>
          <w:b/>
          <w:bCs/>
          <w:sz w:val="18"/>
          <w:szCs w:val="18"/>
        </w:rPr>
        <w:t>coeficientes máximos aplicables al valor del terreno</w:t>
      </w:r>
      <w:r w:rsidRPr="008C4D3E">
        <w:rPr>
          <w:rFonts w:ascii="Verdana" w:hAnsi="Verdana"/>
          <w:sz w:val="18"/>
          <w:szCs w:val="18"/>
        </w:rPr>
        <w:t xml:space="preserve"> para determinar la base imponible del impuesto, estableciendo una nueva escala en función del período de generación de la plusvalía. </w:t>
      </w:r>
    </w:p>
    <w:p w14:paraId="75499EE3" w14:textId="77777777" w:rsidR="008C4D3E" w:rsidRDefault="00C37053" w:rsidP="00473CE1">
      <w:pPr>
        <w:spacing w:before="100" w:beforeAutospacing="1" w:after="100" w:afterAutospacing="1"/>
        <w:ind w:left="284"/>
        <w:contextualSpacing/>
        <w:jc w:val="both"/>
        <w:rPr>
          <w:rFonts w:ascii="Verdana" w:hAnsi="Verdana"/>
          <w:b/>
          <w:bCs/>
          <w:sz w:val="18"/>
          <w:szCs w:val="18"/>
        </w:rPr>
      </w:pPr>
      <w:r w:rsidRPr="00C37053">
        <w:rPr>
          <w:rFonts w:ascii="Verdana" w:hAnsi="Verdana"/>
          <w:b/>
          <w:bCs/>
          <w:sz w:val="18"/>
          <w:szCs w:val="18"/>
        </w:rPr>
        <w:t>CONSIDERACIÓN PRÁCTICA</w:t>
      </w:r>
    </w:p>
    <w:p w14:paraId="24615624" w14:textId="77777777" w:rsidR="00473CE1" w:rsidRPr="008C4D3E" w:rsidRDefault="00473CE1" w:rsidP="00473CE1">
      <w:pPr>
        <w:spacing w:before="100" w:beforeAutospacing="1" w:after="100" w:afterAutospacing="1"/>
        <w:ind w:left="284"/>
        <w:contextualSpacing/>
        <w:jc w:val="both"/>
        <w:rPr>
          <w:rFonts w:ascii="Verdana" w:hAnsi="Verdana"/>
          <w:b/>
          <w:bCs/>
          <w:sz w:val="18"/>
          <w:szCs w:val="18"/>
        </w:rPr>
      </w:pPr>
    </w:p>
    <w:p w14:paraId="4532574E" w14:textId="77777777" w:rsidR="008C4D3E" w:rsidRDefault="008C4D3E" w:rsidP="00473CE1">
      <w:pPr>
        <w:spacing w:before="100" w:beforeAutospacing="1" w:after="100" w:afterAutospacing="1"/>
        <w:ind w:left="284"/>
        <w:contextualSpacing/>
        <w:jc w:val="both"/>
        <w:rPr>
          <w:rFonts w:ascii="Verdana" w:hAnsi="Verdana"/>
          <w:sz w:val="18"/>
          <w:szCs w:val="18"/>
        </w:rPr>
      </w:pPr>
      <w:r w:rsidRPr="008C4D3E">
        <w:rPr>
          <w:rFonts w:ascii="Verdana" w:hAnsi="Verdana"/>
          <w:sz w:val="18"/>
          <w:szCs w:val="18"/>
        </w:rPr>
        <w:t>La norma introduce incentivos relevantes para propietarios y arrendadores, pero también puede incrementar la carga fiscal de determinados alojamientos turísticos y modificar la tributación de las operaciones inmobiliarias. Resultará esencial comprobar los requisitos específicos de cada beneficio fiscal, las ordenanzas municipales aplicables y las fechas de entrada en vigor.</w:t>
      </w:r>
    </w:p>
    <w:p w14:paraId="374C15F7" w14:textId="77777777" w:rsidR="00473CE1" w:rsidRDefault="00473CE1" w:rsidP="00473CE1">
      <w:pPr>
        <w:spacing w:before="100" w:beforeAutospacing="1" w:after="100" w:afterAutospacing="1"/>
        <w:ind w:left="284"/>
        <w:contextualSpacing/>
        <w:jc w:val="both"/>
        <w:rPr>
          <w:rFonts w:ascii="Verdana" w:hAnsi="Verdana"/>
          <w:sz w:val="18"/>
          <w:szCs w:val="18"/>
        </w:rPr>
      </w:pPr>
    </w:p>
    <w:p w14:paraId="73B96663" w14:textId="77777777" w:rsidR="008B2CDC" w:rsidRDefault="008B2CDC" w:rsidP="00473CE1">
      <w:pPr>
        <w:spacing w:before="100" w:beforeAutospacing="1" w:after="100" w:afterAutospacing="1"/>
        <w:ind w:left="284"/>
        <w:contextualSpacing/>
        <w:jc w:val="both"/>
        <w:rPr>
          <w:rFonts w:ascii="Verdana" w:hAnsi="Verdana"/>
          <w:sz w:val="18"/>
          <w:szCs w:val="18"/>
        </w:rPr>
      </w:pPr>
    </w:p>
    <w:p w14:paraId="6DE70AF3" w14:textId="77777777" w:rsidR="008B2CDC" w:rsidRDefault="008B2CDC" w:rsidP="00473CE1">
      <w:pPr>
        <w:spacing w:before="100" w:beforeAutospacing="1" w:after="100" w:afterAutospacing="1"/>
        <w:ind w:left="284"/>
        <w:contextualSpacing/>
        <w:jc w:val="both"/>
        <w:rPr>
          <w:rFonts w:ascii="Verdana" w:hAnsi="Verdana"/>
          <w:sz w:val="18"/>
          <w:szCs w:val="18"/>
        </w:rPr>
      </w:pPr>
    </w:p>
    <w:p w14:paraId="7CF37B45" w14:textId="77777777" w:rsidR="00473CE1" w:rsidRPr="008C4D3E" w:rsidRDefault="00473CE1" w:rsidP="00473CE1">
      <w:pPr>
        <w:spacing w:before="100" w:beforeAutospacing="1" w:after="100" w:afterAutospacing="1"/>
        <w:ind w:left="284"/>
        <w:contextualSpacing/>
        <w:jc w:val="both"/>
        <w:rPr>
          <w:rFonts w:ascii="Verdana" w:hAnsi="Verdana"/>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223A80" w:rsidRPr="00223A80" w14:paraId="1B0EBB46" w14:textId="77777777" w:rsidTr="00B93EF9">
        <w:tc>
          <w:tcPr>
            <w:tcW w:w="180" w:type="dxa"/>
            <w:shd w:val="clear" w:color="auto" w:fill="FF6600"/>
          </w:tcPr>
          <w:p w14:paraId="23CCFE67" w14:textId="77777777" w:rsidR="00223A80" w:rsidRPr="00223A80" w:rsidRDefault="00223A80" w:rsidP="00B93EF9">
            <w:pPr>
              <w:rPr>
                <w:rFonts w:ascii="Verdana" w:hAnsi="Verdana"/>
                <w:b/>
                <w:bCs/>
                <w:color w:val="800000"/>
                <w:sz w:val="18"/>
                <w:szCs w:val="18"/>
              </w:rPr>
            </w:pPr>
            <w:bookmarkStart w:id="4" w:name="_Hlk243491705"/>
          </w:p>
        </w:tc>
        <w:tc>
          <w:tcPr>
            <w:tcW w:w="8460" w:type="dxa"/>
          </w:tcPr>
          <w:p w14:paraId="0A488479" w14:textId="77777777" w:rsidR="00223A80" w:rsidRPr="00223A80" w:rsidRDefault="00223A80" w:rsidP="00B93EF9">
            <w:pPr>
              <w:numPr>
                <w:ilvl w:val="0"/>
                <w:numId w:val="1"/>
              </w:numPr>
              <w:tabs>
                <w:tab w:val="clear" w:pos="928"/>
                <w:tab w:val="num" w:pos="320"/>
              </w:tabs>
              <w:ind w:left="317" w:hanging="280"/>
              <w:jc w:val="both"/>
              <w:rPr>
                <w:rFonts w:ascii="Verdana" w:hAnsi="Verdana"/>
                <w:b/>
                <w:bCs/>
                <w:color w:val="800000"/>
                <w:sz w:val="18"/>
                <w:szCs w:val="18"/>
              </w:rPr>
            </w:pPr>
            <w:r w:rsidRPr="00223A80">
              <w:rPr>
                <w:rFonts w:ascii="Verdana" w:hAnsi="Verdana"/>
                <w:b/>
                <w:bCs/>
                <w:color w:val="800000"/>
                <w:sz w:val="18"/>
                <w:szCs w:val="18"/>
              </w:rPr>
              <w:t>IS.- LOS RENDIMIENTOS DE LAS CUENTAS EN PARTICIPACIÓN NO PUEDEN ACOGERSE A LA EXENCIÓN DE DIVIDENDOS DEL ARTÍCULO 21 DE LA LIS</w:t>
            </w:r>
          </w:p>
        </w:tc>
      </w:tr>
    </w:tbl>
    <w:bookmarkEnd w:id="4"/>
    <w:p w14:paraId="1F333171" w14:textId="2EF169FB" w:rsidR="00223A80" w:rsidRPr="00223A80" w:rsidRDefault="00223A80" w:rsidP="00223A80">
      <w:pPr>
        <w:spacing w:before="100" w:beforeAutospacing="1" w:after="100" w:afterAutospacing="1"/>
        <w:ind w:left="284"/>
        <w:jc w:val="both"/>
        <w:rPr>
          <w:rFonts w:ascii="Verdana" w:hAnsi="Verdana"/>
          <w:sz w:val="18"/>
          <w:szCs w:val="18"/>
        </w:rPr>
      </w:pPr>
      <w:r w:rsidRPr="00223A80">
        <w:rPr>
          <w:rFonts w:ascii="Verdana" w:hAnsi="Verdana"/>
          <w:sz w:val="18"/>
          <w:szCs w:val="18"/>
        </w:rPr>
        <w:t>La Dirección General de Tributos</w:t>
      </w:r>
      <w:r w:rsidR="00864B27">
        <w:rPr>
          <w:rFonts w:ascii="Verdana" w:hAnsi="Verdana"/>
          <w:sz w:val="18"/>
          <w:szCs w:val="18"/>
        </w:rPr>
        <w:t>, e</w:t>
      </w:r>
      <w:r w:rsidR="00802A44">
        <w:rPr>
          <w:rFonts w:ascii="Verdana" w:hAnsi="Verdana"/>
          <w:sz w:val="18"/>
          <w:szCs w:val="18"/>
        </w:rPr>
        <w:t>n</w:t>
      </w:r>
      <w:r w:rsidR="00864B27">
        <w:rPr>
          <w:rFonts w:ascii="Verdana" w:hAnsi="Verdana"/>
          <w:sz w:val="18"/>
          <w:szCs w:val="18"/>
        </w:rPr>
        <w:t xml:space="preserve"> su consulta vinculante </w:t>
      </w:r>
      <w:r w:rsidR="00864B27" w:rsidRPr="00223A80">
        <w:rPr>
          <w:rFonts w:ascii="Verdana" w:hAnsi="Verdana"/>
          <w:sz w:val="18"/>
          <w:szCs w:val="18"/>
        </w:rPr>
        <w:t>V5248-26, de 23 de julio de 2026</w:t>
      </w:r>
      <w:r w:rsidR="00864B27">
        <w:rPr>
          <w:rFonts w:ascii="Verdana" w:hAnsi="Verdana"/>
          <w:sz w:val="18"/>
          <w:szCs w:val="18"/>
        </w:rPr>
        <w:t xml:space="preserve">, </w:t>
      </w:r>
      <w:r w:rsidR="00864B27" w:rsidRPr="00223A80">
        <w:rPr>
          <w:rFonts w:ascii="Verdana" w:hAnsi="Verdana"/>
          <w:sz w:val="18"/>
          <w:szCs w:val="18"/>
        </w:rPr>
        <w:t>considera</w:t>
      </w:r>
      <w:r w:rsidRPr="00223A80">
        <w:rPr>
          <w:rFonts w:ascii="Verdana" w:hAnsi="Verdana"/>
          <w:sz w:val="18"/>
          <w:szCs w:val="18"/>
        </w:rPr>
        <w:t xml:space="preserve"> que los beneficios percibidos por el partícipe no gestor de un contrato de cuentas en participación tienen la naturaleza fiscal </w:t>
      </w:r>
      <w:r w:rsidRPr="00223A80">
        <w:rPr>
          <w:rFonts w:ascii="Verdana" w:hAnsi="Verdana"/>
          <w:b/>
          <w:bCs/>
          <w:sz w:val="18"/>
          <w:szCs w:val="18"/>
        </w:rPr>
        <w:t>de ingresos financieros</w:t>
      </w:r>
      <w:r w:rsidRPr="00223A80">
        <w:rPr>
          <w:rFonts w:ascii="Verdana" w:hAnsi="Verdana"/>
          <w:sz w:val="18"/>
          <w:szCs w:val="18"/>
        </w:rPr>
        <w:t>, aunque procedan económicamente de dividendos obtenidos por la entidad gestora.</w:t>
      </w:r>
    </w:p>
    <w:p w14:paraId="09FC7AB2" w14:textId="77777777" w:rsidR="00223A80" w:rsidRPr="00223A80" w:rsidRDefault="00223A80" w:rsidP="00223A80">
      <w:pPr>
        <w:spacing w:before="100" w:beforeAutospacing="1" w:after="100" w:afterAutospacing="1"/>
        <w:ind w:left="284"/>
        <w:jc w:val="both"/>
        <w:outlineLvl w:val="2"/>
        <w:rPr>
          <w:rFonts w:ascii="Verdana" w:hAnsi="Verdana"/>
          <w:b/>
          <w:bCs/>
          <w:sz w:val="18"/>
          <w:szCs w:val="18"/>
        </w:rPr>
      </w:pPr>
      <w:r w:rsidRPr="00223A80">
        <w:rPr>
          <w:rFonts w:ascii="Verdana" w:hAnsi="Verdana"/>
          <w:b/>
          <w:bCs/>
          <w:sz w:val="18"/>
          <w:szCs w:val="18"/>
        </w:rPr>
        <w:t>Resumen de la doctrina</w:t>
      </w:r>
    </w:p>
    <w:p w14:paraId="35FBAC72" w14:textId="77777777" w:rsidR="00223A80" w:rsidRPr="00223A80" w:rsidRDefault="00223A80" w:rsidP="00223A80">
      <w:pPr>
        <w:spacing w:before="100" w:beforeAutospacing="1" w:after="100" w:afterAutospacing="1"/>
        <w:ind w:left="284"/>
        <w:jc w:val="both"/>
        <w:rPr>
          <w:rFonts w:ascii="Verdana" w:hAnsi="Verdana"/>
          <w:sz w:val="18"/>
          <w:szCs w:val="18"/>
        </w:rPr>
      </w:pPr>
      <w:r w:rsidRPr="00223A80">
        <w:rPr>
          <w:rFonts w:ascii="Verdana" w:hAnsi="Verdana"/>
          <w:sz w:val="18"/>
          <w:szCs w:val="18"/>
        </w:rPr>
        <w:t>La consulta analiza el tratamiento fiscal de los rendimientos obtenidos por una sociedad que participa en determinadas inversiones mediante un contrato de cuentas en participación. La entidad gestora invierte en el capital de otras sociedades y distribuye al partícipe no gestor los resultados que le corresponden contractualmente, incluidos los derivados de dividendos percibidos.</w:t>
      </w:r>
    </w:p>
    <w:p w14:paraId="13136A95" w14:textId="77777777" w:rsidR="00223A80" w:rsidRPr="00223A80" w:rsidRDefault="00223A80" w:rsidP="00223A80">
      <w:pPr>
        <w:spacing w:before="100" w:beforeAutospacing="1" w:after="100" w:afterAutospacing="1"/>
        <w:ind w:left="284"/>
        <w:jc w:val="both"/>
        <w:rPr>
          <w:rFonts w:ascii="Verdana" w:hAnsi="Verdana"/>
          <w:sz w:val="18"/>
          <w:szCs w:val="18"/>
        </w:rPr>
      </w:pPr>
      <w:r w:rsidRPr="00223A80">
        <w:rPr>
          <w:rFonts w:ascii="Verdana" w:hAnsi="Verdana"/>
          <w:sz w:val="18"/>
          <w:szCs w:val="18"/>
        </w:rPr>
        <w:t>La cuestión consiste en determinar si estos importes pueden beneficiarse de la exención prevista en el artículo 21 de la Ley 27/2014, del Impuesto sobre Sociedades (LIS).</w:t>
      </w:r>
    </w:p>
    <w:p w14:paraId="6AEC8F72" w14:textId="77777777" w:rsidR="00223A80" w:rsidRPr="00223A80" w:rsidRDefault="00223A80" w:rsidP="00223A80">
      <w:pPr>
        <w:spacing w:before="100" w:beforeAutospacing="1" w:after="100" w:afterAutospacing="1"/>
        <w:ind w:left="284"/>
        <w:jc w:val="both"/>
        <w:rPr>
          <w:rFonts w:ascii="Verdana" w:hAnsi="Verdana"/>
          <w:sz w:val="18"/>
          <w:szCs w:val="18"/>
        </w:rPr>
      </w:pPr>
      <w:r w:rsidRPr="00223A80">
        <w:rPr>
          <w:rFonts w:ascii="Verdana" w:hAnsi="Verdana"/>
          <w:sz w:val="18"/>
          <w:szCs w:val="18"/>
        </w:rPr>
        <w:t xml:space="preserve">La DGT concluye que </w:t>
      </w:r>
      <w:r w:rsidRPr="00473CE1">
        <w:rPr>
          <w:rFonts w:ascii="Verdana" w:hAnsi="Verdana"/>
          <w:b/>
          <w:bCs/>
          <w:sz w:val="18"/>
          <w:szCs w:val="18"/>
        </w:rPr>
        <w:t>no resulta aplicable dicha exención</w:t>
      </w:r>
      <w:r w:rsidRPr="00223A80">
        <w:rPr>
          <w:rFonts w:ascii="Verdana" w:hAnsi="Verdana"/>
          <w:sz w:val="18"/>
          <w:szCs w:val="18"/>
        </w:rPr>
        <w:t>, por las siguientes razones:</w:t>
      </w:r>
    </w:p>
    <w:p w14:paraId="104806E5" w14:textId="77777777" w:rsidR="00223A80" w:rsidRDefault="00223A80" w:rsidP="009E07F4">
      <w:pPr>
        <w:numPr>
          <w:ilvl w:val="0"/>
          <w:numId w:val="31"/>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u w:val="single"/>
        </w:rPr>
        <w:t>Naturaleza del contrato</w:t>
      </w:r>
      <w:r w:rsidRPr="00223A80">
        <w:rPr>
          <w:rFonts w:ascii="Verdana" w:hAnsi="Verdana"/>
          <w:sz w:val="18"/>
          <w:szCs w:val="18"/>
        </w:rPr>
        <w:t>. Conforme a los artículos 239 y siguientes del Código de Comercio, el gestor desarrolla la actividad en nombre propio y bajo su responsabilidad, mientras que el partícipe no gestor aporta recursos y participa en los resultados, sin adquirir la condición de socio de las sociedades en las que invierte el gestor.</w:t>
      </w:r>
    </w:p>
    <w:p w14:paraId="363D4A0C" w14:textId="77777777" w:rsidR="00223A80" w:rsidRPr="00223A80" w:rsidRDefault="00223A80" w:rsidP="009E07F4">
      <w:pPr>
        <w:numPr>
          <w:ilvl w:val="0"/>
          <w:numId w:val="31"/>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u w:val="single"/>
        </w:rPr>
        <w:t>Calificación contable</w:t>
      </w:r>
      <w:r w:rsidRPr="00223A80">
        <w:rPr>
          <w:rFonts w:ascii="Verdana" w:hAnsi="Verdana"/>
          <w:sz w:val="18"/>
          <w:szCs w:val="18"/>
        </w:rPr>
        <w:t>. De acuerdo con la norma de registro y valoración 9.ª del Plan General de Contabilidad y con la Resolución del ICAC de 5 de marzo de 2019, la aportación del partícipe no gestor se reconoce como un activo financiero a coste, ajustado por los beneficios o pérdidas que le correspondan.</w:t>
      </w:r>
    </w:p>
    <w:p w14:paraId="684E7371" w14:textId="77777777" w:rsidR="00223A80" w:rsidRPr="00223A80" w:rsidRDefault="00223A80" w:rsidP="009E07F4">
      <w:pPr>
        <w:numPr>
          <w:ilvl w:val="0"/>
          <w:numId w:val="31"/>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u w:val="single"/>
        </w:rPr>
        <w:t>Calificación fiscal</w:t>
      </w:r>
      <w:r w:rsidRPr="00223A80">
        <w:rPr>
          <w:rFonts w:ascii="Verdana" w:hAnsi="Verdana"/>
          <w:sz w:val="18"/>
          <w:szCs w:val="18"/>
        </w:rPr>
        <w:t>. Las cuentas en participación constituyen una forma de financiación ajena para la entidad gestora. Por ello, los resultados positivos o negativos imputables al partícipe no gestor se califican fiscalmente como ingresos o gastos financieros.</w:t>
      </w:r>
    </w:p>
    <w:p w14:paraId="24AFA206" w14:textId="77777777" w:rsidR="00223A80" w:rsidRPr="00223A80" w:rsidRDefault="00223A80" w:rsidP="009E07F4">
      <w:pPr>
        <w:numPr>
          <w:ilvl w:val="0"/>
          <w:numId w:val="31"/>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u w:val="single"/>
        </w:rPr>
        <w:t>Exclusión de la exención</w:t>
      </w:r>
      <w:r w:rsidRPr="00223A80">
        <w:rPr>
          <w:rFonts w:ascii="Verdana" w:hAnsi="Verdana"/>
          <w:sz w:val="18"/>
          <w:szCs w:val="18"/>
        </w:rPr>
        <w:t>. Los importes percibidos por el partícipe no gestor no tienen la consideración fiscal de dividendos o participaciones en beneficios de la sociedad participada a efectos del artículo 21 de la LIS, aunque su origen económico sean los dividendos obtenidos por la entidad gestora.</w:t>
      </w:r>
    </w:p>
    <w:p w14:paraId="00E79035" w14:textId="77777777" w:rsidR="00223A80" w:rsidRPr="00223A80" w:rsidRDefault="00223A80" w:rsidP="00223A80">
      <w:pPr>
        <w:spacing w:before="100" w:beforeAutospacing="1" w:after="100" w:afterAutospacing="1"/>
        <w:ind w:left="284"/>
        <w:jc w:val="both"/>
        <w:outlineLvl w:val="2"/>
        <w:rPr>
          <w:rFonts w:ascii="Verdana" w:hAnsi="Verdana"/>
          <w:b/>
          <w:bCs/>
          <w:sz w:val="18"/>
          <w:szCs w:val="18"/>
        </w:rPr>
      </w:pPr>
      <w:r w:rsidRPr="00223A80">
        <w:rPr>
          <w:rFonts w:ascii="Verdana" w:hAnsi="Verdana"/>
          <w:b/>
          <w:bCs/>
          <w:sz w:val="18"/>
          <w:szCs w:val="18"/>
        </w:rPr>
        <w:t>Implicaciones prácticas</w:t>
      </w:r>
    </w:p>
    <w:p w14:paraId="4E93F46E" w14:textId="77777777" w:rsidR="00223A80" w:rsidRPr="00223A80" w:rsidRDefault="00223A80" w:rsidP="00223A80">
      <w:pPr>
        <w:spacing w:before="100" w:beforeAutospacing="1" w:after="100" w:afterAutospacing="1"/>
        <w:ind w:left="284"/>
        <w:jc w:val="both"/>
        <w:rPr>
          <w:rFonts w:ascii="Verdana" w:hAnsi="Verdana"/>
          <w:sz w:val="18"/>
          <w:szCs w:val="18"/>
        </w:rPr>
      </w:pPr>
      <w:r w:rsidRPr="00223A80">
        <w:rPr>
          <w:rFonts w:ascii="Verdana" w:hAnsi="Verdana"/>
          <w:sz w:val="18"/>
          <w:szCs w:val="18"/>
        </w:rPr>
        <w:t>La resolución pone de manifiesto que la aplicación de la exención del artículo 21 de la LIS depende de la naturaleza jurídica y fiscal de la renta percibida, y no únicamente de su procedencia económica.</w:t>
      </w:r>
    </w:p>
    <w:p w14:paraId="1D14FC20" w14:textId="77777777" w:rsidR="00223A80" w:rsidRPr="00223A80" w:rsidRDefault="00223A80" w:rsidP="00223A80">
      <w:pPr>
        <w:spacing w:before="100" w:beforeAutospacing="1" w:after="100" w:afterAutospacing="1"/>
        <w:ind w:left="284"/>
        <w:jc w:val="both"/>
        <w:rPr>
          <w:rFonts w:ascii="Verdana" w:hAnsi="Verdana"/>
          <w:sz w:val="18"/>
          <w:szCs w:val="18"/>
        </w:rPr>
      </w:pPr>
      <w:r w:rsidRPr="00223A80">
        <w:rPr>
          <w:rFonts w:ascii="Verdana" w:hAnsi="Verdana"/>
          <w:sz w:val="18"/>
          <w:szCs w:val="18"/>
        </w:rPr>
        <w:t xml:space="preserve">En consecuencia, las sociedades que canalicen inversiones mediante contratos de cuentas en participación </w:t>
      </w:r>
      <w:r w:rsidRPr="00473CE1">
        <w:rPr>
          <w:rFonts w:ascii="Verdana" w:hAnsi="Verdana"/>
          <w:b/>
          <w:bCs/>
          <w:sz w:val="18"/>
          <w:szCs w:val="18"/>
        </w:rPr>
        <w:t>deben distinguir entre la percepción directa de dividendos por una entidad que ostenta participaciones en el capital y la obtención de rendimientos contractuales por un partícipe no gestor</w:t>
      </w:r>
      <w:r w:rsidRPr="00223A80">
        <w:rPr>
          <w:rFonts w:ascii="Verdana" w:hAnsi="Verdana"/>
          <w:sz w:val="18"/>
          <w:szCs w:val="18"/>
        </w:rPr>
        <w:t>.</w:t>
      </w:r>
    </w:p>
    <w:p w14:paraId="49192699" w14:textId="77777777" w:rsidR="00223A80" w:rsidRDefault="00223A80" w:rsidP="00473CE1">
      <w:pPr>
        <w:spacing w:before="100" w:beforeAutospacing="1" w:after="100" w:afterAutospacing="1"/>
        <w:ind w:left="284"/>
        <w:contextualSpacing/>
        <w:jc w:val="both"/>
        <w:rPr>
          <w:rFonts w:ascii="Verdana" w:hAnsi="Verdana"/>
          <w:sz w:val="18"/>
          <w:szCs w:val="18"/>
        </w:rPr>
      </w:pPr>
      <w:r w:rsidRPr="00223A80">
        <w:rPr>
          <w:rFonts w:ascii="Verdana" w:hAnsi="Verdana"/>
          <w:sz w:val="18"/>
          <w:szCs w:val="18"/>
        </w:rPr>
        <w:t>Estos últimos deberán integrarse en la base imponible conforme a las reglas generales del Impuesto sobre Sociedades, sin aplicar la exención por doble imposición del artículo 21 de la LIS por el mero hecho de que los resultados deriven de dividendos.</w:t>
      </w:r>
    </w:p>
    <w:p w14:paraId="64EAA6A7" w14:textId="77777777" w:rsidR="00473CE1" w:rsidRDefault="00473CE1" w:rsidP="00473CE1">
      <w:pPr>
        <w:spacing w:before="100" w:beforeAutospacing="1" w:after="100" w:afterAutospacing="1"/>
        <w:ind w:left="284"/>
        <w:contextualSpacing/>
        <w:jc w:val="both"/>
        <w:rPr>
          <w:rFonts w:ascii="Verdana" w:hAnsi="Verdana"/>
          <w:sz w:val="18"/>
          <w:szCs w:val="18"/>
        </w:rPr>
      </w:pPr>
    </w:p>
    <w:p w14:paraId="1908442A" w14:textId="77777777" w:rsidR="00473CE1" w:rsidRDefault="00473CE1" w:rsidP="00473CE1">
      <w:pPr>
        <w:spacing w:before="100" w:beforeAutospacing="1" w:after="100" w:afterAutospacing="1"/>
        <w:ind w:left="284"/>
        <w:contextualSpacing/>
        <w:jc w:val="both"/>
        <w:rPr>
          <w:rFonts w:ascii="Verdana" w:hAnsi="Verdana"/>
          <w:sz w:val="18"/>
          <w:szCs w:val="18"/>
        </w:rPr>
      </w:pP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B259C2" w:rsidRPr="00564C84" w14:paraId="17917637" w14:textId="77777777" w:rsidTr="00D61B2F">
        <w:tc>
          <w:tcPr>
            <w:tcW w:w="180" w:type="dxa"/>
            <w:shd w:val="clear" w:color="auto" w:fill="FF6600"/>
          </w:tcPr>
          <w:p w14:paraId="6D2BBD85" w14:textId="77777777" w:rsidR="00B259C2" w:rsidRDefault="00B259C2" w:rsidP="00473CE1">
            <w:pPr>
              <w:contextualSpacing/>
              <w:rPr>
                <w:rFonts w:ascii="Verdana" w:hAnsi="Verdana"/>
                <w:b/>
                <w:bCs/>
                <w:color w:val="800000"/>
                <w:sz w:val="18"/>
                <w:szCs w:val="18"/>
              </w:rPr>
            </w:pPr>
          </w:p>
          <w:p w14:paraId="42129559" w14:textId="77777777" w:rsidR="00564C84" w:rsidRPr="00564C84" w:rsidRDefault="00564C84" w:rsidP="00473CE1">
            <w:pPr>
              <w:contextualSpacing/>
              <w:rPr>
                <w:rFonts w:ascii="Verdana" w:hAnsi="Verdana"/>
                <w:b/>
                <w:bCs/>
                <w:color w:val="800000"/>
                <w:sz w:val="18"/>
                <w:szCs w:val="18"/>
              </w:rPr>
            </w:pPr>
          </w:p>
        </w:tc>
        <w:tc>
          <w:tcPr>
            <w:tcW w:w="8460" w:type="dxa"/>
          </w:tcPr>
          <w:p w14:paraId="5DF83EE3" w14:textId="77777777" w:rsidR="00B259C2" w:rsidRPr="00564C84" w:rsidRDefault="00564C84" w:rsidP="00473CE1">
            <w:pPr>
              <w:numPr>
                <w:ilvl w:val="0"/>
                <w:numId w:val="1"/>
              </w:numPr>
              <w:tabs>
                <w:tab w:val="clear" w:pos="928"/>
                <w:tab w:val="num" w:pos="320"/>
              </w:tabs>
              <w:ind w:left="317" w:hanging="280"/>
              <w:contextualSpacing/>
              <w:jc w:val="both"/>
              <w:rPr>
                <w:rFonts w:ascii="Verdana" w:hAnsi="Verdana"/>
                <w:b/>
                <w:bCs/>
                <w:color w:val="800000"/>
                <w:sz w:val="18"/>
                <w:szCs w:val="18"/>
              </w:rPr>
            </w:pPr>
            <w:r w:rsidRPr="00564C84">
              <w:rPr>
                <w:rFonts w:ascii="Verdana" w:hAnsi="Verdana"/>
                <w:b/>
                <w:bCs/>
                <w:color w:val="800000"/>
                <w:sz w:val="18"/>
                <w:szCs w:val="18"/>
              </w:rPr>
              <w:t>IRPF. - IMPUTACIÓN DE LAS RENTAS GENERADAS POR UNA HERENCIA YACENTE A LOS INSTITUIDOS HEREDEROS A TÉRMINO</w:t>
            </w:r>
          </w:p>
        </w:tc>
      </w:tr>
    </w:tbl>
    <w:p w14:paraId="4270D719" w14:textId="77777777" w:rsidR="00B259C2" w:rsidRDefault="00564C84" w:rsidP="00223A80">
      <w:pPr>
        <w:spacing w:before="100" w:beforeAutospacing="1" w:after="100" w:afterAutospacing="1"/>
        <w:ind w:left="284"/>
        <w:jc w:val="both"/>
        <w:rPr>
          <w:rFonts w:ascii="Verdana" w:hAnsi="Verdana"/>
          <w:sz w:val="18"/>
          <w:szCs w:val="18"/>
        </w:rPr>
      </w:pPr>
      <w:r>
        <w:rPr>
          <w:rFonts w:ascii="Verdana" w:hAnsi="Verdana"/>
          <w:sz w:val="18"/>
          <w:szCs w:val="18"/>
        </w:rPr>
        <w:t xml:space="preserve">El </w:t>
      </w:r>
      <w:r w:rsidRPr="00B259C2">
        <w:rPr>
          <w:rFonts w:ascii="Verdana" w:hAnsi="Verdana"/>
          <w:sz w:val="18"/>
          <w:szCs w:val="18"/>
        </w:rPr>
        <w:t>Tribunal Supremo, Sala de lo Contencioso-Administrativo, Sección Segunda, STS 833/2026, de 2 de julio de 2026, recurso de casación 2040/2024, ECLI: ES:TS:2026:2942</w:t>
      </w:r>
      <w:r>
        <w:rPr>
          <w:rFonts w:ascii="Verdana" w:hAnsi="Verdana"/>
          <w:sz w:val="18"/>
          <w:szCs w:val="18"/>
        </w:rPr>
        <w:t xml:space="preserve">, </w:t>
      </w:r>
      <w:r w:rsidRPr="00564C84">
        <w:rPr>
          <w:rFonts w:ascii="Verdana" w:hAnsi="Verdana"/>
          <w:sz w:val="18"/>
          <w:szCs w:val="18"/>
        </w:rPr>
        <w:lastRenderedPageBreak/>
        <w:t>confirma que los herederos a término deben tributar en el IRPF por las rentas de la herencia yacente antes de adquirir los bienes heredados.</w:t>
      </w:r>
    </w:p>
    <w:p w14:paraId="7DF8BFFB" w14:textId="77777777" w:rsidR="00B259C2" w:rsidRPr="00B259C2" w:rsidRDefault="00B259C2" w:rsidP="00B259C2">
      <w:pPr>
        <w:spacing w:before="100" w:beforeAutospacing="1" w:after="100" w:afterAutospacing="1"/>
        <w:ind w:left="284"/>
        <w:jc w:val="both"/>
        <w:outlineLvl w:val="2"/>
        <w:rPr>
          <w:rFonts w:ascii="Verdana" w:hAnsi="Verdana"/>
          <w:b/>
          <w:bCs/>
          <w:sz w:val="18"/>
          <w:szCs w:val="18"/>
        </w:rPr>
      </w:pPr>
      <w:r w:rsidRPr="00B259C2">
        <w:rPr>
          <w:rFonts w:ascii="Verdana" w:hAnsi="Verdana"/>
          <w:b/>
          <w:bCs/>
          <w:sz w:val="18"/>
          <w:szCs w:val="18"/>
        </w:rPr>
        <w:t>1. Cuestión controvertida</w:t>
      </w:r>
    </w:p>
    <w:p w14:paraId="4AEA0196"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El Tribunal Supremo analiza si las rentas generadas por una herencia yacente deben imputarse en el IRPF a las personas designadas como herederas en el testamento cuando su llamamiento está sujeto a un término y este todavía no ha vencido, por lo que aún no han adquirido los bienes y derechos hereditarios.</w:t>
      </w:r>
    </w:p>
    <w:p w14:paraId="0E4BA5A5"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La controversia se centra en la interpretación del artículo 8.3 de la Ley del IRPF y en su coordinación con la normativa del Impuesto sobre Sucesiones y Donaciones (ISD), particularmente ante la posible existencia de una doble imposición.</w:t>
      </w:r>
    </w:p>
    <w:p w14:paraId="071E6FBB" w14:textId="77777777" w:rsidR="00B259C2" w:rsidRPr="00B259C2" w:rsidRDefault="00B259C2" w:rsidP="00B259C2">
      <w:pPr>
        <w:spacing w:before="100" w:beforeAutospacing="1" w:after="100" w:afterAutospacing="1"/>
        <w:ind w:left="284"/>
        <w:jc w:val="both"/>
        <w:outlineLvl w:val="2"/>
        <w:rPr>
          <w:rFonts w:ascii="Verdana" w:hAnsi="Verdana"/>
          <w:b/>
          <w:bCs/>
          <w:sz w:val="18"/>
          <w:szCs w:val="18"/>
        </w:rPr>
      </w:pPr>
      <w:r w:rsidRPr="00B259C2">
        <w:rPr>
          <w:rFonts w:ascii="Verdana" w:hAnsi="Verdana"/>
          <w:b/>
          <w:bCs/>
          <w:sz w:val="18"/>
          <w:szCs w:val="18"/>
        </w:rPr>
        <w:t>2. Antecedentes del caso</w:t>
      </w:r>
    </w:p>
    <w:p w14:paraId="35B102AB"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La causante instituyó herederos a sus sobrinos, sometiendo el llamamiento a un plazo de seis años. Durante el período posterior al fallecimiento y anterior al cumplimiento del término, el patrimonio hereditario generó una ganancia patrimonial.</w:t>
      </w:r>
    </w:p>
    <w:p w14:paraId="62C03AA0"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La Administración tributaria imputó la renta correspondiente al contribuyente en su IRPF, aunque todavía no se había cumplido el plazo testamentario ni se había producido la adquisición efectiva de los bienes hereditarios.</w:t>
      </w:r>
    </w:p>
    <w:p w14:paraId="03960A88"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El contribuyente impugnó dicha imputación, alegando que aún no tenía la condición efectiva de heredero y que la tributación podía provocar una doble imposición cuando posteriormente tributara por el ISD.</w:t>
      </w:r>
    </w:p>
    <w:p w14:paraId="2E1EC74B" w14:textId="77777777" w:rsidR="00B259C2" w:rsidRPr="00B259C2" w:rsidRDefault="00B259C2" w:rsidP="00B259C2">
      <w:pPr>
        <w:spacing w:before="100" w:beforeAutospacing="1" w:after="100" w:afterAutospacing="1"/>
        <w:ind w:left="284"/>
        <w:jc w:val="both"/>
        <w:outlineLvl w:val="2"/>
        <w:rPr>
          <w:rFonts w:ascii="Verdana" w:hAnsi="Verdana"/>
          <w:b/>
          <w:bCs/>
          <w:sz w:val="18"/>
          <w:szCs w:val="18"/>
        </w:rPr>
      </w:pPr>
      <w:r w:rsidRPr="00B259C2">
        <w:rPr>
          <w:rFonts w:ascii="Verdana" w:hAnsi="Verdana"/>
          <w:b/>
          <w:bCs/>
          <w:sz w:val="18"/>
          <w:szCs w:val="18"/>
        </w:rPr>
        <w:t>3. Criterio del Tribunal Supremo</w:t>
      </w:r>
    </w:p>
    <w:p w14:paraId="6DD05173"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El Tribunal Supremo desestima la interpretación defendida por el contribuyente y establece que las rentas generadas por la herencia yacente deben imputarse en el IRPF a los herederos instituidos, incluidos aquellos cuyo llamamiento esté sometido a un término pendiente de cumplimiento.</w:t>
      </w:r>
    </w:p>
    <w:p w14:paraId="6BD1945F"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La Sala fundamenta su decisión en los siguientes argumentos:</w:t>
      </w:r>
    </w:p>
    <w:p w14:paraId="6235FA6B" w14:textId="77777777" w:rsidR="00B259C2" w:rsidRPr="00B259C2" w:rsidRDefault="00B259C2" w:rsidP="009E07F4">
      <w:pPr>
        <w:numPr>
          <w:ilvl w:val="0"/>
          <w:numId w:val="34"/>
        </w:numPr>
        <w:spacing w:before="100" w:beforeAutospacing="1" w:after="100" w:afterAutospacing="1"/>
        <w:ind w:left="284" w:firstLine="0"/>
        <w:jc w:val="both"/>
        <w:rPr>
          <w:rFonts w:ascii="Verdana" w:hAnsi="Verdana"/>
          <w:sz w:val="18"/>
          <w:szCs w:val="18"/>
        </w:rPr>
      </w:pPr>
      <w:r w:rsidRPr="00B259C2">
        <w:rPr>
          <w:rFonts w:ascii="Verdana" w:hAnsi="Verdana"/>
          <w:sz w:val="18"/>
          <w:szCs w:val="18"/>
        </w:rPr>
        <w:t>Atribución obligatoria de rentas. El artículo 8.3 de la Ley 35/2006 del IRPF configura las herencias yacentes como entidades en régimen de atribución de rentas. Las rentas obtenidas se atribuyen a los herederos o partícipes conforme a las reglas fiscales aplicables.</w:t>
      </w:r>
    </w:p>
    <w:p w14:paraId="4BD4C917" w14:textId="77777777" w:rsidR="00B259C2" w:rsidRPr="00B259C2" w:rsidRDefault="00B259C2" w:rsidP="009E07F4">
      <w:pPr>
        <w:numPr>
          <w:ilvl w:val="0"/>
          <w:numId w:val="34"/>
        </w:numPr>
        <w:spacing w:before="100" w:beforeAutospacing="1" w:after="100" w:afterAutospacing="1"/>
        <w:ind w:left="284" w:firstLine="0"/>
        <w:jc w:val="both"/>
        <w:rPr>
          <w:rFonts w:ascii="Verdana" w:hAnsi="Verdana"/>
          <w:sz w:val="18"/>
          <w:szCs w:val="18"/>
        </w:rPr>
      </w:pPr>
      <w:r w:rsidRPr="00B259C2">
        <w:rPr>
          <w:rFonts w:ascii="Verdana" w:hAnsi="Verdana"/>
          <w:sz w:val="18"/>
          <w:szCs w:val="18"/>
        </w:rPr>
        <w:t>El término no elimina la condición de heredero instituido. La eficacia del llamamiento queda diferida hasta el cumplimiento del plazo, pero ello no impide atribuir fiscalmente las rentas generadas durante la administración de la herencia.</w:t>
      </w:r>
    </w:p>
    <w:p w14:paraId="3D33589D" w14:textId="77777777" w:rsidR="00B259C2" w:rsidRPr="00B259C2" w:rsidRDefault="00B259C2" w:rsidP="009E07F4">
      <w:pPr>
        <w:numPr>
          <w:ilvl w:val="0"/>
          <w:numId w:val="34"/>
        </w:numPr>
        <w:spacing w:before="100" w:beforeAutospacing="1" w:after="100" w:afterAutospacing="1"/>
        <w:ind w:left="284" w:firstLine="0"/>
        <w:jc w:val="both"/>
        <w:rPr>
          <w:rFonts w:ascii="Verdana" w:hAnsi="Verdana"/>
          <w:sz w:val="18"/>
          <w:szCs w:val="18"/>
        </w:rPr>
      </w:pPr>
      <w:r w:rsidRPr="00B259C2">
        <w:rPr>
          <w:rFonts w:ascii="Verdana" w:hAnsi="Verdana"/>
          <w:sz w:val="18"/>
          <w:szCs w:val="18"/>
        </w:rPr>
        <w:t>Tributación anterior a la adquisición de los bienes. La imputación en el IRPF recae sobre las rentas producidas por el patrimonio hereditario, no sobre la adquisición de los bienes que integran la herencia.</w:t>
      </w:r>
    </w:p>
    <w:p w14:paraId="75DB5008" w14:textId="77777777" w:rsidR="00B259C2" w:rsidRPr="00B259C2" w:rsidRDefault="00B259C2" w:rsidP="009E07F4">
      <w:pPr>
        <w:numPr>
          <w:ilvl w:val="0"/>
          <w:numId w:val="34"/>
        </w:numPr>
        <w:spacing w:before="100" w:beforeAutospacing="1" w:after="100" w:afterAutospacing="1"/>
        <w:ind w:left="284" w:firstLine="0"/>
        <w:jc w:val="both"/>
        <w:rPr>
          <w:rFonts w:ascii="Verdana" w:hAnsi="Verdana"/>
          <w:sz w:val="18"/>
          <w:szCs w:val="18"/>
        </w:rPr>
      </w:pPr>
      <w:r w:rsidRPr="00B259C2">
        <w:rPr>
          <w:rFonts w:ascii="Verdana" w:hAnsi="Verdana"/>
          <w:sz w:val="18"/>
          <w:szCs w:val="18"/>
        </w:rPr>
        <w:t>Inexistencia de doble imposición por el mero diferimiento. El IRPF grava las rentas generadas durante la situación de herencia yacente, mientras que el ISD grava la adquisición de los bienes y derechos por sucesión. Se trata de hechos imponibles distintos.</w:t>
      </w:r>
    </w:p>
    <w:p w14:paraId="799A2A4E" w14:textId="77777777" w:rsidR="00B259C2" w:rsidRPr="00B259C2" w:rsidRDefault="00B259C2" w:rsidP="00B259C2">
      <w:pPr>
        <w:spacing w:before="100" w:beforeAutospacing="1" w:after="100" w:afterAutospacing="1"/>
        <w:ind w:left="284"/>
        <w:jc w:val="both"/>
        <w:outlineLvl w:val="2"/>
        <w:rPr>
          <w:rFonts w:ascii="Verdana" w:hAnsi="Verdana"/>
          <w:b/>
          <w:bCs/>
          <w:sz w:val="18"/>
          <w:szCs w:val="18"/>
        </w:rPr>
      </w:pPr>
      <w:r w:rsidRPr="00B259C2">
        <w:rPr>
          <w:rFonts w:ascii="Verdana" w:hAnsi="Verdana"/>
          <w:b/>
          <w:bCs/>
          <w:sz w:val="18"/>
          <w:szCs w:val="18"/>
        </w:rPr>
        <w:t>4. Doctrina jurisprudencial fijada</w:t>
      </w:r>
    </w:p>
    <w:p w14:paraId="2A55E5A7"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La sentencia establece expresamente el siguiente criterio:</w:t>
      </w:r>
    </w:p>
    <w:p w14:paraId="3C580020"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En aplicación del artículo 8.3 de la Ley del IRPF, las rentas generadas en una herencia yacente deben imputarse en el IRPF a quienes hayan sido instituidos herederos, incluidos los llamados a la herencia como herederos a término, aunque este no se haya cumplido ni se hayan adquirido todavía los bienes o derechos hereditarios.</w:t>
      </w:r>
    </w:p>
    <w:p w14:paraId="170997E8" w14:textId="77777777" w:rsidR="00B259C2" w:rsidRPr="00B259C2" w:rsidRDefault="00B259C2" w:rsidP="00B259C2">
      <w:pPr>
        <w:spacing w:before="100" w:beforeAutospacing="1" w:after="100" w:afterAutospacing="1"/>
        <w:ind w:left="284"/>
        <w:jc w:val="both"/>
        <w:outlineLvl w:val="2"/>
        <w:rPr>
          <w:rFonts w:ascii="Verdana" w:hAnsi="Verdana"/>
          <w:b/>
          <w:bCs/>
          <w:sz w:val="18"/>
          <w:szCs w:val="18"/>
        </w:rPr>
      </w:pPr>
      <w:r w:rsidRPr="00B259C2">
        <w:rPr>
          <w:rFonts w:ascii="Verdana" w:hAnsi="Verdana"/>
          <w:b/>
          <w:bCs/>
          <w:sz w:val="18"/>
          <w:szCs w:val="18"/>
        </w:rPr>
        <w:lastRenderedPageBreak/>
        <w:t>5. Consecuencias prácticas</w:t>
      </w:r>
    </w:p>
    <w:p w14:paraId="66154F4F" w14:textId="77777777" w:rsidR="00B259C2" w:rsidRP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La doctrina tiene especial relevancia en las herencias en las que el testador difiere la eficacia del llamamiento sucesorio a una fecha futura.</w:t>
      </w:r>
    </w:p>
    <w:p w14:paraId="5A907419" w14:textId="77777777" w:rsidR="00B259C2" w:rsidRPr="00B259C2" w:rsidRDefault="00B259C2" w:rsidP="009E07F4">
      <w:pPr>
        <w:numPr>
          <w:ilvl w:val="0"/>
          <w:numId w:val="35"/>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rPr>
        <w:t>Para los herederos</w:t>
      </w:r>
      <w:r w:rsidRPr="00B259C2">
        <w:rPr>
          <w:rFonts w:ascii="Verdana" w:hAnsi="Verdana"/>
          <w:sz w:val="18"/>
          <w:szCs w:val="18"/>
        </w:rPr>
        <w:t>: deben tener en cuenta las rentas generadas por el patrimonio hereditario durante el período de herencia yacente, aunque todavía no puedan adquirir los bienes.</w:t>
      </w:r>
    </w:p>
    <w:p w14:paraId="72C2BA39" w14:textId="77777777" w:rsidR="00B259C2" w:rsidRPr="00B259C2" w:rsidRDefault="00B259C2" w:rsidP="009E07F4">
      <w:pPr>
        <w:numPr>
          <w:ilvl w:val="0"/>
          <w:numId w:val="35"/>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rPr>
        <w:t>Para la declaración del IRPF</w:t>
      </w:r>
      <w:r w:rsidRPr="00B259C2">
        <w:rPr>
          <w:rFonts w:ascii="Verdana" w:hAnsi="Verdana"/>
          <w:sz w:val="18"/>
          <w:szCs w:val="18"/>
        </w:rPr>
        <w:t>: las rentas se atribuyen conforme a su naturaleza y a las reglas del régimen de atribución de rentas, atendiendo a la participación que corresponda.</w:t>
      </w:r>
    </w:p>
    <w:p w14:paraId="336F0010" w14:textId="77777777" w:rsidR="00B259C2" w:rsidRPr="00B259C2" w:rsidRDefault="00B259C2" w:rsidP="009E07F4">
      <w:pPr>
        <w:numPr>
          <w:ilvl w:val="0"/>
          <w:numId w:val="35"/>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rPr>
        <w:t>Para la planificación sucesoria</w:t>
      </w:r>
      <w:r w:rsidRPr="00B259C2">
        <w:rPr>
          <w:rFonts w:ascii="Verdana" w:hAnsi="Verdana"/>
          <w:sz w:val="18"/>
          <w:szCs w:val="18"/>
        </w:rPr>
        <w:t>: el diferimiento de la adquisición de los bienes no supone, por sí mismo, el aplazamiento de la tributación en el IRPF de las rentas que produzcan.</w:t>
      </w:r>
    </w:p>
    <w:p w14:paraId="44623A42" w14:textId="77777777" w:rsidR="00B259C2" w:rsidRPr="00B259C2" w:rsidRDefault="00B259C2" w:rsidP="009E07F4">
      <w:pPr>
        <w:numPr>
          <w:ilvl w:val="0"/>
          <w:numId w:val="35"/>
        </w:numPr>
        <w:spacing w:before="100" w:beforeAutospacing="1" w:after="100" w:afterAutospacing="1"/>
        <w:ind w:left="284" w:firstLine="0"/>
        <w:jc w:val="both"/>
        <w:rPr>
          <w:rFonts w:ascii="Verdana" w:hAnsi="Verdana"/>
          <w:sz w:val="18"/>
          <w:szCs w:val="18"/>
        </w:rPr>
      </w:pPr>
      <w:r w:rsidRPr="00473CE1">
        <w:rPr>
          <w:rFonts w:ascii="Verdana" w:hAnsi="Verdana"/>
          <w:b/>
          <w:bCs/>
          <w:sz w:val="18"/>
          <w:szCs w:val="18"/>
        </w:rPr>
        <w:t>Para la coordinación entre IRPF e ISD</w:t>
      </w:r>
      <w:r w:rsidRPr="00B259C2">
        <w:rPr>
          <w:rFonts w:ascii="Verdana" w:hAnsi="Verdana"/>
          <w:sz w:val="18"/>
          <w:szCs w:val="18"/>
        </w:rPr>
        <w:t>: debe distinguirse entre las rentas generadas por el patrimonio hereditario y la adquisición sucesoria de los bienes, sin presumir que existe doble imposición por el mero hecho de que ambos impuestos resulten aplicables en momentos diferentes.</w:t>
      </w:r>
    </w:p>
    <w:p w14:paraId="0761C4A8" w14:textId="77777777" w:rsidR="00B259C2" w:rsidRPr="00B259C2" w:rsidRDefault="00B259C2" w:rsidP="00B259C2">
      <w:pPr>
        <w:spacing w:before="100" w:beforeAutospacing="1" w:after="100" w:afterAutospacing="1"/>
        <w:ind w:left="284"/>
        <w:jc w:val="both"/>
        <w:outlineLvl w:val="2"/>
        <w:rPr>
          <w:rFonts w:ascii="Verdana" w:hAnsi="Verdana"/>
          <w:b/>
          <w:bCs/>
          <w:sz w:val="18"/>
          <w:szCs w:val="18"/>
        </w:rPr>
      </w:pPr>
      <w:r w:rsidRPr="00B259C2">
        <w:rPr>
          <w:rFonts w:ascii="Verdana" w:hAnsi="Verdana"/>
          <w:b/>
          <w:bCs/>
          <w:sz w:val="18"/>
          <w:szCs w:val="18"/>
        </w:rPr>
        <w:t>6. Conclusión fiscal</w:t>
      </w:r>
    </w:p>
    <w:p w14:paraId="4CC209DE" w14:textId="77777777" w:rsidR="00B259C2" w:rsidRPr="00B259C2" w:rsidRDefault="00B259C2" w:rsidP="00B259C2">
      <w:pPr>
        <w:spacing w:before="100" w:beforeAutospacing="1" w:after="100" w:afterAutospacing="1"/>
        <w:ind w:left="284"/>
        <w:jc w:val="both"/>
        <w:rPr>
          <w:rFonts w:ascii="Verdana" w:hAnsi="Verdana"/>
          <w:sz w:val="18"/>
          <w:szCs w:val="18"/>
        </w:rPr>
      </w:pPr>
      <w:r w:rsidRPr="00473CE1">
        <w:rPr>
          <w:rFonts w:ascii="Verdana" w:hAnsi="Verdana"/>
          <w:b/>
          <w:bCs/>
          <w:sz w:val="18"/>
          <w:szCs w:val="18"/>
        </w:rPr>
        <w:t>La STS 833/2026 confirma una interpretación estricta del régimen de atribución de rentas de las herencias yacentes</w:t>
      </w:r>
      <w:r w:rsidRPr="00B259C2">
        <w:rPr>
          <w:rFonts w:ascii="Verdana" w:hAnsi="Verdana"/>
          <w:sz w:val="18"/>
          <w:szCs w:val="18"/>
        </w:rPr>
        <w:t>: la falta de adquisición efectiva de los bienes hereditarios no excluye la imputación en el IRPF de las rentas generadas por estos cuando los beneficiarios han sido instituidos herederos a término.</w:t>
      </w:r>
    </w:p>
    <w:p w14:paraId="4B016343" w14:textId="77777777" w:rsidR="00B259C2" w:rsidRDefault="00B259C2" w:rsidP="00B259C2">
      <w:pPr>
        <w:spacing w:before="100" w:beforeAutospacing="1" w:after="100" w:afterAutospacing="1"/>
        <w:ind w:left="284"/>
        <w:jc w:val="both"/>
        <w:rPr>
          <w:rFonts w:ascii="Verdana" w:hAnsi="Verdana"/>
          <w:sz w:val="18"/>
          <w:szCs w:val="18"/>
        </w:rPr>
      </w:pPr>
      <w:r w:rsidRPr="00B259C2">
        <w:rPr>
          <w:rFonts w:ascii="Verdana" w:hAnsi="Verdana"/>
          <w:sz w:val="18"/>
          <w:szCs w:val="18"/>
        </w:rPr>
        <w:t xml:space="preserve">La resolución </w:t>
      </w:r>
      <w:r w:rsidRPr="00473CE1">
        <w:rPr>
          <w:rFonts w:ascii="Verdana" w:hAnsi="Verdana"/>
          <w:b/>
          <w:bCs/>
          <w:sz w:val="18"/>
          <w:szCs w:val="18"/>
        </w:rPr>
        <w:t>obliga a diferenciar claramente la tributación de los rendimientos o ganancias obtenidos durante la administración de la herencia yacente de la tributación derivada de la adquisición de los bienes por sucesión</w:t>
      </w:r>
      <w:r w:rsidRPr="00B259C2">
        <w:rPr>
          <w:rFonts w:ascii="Verdana" w:hAnsi="Verdana"/>
          <w:sz w:val="18"/>
          <w:szCs w:val="18"/>
        </w:rPr>
        <w:t>.</w:t>
      </w: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362565" w:rsidRPr="00473CE1" w14:paraId="350FE46F" w14:textId="77777777" w:rsidTr="00372826">
        <w:tc>
          <w:tcPr>
            <w:tcW w:w="180" w:type="dxa"/>
            <w:shd w:val="clear" w:color="auto" w:fill="FF6600"/>
          </w:tcPr>
          <w:p w14:paraId="0F49E479" w14:textId="77777777" w:rsidR="00362565" w:rsidRPr="00473CE1" w:rsidRDefault="00362565" w:rsidP="00372826">
            <w:pPr>
              <w:rPr>
                <w:rFonts w:ascii="Verdana" w:hAnsi="Verdana"/>
                <w:b/>
                <w:bCs/>
                <w:color w:val="800000"/>
                <w:sz w:val="18"/>
                <w:szCs w:val="18"/>
              </w:rPr>
            </w:pPr>
          </w:p>
        </w:tc>
        <w:tc>
          <w:tcPr>
            <w:tcW w:w="8460" w:type="dxa"/>
          </w:tcPr>
          <w:p w14:paraId="20CEB559" w14:textId="77777777" w:rsidR="00362565" w:rsidRPr="00473CE1" w:rsidRDefault="00362565" w:rsidP="00372826">
            <w:pPr>
              <w:numPr>
                <w:ilvl w:val="0"/>
                <w:numId w:val="1"/>
              </w:numPr>
              <w:tabs>
                <w:tab w:val="clear" w:pos="928"/>
                <w:tab w:val="num" w:pos="320"/>
              </w:tabs>
              <w:ind w:left="317" w:hanging="280"/>
              <w:jc w:val="both"/>
              <w:rPr>
                <w:rFonts w:ascii="Verdana" w:hAnsi="Verdana"/>
                <w:b/>
                <w:bCs/>
                <w:color w:val="800000"/>
                <w:sz w:val="18"/>
                <w:szCs w:val="18"/>
              </w:rPr>
            </w:pPr>
            <w:r w:rsidRPr="00473CE1">
              <w:rPr>
                <w:rFonts w:ascii="Verdana" w:hAnsi="Verdana"/>
                <w:b/>
                <w:bCs/>
                <w:color w:val="800000"/>
                <w:sz w:val="18"/>
                <w:szCs w:val="18"/>
              </w:rPr>
              <w:t>IRPF – LAS DERRAMAS POR OBRAS ESTRUCTURALES INCREMENTAN EL VALOR DE ADQUISICIÓN DE LA VIVIENDA</w:t>
            </w:r>
          </w:p>
        </w:tc>
      </w:tr>
    </w:tbl>
    <w:p w14:paraId="3DBB4CA4" w14:textId="45293EFE" w:rsidR="00362565" w:rsidRPr="00362565" w:rsidRDefault="00362565" w:rsidP="00362565">
      <w:pPr>
        <w:spacing w:before="100" w:beforeAutospacing="1" w:after="100" w:afterAutospacing="1"/>
        <w:ind w:left="284"/>
        <w:jc w:val="both"/>
        <w:rPr>
          <w:rFonts w:ascii="Verdana" w:hAnsi="Verdana"/>
          <w:sz w:val="18"/>
          <w:szCs w:val="18"/>
        </w:rPr>
      </w:pPr>
      <w:r w:rsidRPr="00362565">
        <w:rPr>
          <w:rFonts w:ascii="Verdana" w:hAnsi="Verdana"/>
          <w:sz w:val="18"/>
          <w:szCs w:val="18"/>
        </w:rPr>
        <w:t>La Dirección General de Tributos</w:t>
      </w:r>
      <w:r>
        <w:rPr>
          <w:rFonts w:ascii="Verdana" w:hAnsi="Verdana"/>
          <w:sz w:val="18"/>
          <w:szCs w:val="18"/>
        </w:rPr>
        <w:t>, en su consulta vinculante V1136/2026, de 20</w:t>
      </w:r>
      <w:r w:rsidR="00802A44">
        <w:rPr>
          <w:rFonts w:ascii="Verdana" w:hAnsi="Verdana"/>
          <w:sz w:val="18"/>
          <w:szCs w:val="18"/>
        </w:rPr>
        <w:t xml:space="preserve"> </w:t>
      </w:r>
      <w:r>
        <w:rPr>
          <w:rFonts w:ascii="Verdana" w:hAnsi="Verdana"/>
          <w:sz w:val="18"/>
          <w:szCs w:val="18"/>
        </w:rPr>
        <w:t xml:space="preserve">de marzo de 2026, </w:t>
      </w:r>
      <w:r w:rsidRPr="00362565">
        <w:rPr>
          <w:rFonts w:ascii="Verdana" w:hAnsi="Verdana"/>
          <w:sz w:val="18"/>
          <w:szCs w:val="18"/>
        </w:rPr>
        <w:t xml:space="preserve">aclara que las derramas satisfechas por los propietarios para financiar </w:t>
      </w:r>
      <w:r w:rsidRPr="00362565">
        <w:rPr>
          <w:rFonts w:ascii="Verdana" w:hAnsi="Verdana"/>
          <w:b/>
          <w:bCs/>
          <w:sz w:val="18"/>
          <w:szCs w:val="18"/>
        </w:rPr>
        <w:t>obras estructurales del edificio</w:t>
      </w:r>
      <w:r w:rsidRPr="00362565">
        <w:rPr>
          <w:rFonts w:ascii="Verdana" w:hAnsi="Verdana"/>
          <w:sz w:val="18"/>
          <w:szCs w:val="18"/>
        </w:rPr>
        <w:t xml:space="preserve">, cuando tengan la consideración de mejoras, no son deducibles directamente en el IRPF, sino que incrementan el valor de adquisición del inmueble a efectos del cálculo de la ganancia o pérdida patrimonial en una futura transmisión. </w:t>
      </w:r>
    </w:p>
    <w:p w14:paraId="55781302" w14:textId="77777777" w:rsidR="00362565" w:rsidRPr="00362565" w:rsidRDefault="00362565" w:rsidP="00362565">
      <w:pPr>
        <w:spacing w:before="100" w:beforeAutospacing="1" w:after="100" w:afterAutospacing="1"/>
        <w:ind w:left="284"/>
        <w:jc w:val="both"/>
        <w:rPr>
          <w:rFonts w:ascii="Verdana" w:hAnsi="Verdana"/>
          <w:b/>
          <w:bCs/>
          <w:sz w:val="18"/>
          <w:szCs w:val="18"/>
        </w:rPr>
      </w:pPr>
      <w:r w:rsidRPr="00362565">
        <w:rPr>
          <w:rFonts w:ascii="Verdana" w:hAnsi="Verdana"/>
          <w:b/>
          <w:bCs/>
          <w:sz w:val="18"/>
          <w:szCs w:val="18"/>
        </w:rPr>
        <w:t>Criterio de la DGT</w:t>
      </w:r>
    </w:p>
    <w:p w14:paraId="7A7E0EFC" w14:textId="77777777" w:rsidR="00362565" w:rsidRPr="00362565" w:rsidRDefault="00362565" w:rsidP="00362565">
      <w:pPr>
        <w:spacing w:before="100" w:beforeAutospacing="1" w:after="100" w:afterAutospacing="1"/>
        <w:ind w:left="284"/>
        <w:jc w:val="both"/>
        <w:rPr>
          <w:rFonts w:ascii="Verdana" w:hAnsi="Verdana"/>
          <w:sz w:val="18"/>
          <w:szCs w:val="18"/>
        </w:rPr>
      </w:pPr>
      <w:r w:rsidRPr="00362565">
        <w:rPr>
          <w:rFonts w:ascii="Verdana" w:hAnsi="Verdana"/>
          <w:sz w:val="18"/>
          <w:szCs w:val="18"/>
        </w:rPr>
        <w:t>La consulta analiza el tratamiento fiscal de una derrama aprobada por una comunidad de propietarios para ejecutar obras destinadas a reparar daños estructurales del edificio. El contribuyente plantea si puede deducir en el IRPF el importe satisfecho por su vivienda habitual.</w:t>
      </w:r>
    </w:p>
    <w:p w14:paraId="5111E2E4" w14:textId="77777777" w:rsidR="00362565" w:rsidRPr="00362565" w:rsidRDefault="00362565" w:rsidP="00362565">
      <w:pPr>
        <w:spacing w:before="100" w:beforeAutospacing="1" w:after="100" w:afterAutospacing="1"/>
        <w:ind w:left="284"/>
        <w:jc w:val="both"/>
        <w:rPr>
          <w:rFonts w:ascii="Verdana" w:hAnsi="Verdana"/>
          <w:sz w:val="18"/>
          <w:szCs w:val="18"/>
        </w:rPr>
      </w:pPr>
      <w:r w:rsidRPr="00362565">
        <w:rPr>
          <w:rFonts w:ascii="Verdana" w:hAnsi="Verdana"/>
          <w:sz w:val="18"/>
          <w:szCs w:val="18"/>
        </w:rPr>
        <w:t>Conforme al artículo 35 de la Ley del IRPF, el valor de adquisición comprende, entre otros conceptos, el coste de las inversiones y mejoras efectuadas en el inmueble.</w:t>
      </w:r>
    </w:p>
    <w:p w14:paraId="363A1CB8" w14:textId="77777777" w:rsidR="00362565" w:rsidRPr="00362565" w:rsidRDefault="00362565" w:rsidP="00362565">
      <w:pPr>
        <w:spacing w:before="100" w:beforeAutospacing="1" w:after="100" w:afterAutospacing="1"/>
        <w:ind w:left="284"/>
        <w:jc w:val="both"/>
        <w:rPr>
          <w:rFonts w:ascii="Verdana" w:hAnsi="Verdana"/>
          <w:sz w:val="18"/>
          <w:szCs w:val="18"/>
        </w:rPr>
      </w:pPr>
      <w:r w:rsidRPr="00362565">
        <w:rPr>
          <w:rFonts w:ascii="Verdana" w:hAnsi="Verdana"/>
          <w:sz w:val="18"/>
          <w:szCs w:val="18"/>
        </w:rPr>
        <w:t>La DGT distingue entre:</w:t>
      </w:r>
    </w:p>
    <w:p w14:paraId="6E6C9B27" w14:textId="77777777" w:rsidR="00362565" w:rsidRPr="00362565" w:rsidRDefault="00362565" w:rsidP="009E07F4">
      <w:pPr>
        <w:numPr>
          <w:ilvl w:val="0"/>
          <w:numId w:val="36"/>
        </w:numPr>
        <w:spacing w:before="100" w:beforeAutospacing="1" w:after="100" w:afterAutospacing="1"/>
        <w:jc w:val="both"/>
        <w:rPr>
          <w:rFonts w:ascii="Verdana" w:hAnsi="Verdana"/>
          <w:sz w:val="18"/>
          <w:szCs w:val="18"/>
        </w:rPr>
      </w:pPr>
      <w:r w:rsidRPr="00362565">
        <w:rPr>
          <w:rFonts w:ascii="Verdana" w:hAnsi="Verdana"/>
          <w:sz w:val="18"/>
          <w:szCs w:val="18"/>
        </w:rPr>
        <w:t xml:space="preserve">Obras de mejora: las que aumentan la capacidad, la habitabilidad </w:t>
      </w:r>
      <w:r w:rsidRPr="00362565">
        <w:rPr>
          <w:rFonts w:ascii="Verdana" w:hAnsi="Verdana"/>
          <w:b/>
          <w:bCs/>
          <w:sz w:val="18"/>
          <w:szCs w:val="18"/>
        </w:rPr>
        <w:t>o la vida útil del inmueble</w:t>
      </w:r>
      <w:r w:rsidRPr="00362565">
        <w:rPr>
          <w:rFonts w:ascii="Verdana" w:hAnsi="Verdana"/>
          <w:sz w:val="18"/>
          <w:szCs w:val="18"/>
        </w:rPr>
        <w:t>. Su importe incrementa el valor de adquisición.</w:t>
      </w:r>
    </w:p>
    <w:p w14:paraId="57891EFA" w14:textId="77777777" w:rsidR="00362565" w:rsidRPr="00362565" w:rsidRDefault="00362565" w:rsidP="009E07F4">
      <w:pPr>
        <w:numPr>
          <w:ilvl w:val="0"/>
          <w:numId w:val="36"/>
        </w:numPr>
        <w:spacing w:before="100" w:beforeAutospacing="1" w:after="100" w:afterAutospacing="1"/>
        <w:jc w:val="both"/>
        <w:rPr>
          <w:rFonts w:ascii="Verdana" w:hAnsi="Verdana"/>
          <w:sz w:val="18"/>
          <w:szCs w:val="18"/>
        </w:rPr>
      </w:pPr>
      <w:r w:rsidRPr="00362565">
        <w:rPr>
          <w:rFonts w:ascii="Verdana" w:hAnsi="Verdana"/>
          <w:sz w:val="18"/>
          <w:szCs w:val="18"/>
        </w:rPr>
        <w:t>Obras de reparación y conservación:</w:t>
      </w:r>
      <w:r w:rsidRPr="00362565">
        <w:rPr>
          <w:rFonts w:ascii="Verdana" w:hAnsi="Verdana"/>
          <w:b/>
          <w:bCs/>
          <w:sz w:val="18"/>
          <w:szCs w:val="18"/>
        </w:rPr>
        <w:t xml:space="preserve"> las destinadas a mantener el inmueble en condiciones normales de uso</w:t>
      </w:r>
      <w:r w:rsidRPr="00362565">
        <w:rPr>
          <w:rFonts w:ascii="Verdana" w:hAnsi="Verdana"/>
          <w:sz w:val="18"/>
          <w:szCs w:val="18"/>
        </w:rPr>
        <w:t>. No incrementan el valor de adquisición por este concepto, sin perjuicio del tratamiento que pueda corresponderles cuando el inmueble genere rendimientos del capital inmobiliario.</w:t>
      </w:r>
    </w:p>
    <w:p w14:paraId="427647BE" w14:textId="77777777" w:rsidR="00362565" w:rsidRPr="00362565" w:rsidRDefault="00362565" w:rsidP="00362565">
      <w:pPr>
        <w:spacing w:before="100" w:beforeAutospacing="1" w:after="100" w:afterAutospacing="1"/>
        <w:ind w:left="284"/>
        <w:jc w:val="both"/>
        <w:rPr>
          <w:rFonts w:ascii="Verdana" w:hAnsi="Verdana"/>
          <w:sz w:val="18"/>
          <w:szCs w:val="18"/>
        </w:rPr>
      </w:pPr>
      <w:r w:rsidRPr="00362565">
        <w:rPr>
          <w:rFonts w:ascii="Verdana" w:hAnsi="Verdana"/>
          <w:sz w:val="18"/>
          <w:szCs w:val="18"/>
        </w:rPr>
        <w:lastRenderedPageBreak/>
        <w:t xml:space="preserve">En particular, la DGT considera que </w:t>
      </w:r>
      <w:r w:rsidRPr="00362565">
        <w:rPr>
          <w:rFonts w:ascii="Verdana" w:hAnsi="Verdana"/>
          <w:b/>
          <w:bCs/>
          <w:sz w:val="18"/>
          <w:szCs w:val="18"/>
        </w:rPr>
        <w:t>las obras de consolidación de la estructura y estabilización de pilares pueden calificarse como mejoras</w:t>
      </w:r>
      <w:r w:rsidRPr="00362565">
        <w:rPr>
          <w:rFonts w:ascii="Verdana" w:hAnsi="Verdana"/>
          <w:sz w:val="18"/>
          <w:szCs w:val="18"/>
        </w:rPr>
        <w:t xml:space="preserve">. Cuando las ejecuta la comunidad de propietarios, cada titular deberá incorporar al valor de adquisición la parte correspondiente a su cuota de participación, determinada por el importe de la derrama satisfecha. </w:t>
      </w:r>
    </w:p>
    <w:p w14:paraId="4EAB2594" w14:textId="77777777" w:rsidR="00362565" w:rsidRPr="00362565" w:rsidRDefault="00362565" w:rsidP="00362565">
      <w:pPr>
        <w:spacing w:before="100" w:beforeAutospacing="1" w:after="100" w:afterAutospacing="1"/>
        <w:ind w:left="284"/>
        <w:jc w:val="both"/>
        <w:rPr>
          <w:rFonts w:ascii="Verdana" w:hAnsi="Verdana"/>
          <w:b/>
          <w:bCs/>
          <w:sz w:val="18"/>
          <w:szCs w:val="18"/>
        </w:rPr>
      </w:pPr>
      <w:r w:rsidRPr="00362565">
        <w:rPr>
          <w:rFonts w:ascii="Verdana" w:hAnsi="Verdana"/>
          <w:b/>
          <w:bCs/>
          <w:sz w:val="18"/>
          <w:szCs w:val="18"/>
        </w:rPr>
        <w:t>Implicaciones prácticas</w:t>
      </w:r>
    </w:p>
    <w:p w14:paraId="16CD8BA4" w14:textId="77777777" w:rsidR="00362565" w:rsidRPr="00362565" w:rsidRDefault="00362565" w:rsidP="00362565">
      <w:pPr>
        <w:spacing w:before="100" w:beforeAutospacing="1" w:after="100" w:afterAutospacing="1"/>
        <w:ind w:left="284"/>
        <w:jc w:val="both"/>
        <w:rPr>
          <w:rFonts w:ascii="Verdana" w:hAnsi="Verdana"/>
          <w:sz w:val="18"/>
          <w:szCs w:val="18"/>
        </w:rPr>
      </w:pPr>
      <w:r w:rsidRPr="00362565">
        <w:rPr>
          <w:rFonts w:ascii="Verdana" w:hAnsi="Verdana"/>
          <w:sz w:val="18"/>
          <w:szCs w:val="18"/>
        </w:rPr>
        <w:t>El propietario no puede deducir directamente en su declaración del IRPF la derrama por el mero hecho de haberla pagado, aunque se refiera a su vivienda habitual. Si las obras se califican como mejoras, podrá computar su importe como mayor valor de adquisición cuando venda la vivienda, reduciendo así la ganancia patrimonial sujeta a tributación o aumentando la pérdida patrimonial, según corresponda.</w:t>
      </w:r>
    </w:p>
    <w:p w14:paraId="6672C321" w14:textId="77777777" w:rsidR="00362565" w:rsidRDefault="00362565" w:rsidP="00362565">
      <w:pPr>
        <w:spacing w:before="100" w:beforeAutospacing="1" w:after="100" w:afterAutospacing="1"/>
        <w:ind w:left="284"/>
        <w:jc w:val="both"/>
        <w:rPr>
          <w:rFonts w:ascii="Verdana" w:hAnsi="Verdana"/>
          <w:sz w:val="18"/>
          <w:szCs w:val="18"/>
        </w:rPr>
      </w:pPr>
      <w:r w:rsidRPr="00362565">
        <w:rPr>
          <w:rFonts w:ascii="Verdana" w:hAnsi="Verdana"/>
          <w:b/>
          <w:bCs/>
          <w:sz w:val="18"/>
          <w:szCs w:val="18"/>
          <w:u w:val="single"/>
        </w:rPr>
        <w:t>Recomendación</w:t>
      </w:r>
      <w:r w:rsidRPr="00362565">
        <w:rPr>
          <w:rFonts w:ascii="Verdana" w:hAnsi="Verdana"/>
          <w:sz w:val="18"/>
          <w:szCs w:val="18"/>
        </w:rPr>
        <w:t>: conservar las actas de la comunidad, los acuerdos de aprobación de las obras, las facturas y los justificantes de pago de las derramas, a fin de acreditar la naturaleza de las actuaciones y el importe imputable a cada propietario.</w:t>
      </w:r>
    </w:p>
    <w:tbl>
      <w:tblPr>
        <w:tblW w:w="8640" w:type="dxa"/>
        <w:tblInd w:w="70" w:type="dxa"/>
        <w:tblCellMar>
          <w:left w:w="70" w:type="dxa"/>
          <w:right w:w="70" w:type="dxa"/>
        </w:tblCellMar>
        <w:tblLook w:val="0000" w:firstRow="0" w:lastRow="0" w:firstColumn="0" w:lastColumn="0" w:noHBand="0" w:noVBand="0"/>
      </w:tblPr>
      <w:tblGrid>
        <w:gridCol w:w="180"/>
        <w:gridCol w:w="8460"/>
      </w:tblGrid>
      <w:tr w:rsidR="00A93A33" w:rsidRPr="00A93A33" w14:paraId="07F6D2BE" w14:textId="77777777" w:rsidTr="00B93EF9">
        <w:tc>
          <w:tcPr>
            <w:tcW w:w="180" w:type="dxa"/>
            <w:shd w:val="clear" w:color="auto" w:fill="FF6600"/>
          </w:tcPr>
          <w:p w14:paraId="3FE24221" w14:textId="77777777" w:rsidR="00A93A33" w:rsidRPr="00A93A33" w:rsidRDefault="00A93A33" w:rsidP="00B93EF9">
            <w:pPr>
              <w:rPr>
                <w:rFonts w:ascii="Verdana" w:hAnsi="Verdana"/>
                <w:b/>
                <w:bCs/>
                <w:color w:val="800000"/>
                <w:sz w:val="18"/>
                <w:szCs w:val="18"/>
              </w:rPr>
            </w:pPr>
            <w:bookmarkStart w:id="5" w:name="_Hlk243654777"/>
          </w:p>
        </w:tc>
        <w:tc>
          <w:tcPr>
            <w:tcW w:w="8460" w:type="dxa"/>
          </w:tcPr>
          <w:p w14:paraId="660FD1F7" w14:textId="77777777" w:rsidR="00A93A33" w:rsidRPr="00A93A33" w:rsidRDefault="00A93A33" w:rsidP="00B93EF9">
            <w:pPr>
              <w:numPr>
                <w:ilvl w:val="0"/>
                <w:numId w:val="1"/>
              </w:numPr>
              <w:tabs>
                <w:tab w:val="clear" w:pos="928"/>
                <w:tab w:val="num" w:pos="320"/>
              </w:tabs>
              <w:ind w:left="317" w:hanging="280"/>
              <w:jc w:val="both"/>
              <w:rPr>
                <w:rFonts w:ascii="Verdana" w:hAnsi="Verdana"/>
                <w:b/>
                <w:bCs/>
                <w:color w:val="800000"/>
                <w:sz w:val="18"/>
                <w:szCs w:val="18"/>
              </w:rPr>
            </w:pPr>
            <w:r w:rsidRPr="00A93A33">
              <w:rPr>
                <w:rFonts w:ascii="Verdana" w:hAnsi="Verdana"/>
                <w:b/>
                <w:bCs/>
                <w:color w:val="800000"/>
                <w:sz w:val="18"/>
                <w:szCs w:val="18"/>
              </w:rPr>
              <w:t>IVA. - EL TRIBUNAL SUPREMO CONFIRMA LA NO SUJECIÓN AL IVA DE LA CESIÓN GRATUITA DE VEHÍCULOS A EMPLEADOS Y MANTIENE LAS RESTRICCIONES A LA DEDUCCIÓN EN GASTOS DE REPRESENTACIÓN</w:t>
            </w:r>
          </w:p>
        </w:tc>
      </w:tr>
    </w:tbl>
    <w:bookmarkEnd w:id="5"/>
    <w:p w14:paraId="22FF669E" w14:textId="4F007C66"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 xml:space="preserve">El Tribunal Supremo </w:t>
      </w:r>
      <w:r>
        <w:rPr>
          <w:rFonts w:ascii="Verdana" w:hAnsi="Verdana"/>
          <w:sz w:val="18"/>
          <w:szCs w:val="18"/>
        </w:rPr>
        <w:t xml:space="preserve">en su sentencia </w:t>
      </w:r>
      <w:r w:rsidRPr="00A93A33">
        <w:rPr>
          <w:rFonts w:ascii="Verdana" w:hAnsi="Verdana"/>
          <w:sz w:val="18"/>
          <w:szCs w:val="18"/>
        </w:rPr>
        <w:t>núm. 889/2026, de 13 de julio de 2026, recurso de casación 5250/2022, confirma la no sujeción al IVA de la cesión gratuita de vehículos a</w:t>
      </w:r>
      <w:r w:rsidR="00EF5132">
        <w:rPr>
          <w:rFonts w:ascii="Verdana" w:hAnsi="Verdana"/>
          <w:sz w:val="18"/>
          <w:szCs w:val="18"/>
        </w:rPr>
        <w:t xml:space="preserve"> empleados</w:t>
      </w:r>
    </w:p>
    <w:p w14:paraId="3B107997" w14:textId="77777777" w:rsidR="00A93A33" w:rsidRPr="00A93A33" w:rsidRDefault="00A93A33" w:rsidP="00A93A33">
      <w:pPr>
        <w:spacing w:before="100" w:beforeAutospacing="1" w:after="100" w:afterAutospacing="1"/>
        <w:ind w:left="284"/>
        <w:jc w:val="both"/>
        <w:rPr>
          <w:rFonts w:ascii="Verdana" w:hAnsi="Verdana"/>
          <w:b/>
          <w:bCs/>
          <w:sz w:val="18"/>
          <w:szCs w:val="18"/>
        </w:rPr>
      </w:pPr>
      <w:r w:rsidRPr="00A93A33">
        <w:rPr>
          <w:rFonts w:ascii="Verdana" w:hAnsi="Verdana"/>
          <w:b/>
          <w:bCs/>
          <w:sz w:val="18"/>
          <w:szCs w:val="18"/>
        </w:rPr>
        <w:t>1. Criterio jurisprudencial</w:t>
      </w:r>
    </w:p>
    <w:p w14:paraId="0215668F"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El Tribunal Supremo analiza dos cuestiones de interés casacional en relación con el IVA: la deducibilidad de las cuotas soportadas por gastos de atención a clientes y la tributación de la cesión de vehículos de empresa a empleados para su uso particular.</w:t>
      </w:r>
    </w:p>
    <w:p w14:paraId="0A0C211E"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La sentencia fija criterios diferenciados para ambas cuestiones, con relevancia directa para la gestión fiscal de las empresas.</w:t>
      </w:r>
    </w:p>
    <w:p w14:paraId="0E5F32FA" w14:textId="77777777" w:rsidR="00A93A33" w:rsidRPr="00A93A33" w:rsidRDefault="00A93A33" w:rsidP="00A93A33">
      <w:pPr>
        <w:spacing w:before="100" w:beforeAutospacing="1" w:after="100" w:afterAutospacing="1"/>
        <w:ind w:left="284"/>
        <w:jc w:val="both"/>
        <w:rPr>
          <w:rFonts w:ascii="Verdana" w:hAnsi="Verdana"/>
          <w:b/>
          <w:bCs/>
          <w:sz w:val="18"/>
          <w:szCs w:val="18"/>
        </w:rPr>
      </w:pPr>
      <w:r w:rsidRPr="00A93A33">
        <w:rPr>
          <w:rFonts w:ascii="Verdana" w:hAnsi="Verdana"/>
          <w:b/>
          <w:bCs/>
          <w:sz w:val="18"/>
          <w:szCs w:val="18"/>
        </w:rPr>
        <w:t>2. Cesión gratuita de vehículos a empleados</w:t>
      </w:r>
    </w:p>
    <w:p w14:paraId="75335854"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El Tribunal Supremo declara que la cesión gratuita de un vehículo para uso particular no está sujeta al IVA cuando concurren conjuntamente las siguientes circunstancias:</w:t>
      </w:r>
    </w:p>
    <w:p w14:paraId="4DD09653" w14:textId="77777777" w:rsidR="00A93A33" w:rsidRPr="00A93A33" w:rsidRDefault="00A93A33" w:rsidP="009E07F4">
      <w:pPr>
        <w:numPr>
          <w:ilvl w:val="0"/>
          <w:numId w:val="32"/>
        </w:numPr>
        <w:spacing w:before="100" w:beforeAutospacing="1" w:after="100" w:afterAutospacing="1"/>
        <w:jc w:val="both"/>
        <w:rPr>
          <w:rFonts w:ascii="Verdana" w:hAnsi="Verdana"/>
          <w:sz w:val="18"/>
          <w:szCs w:val="18"/>
        </w:rPr>
      </w:pPr>
      <w:r w:rsidRPr="00A93A33">
        <w:rPr>
          <w:rFonts w:ascii="Verdana" w:hAnsi="Verdana"/>
          <w:sz w:val="18"/>
          <w:szCs w:val="18"/>
        </w:rPr>
        <w:t>El vehículo está afecto a la actividad empresarial en un 50 %, conforme a la presunción del artículo 95.Tres.2.ª de la Ley del IVA, no desvirtuada por la Administración.</w:t>
      </w:r>
    </w:p>
    <w:p w14:paraId="5623BD80" w14:textId="77777777" w:rsidR="00A93A33" w:rsidRPr="00A93A33" w:rsidRDefault="00A93A33" w:rsidP="009E07F4">
      <w:pPr>
        <w:numPr>
          <w:ilvl w:val="0"/>
          <w:numId w:val="32"/>
        </w:numPr>
        <w:spacing w:before="100" w:beforeAutospacing="1" w:after="100" w:afterAutospacing="1"/>
        <w:jc w:val="both"/>
        <w:rPr>
          <w:rFonts w:ascii="Verdana" w:hAnsi="Verdana"/>
          <w:sz w:val="18"/>
          <w:szCs w:val="18"/>
        </w:rPr>
      </w:pPr>
      <w:r w:rsidRPr="00A93A33">
        <w:rPr>
          <w:rFonts w:ascii="Verdana" w:hAnsi="Verdana"/>
          <w:sz w:val="18"/>
          <w:szCs w:val="18"/>
        </w:rPr>
        <w:t>El empleado no paga ninguna cantidad por la utilización del vehículo.</w:t>
      </w:r>
    </w:p>
    <w:p w14:paraId="3429BF0D" w14:textId="77777777" w:rsidR="00A93A33" w:rsidRPr="00A93A33" w:rsidRDefault="00A93A33" w:rsidP="009E07F4">
      <w:pPr>
        <w:numPr>
          <w:ilvl w:val="0"/>
          <w:numId w:val="32"/>
        </w:numPr>
        <w:spacing w:before="100" w:beforeAutospacing="1" w:after="100" w:afterAutospacing="1"/>
        <w:jc w:val="both"/>
        <w:rPr>
          <w:rFonts w:ascii="Verdana" w:hAnsi="Verdana"/>
          <w:sz w:val="18"/>
          <w:szCs w:val="18"/>
        </w:rPr>
      </w:pPr>
      <w:r w:rsidRPr="00A93A33">
        <w:rPr>
          <w:rFonts w:ascii="Verdana" w:hAnsi="Verdana"/>
          <w:sz w:val="18"/>
          <w:szCs w:val="18"/>
        </w:rPr>
        <w:t>El trabajador no renuncia a una parte de su retribución ni a otras ventajas como contraprestación por el derecho de uso.</w:t>
      </w:r>
    </w:p>
    <w:p w14:paraId="4093309C"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En estas condiciones, la imputación de una retribución en especie a efectos del IRPF no convierte por sí sola la cesión en una prestación onerosa sujeta al IVA. Tampoco procede gravarla automáticamente como autoconsumo por el mero hecho de haberse deducido el 50 % del IVA soportado por el renting.</w:t>
      </w:r>
    </w:p>
    <w:p w14:paraId="69BCB72C"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 xml:space="preserve">El Tribunal confirma así la sentencia recurrida y rechaza la pretensión de la Administración de exigir el IVA por la utilización privada de los vehículos en las circunstancias examinadas. </w:t>
      </w:r>
    </w:p>
    <w:p w14:paraId="07CBFF69"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Consecuencia práctica: las empresas deben analizar si existe una contraprestación real por la cesión y documentar adecuadamente las condiciones de uso de los vehículos. La solución no debe extrapolarse automáticamente a supuestos con pagos, renuncias retributivas u otras circunstancias diferentes.</w:t>
      </w:r>
    </w:p>
    <w:p w14:paraId="38120C41" w14:textId="77777777" w:rsidR="00A93A33" w:rsidRPr="00A93A33" w:rsidRDefault="00A93A33" w:rsidP="00A93A33">
      <w:pPr>
        <w:spacing w:before="100" w:beforeAutospacing="1" w:after="100" w:afterAutospacing="1"/>
        <w:ind w:left="284"/>
        <w:jc w:val="both"/>
        <w:rPr>
          <w:rFonts w:ascii="Verdana" w:hAnsi="Verdana"/>
          <w:b/>
          <w:bCs/>
          <w:sz w:val="18"/>
          <w:szCs w:val="18"/>
        </w:rPr>
      </w:pPr>
      <w:r w:rsidRPr="00A93A33">
        <w:rPr>
          <w:rFonts w:ascii="Verdana" w:hAnsi="Verdana"/>
          <w:b/>
          <w:bCs/>
          <w:sz w:val="18"/>
          <w:szCs w:val="18"/>
        </w:rPr>
        <w:lastRenderedPageBreak/>
        <w:t>3. Gastos de atención a clientes y espectáculos deportivos</w:t>
      </w:r>
    </w:p>
    <w:p w14:paraId="276CDA6E"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El Tribunal Supremo confirma la compatibilidad con el Derecho de la Unión Europea de las restricciones previstas en el artículo 96.Uno.4.º y 5.º de la Ley 37/1992 del IVA.</w:t>
      </w:r>
    </w:p>
    <w:p w14:paraId="16046603"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En consecuencia, se mantiene la exclusión de la deducción del IVA soportado en gastos correspondientes a espectáculos y servicios recreativos, así como en bienes y servicios destinados a atenciones a clientes, empleados o terceros, en los términos contemplados por la normativa.</w:t>
      </w:r>
    </w:p>
    <w:p w14:paraId="41CA2F78"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La conclusión se apoya en la interpretación del artículo 176, párrafo segundo, de la Directiva 2006/112/CE, conforme al criterio establecido por el Tribunal de Justicia de la Unión Europea en su sentencia de 12 de marzo de 2026, asunto C-515/24, Randstad España.</w:t>
      </w:r>
    </w:p>
    <w:p w14:paraId="048BF925"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 xml:space="preserve">Por tanto, la vinculación de un gasto con la actividad empresarial o su deducibilidad en el Impuesto sobre Sociedades no garantiza la deducción del IVA soportado. Ambos impuestos responden a reglas distintas. </w:t>
      </w:r>
    </w:p>
    <w:p w14:paraId="08E1BF29" w14:textId="77777777" w:rsidR="00A93A33" w:rsidRPr="00A93A33" w:rsidRDefault="00A93A33" w:rsidP="00A93A33">
      <w:pPr>
        <w:spacing w:before="100" w:beforeAutospacing="1" w:after="100" w:afterAutospacing="1"/>
        <w:ind w:left="284"/>
        <w:jc w:val="both"/>
        <w:rPr>
          <w:rFonts w:ascii="Verdana" w:hAnsi="Verdana"/>
          <w:b/>
          <w:bCs/>
          <w:sz w:val="18"/>
          <w:szCs w:val="18"/>
        </w:rPr>
      </w:pPr>
      <w:r w:rsidRPr="00A93A33">
        <w:rPr>
          <w:rFonts w:ascii="Verdana" w:hAnsi="Verdana"/>
          <w:b/>
          <w:bCs/>
          <w:sz w:val="18"/>
          <w:szCs w:val="18"/>
        </w:rPr>
        <w:t>4. Implicaciones para las empresas</w:t>
      </w:r>
    </w:p>
    <w:p w14:paraId="576F3CA5" w14:textId="77777777" w:rsidR="00A93A33" w:rsidRPr="00A93A33" w:rsidRDefault="00A93A33" w:rsidP="009E07F4">
      <w:pPr>
        <w:numPr>
          <w:ilvl w:val="0"/>
          <w:numId w:val="33"/>
        </w:numPr>
        <w:spacing w:before="100" w:beforeAutospacing="1" w:after="100" w:afterAutospacing="1"/>
        <w:jc w:val="both"/>
        <w:rPr>
          <w:rFonts w:ascii="Verdana" w:hAnsi="Verdana"/>
          <w:sz w:val="18"/>
          <w:szCs w:val="18"/>
        </w:rPr>
      </w:pPr>
      <w:r w:rsidRPr="00473CE1">
        <w:rPr>
          <w:rFonts w:ascii="Verdana" w:hAnsi="Verdana"/>
          <w:b/>
          <w:bCs/>
          <w:sz w:val="18"/>
          <w:szCs w:val="18"/>
        </w:rPr>
        <w:t>Vehículos de empresa</w:t>
      </w:r>
      <w:r w:rsidRPr="00A93A33">
        <w:rPr>
          <w:rFonts w:ascii="Verdana" w:hAnsi="Verdana"/>
          <w:sz w:val="18"/>
          <w:szCs w:val="18"/>
        </w:rPr>
        <w:t>: revisar los contratos, las condiciones de cesión y la existencia de pagos o renuncias retributivas por parte de los empleados.</w:t>
      </w:r>
    </w:p>
    <w:p w14:paraId="61765AFC" w14:textId="77777777" w:rsidR="00A93A33" w:rsidRPr="00A93A33" w:rsidRDefault="00A93A33" w:rsidP="009E07F4">
      <w:pPr>
        <w:numPr>
          <w:ilvl w:val="0"/>
          <w:numId w:val="33"/>
        </w:numPr>
        <w:spacing w:before="100" w:beforeAutospacing="1" w:after="100" w:afterAutospacing="1"/>
        <w:jc w:val="both"/>
        <w:rPr>
          <w:rFonts w:ascii="Verdana" w:hAnsi="Verdana"/>
          <w:sz w:val="18"/>
          <w:szCs w:val="18"/>
        </w:rPr>
      </w:pPr>
      <w:r w:rsidRPr="00473CE1">
        <w:rPr>
          <w:rFonts w:ascii="Verdana" w:hAnsi="Verdana"/>
          <w:b/>
          <w:bCs/>
          <w:sz w:val="18"/>
          <w:szCs w:val="18"/>
        </w:rPr>
        <w:t>Deducción del IVA</w:t>
      </w:r>
      <w:r w:rsidRPr="00A93A33">
        <w:rPr>
          <w:rFonts w:ascii="Verdana" w:hAnsi="Verdana"/>
          <w:sz w:val="18"/>
          <w:szCs w:val="18"/>
        </w:rPr>
        <w:t>: no confundir el tratamiento de la retribución en especie en el IRPF con la existencia de una operación onerosa a efectos del IVA.</w:t>
      </w:r>
    </w:p>
    <w:p w14:paraId="148D559C" w14:textId="77777777" w:rsidR="00A93A33" w:rsidRPr="00A93A33" w:rsidRDefault="00A93A33" w:rsidP="009E07F4">
      <w:pPr>
        <w:numPr>
          <w:ilvl w:val="0"/>
          <w:numId w:val="33"/>
        </w:numPr>
        <w:spacing w:before="100" w:beforeAutospacing="1" w:after="100" w:afterAutospacing="1"/>
        <w:jc w:val="both"/>
        <w:rPr>
          <w:rFonts w:ascii="Verdana" w:hAnsi="Verdana"/>
          <w:sz w:val="18"/>
          <w:szCs w:val="18"/>
        </w:rPr>
      </w:pPr>
      <w:r w:rsidRPr="00473CE1">
        <w:rPr>
          <w:rFonts w:ascii="Verdana" w:hAnsi="Verdana"/>
          <w:b/>
          <w:bCs/>
          <w:sz w:val="18"/>
          <w:szCs w:val="18"/>
        </w:rPr>
        <w:t>Atenciones comerciales</w:t>
      </w:r>
      <w:r w:rsidRPr="00A93A33">
        <w:rPr>
          <w:rFonts w:ascii="Verdana" w:hAnsi="Verdana"/>
          <w:sz w:val="18"/>
          <w:szCs w:val="18"/>
        </w:rPr>
        <w:t>: separar el análisis de la deducibilidad del gasto en el Impuesto sobre Sociedades del derecho a deducir el IVA soportado.</w:t>
      </w:r>
    </w:p>
    <w:p w14:paraId="0D19EFE8" w14:textId="77777777" w:rsidR="00A93A33" w:rsidRPr="00A93A33" w:rsidRDefault="00A93A33" w:rsidP="009E07F4">
      <w:pPr>
        <w:numPr>
          <w:ilvl w:val="0"/>
          <w:numId w:val="33"/>
        </w:numPr>
        <w:spacing w:before="100" w:beforeAutospacing="1" w:after="100" w:afterAutospacing="1"/>
        <w:jc w:val="both"/>
        <w:rPr>
          <w:rFonts w:ascii="Verdana" w:hAnsi="Verdana"/>
          <w:sz w:val="18"/>
          <w:szCs w:val="18"/>
        </w:rPr>
      </w:pPr>
      <w:r w:rsidRPr="00473CE1">
        <w:rPr>
          <w:rFonts w:ascii="Verdana" w:hAnsi="Verdana"/>
          <w:b/>
          <w:bCs/>
          <w:sz w:val="18"/>
          <w:szCs w:val="18"/>
        </w:rPr>
        <w:t>Procedimientos tributarios</w:t>
      </w:r>
      <w:r w:rsidRPr="00A93A33">
        <w:rPr>
          <w:rFonts w:ascii="Verdana" w:hAnsi="Verdana"/>
          <w:sz w:val="18"/>
          <w:szCs w:val="18"/>
        </w:rPr>
        <w:t>: valorar la aplicación de esta doctrina a las regularizaciones relativas a vehículos cedidos gratuitamente, atendiendo a las circunstancias concretas de cada caso.</w:t>
      </w:r>
    </w:p>
    <w:p w14:paraId="37154D88" w14:textId="77777777" w:rsidR="00A93A33" w:rsidRPr="00A93A33" w:rsidRDefault="00A93A33" w:rsidP="00A93A33">
      <w:pPr>
        <w:spacing w:before="100" w:beforeAutospacing="1" w:after="100" w:afterAutospacing="1"/>
        <w:ind w:left="284"/>
        <w:jc w:val="both"/>
        <w:rPr>
          <w:rFonts w:ascii="Verdana" w:hAnsi="Verdana"/>
          <w:b/>
          <w:bCs/>
          <w:sz w:val="18"/>
          <w:szCs w:val="18"/>
        </w:rPr>
      </w:pPr>
      <w:r w:rsidRPr="00A93A33">
        <w:rPr>
          <w:rFonts w:ascii="Verdana" w:hAnsi="Verdana"/>
          <w:b/>
          <w:bCs/>
          <w:sz w:val="18"/>
          <w:szCs w:val="18"/>
        </w:rPr>
        <w:t>Conclusión</w:t>
      </w:r>
    </w:p>
    <w:p w14:paraId="474C215D"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La sentencia delimita el tratamiento de dos situaciones habituales en la fiscalidad empresarial: por un lado, la cesión gratuita de vehículos a empleados, que no queda sujeta al IVA cuando se cumplen los requisitos establecidos por el Tribunal; por otro, los gastos de representación y atención a clientes, respecto de los cuales se mantienen las limitaciones legales a la deducción del impuesto.</w:t>
      </w:r>
    </w:p>
    <w:p w14:paraId="4EA8C726" w14:textId="77777777" w:rsidR="00A93A33" w:rsidRPr="00A93A33" w:rsidRDefault="00A93A33" w:rsidP="00A93A33">
      <w:pPr>
        <w:spacing w:before="100" w:beforeAutospacing="1" w:after="100" w:afterAutospacing="1"/>
        <w:ind w:left="284"/>
        <w:jc w:val="both"/>
        <w:rPr>
          <w:rFonts w:ascii="Verdana" w:hAnsi="Verdana"/>
          <w:sz w:val="18"/>
          <w:szCs w:val="18"/>
        </w:rPr>
      </w:pPr>
      <w:r w:rsidRPr="00A93A33">
        <w:rPr>
          <w:rFonts w:ascii="Verdana" w:hAnsi="Verdana"/>
          <w:sz w:val="18"/>
          <w:szCs w:val="18"/>
        </w:rPr>
        <w:t>El criterio refuerza la necesidad de analizar separadamente la existencia de contraprestación, la afectación empresarial de los bienes y servicios y las restricciones específicas del derecho a deducir el IVA.</w:t>
      </w:r>
    </w:p>
    <w:p w14:paraId="3BECD8E4" w14:textId="77777777" w:rsidR="00223A80" w:rsidRPr="00223A80" w:rsidRDefault="00223A80" w:rsidP="00864B27">
      <w:pPr>
        <w:spacing w:before="100" w:beforeAutospacing="1" w:after="100" w:afterAutospacing="1"/>
        <w:ind w:left="284"/>
        <w:jc w:val="both"/>
        <w:rPr>
          <w:rFonts w:ascii="Verdana" w:hAnsi="Verdana"/>
          <w:sz w:val="18"/>
          <w:szCs w:val="18"/>
        </w:rPr>
      </w:pPr>
    </w:p>
    <w:p w14:paraId="084985BD" w14:textId="77777777" w:rsidR="00F14F72" w:rsidRDefault="00F14F72" w:rsidP="00223A80">
      <w:pPr>
        <w:ind w:left="284"/>
        <w:rPr>
          <w:rFonts w:ascii="Verdana" w:hAnsi="Verdana"/>
          <w:b/>
          <w:bCs/>
          <w:color w:val="800000"/>
          <w:w w:val="95"/>
          <w:sz w:val="22"/>
          <w:szCs w:val="22"/>
        </w:rPr>
      </w:pPr>
      <w:r>
        <w:rPr>
          <w:rFonts w:ascii="Verdana" w:hAnsi="Verdana"/>
          <w:b/>
          <w:bCs/>
          <w:color w:val="800000"/>
          <w:w w:val="95"/>
          <w:sz w:val="22"/>
          <w:szCs w:val="22"/>
        </w:rPr>
        <w:br w:type="page"/>
      </w:r>
    </w:p>
    <w:p w14:paraId="079C4E26" w14:textId="77777777" w:rsidR="000D7A27" w:rsidRDefault="000D7A27" w:rsidP="009A0BF8">
      <w:pPr>
        <w:jc w:val="both"/>
        <w:rPr>
          <w:rFonts w:ascii="Verdana" w:hAnsi="Verdana"/>
          <w:b/>
          <w:bCs/>
          <w:color w:val="800000"/>
          <w:w w:val="95"/>
          <w:sz w:val="22"/>
          <w:szCs w:val="22"/>
        </w:rPr>
      </w:pPr>
    </w:p>
    <w:p w14:paraId="126EBAE9" w14:textId="77777777" w:rsidR="00341BFE" w:rsidRDefault="00341BFE" w:rsidP="00030859">
      <w:pPr>
        <w:tabs>
          <w:tab w:val="left" w:pos="0"/>
        </w:tabs>
        <w:jc w:val="both"/>
        <w:rPr>
          <w:rFonts w:ascii="Verdana" w:hAnsi="Verdana"/>
          <w:b/>
          <w:bCs/>
          <w:color w:val="800000"/>
          <w:w w:val="95"/>
          <w:sz w:val="22"/>
          <w:szCs w:val="22"/>
        </w:rPr>
      </w:pPr>
      <w:r w:rsidRPr="003A71A5">
        <w:rPr>
          <w:rFonts w:ascii="Verdana" w:hAnsi="Verdana"/>
          <w:b/>
          <w:bCs/>
          <w:color w:val="800000"/>
          <w:w w:val="95"/>
          <w:sz w:val="22"/>
          <w:szCs w:val="22"/>
        </w:rPr>
        <w:t xml:space="preserve">DISPOSICIONES PUBLICADAS DURANTE </w:t>
      </w:r>
      <w:r w:rsidR="00122351">
        <w:rPr>
          <w:rFonts w:ascii="Verdana" w:hAnsi="Verdana"/>
          <w:b/>
          <w:bCs/>
          <w:color w:val="800000"/>
          <w:w w:val="95"/>
          <w:sz w:val="22"/>
          <w:szCs w:val="22"/>
        </w:rPr>
        <w:t>EL</w:t>
      </w:r>
      <w:r w:rsidR="00153B74">
        <w:rPr>
          <w:rFonts w:ascii="Verdana" w:hAnsi="Verdana"/>
          <w:b/>
          <w:bCs/>
          <w:color w:val="800000"/>
          <w:w w:val="95"/>
          <w:sz w:val="22"/>
          <w:szCs w:val="22"/>
        </w:rPr>
        <w:t xml:space="preserve"> MES DE </w:t>
      </w:r>
      <w:r w:rsidR="003735A6" w:rsidRPr="003A71A5">
        <w:rPr>
          <w:rFonts w:ascii="Verdana" w:hAnsi="Verdana"/>
          <w:b/>
          <w:bCs/>
          <w:color w:val="800000"/>
          <w:w w:val="95"/>
          <w:sz w:val="22"/>
          <w:szCs w:val="22"/>
        </w:rPr>
        <w:t>OCTUBRE</w:t>
      </w:r>
      <w:r w:rsidRPr="003A71A5">
        <w:rPr>
          <w:rFonts w:ascii="Verdana" w:hAnsi="Verdana"/>
          <w:b/>
          <w:bCs/>
          <w:color w:val="800000"/>
          <w:w w:val="95"/>
          <w:sz w:val="22"/>
          <w:szCs w:val="22"/>
        </w:rPr>
        <w:t xml:space="preserve"> DE </w:t>
      </w:r>
      <w:r w:rsidR="0069112E">
        <w:rPr>
          <w:rFonts w:ascii="Verdana" w:hAnsi="Verdana"/>
          <w:b/>
          <w:bCs/>
          <w:color w:val="800000"/>
          <w:w w:val="95"/>
          <w:sz w:val="22"/>
          <w:szCs w:val="22"/>
        </w:rPr>
        <w:t>202</w:t>
      </w:r>
      <w:r w:rsidR="00BD797B">
        <w:rPr>
          <w:rFonts w:ascii="Verdana" w:hAnsi="Verdana"/>
          <w:b/>
          <w:bCs/>
          <w:color w:val="800000"/>
          <w:w w:val="95"/>
          <w:sz w:val="22"/>
          <w:szCs w:val="22"/>
        </w:rPr>
        <w:t>6</w:t>
      </w:r>
    </w:p>
    <w:p w14:paraId="3D052B7A" w14:textId="77777777" w:rsidR="00BD797B" w:rsidRPr="00BD797B" w:rsidRDefault="00BD797B" w:rsidP="00BD797B">
      <w:pPr>
        <w:pStyle w:val="NormalWeb"/>
        <w:pBdr>
          <w:bottom w:val="single" w:sz="6" w:space="10" w:color="F4F4F4"/>
        </w:pBdr>
        <w:shd w:val="clear" w:color="auto" w:fill="FFFFFF"/>
        <w:tabs>
          <w:tab w:val="left" w:pos="0"/>
        </w:tabs>
        <w:contextualSpacing/>
        <w:jc w:val="both"/>
        <w:rPr>
          <w:rFonts w:ascii="Verdana" w:eastAsia="Times New Roman" w:hAnsi="Verdana" w:cs="Times New Roman"/>
          <w:b/>
          <w:bCs/>
          <w:color w:val="800000"/>
          <w:sz w:val="18"/>
          <w:szCs w:val="18"/>
        </w:rPr>
      </w:pPr>
      <w:r w:rsidRPr="00BD797B">
        <w:rPr>
          <w:rFonts w:ascii="Verdana" w:eastAsia="Times New Roman" w:hAnsi="Verdana" w:cs="Times New Roman"/>
          <w:b/>
          <w:bCs/>
          <w:color w:val="800000"/>
          <w:sz w:val="18"/>
          <w:szCs w:val="18"/>
        </w:rPr>
        <w:t>Procesos de facturación</w:t>
      </w:r>
    </w:p>
    <w:p w14:paraId="0A61AEF5" w14:textId="77777777" w:rsidR="00153B74" w:rsidRPr="00BD797B" w:rsidRDefault="00BD797B" w:rsidP="00BD797B">
      <w:pPr>
        <w:pStyle w:val="NormalWeb"/>
        <w:pBdr>
          <w:bottom w:val="single" w:sz="6" w:space="10" w:color="F4F4F4"/>
        </w:pBdr>
        <w:shd w:val="clear" w:color="auto" w:fill="FFFFFF"/>
        <w:tabs>
          <w:tab w:val="left" w:pos="0"/>
        </w:tabs>
        <w:contextualSpacing/>
        <w:jc w:val="both"/>
        <w:rPr>
          <w:rFonts w:ascii="Verdana" w:eastAsia="Times New Roman" w:hAnsi="Verdana" w:cs="Times New Roman"/>
          <w:sz w:val="18"/>
          <w:szCs w:val="18"/>
        </w:rPr>
      </w:pPr>
      <w:r w:rsidRPr="00BD797B">
        <w:rPr>
          <w:rFonts w:ascii="Verdana" w:eastAsia="Times New Roman" w:hAnsi="Verdana" w:cs="Times New Roman"/>
          <w:sz w:val="18"/>
          <w:szCs w:val="18"/>
        </w:rPr>
        <w:t>Orden HAC/1028/2026, de 2 de octubre, por la que se regula la solución pública de facturación electrónica, de acuerdo con lo dispuesto en la disposición final tercera del Real Decreto 238/2026, de 25 de marzo, por el que se desarrolla el sistema de facturación electrónica obligatoria entre empresarios y profesionales y por el que se modifica el Reglamento por el que se regulan las obligaciones de facturación, aprobado por el Real Decreto 1619/2012, de 30 de noviembre.</w:t>
      </w:r>
    </w:p>
    <w:p w14:paraId="608192FE" w14:textId="77777777" w:rsidR="003A177A" w:rsidRDefault="00965DF1" w:rsidP="00A71E7C">
      <w:pPr>
        <w:pStyle w:val="NormalWeb"/>
        <w:pBdr>
          <w:bottom w:val="single" w:sz="6" w:space="10" w:color="F4F4F4"/>
        </w:pBdr>
        <w:shd w:val="clear" w:color="auto" w:fill="FFFFFF"/>
        <w:tabs>
          <w:tab w:val="left" w:pos="0"/>
        </w:tabs>
        <w:contextualSpacing/>
        <w:jc w:val="both"/>
        <w:rPr>
          <w:rFonts w:ascii="Verdana" w:eastAsia="Times New Roman" w:hAnsi="Verdana" w:cs="Times New Roman"/>
          <w:i/>
          <w:iCs/>
          <w:sz w:val="18"/>
          <w:szCs w:val="18"/>
        </w:rPr>
      </w:pPr>
      <w:bookmarkStart w:id="6" w:name="_Hlk242982531"/>
      <w:r w:rsidRPr="00965DF1">
        <w:rPr>
          <w:rFonts w:ascii="Verdana" w:eastAsia="Times New Roman" w:hAnsi="Verdana" w:cs="Times New Roman"/>
          <w:i/>
          <w:iCs/>
          <w:sz w:val="18"/>
          <w:szCs w:val="18"/>
        </w:rPr>
        <w:t>Ministerio de Hacienda. B.O.E. núm. 246 de 5 de octubre de 2026.</w:t>
      </w:r>
    </w:p>
    <w:bookmarkEnd w:id="6"/>
    <w:p w14:paraId="65F0F7A2" w14:textId="77777777" w:rsidR="003A4615" w:rsidRDefault="003A4615" w:rsidP="00A71E7C">
      <w:pPr>
        <w:pStyle w:val="NormalWeb"/>
        <w:pBdr>
          <w:bottom w:val="single" w:sz="6" w:space="10" w:color="F4F4F4"/>
        </w:pBdr>
        <w:shd w:val="clear" w:color="auto" w:fill="FFFFFF"/>
        <w:tabs>
          <w:tab w:val="left" w:pos="0"/>
        </w:tabs>
        <w:contextualSpacing/>
        <w:jc w:val="both"/>
        <w:rPr>
          <w:rFonts w:ascii="Verdana" w:eastAsia="Times New Roman" w:hAnsi="Verdana" w:cs="Times New Roman"/>
          <w:i/>
          <w:iCs/>
          <w:sz w:val="18"/>
          <w:szCs w:val="18"/>
        </w:rPr>
      </w:pPr>
    </w:p>
    <w:p w14:paraId="6858E820" w14:textId="77777777" w:rsidR="003A4615" w:rsidRPr="003A4615" w:rsidRDefault="003A4615" w:rsidP="003A4615">
      <w:pPr>
        <w:pStyle w:val="NormalWeb"/>
        <w:pBdr>
          <w:bottom w:val="single" w:sz="6" w:space="10" w:color="F4F4F4"/>
        </w:pBdr>
        <w:shd w:val="clear" w:color="auto" w:fill="FFFFFF"/>
        <w:tabs>
          <w:tab w:val="left" w:pos="0"/>
        </w:tabs>
        <w:contextualSpacing/>
        <w:jc w:val="both"/>
        <w:rPr>
          <w:rFonts w:ascii="Verdana" w:eastAsia="Times New Roman" w:hAnsi="Verdana" w:cs="Times New Roman"/>
          <w:b/>
          <w:bCs/>
          <w:color w:val="800000"/>
          <w:sz w:val="18"/>
          <w:szCs w:val="18"/>
        </w:rPr>
      </w:pPr>
      <w:r w:rsidRPr="003A4615">
        <w:rPr>
          <w:rFonts w:ascii="Verdana" w:eastAsia="Times New Roman" w:hAnsi="Verdana" w:cs="Times New Roman"/>
          <w:b/>
          <w:bCs/>
          <w:color w:val="800000"/>
          <w:sz w:val="18"/>
          <w:szCs w:val="18"/>
        </w:rPr>
        <w:t>Impuestos especiales</w:t>
      </w:r>
    </w:p>
    <w:p w14:paraId="35CE1181" w14:textId="77777777" w:rsidR="003A4615" w:rsidRPr="003A4615" w:rsidRDefault="003A4615" w:rsidP="003A4615">
      <w:pPr>
        <w:pStyle w:val="NormalWeb"/>
        <w:pBdr>
          <w:bottom w:val="single" w:sz="6" w:space="10" w:color="F4F4F4"/>
        </w:pBdr>
        <w:shd w:val="clear" w:color="auto" w:fill="FFFFFF"/>
        <w:tabs>
          <w:tab w:val="left" w:pos="0"/>
        </w:tabs>
        <w:contextualSpacing/>
        <w:jc w:val="both"/>
        <w:rPr>
          <w:rFonts w:ascii="Verdana" w:eastAsia="Times New Roman" w:hAnsi="Verdana" w:cs="Times New Roman"/>
          <w:sz w:val="18"/>
          <w:szCs w:val="18"/>
        </w:rPr>
      </w:pPr>
      <w:r w:rsidRPr="003A4615">
        <w:rPr>
          <w:rFonts w:ascii="Verdana" w:eastAsia="Times New Roman" w:hAnsi="Verdana" w:cs="Times New Roman"/>
          <w:sz w:val="18"/>
          <w:szCs w:val="18"/>
        </w:rPr>
        <w:t>Orden HAC/1080/2026, de 7 de octubre, por la que se modifica la Orden HAC/66/2024, de 25 de enero, por la que se aprueban las normas de desarrollo de las marcas fiscales previstas para todas las labores del tabaco.</w:t>
      </w:r>
    </w:p>
    <w:p w14:paraId="3D8261B2" w14:textId="16618BA1" w:rsidR="003A4615" w:rsidRDefault="003A4615" w:rsidP="003A4615">
      <w:pPr>
        <w:pStyle w:val="NormalWeb"/>
        <w:pBdr>
          <w:bottom w:val="single" w:sz="6" w:space="10" w:color="F4F4F4"/>
        </w:pBdr>
        <w:shd w:val="clear" w:color="auto" w:fill="FFFFFF"/>
        <w:tabs>
          <w:tab w:val="left" w:pos="0"/>
        </w:tabs>
        <w:contextualSpacing/>
        <w:jc w:val="both"/>
        <w:rPr>
          <w:rFonts w:ascii="Verdana" w:eastAsia="Times New Roman" w:hAnsi="Verdana" w:cs="Times New Roman"/>
          <w:i/>
          <w:iCs/>
          <w:sz w:val="18"/>
          <w:szCs w:val="18"/>
        </w:rPr>
      </w:pPr>
      <w:r w:rsidRPr="00965DF1">
        <w:rPr>
          <w:rFonts w:ascii="Verdana" w:eastAsia="Times New Roman" w:hAnsi="Verdana" w:cs="Times New Roman"/>
          <w:i/>
          <w:iCs/>
          <w:sz w:val="18"/>
          <w:szCs w:val="18"/>
        </w:rPr>
        <w:t xml:space="preserve">Ministerio de Hacienda. B.O.E. núm. 246 de </w:t>
      </w:r>
      <w:r>
        <w:rPr>
          <w:rFonts w:ascii="Verdana" w:eastAsia="Times New Roman" w:hAnsi="Verdana" w:cs="Times New Roman"/>
          <w:i/>
          <w:iCs/>
          <w:sz w:val="18"/>
          <w:szCs w:val="18"/>
        </w:rPr>
        <w:t>3</w:t>
      </w:r>
      <w:r w:rsidRPr="00965DF1">
        <w:rPr>
          <w:rFonts w:ascii="Verdana" w:eastAsia="Times New Roman" w:hAnsi="Verdana" w:cs="Times New Roman"/>
          <w:i/>
          <w:iCs/>
          <w:sz w:val="18"/>
          <w:szCs w:val="18"/>
        </w:rPr>
        <w:t xml:space="preserve"> de octubre de 2026.</w:t>
      </w:r>
    </w:p>
    <w:p w14:paraId="4DEACFB7" w14:textId="77777777" w:rsidR="0023238E" w:rsidRDefault="0023238E" w:rsidP="003A4615">
      <w:pPr>
        <w:pStyle w:val="NormalWeb"/>
        <w:pBdr>
          <w:bottom w:val="single" w:sz="6" w:space="10" w:color="F4F4F4"/>
        </w:pBdr>
        <w:shd w:val="clear" w:color="auto" w:fill="FFFFFF"/>
        <w:tabs>
          <w:tab w:val="left" w:pos="0"/>
        </w:tabs>
        <w:contextualSpacing/>
        <w:jc w:val="both"/>
        <w:rPr>
          <w:rFonts w:ascii="Verdana" w:eastAsia="Times New Roman" w:hAnsi="Verdana" w:cs="Times New Roman"/>
          <w:i/>
          <w:iCs/>
          <w:sz w:val="18"/>
          <w:szCs w:val="18"/>
        </w:rPr>
      </w:pPr>
    </w:p>
    <w:p w14:paraId="442F8874" w14:textId="77777777" w:rsidR="0023238E" w:rsidRPr="0023238E" w:rsidRDefault="0023238E" w:rsidP="0023238E">
      <w:pPr>
        <w:pStyle w:val="NormalWeb"/>
        <w:pBdr>
          <w:bottom w:val="single" w:sz="6" w:space="10" w:color="F4F4F4"/>
        </w:pBdr>
        <w:shd w:val="clear" w:color="auto" w:fill="FFFFFF"/>
        <w:tabs>
          <w:tab w:val="left" w:pos="0"/>
        </w:tabs>
        <w:contextualSpacing/>
        <w:jc w:val="both"/>
        <w:rPr>
          <w:rFonts w:ascii="Verdana" w:eastAsia="Times New Roman" w:hAnsi="Verdana" w:cs="Times New Roman"/>
          <w:b/>
          <w:bCs/>
          <w:color w:val="800000"/>
          <w:sz w:val="18"/>
          <w:szCs w:val="18"/>
        </w:rPr>
      </w:pPr>
      <w:r w:rsidRPr="0023238E">
        <w:rPr>
          <w:rFonts w:ascii="Verdana" w:eastAsia="Times New Roman" w:hAnsi="Verdana" w:cs="Times New Roman"/>
          <w:b/>
          <w:bCs/>
          <w:color w:val="800000"/>
          <w:sz w:val="18"/>
          <w:szCs w:val="18"/>
        </w:rPr>
        <w:t>Medidas urgentes</w:t>
      </w:r>
    </w:p>
    <w:p w14:paraId="6E92B656" w14:textId="77777777" w:rsidR="0023238E" w:rsidRPr="0023238E" w:rsidRDefault="0023238E" w:rsidP="0023238E">
      <w:pPr>
        <w:pStyle w:val="NormalWeb"/>
        <w:pBdr>
          <w:bottom w:val="single" w:sz="6" w:space="10" w:color="F4F4F4"/>
        </w:pBdr>
        <w:shd w:val="clear" w:color="auto" w:fill="FFFFFF"/>
        <w:tabs>
          <w:tab w:val="left" w:pos="0"/>
        </w:tabs>
        <w:contextualSpacing/>
        <w:jc w:val="both"/>
        <w:rPr>
          <w:rFonts w:ascii="Verdana" w:eastAsia="Times New Roman" w:hAnsi="Verdana" w:cs="Times New Roman"/>
          <w:sz w:val="18"/>
          <w:szCs w:val="18"/>
        </w:rPr>
      </w:pPr>
      <w:r w:rsidRPr="0023238E">
        <w:rPr>
          <w:rFonts w:ascii="Verdana" w:eastAsia="Times New Roman" w:hAnsi="Verdana" w:cs="Times New Roman"/>
          <w:sz w:val="18"/>
          <w:szCs w:val="18"/>
        </w:rPr>
        <w:t>Real Decreto-ley 31/2026, de 20 de octubre, para la mejora de la acción protectora de la Seguridad Social y de otras normas sociales.</w:t>
      </w:r>
    </w:p>
    <w:p w14:paraId="0D69E62D" w14:textId="11366B16" w:rsidR="00965DF1" w:rsidRDefault="007B3CA5" w:rsidP="00A71E7C">
      <w:pPr>
        <w:pStyle w:val="NormalWeb"/>
        <w:pBdr>
          <w:bottom w:val="single" w:sz="6" w:space="10" w:color="F4F4F4"/>
        </w:pBdr>
        <w:shd w:val="clear" w:color="auto" w:fill="FFFFFF"/>
        <w:tabs>
          <w:tab w:val="left" w:pos="0"/>
        </w:tabs>
        <w:contextualSpacing/>
        <w:jc w:val="both"/>
        <w:rPr>
          <w:rFonts w:ascii="Verdana" w:eastAsia="Times New Roman" w:hAnsi="Verdana" w:cs="Times New Roman"/>
          <w:i/>
          <w:iCs/>
          <w:sz w:val="18"/>
          <w:szCs w:val="18"/>
        </w:rPr>
      </w:pPr>
      <w:r>
        <w:rPr>
          <w:rFonts w:ascii="Verdana" w:eastAsia="Times New Roman" w:hAnsi="Verdana" w:cs="Times New Roman"/>
          <w:i/>
          <w:iCs/>
          <w:sz w:val="18"/>
          <w:szCs w:val="18"/>
        </w:rPr>
        <w:t>Jefatura del Estado. B.O.E. núm. 261 de 21 de octubre d</w:t>
      </w:r>
      <w:r w:rsidR="00AA77AA">
        <w:rPr>
          <w:rFonts w:ascii="Verdana" w:eastAsia="Times New Roman" w:hAnsi="Verdana" w:cs="Times New Roman"/>
          <w:i/>
          <w:iCs/>
          <w:sz w:val="18"/>
          <w:szCs w:val="18"/>
        </w:rPr>
        <w:t>e</w:t>
      </w:r>
      <w:r>
        <w:rPr>
          <w:rFonts w:ascii="Verdana" w:eastAsia="Times New Roman" w:hAnsi="Verdana" w:cs="Times New Roman"/>
          <w:i/>
          <w:iCs/>
          <w:sz w:val="18"/>
          <w:szCs w:val="18"/>
        </w:rPr>
        <w:t xml:space="preserve"> 2026.</w:t>
      </w:r>
    </w:p>
    <w:p w14:paraId="32AFF33D" w14:textId="77777777" w:rsidR="00965DF1" w:rsidRPr="00965DF1" w:rsidRDefault="00965DF1" w:rsidP="00A71E7C">
      <w:pPr>
        <w:pStyle w:val="NormalWeb"/>
        <w:pBdr>
          <w:bottom w:val="single" w:sz="6" w:space="10" w:color="F4F4F4"/>
        </w:pBdr>
        <w:shd w:val="clear" w:color="auto" w:fill="FFFFFF"/>
        <w:tabs>
          <w:tab w:val="left" w:pos="0"/>
        </w:tabs>
        <w:contextualSpacing/>
        <w:jc w:val="both"/>
        <w:rPr>
          <w:rFonts w:ascii="Verdana" w:eastAsia="Times New Roman" w:hAnsi="Verdana" w:cs="Times New Roman"/>
          <w:sz w:val="18"/>
          <w:szCs w:val="18"/>
        </w:rPr>
      </w:pPr>
    </w:p>
    <w:p w14:paraId="2313290E" w14:textId="77777777" w:rsidR="007B3CA5" w:rsidRDefault="007B3CA5">
      <w:pPr>
        <w:rPr>
          <w:rFonts w:ascii="Verdana" w:hAnsi="Verdana"/>
          <w:b/>
          <w:bCs/>
          <w:color w:val="800000"/>
        </w:rPr>
      </w:pPr>
      <w:r w:rsidRPr="007B3CA5">
        <w:rPr>
          <w:rFonts w:ascii="Verdana" w:hAnsi="Verdana"/>
          <w:b/>
          <w:bCs/>
          <w:color w:val="800000"/>
        </w:rPr>
        <w:t>COMUNIDADES AUTÓNOMAS Y FORALES</w:t>
      </w:r>
    </w:p>
    <w:p w14:paraId="311AB2E9" w14:textId="77777777" w:rsidR="007B3CA5" w:rsidRPr="007B3CA5" w:rsidRDefault="007B3CA5">
      <w:pPr>
        <w:rPr>
          <w:rFonts w:ascii="Verdana" w:hAnsi="Verdana"/>
          <w:b/>
          <w:bCs/>
          <w:color w:val="800000"/>
        </w:rPr>
      </w:pPr>
    </w:p>
    <w:p w14:paraId="684E70A8" w14:textId="77777777" w:rsidR="007B3CA5" w:rsidRPr="007B3CA5" w:rsidRDefault="007B3CA5" w:rsidP="007B3CA5">
      <w:pPr>
        <w:rPr>
          <w:rFonts w:ascii="Verdana" w:hAnsi="Verdana"/>
          <w:b/>
          <w:bCs/>
          <w:color w:val="800000"/>
          <w:sz w:val="18"/>
          <w:szCs w:val="18"/>
        </w:rPr>
      </w:pPr>
      <w:r w:rsidRPr="007B3CA5">
        <w:rPr>
          <w:rFonts w:ascii="Verdana" w:hAnsi="Verdana"/>
          <w:b/>
          <w:bCs/>
          <w:color w:val="800000"/>
          <w:sz w:val="18"/>
          <w:szCs w:val="18"/>
        </w:rPr>
        <w:t>COMUNIDAD AUTÓNOMA DE EXTREMADURA</w:t>
      </w:r>
    </w:p>
    <w:p w14:paraId="2444B8F8" w14:textId="77777777" w:rsidR="007B3CA5" w:rsidRPr="007B3CA5" w:rsidRDefault="007B3CA5" w:rsidP="007B3CA5">
      <w:pPr>
        <w:rPr>
          <w:rFonts w:ascii="Verdana" w:hAnsi="Verdana"/>
          <w:b/>
          <w:bCs/>
          <w:color w:val="800000"/>
          <w:sz w:val="18"/>
          <w:szCs w:val="18"/>
        </w:rPr>
      </w:pPr>
      <w:r w:rsidRPr="007B3CA5">
        <w:rPr>
          <w:rFonts w:ascii="Verdana" w:hAnsi="Verdana"/>
          <w:b/>
          <w:bCs/>
          <w:color w:val="800000"/>
          <w:sz w:val="18"/>
          <w:szCs w:val="18"/>
        </w:rPr>
        <w:t>Medidas urgentes</w:t>
      </w:r>
    </w:p>
    <w:p w14:paraId="7B78D70F" w14:textId="77777777" w:rsidR="007B3CA5" w:rsidRDefault="007B3CA5" w:rsidP="007B3CA5">
      <w:pPr>
        <w:jc w:val="both"/>
        <w:rPr>
          <w:rFonts w:ascii="Verdana" w:hAnsi="Verdana"/>
          <w:sz w:val="18"/>
          <w:szCs w:val="18"/>
        </w:rPr>
      </w:pPr>
      <w:r w:rsidRPr="007B3CA5">
        <w:rPr>
          <w:rFonts w:ascii="Verdana" w:hAnsi="Verdana"/>
          <w:sz w:val="18"/>
          <w:szCs w:val="18"/>
        </w:rPr>
        <w:t>Decreto-ley 5/2026, de 1 de septiembre, de ayudas extraordinarias y otras medidas urgentes para la recuperación de las zonas afectadas por los incendios forestales acaecidos en Extremadura durante el verano de 2026 y en materia preventiva de incendios forestales.</w:t>
      </w:r>
    </w:p>
    <w:p w14:paraId="65DF59E6" w14:textId="77777777" w:rsidR="00FC6ED7" w:rsidRPr="007B3CA5" w:rsidRDefault="007B3CA5" w:rsidP="007B3CA5">
      <w:pPr>
        <w:jc w:val="both"/>
        <w:rPr>
          <w:rFonts w:ascii="Verdana" w:eastAsia="Arial Unicode MS" w:hAnsi="Verdana" w:cs="Arial Unicode MS"/>
          <w:i/>
          <w:iCs/>
          <w:sz w:val="18"/>
          <w:szCs w:val="18"/>
        </w:rPr>
      </w:pPr>
      <w:r w:rsidRPr="007B3CA5">
        <w:rPr>
          <w:rFonts w:ascii="Verdana" w:hAnsi="Verdana"/>
          <w:i/>
          <w:iCs/>
          <w:sz w:val="18"/>
          <w:szCs w:val="18"/>
        </w:rPr>
        <w:t>B.O.E. núm. 261 de 21 de octubre de 2026.</w:t>
      </w:r>
      <w:r w:rsidR="00FC6ED7" w:rsidRPr="007B3CA5">
        <w:rPr>
          <w:rFonts w:ascii="Verdana" w:hAnsi="Verdana"/>
          <w:i/>
          <w:iCs/>
          <w:sz w:val="18"/>
          <w:szCs w:val="18"/>
        </w:rPr>
        <w:br w:type="page"/>
      </w:r>
    </w:p>
    <w:p w14:paraId="4488CBB5" w14:textId="77777777" w:rsidR="00A71E7C" w:rsidRDefault="00A71E7C" w:rsidP="001B6A09">
      <w:pPr>
        <w:shd w:val="clear" w:color="auto" w:fill="FFFFFF"/>
        <w:spacing w:after="100" w:afterAutospacing="1"/>
        <w:ind w:firstLine="142"/>
        <w:outlineLvl w:val="0"/>
        <w:rPr>
          <w:rFonts w:ascii="Verdana" w:hAnsi="Verdana"/>
          <w:b/>
          <w:bCs/>
          <w:color w:val="800000"/>
          <w:sz w:val="22"/>
          <w:szCs w:val="22"/>
        </w:rPr>
      </w:pPr>
      <w:r>
        <w:rPr>
          <w:rFonts w:ascii="Verdana" w:hAnsi="Verdana"/>
          <w:b/>
          <w:bCs/>
          <w:color w:val="800000"/>
          <w:sz w:val="22"/>
          <w:szCs w:val="22"/>
        </w:rPr>
        <w:lastRenderedPageBreak/>
        <w:t xml:space="preserve">CALENDARIO FISCAL PARA EL MES </w:t>
      </w:r>
      <w:r w:rsidRPr="003D3BF2">
        <w:rPr>
          <w:rFonts w:ascii="Verdana" w:hAnsi="Verdana"/>
          <w:b/>
          <w:bCs/>
          <w:color w:val="800000"/>
          <w:sz w:val="22"/>
          <w:szCs w:val="22"/>
        </w:rPr>
        <w:t>DE</w:t>
      </w:r>
      <w:r>
        <w:rPr>
          <w:rFonts w:ascii="Verdana" w:hAnsi="Verdana"/>
          <w:b/>
          <w:bCs/>
          <w:color w:val="800000"/>
          <w:sz w:val="22"/>
          <w:szCs w:val="22"/>
        </w:rPr>
        <w:t xml:space="preserve"> NOVIEMBRE DE 202</w:t>
      </w:r>
      <w:r w:rsidR="00BD797B">
        <w:rPr>
          <w:rFonts w:ascii="Verdana" w:hAnsi="Verdana"/>
          <w:b/>
          <w:bCs/>
          <w:color w:val="800000"/>
          <w:sz w:val="22"/>
          <w:szCs w:val="22"/>
        </w:rPr>
        <w:t>6</w:t>
      </w:r>
    </w:p>
    <w:p w14:paraId="4EFBC1F5" w14:textId="77777777" w:rsidR="004709A5" w:rsidRPr="00FF4103" w:rsidRDefault="001B6A09" w:rsidP="004709A5">
      <w:pPr>
        <w:shd w:val="clear" w:color="auto" w:fill="FFFFFF"/>
        <w:spacing w:after="100" w:afterAutospacing="1"/>
        <w:ind w:firstLine="142"/>
        <w:outlineLvl w:val="0"/>
        <w:rPr>
          <w:rFonts w:ascii="Verdana" w:hAnsi="Verdana" w:cs="Arial"/>
          <w:b/>
          <w:bCs/>
          <w:color w:val="800000"/>
          <w:kern w:val="36"/>
          <w:sz w:val="18"/>
          <w:szCs w:val="18"/>
        </w:rPr>
      </w:pPr>
      <w:r w:rsidRPr="00FF4103">
        <w:rPr>
          <w:rFonts w:ascii="Verdana" w:hAnsi="Verdana" w:cs="Arial"/>
          <w:b/>
          <w:bCs/>
          <w:color w:val="800000"/>
          <w:kern w:val="36"/>
          <w:sz w:val="18"/>
          <w:szCs w:val="18"/>
        </w:rPr>
        <w:t>HASTA EL 2 DE NOVIEMBRE</w:t>
      </w:r>
    </w:p>
    <w:p w14:paraId="2B4CC0BA" w14:textId="77777777" w:rsidR="004709A5" w:rsidRPr="004709A5" w:rsidRDefault="004709A5" w:rsidP="001B6A09">
      <w:pPr>
        <w:shd w:val="clear" w:color="auto" w:fill="FFFFFF"/>
        <w:spacing w:after="100" w:afterAutospacing="1"/>
        <w:ind w:left="142" w:firstLine="142"/>
        <w:outlineLvl w:val="2"/>
        <w:rPr>
          <w:rFonts w:ascii="Verdana" w:hAnsi="Verdana" w:cs="Arial"/>
          <w:color w:val="000000"/>
          <w:sz w:val="18"/>
          <w:szCs w:val="18"/>
        </w:rPr>
      </w:pPr>
      <w:r w:rsidRPr="004709A5">
        <w:rPr>
          <w:rFonts w:ascii="Verdana" w:hAnsi="Verdana" w:cs="Arial"/>
          <w:b/>
          <w:bCs/>
          <w:color w:val="000000"/>
          <w:sz w:val="18"/>
          <w:szCs w:val="18"/>
        </w:rPr>
        <w:t>Número de Identificación Fiscal</w:t>
      </w:r>
    </w:p>
    <w:p w14:paraId="3A8A688D" w14:textId="77777777" w:rsidR="004709A5" w:rsidRPr="004709A5" w:rsidRDefault="004709A5" w:rsidP="009E07F4">
      <w:pPr>
        <w:numPr>
          <w:ilvl w:val="0"/>
          <w:numId w:val="5"/>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Tercer trimestre 2026. Cuentas y operaciones cuyos titulares no han facilitado el NIF a las entidades de crédito: 195</w:t>
      </w:r>
    </w:p>
    <w:p w14:paraId="6AD9BFEA" w14:textId="77777777" w:rsidR="004709A5" w:rsidRPr="004709A5" w:rsidRDefault="004709A5" w:rsidP="001B6A09">
      <w:pPr>
        <w:shd w:val="clear" w:color="auto" w:fill="FFFFFF"/>
        <w:spacing w:after="100" w:afterAutospacing="1"/>
        <w:ind w:left="142" w:firstLine="142"/>
        <w:outlineLvl w:val="2"/>
        <w:rPr>
          <w:rFonts w:ascii="Verdana" w:hAnsi="Verdana" w:cs="Arial"/>
          <w:color w:val="000000"/>
          <w:sz w:val="18"/>
          <w:szCs w:val="18"/>
        </w:rPr>
      </w:pPr>
      <w:r w:rsidRPr="004709A5">
        <w:rPr>
          <w:rFonts w:ascii="Verdana" w:hAnsi="Verdana" w:cs="Arial"/>
          <w:b/>
          <w:bCs/>
          <w:color w:val="000000"/>
          <w:sz w:val="18"/>
          <w:szCs w:val="18"/>
        </w:rPr>
        <w:t>Impuestos sobre Determinados Servicios Digitales</w:t>
      </w:r>
    </w:p>
    <w:p w14:paraId="3EA453EB" w14:textId="77777777" w:rsidR="004709A5" w:rsidRPr="004709A5" w:rsidRDefault="004709A5" w:rsidP="009E07F4">
      <w:pPr>
        <w:numPr>
          <w:ilvl w:val="0"/>
          <w:numId w:val="6"/>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Tercer trimestre 2026: 490</w:t>
      </w:r>
    </w:p>
    <w:p w14:paraId="41342507" w14:textId="77777777" w:rsidR="004709A5" w:rsidRPr="004709A5" w:rsidRDefault="004709A5" w:rsidP="001B6A09">
      <w:pPr>
        <w:shd w:val="clear" w:color="auto" w:fill="FFFFFF"/>
        <w:spacing w:after="100" w:afterAutospacing="1"/>
        <w:ind w:left="142" w:firstLine="142"/>
        <w:outlineLvl w:val="2"/>
        <w:rPr>
          <w:rFonts w:ascii="Verdana" w:hAnsi="Verdana" w:cs="Arial"/>
          <w:color w:val="000000"/>
          <w:sz w:val="18"/>
          <w:szCs w:val="18"/>
        </w:rPr>
      </w:pPr>
      <w:r w:rsidRPr="004709A5">
        <w:rPr>
          <w:rFonts w:ascii="Verdana" w:hAnsi="Verdana" w:cs="Arial"/>
          <w:b/>
          <w:bCs/>
          <w:color w:val="000000"/>
          <w:sz w:val="18"/>
          <w:szCs w:val="18"/>
        </w:rPr>
        <w:t>Impuestos Medioambientales</w:t>
      </w:r>
    </w:p>
    <w:p w14:paraId="087D6266" w14:textId="60B145D2" w:rsidR="004709A5" w:rsidRPr="004709A5" w:rsidRDefault="004709A5" w:rsidP="009E07F4">
      <w:pPr>
        <w:numPr>
          <w:ilvl w:val="0"/>
          <w:numId w:val="7"/>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 xml:space="preserve">Septiembre 2026. Impuesto especial sobre los envases de plástico no reutilizables. Presentación </w:t>
      </w:r>
      <w:r w:rsidR="008B2CDC">
        <w:rPr>
          <w:rFonts w:ascii="Verdana" w:hAnsi="Verdana" w:cs="Arial"/>
          <w:color w:val="000000"/>
          <w:sz w:val="18"/>
          <w:szCs w:val="18"/>
        </w:rPr>
        <w:t>de la</w:t>
      </w:r>
      <w:r w:rsidR="00EF5132">
        <w:rPr>
          <w:rFonts w:ascii="Verdana" w:hAnsi="Verdana" w:cs="Arial"/>
          <w:color w:val="000000"/>
          <w:sz w:val="18"/>
          <w:szCs w:val="18"/>
        </w:rPr>
        <w:t xml:space="preserve"> </w:t>
      </w:r>
      <w:r w:rsidRPr="004709A5">
        <w:rPr>
          <w:rFonts w:ascii="Verdana" w:hAnsi="Verdana" w:cs="Arial"/>
          <w:color w:val="000000"/>
          <w:sz w:val="18"/>
          <w:szCs w:val="18"/>
        </w:rPr>
        <w:t>contabilidad y libro registro de existencias</w:t>
      </w:r>
    </w:p>
    <w:p w14:paraId="4D34A943" w14:textId="77777777" w:rsidR="004709A5" w:rsidRPr="004709A5" w:rsidRDefault="004709A5" w:rsidP="009E07F4">
      <w:pPr>
        <w:numPr>
          <w:ilvl w:val="0"/>
          <w:numId w:val="7"/>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Tercer trimestre 2026. Impuesto especial sobre los envases de plástico no reutilizables. Presentación contabilidad y libro registro de existencias</w:t>
      </w:r>
    </w:p>
    <w:p w14:paraId="784E50BE" w14:textId="77777777" w:rsidR="004709A5" w:rsidRPr="004709A5" w:rsidRDefault="004709A5" w:rsidP="00122351">
      <w:pPr>
        <w:shd w:val="clear" w:color="auto" w:fill="FFFFFF"/>
        <w:spacing w:after="100" w:afterAutospacing="1"/>
        <w:ind w:left="284"/>
        <w:outlineLvl w:val="2"/>
        <w:rPr>
          <w:rFonts w:ascii="Verdana" w:hAnsi="Verdana" w:cs="Arial"/>
          <w:color w:val="000000"/>
          <w:sz w:val="18"/>
          <w:szCs w:val="18"/>
        </w:rPr>
      </w:pPr>
      <w:r w:rsidRPr="004709A5">
        <w:rPr>
          <w:rFonts w:ascii="Verdana" w:hAnsi="Verdana" w:cs="Arial"/>
          <w:b/>
          <w:bCs/>
          <w:color w:val="000000"/>
          <w:sz w:val="18"/>
          <w:szCs w:val="18"/>
        </w:rPr>
        <w:t>Declaración informativa mensual de las operaciones realizadas por los empresarios o profesionales adheridos al sistema de gestión de cobros a través de cualquier tipo de tarjetas y mediante pagos asociados a números de teléfono móvil</w:t>
      </w:r>
    </w:p>
    <w:p w14:paraId="6F7C8E51" w14:textId="77777777" w:rsidR="004709A5" w:rsidRPr="004709A5" w:rsidRDefault="004709A5" w:rsidP="009E07F4">
      <w:pPr>
        <w:numPr>
          <w:ilvl w:val="0"/>
          <w:numId w:val="8"/>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Septiembre 2026: 170</w:t>
      </w:r>
    </w:p>
    <w:p w14:paraId="186CBF07" w14:textId="77777777" w:rsidR="004709A5" w:rsidRPr="004709A5" w:rsidRDefault="004709A5" w:rsidP="00122351">
      <w:pPr>
        <w:shd w:val="clear" w:color="auto" w:fill="FFFFFF"/>
        <w:spacing w:after="100" w:afterAutospacing="1"/>
        <w:ind w:left="284"/>
        <w:outlineLvl w:val="2"/>
        <w:rPr>
          <w:rFonts w:ascii="Verdana" w:hAnsi="Verdana" w:cs="Arial"/>
          <w:color w:val="000000"/>
          <w:sz w:val="18"/>
          <w:szCs w:val="18"/>
        </w:rPr>
      </w:pPr>
      <w:r w:rsidRPr="004709A5">
        <w:rPr>
          <w:rFonts w:ascii="Verdana" w:hAnsi="Verdana" w:cs="Arial"/>
          <w:b/>
          <w:bCs/>
          <w:color w:val="000000"/>
          <w:sz w:val="18"/>
          <w:szCs w:val="18"/>
        </w:rPr>
        <w:t>Declaración informativa mensual de cuentas en toda clase de instituciones financieras y resumen anual de retenciones e ingresos a cuenta sobre rendimientos del capital mobiliario y rentas obtenidas por la contraprestación derivada de cuentas en toda clase de instituciones financieras</w:t>
      </w:r>
    </w:p>
    <w:p w14:paraId="1EE91DED" w14:textId="77777777" w:rsidR="004709A5" w:rsidRPr="004709A5" w:rsidRDefault="004709A5" w:rsidP="009E07F4">
      <w:pPr>
        <w:numPr>
          <w:ilvl w:val="0"/>
          <w:numId w:val="9"/>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Septiembre 2026: 196</w:t>
      </w:r>
    </w:p>
    <w:p w14:paraId="702DD148" w14:textId="77777777" w:rsidR="004709A5" w:rsidRPr="004709A5" w:rsidRDefault="004709A5" w:rsidP="00122351">
      <w:pPr>
        <w:shd w:val="clear" w:color="auto" w:fill="FFFFFF"/>
        <w:spacing w:after="100" w:afterAutospacing="1"/>
        <w:ind w:left="284"/>
        <w:outlineLvl w:val="2"/>
        <w:rPr>
          <w:rFonts w:ascii="Verdana" w:hAnsi="Verdana" w:cs="Arial"/>
          <w:color w:val="000000"/>
          <w:sz w:val="18"/>
          <w:szCs w:val="18"/>
        </w:rPr>
      </w:pPr>
      <w:r w:rsidRPr="004709A5">
        <w:rPr>
          <w:rFonts w:ascii="Verdana" w:hAnsi="Verdana" w:cs="Arial"/>
          <w:b/>
          <w:bCs/>
          <w:color w:val="000000"/>
          <w:sz w:val="18"/>
          <w:szCs w:val="18"/>
        </w:rPr>
        <w:t>Declaración informativa de actualización de determinados mecanismos transfronterizos comercializables</w:t>
      </w:r>
    </w:p>
    <w:p w14:paraId="28C29C3C" w14:textId="56970237" w:rsidR="004709A5" w:rsidRPr="004709A5" w:rsidRDefault="004709A5" w:rsidP="009E07F4">
      <w:pPr>
        <w:numPr>
          <w:ilvl w:val="0"/>
          <w:numId w:val="10"/>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Tercer trimestre 202</w:t>
      </w:r>
      <w:r w:rsidR="00EF5132">
        <w:rPr>
          <w:rFonts w:ascii="Verdana" w:hAnsi="Verdana" w:cs="Arial"/>
          <w:color w:val="000000"/>
          <w:sz w:val="18"/>
          <w:szCs w:val="18"/>
        </w:rPr>
        <w:t>6</w:t>
      </w:r>
      <w:r w:rsidRPr="004709A5">
        <w:rPr>
          <w:rFonts w:ascii="Verdana" w:hAnsi="Verdana" w:cs="Arial"/>
          <w:color w:val="000000"/>
          <w:sz w:val="18"/>
          <w:szCs w:val="18"/>
        </w:rPr>
        <w:t>: 235</w:t>
      </w:r>
    </w:p>
    <w:p w14:paraId="4CF084FC" w14:textId="77777777" w:rsidR="004709A5" w:rsidRPr="004709A5" w:rsidRDefault="004709A5" w:rsidP="00122351">
      <w:pPr>
        <w:shd w:val="clear" w:color="auto" w:fill="FFFFFF"/>
        <w:spacing w:after="100" w:afterAutospacing="1"/>
        <w:ind w:left="284"/>
        <w:outlineLvl w:val="2"/>
        <w:rPr>
          <w:rFonts w:ascii="Verdana" w:hAnsi="Verdana" w:cs="Arial"/>
          <w:color w:val="000000"/>
          <w:sz w:val="18"/>
          <w:szCs w:val="18"/>
        </w:rPr>
      </w:pPr>
      <w:r w:rsidRPr="004709A5">
        <w:rPr>
          <w:rFonts w:ascii="Verdana" w:hAnsi="Verdana" w:cs="Arial"/>
          <w:b/>
          <w:bCs/>
          <w:color w:val="000000"/>
          <w:sz w:val="18"/>
          <w:szCs w:val="18"/>
        </w:rPr>
        <w:t>Declaración informativa trimestral de operaciones de comercio de bienes corporales realizadas en la zona especial canaria sin que las mercancías transiten por territorio canario</w:t>
      </w:r>
    </w:p>
    <w:p w14:paraId="422A938F" w14:textId="77777777" w:rsidR="004709A5" w:rsidRPr="004709A5" w:rsidRDefault="004709A5" w:rsidP="009E07F4">
      <w:pPr>
        <w:numPr>
          <w:ilvl w:val="0"/>
          <w:numId w:val="11"/>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Tercer trimestre 2026: 281</w:t>
      </w:r>
    </w:p>
    <w:p w14:paraId="766BB0E2" w14:textId="77777777" w:rsidR="004709A5" w:rsidRPr="004709A5" w:rsidRDefault="004709A5" w:rsidP="001B6A09">
      <w:pPr>
        <w:shd w:val="clear" w:color="auto" w:fill="FFFFFF"/>
        <w:spacing w:after="100" w:afterAutospacing="1"/>
        <w:ind w:left="142" w:firstLine="142"/>
        <w:outlineLvl w:val="2"/>
        <w:rPr>
          <w:rFonts w:ascii="Verdana" w:hAnsi="Verdana" w:cs="Arial"/>
          <w:color w:val="000000"/>
          <w:sz w:val="18"/>
          <w:szCs w:val="18"/>
        </w:rPr>
      </w:pPr>
      <w:r w:rsidRPr="004709A5">
        <w:rPr>
          <w:rFonts w:ascii="Verdana" w:hAnsi="Verdana" w:cs="Arial"/>
          <w:b/>
          <w:bCs/>
          <w:color w:val="000000"/>
          <w:sz w:val="18"/>
          <w:szCs w:val="18"/>
        </w:rPr>
        <w:t>Declaración informativa sobre pagos transfronterizos</w:t>
      </w:r>
    </w:p>
    <w:p w14:paraId="1C6DC970" w14:textId="77777777" w:rsidR="00122351" w:rsidRPr="00122351" w:rsidRDefault="004709A5" w:rsidP="009E07F4">
      <w:pPr>
        <w:numPr>
          <w:ilvl w:val="0"/>
          <w:numId w:val="12"/>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Tercer trimestre 2026: 379</w:t>
      </w:r>
    </w:p>
    <w:p w14:paraId="3AD58091" w14:textId="77777777" w:rsidR="004709A5" w:rsidRPr="004709A5" w:rsidRDefault="004709A5" w:rsidP="00122351">
      <w:pPr>
        <w:shd w:val="clear" w:color="auto" w:fill="FFFFFF"/>
        <w:spacing w:after="100" w:afterAutospacing="1"/>
        <w:ind w:left="567" w:hanging="283"/>
        <w:outlineLvl w:val="2"/>
        <w:rPr>
          <w:rFonts w:ascii="Verdana" w:hAnsi="Verdana" w:cs="Arial"/>
          <w:color w:val="000000"/>
          <w:sz w:val="18"/>
          <w:szCs w:val="18"/>
        </w:rPr>
      </w:pPr>
      <w:r w:rsidRPr="004709A5">
        <w:rPr>
          <w:rFonts w:ascii="Verdana" w:hAnsi="Verdana" w:cs="Arial"/>
          <w:b/>
          <w:bCs/>
          <w:color w:val="000000"/>
          <w:sz w:val="18"/>
          <w:szCs w:val="18"/>
        </w:rPr>
        <w:t>Cuenta Corriente Tributaria</w:t>
      </w:r>
    </w:p>
    <w:p w14:paraId="2BB1FAF7" w14:textId="77777777" w:rsidR="004709A5" w:rsidRPr="004709A5" w:rsidRDefault="004709A5" w:rsidP="009E07F4">
      <w:pPr>
        <w:numPr>
          <w:ilvl w:val="0"/>
          <w:numId w:val="13"/>
        </w:numPr>
        <w:shd w:val="clear" w:color="auto" w:fill="FFFFFF"/>
        <w:spacing w:after="100" w:afterAutospacing="1"/>
        <w:ind w:left="142" w:firstLine="142"/>
        <w:rPr>
          <w:rFonts w:ascii="Verdana" w:hAnsi="Verdana" w:cs="Arial"/>
          <w:color w:val="000000"/>
          <w:sz w:val="18"/>
          <w:szCs w:val="18"/>
        </w:rPr>
      </w:pPr>
      <w:r w:rsidRPr="004709A5">
        <w:rPr>
          <w:rFonts w:ascii="Verdana" w:hAnsi="Verdana" w:cs="Arial"/>
          <w:color w:val="000000"/>
          <w:sz w:val="18"/>
          <w:szCs w:val="18"/>
        </w:rPr>
        <w:t>Solicitud de inclusión para el año 2027: CCT (Cuenta Corriente Tributaria)</w:t>
      </w:r>
    </w:p>
    <w:p w14:paraId="65F5A9B9" w14:textId="77777777" w:rsidR="003D3BF2" w:rsidRDefault="003D3BF2" w:rsidP="00122351">
      <w:pPr>
        <w:shd w:val="clear" w:color="auto" w:fill="FFFFFF"/>
        <w:tabs>
          <w:tab w:val="left" w:pos="426"/>
        </w:tabs>
        <w:spacing w:after="100" w:afterAutospacing="1"/>
        <w:ind w:left="426"/>
        <w:outlineLvl w:val="0"/>
        <w:rPr>
          <w:rFonts w:ascii="Verdana" w:hAnsi="Verdana" w:cs="Arial"/>
          <w:b/>
          <w:bCs/>
          <w:color w:val="C45911" w:themeColor="accent2" w:themeShade="BF"/>
          <w:kern w:val="36"/>
          <w:sz w:val="18"/>
          <w:szCs w:val="18"/>
        </w:rPr>
      </w:pPr>
    </w:p>
    <w:p w14:paraId="1C7D0FCD" w14:textId="77777777" w:rsidR="003D3BF2" w:rsidRDefault="003D3BF2" w:rsidP="00122351">
      <w:pPr>
        <w:shd w:val="clear" w:color="auto" w:fill="FFFFFF"/>
        <w:tabs>
          <w:tab w:val="left" w:pos="426"/>
        </w:tabs>
        <w:spacing w:after="100" w:afterAutospacing="1"/>
        <w:ind w:left="426"/>
        <w:outlineLvl w:val="0"/>
        <w:rPr>
          <w:rFonts w:ascii="Verdana" w:hAnsi="Verdana" w:cs="Arial"/>
          <w:b/>
          <w:bCs/>
          <w:color w:val="C45911" w:themeColor="accent2" w:themeShade="BF"/>
          <w:kern w:val="36"/>
          <w:sz w:val="18"/>
          <w:szCs w:val="18"/>
        </w:rPr>
      </w:pPr>
    </w:p>
    <w:p w14:paraId="04D3ED0A" w14:textId="77777777" w:rsidR="003D3BF2" w:rsidRDefault="003D3BF2" w:rsidP="00122351">
      <w:pPr>
        <w:shd w:val="clear" w:color="auto" w:fill="FFFFFF"/>
        <w:tabs>
          <w:tab w:val="left" w:pos="426"/>
        </w:tabs>
        <w:spacing w:after="100" w:afterAutospacing="1"/>
        <w:ind w:left="426"/>
        <w:outlineLvl w:val="0"/>
        <w:rPr>
          <w:rFonts w:ascii="Verdana" w:hAnsi="Verdana" w:cs="Arial"/>
          <w:b/>
          <w:bCs/>
          <w:color w:val="C45911" w:themeColor="accent2" w:themeShade="BF"/>
          <w:kern w:val="36"/>
          <w:sz w:val="18"/>
          <w:szCs w:val="18"/>
        </w:rPr>
      </w:pPr>
    </w:p>
    <w:p w14:paraId="513949A3" w14:textId="77777777" w:rsidR="004709A5" w:rsidRPr="00FF4103" w:rsidRDefault="00440C0B" w:rsidP="00122351">
      <w:pPr>
        <w:shd w:val="clear" w:color="auto" w:fill="FFFFFF"/>
        <w:tabs>
          <w:tab w:val="left" w:pos="426"/>
        </w:tabs>
        <w:spacing w:after="100" w:afterAutospacing="1"/>
        <w:ind w:left="426"/>
        <w:outlineLvl w:val="0"/>
        <w:rPr>
          <w:rFonts w:ascii="Verdana" w:hAnsi="Verdana" w:cs="Arial"/>
          <w:b/>
          <w:bCs/>
          <w:color w:val="800000"/>
          <w:kern w:val="36"/>
          <w:sz w:val="18"/>
          <w:szCs w:val="18"/>
        </w:rPr>
      </w:pPr>
      <w:r w:rsidRPr="00FF4103">
        <w:rPr>
          <w:rFonts w:ascii="Verdana" w:hAnsi="Verdana" w:cs="Arial"/>
          <w:b/>
          <w:bCs/>
          <w:color w:val="800000"/>
          <w:kern w:val="36"/>
          <w:sz w:val="18"/>
          <w:szCs w:val="18"/>
        </w:rPr>
        <w:t>HASTA EL 5 DE NOVIEMBRE</w:t>
      </w:r>
    </w:p>
    <w:p w14:paraId="1DCAC41D" w14:textId="77777777" w:rsidR="004709A5" w:rsidRPr="004709A5" w:rsidRDefault="004709A5" w:rsidP="00122351">
      <w:pPr>
        <w:pStyle w:val="Ttulo3"/>
        <w:shd w:val="clear" w:color="auto" w:fill="FFFFFF"/>
        <w:ind w:left="567" w:hanging="141"/>
        <w:rPr>
          <w:rFonts w:cs="Arial"/>
          <w:b w:val="0"/>
          <w:bCs w:val="0"/>
          <w:color w:val="000000"/>
          <w:sz w:val="18"/>
          <w:szCs w:val="18"/>
        </w:rPr>
      </w:pPr>
      <w:r w:rsidRPr="004709A5">
        <w:rPr>
          <w:rStyle w:val="Fuerte"/>
          <w:rFonts w:cs="Arial"/>
          <w:b/>
          <w:bCs/>
          <w:color w:val="000000"/>
          <w:sz w:val="18"/>
          <w:szCs w:val="18"/>
        </w:rPr>
        <w:t>Renta</w:t>
      </w:r>
    </w:p>
    <w:p w14:paraId="06D25478" w14:textId="77777777" w:rsidR="004709A5" w:rsidRDefault="004709A5" w:rsidP="009E07F4">
      <w:pPr>
        <w:pStyle w:val="NormalWeb"/>
        <w:numPr>
          <w:ilvl w:val="0"/>
          <w:numId w:val="14"/>
        </w:numPr>
        <w:shd w:val="clear" w:color="auto" w:fill="FFFFFF"/>
        <w:spacing w:before="0" w:beforeAutospacing="0"/>
        <w:ind w:left="567" w:hanging="141"/>
        <w:rPr>
          <w:rFonts w:ascii="Verdana" w:hAnsi="Verdana" w:cs="Arial"/>
          <w:color w:val="000000"/>
          <w:sz w:val="18"/>
          <w:szCs w:val="18"/>
        </w:rPr>
      </w:pPr>
      <w:r w:rsidRPr="004709A5">
        <w:rPr>
          <w:rFonts w:ascii="Verdana" w:hAnsi="Verdana" w:cs="Arial"/>
          <w:color w:val="000000"/>
          <w:sz w:val="18"/>
          <w:szCs w:val="18"/>
        </w:rPr>
        <w:t>Ingreso del segundo plazo de la declaración anual de 2025, si se fraccionó el pago: 102</w:t>
      </w:r>
    </w:p>
    <w:p w14:paraId="4DFF4175" w14:textId="77777777" w:rsidR="004709A5" w:rsidRPr="00FF4103" w:rsidRDefault="00122351" w:rsidP="00122351">
      <w:pPr>
        <w:shd w:val="clear" w:color="auto" w:fill="FFFFFF"/>
        <w:spacing w:after="100" w:afterAutospacing="1"/>
        <w:ind w:left="567" w:hanging="141"/>
        <w:outlineLvl w:val="0"/>
        <w:rPr>
          <w:rFonts w:ascii="Verdana" w:hAnsi="Verdana" w:cs="Arial"/>
          <w:b/>
          <w:bCs/>
          <w:color w:val="800000"/>
          <w:kern w:val="36"/>
          <w:sz w:val="18"/>
          <w:szCs w:val="18"/>
        </w:rPr>
      </w:pPr>
      <w:r w:rsidRPr="00FF4103">
        <w:rPr>
          <w:rFonts w:ascii="Verdana" w:hAnsi="Verdana" w:cs="Arial"/>
          <w:b/>
          <w:bCs/>
          <w:color w:val="800000"/>
          <w:kern w:val="36"/>
          <w:sz w:val="18"/>
          <w:szCs w:val="18"/>
        </w:rPr>
        <w:t>HASTA EL 12 DE NOVIEMBRE</w:t>
      </w:r>
    </w:p>
    <w:p w14:paraId="547EF261" w14:textId="77777777" w:rsidR="004709A5" w:rsidRPr="004709A5" w:rsidRDefault="004709A5" w:rsidP="00122351">
      <w:pPr>
        <w:pStyle w:val="Ttulo3"/>
        <w:shd w:val="clear" w:color="auto" w:fill="FFFFFF"/>
        <w:ind w:left="709" w:hanging="283"/>
        <w:rPr>
          <w:rFonts w:cs="Arial"/>
          <w:b w:val="0"/>
          <w:bCs w:val="0"/>
          <w:color w:val="000000"/>
          <w:sz w:val="18"/>
          <w:szCs w:val="18"/>
        </w:rPr>
      </w:pPr>
      <w:r w:rsidRPr="004709A5">
        <w:rPr>
          <w:rStyle w:val="Fuerte"/>
          <w:rFonts w:cs="Arial"/>
          <w:b/>
          <w:bCs/>
          <w:color w:val="000000"/>
          <w:sz w:val="18"/>
          <w:szCs w:val="18"/>
        </w:rPr>
        <w:t>INTRASTAT - Estadística Comercio Intracomunitario</w:t>
      </w:r>
    </w:p>
    <w:p w14:paraId="25255B04" w14:textId="77777777" w:rsidR="004709A5" w:rsidRDefault="004709A5" w:rsidP="009E07F4">
      <w:pPr>
        <w:pStyle w:val="NormalWeb"/>
        <w:numPr>
          <w:ilvl w:val="0"/>
          <w:numId w:val="15"/>
        </w:numPr>
        <w:shd w:val="clear" w:color="auto" w:fill="FFFFFF"/>
        <w:spacing w:before="0" w:beforeAutospacing="0"/>
        <w:ind w:left="709"/>
        <w:rPr>
          <w:rFonts w:ascii="Verdana" w:hAnsi="Verdana" w:cs="Arial"/>
          <w:color w:val="000000"/>
          <w:sz w:val="18"/>
          <w:szCs w:val="18"/>
        </w:rPr>
      </w:pPr>
      <w:r w:rsidRPr="004709A5">
        <w:rPr>
          <w:rFonts w:ascii="Verdana" w:hAnsi="Verdana" w:cs="Arial"/>
          <w:color w:val="000000"/>
          <w:sz w:val="18"/>
          <w:szCs w:val="18"/>
        </w:rPr>
        <w:t>Octubre 2026. Obligados a suministrar información estadística</w:t>
      </w:r>
    </w:p>
    <w:p w14:paraId="252171E3" w14:textId="77777777" w:rsidR="004709A5" w:rsidRPr="00FF4103" w:rsidRDefault="00440C0B" w:rsidP="008B00FF">
      <w:pPr>
        <w:shd w:val="clear" w:color="auto" w:fill="FFFFFF"/>
        <w:spacing w:after="100" w:afterAutospacing="1"/>
        <w:ind w:left="567" w:hanging="141"/>
        <w:outlineLvl w:val="0"/>
        <w:rPr>
          <w:rFonts w:ascii="Verdana" w:hAnsi="Verdana" w:cs="Arial"/>
          <w:b/>
          <w:bCs/>
          <w:color w:val="800000"/>
          <w:kern w:val="36"/>
          <w:sz w:val="18"/>
          <w:szCs w:val="18"/>
        </w:rPr>
      </w:pPr>
      <w:r w:rsidRPr="00FF4103">
        <w:rPr>
          <w:rFonts w:ascii="Verdana" w:hAnsi="Verdana" w:cs="Arial"/>
          <w:b/>
          <w:bCs/>
          <w:color w:val="800000"/>
          <w:kern w:val="36"/>
          <w:sz w:val="18"/>
          <w:szCs w:val="18"/>
        </w:rPr>
        <w:t>HASTA EL 20 DE NOVIEMBRE</w:t>
      </w:r>
    </w:p>
    <w:p w14:paraId="0F1AC53E" w14:textId="77777777" w:rsidR="004709A5" w:rsidRPr="004709A5" w:rsidRDefault="004709A5" w:rsidP="008B00FF">
      <w:pPr>
        <w:pStyle w:val="NormalWeb"/>
        <w:ind w:left="709" w:hanging="283"/>
        <w:rPr>
          <w:rFonts w:ascii="Verdana" w:hAnsi="Verdana" w:cs="Arial"/>
          <w:color w:val="000000"/>
          <w:sz w:val="18"/>
          <w:szCs w:val="18"/>
        </w:rPr>
      </w:pPr>
      <w:r w:rsidRPr="004709A5">
        <w:rPr>
          <w:rFonts w:ascii="Verdana" w:hAnsi="Verdana" w:cs="Arial"/>
          <w:b/>
          <w:bCs/>
          <w:color w:val="000000"/>
          <w:sz w:val="18"/>
          <w:szCs w:val="18"/>
        </w:rPr>
        <w:t>Renta y Sociedades</w:t>
      </w:r>
    </w:p>
    <w:p w14:paraId="110DA2B5" w14:textId="77777777" w:rsidR="004709A5" w:rsidRPr="004709A5" w:rsidRDefault="004709A5" w:rsidP="00122351">
      <w:pPr>
        <w:pStyle w:val="NormalWeb"/>
        <w:ind w:left="426"/>
        <w:rPr>
          <w:rFonts w:ascii="Verdana" w:hAnsi="Verdana" w:cs="Arial"/>
          <w:color w:val="000000"/>
          <w:sz w:val="18"/>
          <w:szCs w:val="18"/>
        </w:rPr>
      </w:pPr>
      <w:r w:rsidRPr="004709A5">
        <w:rPr>
          <w:rFonts w:ascii="Verdana" w:hAnsi="Verdana" w:cs="Arial"/>
          <w:color w:val="000000"/>
          <w:sz w:val="18"/>
          <w:szCs w:val="18"/>
        </w:rPr>
        <w:t>Retenciones e ingresos a cuenta de rendimientos del trabajo, actividades económicas, premios y determinadas ganancias patrimoniales e imputaciones de renta, ganancias derivadas de acciones y participaciones de las Instituciones de Inversión Colectiva, rentas de arrendamiento de inmuebles urbanos, capital mobiliario, personas autorizadas y saldos en cuentas y, de rentas de no residentes obtenidas sin establecimiento permanente.</w:t>
      </w:r>
    </w:p>
    <w:p w14:paraId="5327C2A9" w14:textId="77777777" w:rsidR="004709A5" w:rsidRPr="004709A5" w:rsidRDefault="004709A5" w:rsidP="009E07F4">
      <w:pPr>
        <w:pStyle w:val="NormalWeb"/>
        <w:numPr>
          <w:ilvl w:val="0"/>
          <w:numId w:val="16"/>
        </w:numPr>
        <w:spacing w:before="0" w:beforeAutospacing="0"/>
        <w:ind w:left="709"/>
        <w:rPr>
          <w:rFonts w:ascii="Verdana" w:hAnsi="Verdana" w:cs="Arial"/>
          <w:color w:val="000000"/>
          <w:sz w:val="18"/>
          <w:szCs w:val="18"/>
        </w:rPr>
      </w:pPr>
      <w:r w:rsidRPr="004709A5">
        <w:rPr>
          <w:rFonts w:ascii="Verdana" w:hAnsi="Verdana" w:cs="Arial"/>
          <w:color w:val="000000"/>
          <w:sz w:val="18"/>
          <w:szCs w:val="18"/>
        </w:rPr>
        <w:t>Octubre 2026. Grandes empresas: 111, 115, 117, 123, 124, 126, 128, 216, 230 </w:t>
      </w:r>
    </w:p>
    <w:p w14:paraId="37639D1E" w14:textId="77777777" w:rsidR="004709A5" w:rsidRPr="004709A5" w:rsidRDefault="004709A5" w:rsidP="008B00FF">
      <w:pPr>
        <w:pStyle w:val="NormalWeb"/>
        <w:ind w:left="709" w:hanging="283"/>
        <w:rPr>
          <w:rFonts w:ascii="Verdana" w:hAnsi="Verdana" w:cs="Arial"/>
          <w:color w:val="000000"/>
          <w:sz w:val="18"/>
          <w:szCs w:val="18"/>
        </w:rPr>
      </w:pPr>
      <w:r w:rsidRPr="004709A5">
        <w:rPr>
          <w:rFonts w:ascii="Verdana" w:hAnsi="Verdana" w:cs="Arial"/>
          <w:b/>
          <w:bCs/>
          <w:color w:val="000000"/>
          <w:sz w:val="18"/>
          <w:szCs w:val="18"/>
        </w:rPr>
        <w:t>IVA</w:t>
      </w:r>
    </w:p>
    <w:p w14:paraId="038F6BEF" w14:textId="77777777" w:rsidR="004709A5" w:rsidRPr="004709A5" w:rsidRDefault="004709A5" w:rsidP="009E07F4">
      <w:pPr>
        <w:pStyle w:val="NormalWeb"/>
        <w:numPr>
          <w:ilvl w:val="0"/>
          <w:numId w:val="17"/>
        </w:numPr>
        <w:ind w:left="709"/>
        <w:rPr>
          <w:rFonts w:ascii="Verdana" w:hAnsi="Verdana" w:cs="Arial"/>
          <w:color w:val="000000"/>
          <w:sz w:val="18"/>
          <w:szCs w:val="18"/>
        </w:rPr>
      </w:pPr>
      <w:r w:rsidRPr="004709A5">
        <w:rPr>
          <w:rFonts w:ascii="Verdana" w:hAnsi="Verdana" w:cs="Arial"/>
          <w:color w:val="000000"/>
          <w:sz w:val="18"/>
          <w:szCs w:val="18"/>
        </w:rPr>
        <w:t>Octubre 2026. Declaración recapitulativa de operaciones intracomunitarias: 349 </w:t>
      </w:r>
    </w:p>
    <w:p w14:paraId="302C4FBF" w14:textId="77777777" w:rsidR="004709A5" w:rsidRPr="004709A5" w:rsidRDefault="004709A5" w:rsidP="009E07F4">
      <w:pPr>
        <w:pStyle w:val="NormalWeb"/>
        <w:numPr>
          <w:ilvl w:val="0"/>
          <w:numId w:val="17"/>
        </w:numPr>
        <w:ind w:left="709"/>
        <w:rPr>
          <w:rFonts w:ascii="Verdana" w:hAnsi="Verdana" w:cs="Arial"/>
          <w:color w:val="000000"/>
          <w:sz w:val="18"/>
          <w:szCs w:val="18"/>
        </w:rPr>
      </w:pPr>
      <w:r w:rsidRPr="004709A5">
        <w:rPr>
          <w:rFonts w:ascii="Verdana" w:hAnsi="Verdana" w:cs="Arial"/>
          <w:color w:val="000000"/>
          <w:sz w:val="18"/>
          <w:szCs w:val="18"/>
        </w:rPr>
        <w:t>Solicitud de devolución por sujetos pasivos en el régimen simplificado del IVA y que ejerzan la actividad de transporte de viajeros o de mercancías por carretera, por adquirir determinados medios de transporte: 308</w:t>
      </w:r>
    </w:p>
    <w:p w14:paraId="2EFC1466" w14:textId="77777777" w:rsidR="004709A5" w:rsidRPr="004709A5" w:rsidRDefault="004709A5" w:rsidP="008B00FF">
      <w:pPr>
        <w:pStyle w:val="NormalWeb"/>
        <w:ind w:left="284" w:firstLine="142"/>
        <w:rPr>
          <w:rFonts w:ascii="Verdana" w:hAnsi="Verdana" w:cs="Arial"/>
          <w:color w:val="000000"/>
          <w:sz w:val="18"/>
          <w:szCs w:val="18"/>
        </w:rPr>
      </w:pPr>
      <w:r w:rsidRPr="004709A5">
        <w:rPr>
          <w:rFonts w:ascii="Verdana" w:hAnsi="Verdana" w:cs="Arial"/>
          <w:b/>
          <w:bCs/>
          <w:color w:val="000000"/>
          <w:sz w:val="18"/>
          <w:szCs w:val="18"/>
        </w:rPr>
        <w:t>Impuesto sobre las Primas de Seguros</w:t>
      </w:r>
    </w:p>
    <w:p w14:paraId="17A767DF" w14:textId="77777777" w:rsidR="004709A5" w:rsidRPr="004709A5" w:rsidRDefault="004709A5" w:rsidP="009E07F4">
      <w:pPr>
        <w:pStyle w:val="NormalWeb"/>
        <w:numPr>
          <w:ilvl w:val="0"/>
          <w:numId w:val="18"/>
        </w:numPr>
        <w:spacing w:before="0" w:beforeAutospacing="0"/>
        <w:ind w:left="709"/>
        <w:rPr>
          <w:rFonts w:ascii="Verdana" w:hAnsi="Verdana" w:cs="Arial"/>
          <w:color w:val="000000"/>
          <w:sz w:val="18"/>
          <w:szCs w:val="18"/>
        </w:rPr>
      </w:pPr>
      <w:r w:rsidRPr="004709A5">
        <w:rPr>
          <w:rFonts w:ascii="Verdana" w:hAnsi="Verdana" w:cs="Arial"/>
          <w:color w:val="000000"/>
          <w:sz w:val="18"/>
          <w:szCs w:val="18"/>
        </w:rPr>
        <w:t>Octubre 2026: 430 </w:t>
      </w:r>
    </w:p>
    <w:p w14:paraId="0C488F2F" w14:textId="77777777" w:rsidR="004709A5" w:rsidRPr="004709A5" w:rsidRDefault="004709A5" w:rsidP="008B00FF">
      <w:pPr>
        <w:pStyle w:val="NormalWeb"/>
        <w:tabs>
          <w:tab w:val="left" w:pos="709"/>
        </w:tabs>
        <w:ind w:left="709" w:hanging="283"/>
        <w:rPr>
          <w:rFonts w:ascii="Verdana" w:hAnsi="Verdana" w:cs="Arial"/>
          <w:color w:val="000000"/>
          <w:sz w:val="18"/>
          <w:szCs w:val="18"/>
        </w:rPr>
      </w:pPr>
      <w:r w:rsidRPr="004709A5">
        <w:rPr>
          <w:rFonts w:ascii="Verdana" w:hAnsi="Verdana" w:cs="Arial"/>
          <w:b/>
          <w:bCs/>
          <w:color w:val="000000"/>
          <w:sz w:val="18"/>
          <w:szCs w:val="18"/>
        </w:rPr>
        <w:t>Impuestos Especiales de Fabricación</w:t>
      </w:r>
    </w:p>
    <w:p w14:paraId="56A9C841" w14:textId="77777777" w:rsidR="004709A5" w:rsidRPr="004709A5" w:rsidRDefault="004709A5" w:rsidP="009E07F4">
      <w:pPr>
        <w:pStyle w:val="NormalWeb"/>
        <w:numPr>
          <w:ilvl w:val="0"/>
          <w:numId w:val="19"/>
        </w:numPr>
        <w:ind w:left="709"/>
        <w:rPr>
          <w:rFonts w:ascii="Verdana" w:hAnsi="Verdana" w:cs="Arial"/>
          <w:color w:val="000000"/>
          <w:sz w:val="18"/>
          <w:szCs w:val="18"/>
        </w:rPr>
      </w:pPr>
      <w:r w:rsidRPr="004709A5">
        <w:rPr>
          <w:rFonts w:ascii="Verdana" w:hAnsi="Verdana" w:cs="Arial"/>
          <w:color w:val="000000"/>
          <w:sz w:val="18"/>
          <w:szCs w:val="18"/>
        </w:rPr>
        <w:t>Agosto 2026. Grandes empresas: 561, 562, 563</w:t>
      </w:r>
    </w:p>
    <w:p w14:paraId="4A7438B5" w14:textId="77777777" w:rsidR="004709A5" w:rsidRPr="004709A5" w:rsidRDefault="004709A5" w:rsidP="009E07F4">
      <w:pPr>
        <w:pStyle w:val="NormalWeb"/>
        <w:numPr>
          <w:ilvl w:val="0"/>
          <w:numId w:val="19"/>
        </w:numPr>
        <w:ind w:left="709"/>
        <w:rPr>
          <w:rFonts w:ascii="Verdana" w:hAnsi="Verdana" w:cs="Arial"/>
          <w:color w:val="000000"/>
          <w:sz w:val="18"/>
          <w:szCs w:val="18"/>
        </w:rPr>
      </w:pPr>
      <w:r w:rsidRPr="004709A5">
        <w:rPr>
          <w:rFonts w:ascii="Verdana" w:hAnsi="Verdana" w:cs="Arial"/>
          <w:color w:val="000000"/>
          <w:sz w:val="18"/>
          <w:szCs w:val="18"/>
        </w:rPr>
        <w:t>Octubre 2026: 548, 566, 581</w:t>
      </w:r>
    </w:p>
    <w:p w14:paraId="67B06273" w14:textId="77777777" w:rsidR="004709A5" w:rsidRPr="004709A5" w:rsidRDefault="004709A5" w:rsidP="009E07F4">
      <w:pPr>
        <w:pStyle w:val="NormalWeb"/>
        <w:numPr>
          <w:ilvl w:val="0"/>
          <w:numId w:val="19"/>
        </w:numPr>
        <w:ind w:left="709"/>
        <w:rPr>
          <w:rFonts w:ascii="Verdana" w:hAnsi="Verdana" w:cs="Arial"/>
          <w:color w:val="000000"/>
          <w:sz w:val="18"/>
          <w:szCs w:val="18"/>
        </w:rPr>
      </w:pPr>
      <w:r w:rsidRPr="004709A5">
        <w:rPr>
          <w:rFonts w:ascii="Verdana" w:hAnsi="Verdana" w:cs="Arial"/>
          <w:color w:val="000000"/>
          <w:sz w:val="18"/>
          <w:szCs w:val="18"/>
        </w:rPr>
        <w:t>Octubre 2026: 573 (Autoliquidación), A24 (Solicitud de devolución)</w:t>
      </w:r>
    </w:p>
    <w:p w14:paraId="74BDC8CA" w14:textId="77777777" w:rsidR="004709A5" w:rsidRPr="004709A5" w:rsidRDefault="004709A5" w:rsidP="009E07F4">
      <w:pPr>
        <w:pStyle w:val="NormalWeb"/>
        <w:numPr>
          <w:ilvl w:val="0"/>
          <w:numId w:val="19"/>
        </w:numPr>
        <w:ind w:left="709"/>
        <w:rPr>
          <w:rFonts w:ascii="Verdana" w:hAnsi="Verdana" w:cs="Arial"/>
          <w:color w:val="000000"/>
          <w:sz w:val="18"/>
          <w:szCs w:val="18"/>
        </w:rPr>
      </w:pPr>
      <w:r w:rsidRPr="004709A5">
        <w:rPr>
          <w:rFonts w:ascii="Verdana" w:hAnsi="Verdana" w:cs="Arial"/>
          <w:color w:val="000000"/>
          <w:sz w:val="18"/>
          <w:szCs w:val="18"/>
        </w:rPr>
        <w:t>Tercer trimestre 2026. Excepto grandes empresas: 561, 562, 563</w:t>
      </w:r>
    </w:p>
    <w:p w14:paraId="2FCCE69E" w14:textId="77777777" w:rsidR="004709A5" w:rsidRPr="004709A5" w:rsidRDefault="004709A5" w:rsidP="009E07F4">
      <w:pPr>
        <w:pStyle w:val="NormalWeb"/>
        <w:numPr>
          <w:ilvl w:val="0"/>
          <w:numId w:val="19"/>
        </w:numPr>
        <w:ind w:left="709"/>
        <w:rPr>
          <w:rFonts w:ascii="Verdana" w:hAnsi="Verdana" w:cs="Arial"/>
          <w:color w:val="000000"/>
          <w:sz w:val="18"/>
          <w:szCs w:val="18"/>
        </w:rPr>
      </w:pPr>
      <w:r w:rsidRPr="004709A5">
        <w:rPr>
          <w:rFonts w:ascii="Verdana" w:hAnsi="Verdana" w:cs="Arial"/>
          <w:color w:val="000000"/>
          <w:sz w:val="18"/>
          <w:szCs w:val="18"/>
        </w:rPr>
        <w:t>Declaración de operaciones por los destinatarios registrados y representantes fiscales: 510</w:t>
      </w:r>
    </w:p>
    <w:p w14:paraId="62B81157" w14:textId="77777777" w:rsidR="004709A5" w:rsidRPr="004709A5" w:rsidRDefault="004709A5" w:rsidP="008B00FF">
      <w:pPr>
        <w:pStyle w:val="NormalWeb"/>
        <w:ind w:left="709" w:hanging="283"/>
        <w:rPr>
          <w:rFonts w:ascii="Verdana" w:hAnsi="Verdana" w:cs="Arial"/>
          <w:color w:val="000000"/>
          <w:sz w:val="18"/>
          <w:szCs w:val="18"/>
        </w:rPr>
      </w:pPr>
      <w:r w:rsidRPr="004709A5">
        <w:rPr>
          <w:rFonts w:ascii="Verdana" w:hAnsi="Verdana" w:cs="Arial"/>
          <w:b/>
          <w:bCs/>
          <w:color w:val="000000"/>
          <w:sz w:val="18"/>
          <w:szCs w:val="18"/>
        </w:rPr>
        <w:t>Impuesto Especial sobre la Electricidad</w:t>
      </w:r>
    </w:p>
    <w:p w14:paraId="4A7E1D8E" w14:textId="77777777" w:rsidR="004709A5" w:rsidRPr="004709A5" w:rsidRDefault="004709A5" w:rsidP="009E07F4">
      <w:pPr>
        <w:pStyle w:val="NormalWeb"/>
        <w:numPr>
          <w:ilvl w:val="0"/>
          <w:numId w:val="20"/>
        </w:numPr>
        <w:spacing w:before="0" w:beforeAutospacing="0"/>
        <w:ind w:left="709"/>
        <w:rPr>
          <w:rFonts w:ascii="Verdana" w:hAnsi="Verdana" w:cs="Arial"/>
          <w:color w:val="000000"/>
          <w:sz w:val="18"/>
          <w:szCs w:val="18"/>
        </w:rPr>
      </w:pPr>
      <w:r w:rsidRPr="004709A5">
        <w:rPr>
          <w:rFonts w:ascii="Verdana" w:hAnsi="Verdana" w:cs="Arial"/>
          <w:color w:val="000000"/>
          <w:sz w:val="18"/>
          <w:szCs w:val="18"/>
        </w:rPr>
        <w:t>Octubre 2026. Grandes empresas: 560</w:t>
      </w:r>
    </w:p>
    <w:p w14:paraId="6340C074" w14:textId="77777777" w:rsidR="004709A5" w:rsidRPr="004709A5" w:rsidRDefault="004709A5" w:rsidP="008B00FF">
      <w:pPr>
        <w:pStyle w:val="NormalWeb"/>
        <w:ind w:left="284"/>
        <w:rPr>
          <w:rFonts w:ascii="Verdana" w:hAnsi="Verdana" w:cs="Arial"/>
          <w:color w:val="000000"/>
          <w:sz w:val="18"/>
          <w:szCs w:val="18"/>
        </w:rPr>
      </w:pPr>
      <w:r w:rsidRPr="004709A5">
        <w:rPr>
          <w:rFonts w:ascii="Verdana" w:hAnsi="Verdana" w:cs="Arial"/>
          <w:b/>
          <w:bCs/>
          <w:color w:val="000000"/>
          <w:sz w:val="18"/>
          <w:szCs w:val="18"/>
        </w:rPr>
        <w:t>Impuestos Medioambientales</w:t>
      </w:r>
    </w:p>
    <w:p w14:paraId="4624033F" w14:textId="77777777" w:rsidR="004709A5" w:rsidRPr="004709A5" w:rsidRDefault="004709A5" w:rsidP="009E07F4">
      <w:pPr>
        <w:pStyle w:val="NormalWeb"/>
        <w:numPr>
          <w:ilvl w:val="0"/>
          <w:numId w:val="21"/>
        </w:numPr>
        <w:ind w:left="709"/>
        <w:rPr>
          <w:rFonts w:ascii="Verdana" w:hAnsi="Verdana" w:cs="Arial"/>
          <w:color w:val="000000"/>
          <w:sz w:val="18"/>
          <w:szCs w:val="18"/>
        </w:rPr>
      </w:pPr>
      <w:r w:rsidRPr="004709A5">
        <w:rPr>
          <w:rFonts w:ascii="Verdana" w:hAnsi="Verdana" w:cs="Arial"/>
          <w:color w:val="000000"/>
          <w:sz w:val="18"/>
          <w:szCs w:val="18"/>
        </w:rPr>
        <w:t>Octubre 2026. Impuesto especial sobre los envases de plástico no reutilizables. Autoliquidación: 592</w:t>
      </w:r>
    </w:p>
    <w:p w14:paraId="6E9D714F" w14:textId="77777777" w:rsidR="004709A5" w:rsidRPr="004709A5" w:rsidRDefault="004709A5" w:rsidP="009E07F4">
      <w:pPr>
        <w:pStyle w:val="NormalWeb"/>
        <w:numPr>
          <w:ilvl w:val="0"/>
          <w:numId w:val="21"/>
        </w:numPr>
        <w:ind w:left="709"/>
        <w:rPr>
          <w:rFonts w:ascii="Verdana" w:hAnsi="Verdana" w:cs="Arial"/>
          <w:color w:val="000000"/>
          <w:sz w:val="18"/>
          <w:szCs w:val="18"/>
        </w:rPr>
      </w:pPr>
      <w:r w:rsidRPr="004709A5">
        <w:rPr>
          <w:rFonts w:ascii="Verdana" w:hAnsi="Verdana" w:cs="Arial"/>
          <w:color w:val="000000"/>
          <w:sz w:val="18"/>
          <w:szCs w:val="18"/>
        </w:rPr>
        <w:t>Año 2026. Impuesto sobre el valor de la producción de la energía eléctrica. Tercer pago fraccionado: 583</w:t>
      </w:r>
    </w:p>
    <w:p w14:paraId="2910D358" w14:textId="77777777" w:rsidR="004709A5" w:rsidRPr="004709A5" w:rsidRDefault="004709A5" w:rsidP="008B00FF">
      <w:pPr>
        <w:pStyle w:val="NormalWeb"/>
        <w:ind w:firstLine="425"/>
        <w:rPr>
          <w:rFonts w:ascii="Verdana" w:hAnsi="Verdana" w:cs="Arial"/>
          <w:color w:val="000000"/>
          <w:sz w:val="18"/>
          <w:szCs w:val="18"/>
        </w:rPr>
      </w:pPr>
      <w:r w:rsidRPr="004709A5">
        <w:rPr>
          <w:rFonts w:ascii="Verdana" w:hAnsi="Verdana" w:cs="Arial"/>
          <w:b/>
          <w:bCs/>
          <w:color w:val="000000"/>
          <w:sz w:val="18"/>
          <w:szCs w:val="18"/>
        </w:rPr>
        <w:lastRenderedPageBreak/>
        <w:t>Impuesto sobre las Transacciones Financieras</w:t>
      </w:r>
    </w:p>
    <w:p w14:paraId="0588A353" w14:textId="77777777" w:rsidR="004709A5" w:rsidRDefault="004709A5" w:rsidP="009E07F4">
      <w:pPr>
        <w:pStyle w:val="NormalWeb"/>
        <w:numPr>
          <w:ilvl w:val="0"/>
          <w:numId w:val="22"/>
        </w:numPr>
        <w:spacing w:before="0" w:beforeAutospacing="0"/>
        <w:ind w:left="709"/>
        <w:rPr>
          <w:rFonts w:ascii="Verdana" w:hAnsi="Verdana" w:cs="Arial"/>
          <w:color w:val="000000"/>
          <w:sz w:val="18"/>
          <w:szCs w:val="18"/>
        </w:rPr>
      </w:pPr>
      <w:r w:rsidRPr="004709A5">
        <w:rPr>
          <w:rFonts w:ascii="Verdana" w:hAnsi="Verdana" w:cs="Arial"/>
          <w:color w:val="000000"/>
          <w:sz w:val="18"/>
          <w:szCs w:val="18"/>
        </w:rPr>
        <w:t>Octubre 2026: 604</w:t>
      </w:r>
    </w:p>
    <w:p w14:paraId="65EE5E26" w14:textId="77777777" w:rsidR="004709A5" w:rsidRPr="00FF4103" w:rsidRDefault="001B6A09" w:rsidP="001B6A09">
      <w:pPr>
        <w:shd w:val="clear" w:color="auto" w:fill="FFFFFF"/>
        <w:spacing w:after="100" w:afterAutospacing="1"/>
        <w:ind w:left="709" w:hanging="283"/>
        <w:outlineLvl w:val="0"/>
        <w:rPr>
          <w:rFonts w:ascii="Verdana" w:hAnsi="Verdana" w:cs="Arial"/>
          <w:b/>
          <w:bCs/>
          <w:color w:val="800000"/>
          <w:kern w:val="36"/>
          <w:sz w:val="18"/>
          <w:szCs w:val="18"/>
        </w:rPr>
      </w:pPr>
      <w:r w:rsidRPr="00FF4103">
        <w:rPr>
          <w:rFonts w:ascii="Verdana" w:hAnsi="Verdana" w:cs="Arial"/>
          <w:b/>
          <w:bCs/>
          <w:color w:val="800000"/>
          <w:kern w:val="36"/>
          <w:sz w:val="18"/>
          <w:szCs w:val="18"/>
        </w:rPr>
        <w:t>HASTA EL 30 DE NOVIEMBRE</w:t>
      </w:r>
    </w:p>
    <w:p w14:paraId="049EBE16" w14:textId="77777777" w:rsidR="004709A5" w:rsidRPr="004709A5" w:rsidRDefault="004709A5" w:rsidP="00440C0B">
      <w:pPr>
        <w:pStyle w:val="NormalWeb"/>
        <w:ind w:left="709" w:hanging="283"/>
        <w:rPr>
          <w:rFonts w:ascii="Verdana" w:hAnsi="Verdana" w:cs="Arial"/>
          <w:color w:val="000000"/>
          <w:sz w:val="18"/>
          <w:szCs w:val="18"/>
        </w:rPr>
      </w:pPr>
      <w:r w:rsidRPr="004709A5">
        <w:rPr>
          <w:rFonts w:ascii="Verdana" w:hAnsi="Verdana" w:cs="Arial"/>
          <w:b/>
          <w:bCs/>
          <w:color w:val="000000"/>
          <w:sz w:val="18"/>
          <w:szCs w:val="18"/>
        </w:rPr>
        <w:t>IVA</w:t>
      </w:r>
    </w:p>
    <w:p w14:paraId="58EF0325" w14:textId="77777777"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Octubre 2026. Autoliquidación: 303</w:t>
      </w:r>
    </w:p>
    <w:p w14:paraId="64588246" w14:textId="77777777"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Octubre 2026. Grupo de entidades, modelo individual: 322</w:t>
      </w:r>
    </w:p>
    <w:p w14:paraId="328A9D7C" w14:textId="77777777"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Octubre 2026. Grupo de entidades, modelo agregado: 353</w:t>
      </w:r>
    </w:p>
    <w:p w14:paraId="0AC860A9" w14:textId="2572FD1B"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Octubre 2026.</w:t>
      </w:r>
      <w:r w:rsidR="008B2CDC">
        <w:rPr>
          <w:rFonts w:ascii="Verdana" w:hAnsi="Verdana" w:cs="Arial"/>
          <w:color w:val="000000"/>
          <w:sz w:val="18"/>
          <w:szCs w:val="18"/>
        </w:rPr>
        <w:t xml:space="preserve"> </w:t>
      </w:r>
      <w:r w:rsidRPr="004709A5">
        <w:rPr>
          <w:rFonts w:ascii="Verdana" w:hAnsi="Verdana" w:cs="Arial"/>
          <w:color w:val="000000"/>
          <w:sz w:val="18"/>
          <w:szCs w:val="18"/>
        </w:rPr>
        <w:t>Ventanilla única - Régimen de importación: 369</w:t>
      </w:r>
    </w:p>
    <w:p w14:paraId="4430F93A" w14:textId="77777777"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Octubre 2026. Operaciones asimiladas a las importaciones: 380</w:t>
      </w:r>
    </w:p>
    <w:p w14:paraId="25D60B00" w14:textId="77777777"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Solicitud de inscripción/baja. Registro de devolución mensual: 036</w:t>
      </w:r>
    </w:p>
    <w:p w14:paraId="1F70CC2E" w14:textId="6C691915"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Solicitud</w:t>
      </w:r>
      <w:r w:rsidR="008B2CDC">
        <w:rPr>
          <w:rFonts w:ascii="Verdana" w:hAnsi="Verdana" w:cs="Arial"/>
          <w:color w:val="000000"/>
          <w:sz w:val="18"/>
          <w:szCs w:val="18"/>
        </w:rPr>
        <w:t xml:space="preserve"> de</w:t>
      </w:r>
      <w:r w:rsidRPr="004709A5">
        <w:rPr>
          <w:rFonts w:ascii="Verdana" w:hAnsi="Verdana" w:cs="Arial"/>
          <w:color w:val="000000"/>
          <w:sz w:val="18"/>
          <w:szCs w:val="18"/>
        </w:rPr>
        <w:t xml:space="preserve"> aplicación </w:t>
      </w:r>
      <w:r w:rsidR="008B2CDC">
        <w:rPr>
          <w:rFonts w:ascii="Verdana" w:hAnsi="Verdana" w:cs="Arial"/>
          <w:color w:val="000000"/>
          <w:sz w:val="18"/>
          <w:szCs w:val="18"/>
        </w:rPr>
        <w:t xml:space="preserve">del </w:t>
      </w:r>
      <w:r w:rsidRPr="004709A5">
        <w:rPr>
          <w:rFonts w:ascii="Verdana" w:hAnsi="Verdana" w:cs="Arial"/>
          <w:color w:val="000000"/>
          <w:sz w:val="18"/>
          <w:szCs w:val="18"/>
        </w:rPr>
        <w:t>régimen de deducción común para sectores diferenciados para 2027: sin modelo</w:t>
      </w:r>
    </w:p>
    <w:p w14:paraId="4555B7A2" w14:textId="77777777" w:rsidR="004709A5" w:rsidRPr="004709A5" w:rsidRDefault="004709A5" w:rsidP="009E07F4">
      <w:pPr>
        <w:pStyle w:val="NormalWeb"/>
        <w:numPr>
          <w:ilvl w:val="0"/>
          <w:numId w:val="23"/>
        </w:numPr>
        <w:ind w:left="709"/>
        <w:rPr>
          <w:rFonts w:ascii="Verdana" w:hAnsi="Verdana" w:cs="Arial"/>
          <w:color w:val="000000"/>
          <w:sz w:val="18"/>
          <w:szCs w:val="18"/>
        </w:rPr>
      </w:pPr>
      <w:r w:rsidRPr="004709A5">
        <w:rPr>
          <w:rFonts w:ascii="Verdana" w:hAnsi="Verdana" w:cs="Arial"/>
          <w:color w:val="000000"/>
          <w:sz w:val="18"/>
          <w:szCs w:val="18"/>
        </w:rPr>
        <w:t>SII. Renuncia a la llevanza electrónica de los libros registro: 036</w:t>
      </w:r>
    </w:p>
    <w:p w14:paraId="0472A12A" w14:textId="77777777" w:rsidR="004709A5" w:rsidRPr="004709A5" w:rsidRDefault="004709A5" w:rsidP="00440C0B">
      <w:pPr>
        <w:pStyle w:val="NormalWeb"/>
        <w:ind w:left="426" w:hanging="142"/>
        <w:rPr>
          <w:rFonts w:ascii="Verdana" w:hAnsi="Verdana" w:cs="Arial"/>
          <w:color w:val="000000"/>
          <w:sz w:val="18"/>
          <w:szCs w:val="18"/>
        </w:rPr>
      </w:pPr>
      <w:r w:rsidRPr="004709A5">
        <w:rPr>
          <w:rFonts w:ascii="Verdana" w:hAnsi="Verdana" w:cs="Arial"/>
          <w:b/>
          <w:bCs/>
          <w:color w:val="000000"/>
          <w:sz w:val="18"/>
          <w:szCs w:val="18"/>
        </w:rPr>
        <w:t>Impuestos Medioambientales</w:t>
      </w:r>
    </w:p>
    <w:p w14:paraId="3C9D7D88" w14:textId="77777777" w:rsidR="004709A5" w:rsidRPr="004709A5" w:rsidRDefault="004709A5" w:rsidP="009E07F4">
      <w:pPr>
        <w:pStyle w:val="NormalWeb"/>
        <w:numPr>
          <w:ilvl w:val="0"/>
          <w:numId w:val="24"/>
        </w:numPr>
        <w:ind w:left="709"/>
        <w:rPr>
          <w:rFonts w:ascii="Verdana" w:hAnsi="Verdana" w:cs="Arial"/>
          <w:color w:val="000000"/>
          <w:sz w:val="18"/>
          <w:szCs w:val="18"/>
        </w:rPr>
      </w:pPr>
      <w:r w:rsidRPr="004709A5">
        <w:rPr>
          <w:rFonts w:ascii="Verdana" w:hAnsi="Verdana" w:cs="Arial"/>
          <w:color w:val="000000"/>
          <w:sz w:val="18"/>
          <w:szCs w:val="18"/>
        </w:rPr>
        <w:t>Octubre 2026. Impuesto especial sobre los envases de plástico no reutilizables. Presentación contabilidad y libro registro de existencias</w:t>
      </w:r>
    </w:p>
    <w:p w14:paraId="00E5A9DE" w14:textId="77777777" w:rsidR="004709A5" w:rsidRPr="004709A5" w:rsidRDefault="004709A5" w:rsidP="009E07F4">
      <w:pPr>
        <w:pStyle w:val="NormalWeb"/>
        <w:numPr>
          <w:ilvl w:val="0"/>
          <w:numId w:val="24"/>
        </w:numPr>
        <w:ind w:left="709"/>
        <w:rPr>
          <w:rFonts w:ascii="Verdana" w:hAnsi="Verdana" w:cs="Arial"/>
          <w:color w:val="000000"/>
          <w:sz w:val="18"/>
          <w:szCs w:val="18"/>
        </w:rPr>
      </w:pPr>
      <w:r w:rsidRPr="004709A5">
        <w:rPr>
          <w:rFonts w:ascii="Verdana" w:hAnsi="Verdana" w:cs="Arial"/>
          <w:color w:val="000000"/>
          <w:sz w:val="18"/>
          <w:szCs w:val="18"/>
        </w:rPr>
        <w:t>Año 2025. Impuesto sobre el valor de la producción de la energía eléctrica. Autoliquidación anual: 583</w:t>
      </w:r>
    </w:p>
    <w:p w14:paraId="05B26CDD" w14:textId="77777777" w:rsidR="004709A5" w:rsidRPr="004709A5" w:rsidRDefault="004709A5" w:rsidP="009E07F4">
      <w:pPr>
        <w:pStyle w:val="NormalWeb"/>
        <w:numPr>
          <w:ilvl w:val="0"/>
          <w:numId w:val="24"/>
        </w:numPr>
        <w:ind w:left="709"/>
        <w:rPr>
          <w:rFonts w:ascii="Verdana" w:hAnsi="Verdana" w:cs="Arial"/>
          <w:color w:val="000000"/>
          <w:sz w:val="18"/>
          <w:szCs w:val="18"/>
        </w:rPr>
      </w:pPr>
      <w:r w:rsidRPr="004709A5">
        <w:rPr>
          <w:rFonts w:ascii="Verdana" w:hAnsi="Verdana" w:cs="Arial"/>
          <w:color w:val="000000"/>
          <w:sz w:val="18"/>
          <w:szCs w:val="18"/>
        </w:rPr>
        <w:t>Año 2026: Impuesto sobre el valor de la producción de la energía eléctrica. Autoliquidación anual por cese de actividad de enero a octubre de 2025: 588</w:t>
      </w:r>
    </w:p>
    <w:p w14:paraId="29070B24" w14:textId="77777777" w:rsidR="004709A5" w:rsidRPr="004709A5" w:rsidRDefault="004709A5" w:rsidP="00440C0B">
      <w:pPr>
        <w:pStyle w:val="NormalWeb"/>
        <w:ind w:left="284"/>
        <w:rPr>
          <w:rFonts w:ascii="Verdana" w:hAnsi="Verdana" w:cs="Arial"/>
          <w:color w:val="000000"/>
          <w:sz w:val="18"/>
          <w:szCs w:val="18"/>
        </w:rPr>
      </w:pPr>
      <w:r w:rsidRPr="004709A5">
        <w:rPr>
          <w:rFonts w:ascii="Verdana" w:hAnsi="Verdana" w:cs="Arial"/>
          <w:b/>
          <w:bCs/>
          <w:color w:val="000000"/>
          <w:sz w:val="18"/>
          <w:szCs w:val="18"/>
        </w:rPr>
        <w:t>Declaración informativa mensual de las operaciones realizadas por los empresarios o profesionales adheridos al sistema de gestión de cobros a través de cualquier tipo de tarjetas y mediante pagos asociados a números de teléfono móvil</w:t>
      </w:r>
    </w:p>
    <w:p w14:paraId="0E43338A" w14:textId="77777777" w:rsidR="004709A5" w:rsidRPr="004709A5" w:rsidRDefault="004709A5" w:rsidP="009E07F4">
      <w:pPr>
        <w:pStyle w:val="NormalWeb"/>
        <w:numPr>
          <w:ilvl w:val="0"/>
          <w:numId w:val="25"/>
        </w:numPr>
        <w:ind w:left="709"/>
        <w:rPr>
          <w:rFonts w:ascii="Verdana" w:hAnsi="Verdana" w:cs="Arial"/>
          <w:color w:val="000000"/>
          <w:sz w:val="18"/>
          <w:szCs w:val="18"/>
        </w:rPr>
      </w:pPr>
      <w:r w:rsidRPr="004709A5">
        <w:rPr>
          <w:rFonts w:ascii="Verdana" w:hAnsi="Verdana" w:cs="Arial"/>
          <w:color w:val="000000"/>
          <w:sz w:val="18"/>
          <w:szCs w:val="18"/>
        </w:rPr>
        <w:t>Octubre 2026: 170</w:t>
      </w:r>
    </w:p>
    <w:p w14:paraId="431CE5F3" w14:textId="77777777" w:rsidR="004709A5" w:rsidRPr="004709A5" w:rsidRDefault="004709A5" w:rsidP="00440C0B">
      <w:pPr>
        <w:pStyle w:val="NormalWeb"/>
        <w:ind w:left="284"/>
        <w:rPr>
          <w:rFonts w:ascii="Verdana" w:hAnsi="Verdana" w:cs="Arial"/>
          <w:color w:val="000000"/>
          <w:sz w:val="18"/>
          <w:szCs w:val="18"/>
        </w:rPr>
      </w:pPr>
      <w:r w:rsidRPr="004709A5">
        <w:rPr>
          <w:rFonts w:ascii="Verdana" w:hAnsi="Verdana" w:cs="Arial"/>
          <w:b/>
          <w:bCs/>
          <w:color w:val="000000"/>
          <w:sz w:val="18"/>
          <w:szCs w:val="18"/>
        </w:rPr>
        <w:t>Declaración informativa mensual de cuentas en toda clase de instituciones financieras y resumen anual de retenciones e ingresos a cuenta sobre rendimientos del capital mobiliario y rentas obtenidas por la contraprestación derivada de cuentas en toda clase de instituciones financieras</w:t>
      </w:r>
    </w:p>
    <w:p w14:paraId="46AE6EEF" w14:textId="77777777" w:rsidR="004709A5" w:rsidRPr="004709A5" w:rsidRDefault="004709A5" w:rsidP="009E07F4">
      <w:pPr>
        <w:pStyle w:val="NormalWeb"/>
        <w:numPr>
          <w:ilvl w:val="0"/>
          <w:numId w:val="26"/>
        </w:numPr>
        <w:ind w:left="709"/>
        <w:rPr>
          <w:rFonts w:ascii="Verdana" w:hAnsi="Verdana" w:cs="Arial"/>
          <w:color w:val="000000"/>
          <w:sz w:val="18"/>
          <w:szCs w:val="18"/>
        </w:rPr>
      </w:pPr>
      <w:r w:rsidRPr="004709A5">
        <w:rPr>
          <w:rFonts w:ascii="Verdana" w:hAnsi="Verdana" w:cs="Arial"/>
          <w:color w:val="000000"/>
          <w:sz w:val="18"/>
          <w:szCs w:val="18"/>
        </w:rPr>
        <w:t>Octubre 2026: 196</w:t>
      </w:r>
    </w:p>
    <w:p w14:paraId="2CE2AC47" w14:textId="77777777" w:rsidR="004709A5" w:rsidRPr="004709A5" w:rsidRDefault="004709A5" w:rsidP="00440C0B">
      <w:pPr>
        <w:pStyle w:val="NormalWeb"/>
        <w:ind w:left="426"/>
        <w:rPr>
          <w:rFonts w:ascii="Verdana" w:hAnsi="Verdana" w:cs="Arial"/>
          <w:color w:val="000000"/>
          <w:sz w:val="18"/>
          <w:szCs w:val="18"/>
        </w:rPr>
      </w:pPr>
      <w:r w:rsidRPr="004709A5">
        <w:rPr>
          <w:rFonts w:ascii="Verdana" w:hAnsi="Verdana" w:cs="Arial"/>
          <w:b/>
          <w:bCs/>
          <w:color w:val="000000"/>
          <w:sz w:val="18"/>
          <w:szCs w:val="18"/>
        </w:rPr>
        <w:t>Declaración informativa de operaciones vinculadas y de operaciones y situaciones relacionadas con países o territorios calificados como paraísos fiscales</w:t>
      </w:r>
    </w:p>
    <w:p w14:paraId="0EF7F763" w14:textId="77777777" w:rsidR="004709A5" w:rsidRPr="004709A5" w:rsidRDefault="004709A5" w:rsidP="009E07F4">
      <w:pPr>
        <w:pStyle w:val="NormalWeb"/>
        <w:numPr>
          <w:ilvl w:val="0"/>
          <w:numId w:val="27"/>
        </w:numPr>
        <w:ind w:left="709"/>
        <w:rPr>
          <w:rFonts w:ascii="Verdana" w:hAnsi="Verdana" w:cs="Arial"/>
          <w:color w:val="000000"/>
          <w:sz w:val="18"/>
          <w:szCs w:val="18"/>
        </w:rPr>
      </w:pPr>
      <w:r w:rsidRPr="004709A5">
        <w:rPr>
          <w:rFonts w:ascii="Verdana" w:hAnsi="Verdana" w:cs="Arial"/>
          <w:color w:val="000000"/>
          <w:sz w:val="18"/>
          <w:szCs w:val="18"/>
        </w:rPr>
        <w:t>Año 2025: Entidades cuyo período impositivo coincida con el año natural: 232</w:t>
      </w:r>
    </w:p>
    <w:p w14:paraId="59DA5167" w14:textId="77777777" w:rsidR="004709A5" w:rsidRPr="004709A5" w:rsidRDefault="004709A5" w:rsidP="003D3BF2">
      <w:pPr>
        <w:pStyle w:val="NormalWeb"/>
        <w:ind w:left="709"/>
        <w:rPr>
          <w:rFonts w:ascii="Verdana" w:hAnsi="Verdana" w:cs="Arial"/>
          <w:color w:val="000000"/>
          <w:sz w:val="18"/>
          <w:szCs w:val="18"/>
        </w:rPr>
      </w:pPr>
      <w:r w:rsidRPr="004709A5">
        <w:rPr>
          <w:rFonts w:ascii="Verdana" w:hAnsi="Verdana" w:cs="Arial"/>
          <w:color w:val="000000"/>
          <w:sz w:val="18"/>
          <w:szCs w:val="18"/>
        </w:rPr>
        <w:t>Resto de entidades: en el mes siguiente a los diez meses posteriores al fin del período impositivo.</w:t>
      </w:r>
    </w:p>
    <w:sectPr w:rsidR="004709A5" w:rsidRPr="004709A5" w:rsidSect="003D3BF2">
      <w:pgSz w:w="11906" w:h="16838"/>
      <w:pgMar w:top="1418" w:right="1701" w:bottom="1560"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876FF1" w14:textId="77777777" w:rsidR="00207D8D" w:rsidRDefault="00207D8D">
      <w:r>
        <w:separator/>
      </w:r>
    </w:p>
  </w:endnote>
  <w:endnote w:type="continuationSeparator" w:id="0">
    <w:p w14:paraId="4C754519" w14:textId="77777777" w:rsidR="00207D8D" w:rsidRDefault="00207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Helvetica 55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86A5C" w14:textId="77777777" w:rsidR="00207D8D" w:rsidRDefault="00207D8D">
      <w:r>
        <w:separator/>
      </w:r>
    </w:p>
  </w:footnote>
  <w:footnote w:type="continuationSeparator" w:id="0">
    <w:p w14:paraId="5E000BB8" w14:textId="77777777" w:rsidR="00207D8D" w:rsidRDefault="00207D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E3E2166"/>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4EB57DE"/>
    <w:multiLevelType w:val="multilevel"/>
    <w:tmpl w:val="57560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3713F"/>
    <w:multiLevelType w:val="multilevel"/>
    <w:tmpl w:val="9964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C394D"/>
    <w:multiLevelType w:val="multilevel"/>
    <w:tmpl w:val="1C3C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E4D9B"/>
    <w:multiLevelType w:val="hybridMultilevel"/>
    <w:tmpl w:val="DACAFFA2"/>
    <w:lvl w:ilvl="0" w:tplc="7E18E0F8">
      <w:start w:val="1"/>
      <w:numFmt w:val="decimal"/>
      <w:lvlText w:val="%1."/>
      <w:lvlJc w:val="left"/>
      <w:pPr>
        <w:tabs>
          <w:tab w:val="num" w:pos="928"/>
        </w:tabs>
        <w:ind w:left="92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174D2487"/>
    <w:multiLevelType w:val="multilevel"/>
    <w:tmpl w:val="08FE3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150DDC"/>
    <w:multiLevelType w:val="multilevel"/>
    <w:tmpl w:val="A5228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215E5"/>
    <w:multiLevelType w:val="multilevel"/>
    <w:tmpl w:val="3A728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571295"/>
    <w:multiLevelType w:val="multilevel"/>
    <w:tmpl w:val="1EEA6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7A02B7"/>
    <w:multiLevelType w:val="multilevel"/>
    <w:tmpl w:val="AD6A3D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56F64"/>
    <w:multiLevelType w:val="multilevel"/>
    <w:tmpl w:val="57D89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68692B"/>
    <w:multiLevelType w:val="multilevel"/>
    <w:tmpl w:val="DEB6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D10AD7"/>
    <w:multiLevelType w:val="multilevel"/>
    <w:tmpl w:val="2354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4155AA"/>
    <w:multiLevelType w:val="multilevel"/>
    <w:tmpl w:val="2606F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685614"/>
    <w:multiLevelType w:val="multilevel"/>
    <w:tmpl w:val="1D26A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0514C9"/>
    <w:multiLevelType w:val="multilevel"/>
    <w:tmpl w:val="539CE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371230"/>
    <w:multiLevelType w:val="multilevel"/>
    <w:tmpl w:val="B9823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9B088A"/>
    <w:multiLevelType w:val="hybridMultilevel"/>
    <w:tmpl w:val="560A36E8"/>
    <w:lvl w:ilvl="0" w:tplc="0C0A000F">
      <w:start w:val="1"/>
      <w:numFmt w:val="decimal"/>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8" w15:restartNumberingAfterBreak="0">
    <w:nsid w:val="435E391C"/>
    <w:multiLevelType w:val="multilevel"/>
    <w:tmpl w:val="50008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78122A"/>
    <w:multiLevelType w:val="multilevel"/>
    <w:tmpl w:val="370AE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49564C"/>
    <w:multiLevelType w:val="multilevel"/>
    <w:tmpl w:val="F2845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75168E"/>
    <w:multiLevelType w:val="multilevel"/>
    <w:tmpl w:val="F686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DC4327"/>
    <w:multiLevelType w:val="multilevel"/>
    <w:tmpl w:val="CD049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DE5461"/>
    <w:multiLevelType w:val="multilevel"/>
    <w:tmpl w:val="C330A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2C0B71"/>
    <w:multiLevelType w:val="multilevel"/>
    <w:tmpl w:val="2B2CB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3E1CD1"/>
    <w:multiLevelType w:val="multilevel"/>
    <w:tmpl w:val="5928B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6C7529"/>
    <w:multiLevelType w:val="multilevel"/>
    <w:tmpl w:val="E2A80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CFD263C"/>
    <w:multiLevelType w:val="multilevel"/>
    <w:tmpl w:val="EA2AE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F66F0B"/>
    <w:multiLevelType w:val="multilevel"/>
    <w:tmpl w:val="8BB8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F120B9F"/>
    <w:multiLevelType w:val="multilevel"/>
    <w:tmpl w:val="FE0CA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BA5FED"/>
    <w:multiLevelType w:val="multilevel"/>
    <w:tmpl w:val="B3AA1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32609B"/>
    <w:multiLevelType w:val="multilevel"/>
    <w:tmpl w:val="B8B44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AF00ED"/>
    <w:multiLevelType w:val="multilevel"/>
    <w:tmpl w:val="5836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B60B45"/>
    <w:multiLevelType w:val="multilevel"/>
    <w:tmpl w:val="EBC0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977D83"/>
    <w:multiLevelType w:val="multilevel"/>
    <w:tmpl w:val="C302B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850062"/>
    <w:multiLevelType w:val="multilevel"/>
    <w:tmpl w:val="C34E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94063601">
    <w:abstractNumId w:val="4"/>
  </w:num>
  <w:num w:numId="2" w16cid:durableId="1853716592">
    <w:abstractNumId w:val="0"/>
  </w:num>
  <w:num w:numId="3" w16cid:durableId="1738431949">
    <w:abstractNumId w:val="17"/>
  </w:num>
  <w:num w:numId="4" w16cid:durableId="1294747971">
    <w:abstractNumId w:val="10"/>
  </w:num>
  <w:num w:numId="5" w16cid:durableId="385682000">
    <w:abstractNumId w:val="14"/>
  </w:num>
  <w:num w:numId="6" w16cid:durableId="2056153646">
    <w:abstractNumId w:val="25"/>
  </w:num>
  <w:num w:numId="7" w16cid:durableId="2042706733">
    <w:abstractNumId w:val="13"/>
  </w:num>
  <w:num w:numId="8" w16cid:durableId="697585257">
    <w:abstractNumId w:val="26"/>
  </w:num>
  <w:num w:numId="9" w16cid:durableId="779492015">
    <w:abstractNumId w:val="29"/>
  </w:num>
  <w:num w:numId="10" w16cid:durableId="1895653966">
    <w:abstractNumId w:val="32"/>
  </w:num>
  <w:num w:numId="11" w16cid:durableId="1600486071">
    <w:abstractNumId w:val="9"/>
  </w:num>
  <w:num w:numId="12" w16cid:durableId="162093671">
    <w:abstractNumId w:val="6"/>
  </w:num>
  <w:num w:numId="13" w16cid:durableId="616638437">
    <w:abstractNumId w:val="34"/>
  </w:num>
  <w:num w:numId="14" w16cid:durableId="1987313696">
    <w:abstractNumId w:val="28"/>
  </w:num>
  <w:num w:numId="15" w16cid:durableId="175123391">
    <w:abstractNumId w:val="35"/>
  </w:num>
  <w:num w:numId="16" w16cid:durableId="1487669490">
    <w:abstractNumId w:val="2"/>
  </w:num>
  <w:num w:numId="17" w16cid:durableId="104279204">
    <w:abstractNumId w:val="20"/>
  </w:num>
  <w:num w:numId="18" w16cid:durableId="1924872427">
    <w:abstractNumId w:val="24"/>
  </w:num>
  <w:num w:numId="19" w16cid:durableId="1374769059">
    <w:abstractNumId w:val="16"/>
  </w:num>
  <w:num w:numId="20" w16cid:durableId="428963620">
    <w:abstractNumId w:val="30"/>
  </w:num>
  <w:num w:numId="21" w16cid:durableId="473763604">
    <w:abstractNumId w:val="1"/>
  </w:num>
  <w:num w:numId="22" w16cid:durableId="632907263">
    <w:abstractNumId w:val="15"/>
  </w:num>
  <w:num w:numId="23" w16cid:durableId="781189521">
    <w:abstractNumId w:val="22"/>
  </w:num>
  <w:num w:numId="24" w16cid:durableId="1390108361">
    <w:abstractNumId w:val="23"/>
  </w:num>
  <w:num w:numId="25" w16cid:durableId="375735155">
    <w:abstractNumId w:val="8"/>
  </w:num>
  <w:num w:numId="26" w16cid:durableId="230771098">
    <w:abstractNumId w:val="21"/>
  </w:num>
  <w:num w:numId="27" w16cid:durableId="1899317699">
    <w:abstractNumId w:val="27"/>
  </w:num>
  <w:num w:numId="28" w16cid:durableId="1564562213">
    <w:abstractNumId w:val="18"/>
  </w:num>
  <w:num w:numId="29" w16cid:durableId="1532183010">
    <w:abstractNumId w:val="3"/>
  </w:num>
  <w:num w:numId="30" w16cid:durableId="172186611">
    <w:abstractNumId w:val="11"/>
  </w:num>
  <w:num w:numId="31" w16cid:durableId="1935093477">
    <w:abstractNumId w:val="33"/>
  </w:num>
  <w:num w:numId="32" w16cid:durableId="1404064604">
    <w:abstractNumId w:val="5"/>
  </w:num>
  <w:num w:numId="33" w16cid:durableId="452290787">
    <w:abstractNumId w:val="12"/>
  </w:num>
  <w:num w:numId="34" w16cid:durableId="1286305084">
    <w:abstractNumId w:val="7"/>
  </w:num>
  <w:num w:numId="35" w16cid:durableId="500244720">
    <w:abstractNumId w:val="19"/>
  </w:num>
  <w:num w:numId="36" w16cid:durableId="1449474743">
    <w:abstractNumId w:val="3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es-ES" w:vendorID="64" w:dllVersion="6" w:nlCheck="1" w:checkStyle="1"/>
  <w:activeWritingStyle w:appName="MSWord" w:lang="es-ES" w:vendorID="64" w:dllVersion="0"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AF8"/>
    <w:rsid w:val="00000A25"/>
    <w:rsid w:val="00000AF8"/>
    <w:rsid w:val="00000E72"/>
    <w:rsid w:val="00000EBB"/>
    <w:rsid w:val="00003318"/>
    <w:rsid w:val="00005712"/>
    <w:rsid w:val="0000580B"/>
    <w:rsid w:val="00005E13"/>
    <w:rsid w:val="00005E28"/>
    <w:rsid w:val="00005F73"/>
    <w:rsid w:val="00006E40"/>
    <w:rsid w:val="00010092"/>
    <w:rsid w:val="000129A2"/>
    <w:rsid w:val="000137A5"/>
    <w:rsid w:val="00014205"/>
    <w:rsid w:val="00014484"/>
    <w:rsid w:val="00022802"/>
    <w:rsid w:val="00022BC0"/>
    <w:rsid w:val="00022E08"/>
    <w:rsid w:val="00025C54"/>
    <w:rsid w:val="00030859"/>
    <w:rsid w:val="00031D6C"/>
    <w:rsid w:val="000321A5"/>
    <w:rsid w:val="00033292"/>
    <w:rsid w:val="00034A5A"/>
    <w:rsid w:val="00034AD5"/>
    <w:rsid w:val="000355ED"/>
    <w:rsid w:val="00036E9B"/>
    <w:rsid w:val="00040CD9"/>
    <w:rsid w:val="000437B4"/>
    <w:rsid w:val="00044F39"/>
    <w:rsid w:val="00046939"/>
    <w:rsid w:val="00046CBC"/>
    <w:rsid w:val="000546E6"/>
    <w:rsid w:val="0005547A"/>
    <w:rsid w:val="00055B8D"/>
    <w:rsid w:val="000602B5"/>
    <w:rsid w:val="000610D3"/>
    <w:rsid w:val="00063360"/>
    <w:rsid w:val="00064469"/>
    <w:rsid w:val="00065295"/>
    <w:rsid w:val="000663E7"/>
    <w:rsid w:val="00066C80"/>
    <w:rsid w:val="00071705"/>
    <w:rsid w:val="0007239F"/>
    <w:rsid w:val="0007336B"/>
    <w:rsid w:val="00074E82"/>
    <w:rsid w:val="000761E7"/>
    <w:rsid w:val="00081D99"/>
    <w:rsid w:val="000930D0"/>
    <w:rsid w:val="0009705C"/>
    <w:rsid w:val="0009740D"/>
    <w:rsid w:val="000A0A5B"/>
    <w:rsid w:val="000A1D9E"/>
    <w:rsid w:val="000A3FDB"/>
    <w:rsid w:val="000A564E"/>
    <w:rsid w:val="000B08BB"/>
    <w:rsid w:val="000B12A6"/>
    <w:rsid w:val="000B19AD"/>
    <w:rsid w:val="000B1D26"/>
    <w:rsid w:val="000B211B"/>
    <w:rsid w:val="000C474A"/>
    <w:rsid w:val="000C56F5"/>
    <w:rsid w:val="000D05E1"/>
    <w:rsid w:val="000D5371"/>
    <w:rsid w:val="000D698A"/>
    <w:rsid w:val="000D7A27"/>
    <w:rsid w:val="000E2F0D"/>
    <w:rsid w:val="000E4765"/>
    <w:rsid w:val="000E5123"/>
    <w:rsid w:val="000E6B65"/>
    <w:rsid w:val="000F3033"/>
    <w:rsid w:val="000F4561"/>
    <w:rsid w:val="000F5C09"/>
    <w:rsid w:val="001001A5"/>
    <w:rsid w:val="001006F0"/>
    <w:rsid w:val="0010185D"/>
    <w:rsid w:val="00101F86"/>
    <w:rsid w:val="00103319"/>
    <w:rsid w:val="0010394C"/>
    <w:rsid w:val="001043F7"/>
    <w:rsid w:val="001055A3"/>
    <w:rsid w:val="00114690"/>
    <w:rsid w:val="00115D6D"/>
    <w:rsid w:val="00115E09"/>
    <w:rsid w:val="00115F80"/>
    <w:rsid w:val="00120098"/>
    <w:rsid w:val="00121DE5"/>
    <w:rsid w:val="00122351"/>
    <w:rsid w:val="00123E93"/>
    <w:rsid w:val="00124706"/>
    <w:rsid w:val="00125310"/>
    <w:rsid w:val="001264DC"/>
    <w:rsid w:val="0012650E"/>
    <w:rsid w:val="00127183"/>
    <w:rsid w:val="0013272A"/>
    <w:rsid w:val="001328A4"/>
    <w:rsid w:val="001328C2"/>
    <w:rsid w:val="0013563C"/>
    <w:rsid w:val="00135FE2"/>
    <w:rsid w:val="00136200"/>
    <w:rsid w:val="001402FF"/>
    <w:rsid w:val="0014291B"/>
    <w:rsid w:val="001460EE"/>
    <w:rsid w:val="001464A1"/>
    <w:rsid w:val="00152A8A"/>
    <w:rsid w:val="0015365F"/>
    <w:rsid w:val="00153B74"/>
    <w:rsid w:val="00157737"/>
    <w:rsid w:val="00160540"/>
    <w:rsid w:val="0017155B"/>
    <w:rsid w:val="0017493F"/>
    <w:rsid w:val="00175C21"/>
    <w:rsid w:val="00176B37"/>
    <w:rsid w:val="00177181"/>
    <w:rsid w:val="001779BF"/>
    <w:rsid w:val="00177DD7"/>
    <w:rsid w:val="0018387F"/>
    <w:rsid w:val="001877BD"/>
    <w:rsid w:val="0019753E"/>
    <w:rsid w:val="00197946"/>
    <w:rsid w:val="001A014D"/>
    <w:rsid w:val="001A06FA"/>
    <w:rsid w:val="001A2308"/>
    <w:rsid w:val="001A3AB5"/>
    <w:rsid w:val="001A47E3"/>
    <w:rsid w:val="001A504A"/>
    <w:rsid w:val="001A6AA9"/>
    <w:rsid w:val="001A6E3B"/>
    <w:rsid w:val="001B262E"/>
    <w:rsid w:val="001B26CF"/>
    <w:rsid w:val="001B4BC9"/>
    <w:rsid w:val="001B5322"/>
    <w:rsid w:val="001B6535"/>
    <w:rsid w:val="001B6A09"/>
    <w:rsid w:val="001C47E1"/>
    <w:rsid w:val="001C5060"/>
    <w:rsid w:val="001C6267"/>
    <w:rsid w:val="001C6442"/>
    <w:rsid w:val="001D187B"/>
    <w:rsid w:val="001D2C33"/>
    <w:rsid w:val="001D5E4F"/>
    <w:rsid w:val="001D5E9D"/>
    <w:rsid w:val="001D6335"/>
    <w:rsid w:val="001E09EF"/>
    <w:rsid w:val="001E391B"/>
    <w:rsid w:val="001E3D11"/>
    <w:rsid w:val="001F05F9"/>
    <w:rsid w:val="001F0E96"/>
    <w:rsid w:val="001F11F8"/>
    <w:rsid w:val="001F219C"/>
    <w:rsid w:val="001F254E"/>
    <w:rsid w:val="00200894"/>
    <w:rsid w:val="00202B3B"/>
    <w:rsid w:val="00205E9F"/>
    <w:rsid w:val="00207644"/>
    <w:rsid w:val="00207D8D"/>
    <w:rsid w:val="0021101B"/>
    <w:rsid w:val="00211429"/>
    <w:rsid w:val="00212788"/>
    <w:rsid w:val="00212CAD"/>
    <w:rsid w:val="00213B58"/>
    <w:rsid w:val="00213F29"/>
    <w:rsid w:val="00214397"/>
    <w:rsid w:val="00215D3D"/>
    <w:rsid w:val="00216119"/>
    <w:rsid w:val="00221E78"/>
    <w:rsid w:val="00223A80"/>
    <w:rsid w:val="00224206"/>
    <w:rsid w:val="00225966"/>
    <w:rsid w:val="00225A7C"/>
    <w:rsid w:val="0022697A"/>
    <w:rsid w:val="00226E79"/>
    <w:rsid w:val="00232067"/>
    <w:rsid w:val="002320FB"/>
    <w:rsid w:val="0023238E"/>
    <w:rsid w:val="002334FB"/>
    <w:rsid w:val="00234703"/>
    <w:rsid w:val="00235959"/>
    <w:rsid w:val="00241557"/>
    <w:rsid w:val="00241B38"/>
    <w:rsid w:val="0024622A"/>
    <w:rsid w:val="00246E7D"/>
    <w:rsid w:val="00250209"/>
    <w:rsid w:val="0025083E"/>
    <w:rsid w:val="00250C38"/>
    <w:rsid w:val="00253C3D"/>
    <w:rsid w:val="002577C1"/>
    <w:rsid w:val="002618E1"/>
    <w:rsid w:val="00263E59"/>
    <w:rsid w:val="00264F91"/>
    <w:rsid w:val="002702DB"/>
    <w:rsid w:val="0027144D"/>
    <w:rsid w:val="002733E2"/>
    <w:rsid w:val="0027365B"/>
    <w:rsid w:val="00275C74"/>
    <w:rsid w:val="0027783B"/>
    <w:rsid w:val="00277C64"/>
    <w:rsid w:val="00281812"/>
    <w:rsid w:val="00287EF5"/>
    <w:rsid w:val="00290D5E"/>
    <w:rsid w:val="00291F23"/>
    <w:rsid w:val="00293771"/>
    <w:rsid w:val="002938F3"/>
    <w:rsid w:val="00293E8E"/>
    <w:rsid w:val="00294030"/>
    <w:rsid w:val="002947FB"/>
    <w:rsid w:val="00294E9F"/>
    <w:rsid w:val="002952A2"/>
    <w:rsid w:val="002A1AA3"/>
    <w:rsid w:val="002A23ED"/>
    <w:rsid w:val="002A3F68"/>
    <w:rsid w:val="002A6BDF"/>
    <w:rsid w:val="002A7C46"/>
    <w:rsid w:val="002B096B"/>
    <w:rsid w:val="002B1356"/>
    <w:rsid w:val="002B2773"/>
    <w:rsid w:val="002B4566"/>
    <w:rsid w:val="002C3DFF"/>
    <w:rsid w:val="002D059C"/>
    <w:rsid w:val="002D3997"/>
    <w:rsid w:val="002D40AF"/>
    <w:rsid w:val="002D5051"/>
    <w:rsid w:val="002E238B"/>
    <w:rsid w:val="002E2D4E"/>
    <w:rsid w:val="002E5200"/>
    <w:rsid w:val="002E75B1"/>
    <w:rsid w:val="002E774B"/>
    <w:rsid w:val="002E77A4"/>
    <w:rsid w:val="002F0AD8"/>
    <w:rsid w:val="002F1EB4"/>
    <w:rsid w:val="002F2BBC"/>
    <w:rsid w:val="002F2C5E"/>
    <w:rsid w:val="002F36D0"/>
    <w:rsid w:val="002F4B10"/>
    <w:rsid w:val="003008E9"/>
    <w:rsid w:val="00301982"/>
    <w:rsid w:val="00302AE3"/>
    <w:rsid w:val="00302B24"/>
    <w:rsid w:val="00302EB0"/>
    <w:rsid w:val="00302FBC"/>
    <w:rsid w:val="0030386B"/>
    <w:rsid w:val="00303E53"/>
    <w:rsid w:val="00307633"/>
    <w:rsid w:val="003107AD"/>
    <w:rsid w:val="00311828"/>
    <w:rsid w:val="00322191"/>
    <w:rsid w:val="00322F95"/>
    <w:rsid w:val="003261B9"/>
    <w:rsid w:val="003263E5"/>
    <w:rsid w:val="00326C73"/>
    <w:rsid w:val="003300AB"/>
    <w:rsid w:val="0033175B"/>
    <w:rsid w:val="003347C9"/>
    <w:rsid w:val="00335D9C"/>
    <w:rsid w:val="00340700"/>
    <w:rsid w:val="00341BFE"/>
    <w:rsid w:val="00341D4C"/>
    <w:rsid w:val="00343D81"/>
    <w:rsid w:val="003505DA"/>
    <w:rsid w:val="00350D6D"/>
    <w:rsid w:val="003542EB"/>
    <w:rsid w:val="00362565"/>
    <w:rsid w:val="00363AFE"/>
    <w:rsid w:val="00367B63"/>
    <w:rsid w:val="00367C1C"/>
    <w:rsid w:val="00371CCE"/>
    <w:rsid w:val="00372D2B"/>
    <w:rsid w:val="003735A6"/>
    <w:rsid w:val="00373D70"/>
    <w:rsid w:val="0037482D"/>
    <w:rsid w:val="00374B59"/>
    <w:rsid w:val="00374FD4"/>
    <w:rsid w:val="00377C53"/>
    <w:rsid w:val="00383A1B"/>
    <w:rsid w:val="0038424A"/>
    <w:rsid w:val="00384866"/>
    <w:rsid w:val="00386046"/>
    <w:rsid w:val="0038641D"/>
    <w:rsid w:val="00387CF0"/>
    <w:rsid w:val="00390D7D"/>
    <w:rsid w:val="0039172D"/>
    <w:rsid w:val="0039410B"/>
    <w:rsid w:val="00394BBB"/>
    <w:rsid w:val="003A177A"/>
    <w:rsid w:val="003A4615"/>
    <w:rsid w:val="003A69FE"/>
    <w:rsid w:val="003A71A5"/>
    <w:rsid w:val="003B0CA4"/>
    <w:rsid w:val="003B2C6C"/>
    <w:rsid w:val="003B33E0"/>
    <w:rsid w:val="003B3710"/>
    <w:rsid w:val="003B490E"/>
    <w:rsid w:val="003B5A87"/>
    <w:rsid w:val="003B61A2"/>
    <w:rsid w:val="003C0AD6"/>
    <w:rsid w:val="003C1AA7"/>
    <w:rsid w:val="003C6B06"/>
    <w:rsid w:val="003C75DE"/>
    <w:rsid w:val="003D3BF2"/>
    <w:rsid w:val="003D7150"/>
    <w:rsid w:val="003D7482"/>
    <w:rsid w:val="003D76CB"/>
    <w:rsid w:val="003E16E7"/>
    <w:rsid w:val="003E1C2A"/>
    <w:rsid w:val="003E3963"/>
    <w:rsid w:val="003E685D"/>
    <w:rsid w:val="003E68D7"/>
    <w:rsid w:val="003F1049"/>
    <w:rsid w:val="003F1456"/>
    <w:rsid w:val="003F31E4"/>
    <w:rsid w:val="003F3813"/>
    <w:rsid w:val="003F4F5F"/>
    <w:rsid w:val="003F5E5F"/>
    <w:rsid w:val="00401F82"/>
    <w:rsid w:val="00403E8B"/>
    <w:rsid w:val="00405B4A"/>
    <w:rsid w:val="00405C86"/>
    <w:rsid w:val="004069DA"/>
    <w:rsid w:val="00417434"/>
    <w:rsid w:val="00417EFE"/>
    <w:rsid w:val="00422626"/>
    <w:rsid w:val="00423254"/>
    <w:rsid w:val="00423E2C"/>
    <w:rsid w:val="00427036"/>
    <w:rsid w:val="00430A27"/>
    <w:rsid w:val="00430B79"/>
    <w:rsid w:val="0043189C"/>
    <w:rsid w:val="004318E2"/>
    <w:rsid w:val="00433B4F"/>
    <w:rsid w:val="004356FD"/>
    <w:rsid w:val="00440C0B"/>
    <w:rsid w:val="00443EF4"/>
    <w:rsid w:val="00444077"/>
    <w:rsid w:val="0045033C"/>
    <w:rsid w:val="004518EE"/>
    <w:rsid w:val="00451B9A"/>
    <w:rsid w:val="00452C76"/>
    <w:rsid w:val="00454CAE"/>
    <w:rsid w:val="00454CD8"/>
    <w:rsid w:val="00455110"/>
    <w:rsid w:val="004623D4"/>
    <w:rsid w:val="00463CB5"/>
    <w:rsid w:val="00464C6C"/>
    <w:rsid w:val="00465B48"/>
    <w:rsid w:val="00465EFC"/>
    <w:rsid w:val="00467EA4"/>
    <w:rsid w:val="004709A5"/>
    <w:rsid w:val="00472310"/>
    <w:rsid w:val="0047249C"/>
    <w:rsid w:val="00473CE1"/>
    <w:rsid w:val="0048003D"/>
    <w:rsid w:val="00481784"/>
    <w:rsid w:val="00481F19"/>
    <w:rsid w:val="00481F5C"/>
    <w:rsid w:val="00483A90"/>
    <w:rsid w:val="00485016"/>
    <w:rsid w:val="00485C7A"/>
    <w:rsid w:val="004861BB"/>
    <w:rsid w:val="00493A93"/>
    <w:rsid w:val="00495837"/>
    <w:rsid w:val="00496284"/>
    <w:rsid w:val="00496CEF"/>
    <w:rsid w:val="00497DDD"/>
    <w:rsid w:val="004A05DE"/>
    <w:rsid w:val="004A099E"/>
    <w:rsid w:val="004A2B12"/>
    <w:rsid w:val="004A34A6"/>
    <w:rsid w:val="004A3761"/>
    <w:rsid w:val="004A4295"/>
    <w:rsid w:val="004A5CD0"/>
    <w:rsid w:val="004A7FE0"/>
    <w:rsid w:val="004B3EFF"/>
    <w:rsid w:val="004B62F5"/>
    <w:rsid w:val="004C2306"/>
    <w:rsid w:val="004C2BD0"/>
    <w:rsid w:val="004C72C1"/>
    <w:rsid w:val="004D07A3"/>
    <w:rsid w:val="004D1A26"/>
    <w:rsid w:val="004D2B8A"/>
    <w:rsid w:val="004D3466"/>
    <w:rsid w:val="004D4238"/>
    <w:rsid w:val="004E4B4C"/>
    <w:rsid w:val="004E6DB2"/>
    <w:rsid w:val="004F04E1"/>
    <w:rsid w:val="004F1FA3"/>
    <w:rsid w:val="004F365F"/>
    <w:rsid w:val="004F4565"/>
    <w:rsid w:val="004F6248"/>
    <w:rsid w:val="004F6966"/>
    <w:rsid w:val="005001B1"/>
    <w:rsid w:val="00501383"/>
    <w:rsid w:val="00503DB2"/>
    <w:rsid w:val="00504347"/>
    <w:rsid w:val="005045EF"/>
    <w:rsid w:val="0050526C"/>
    <w:rsid w:val="00505CB7"/>
    <w:rsid w:val="00514A4B"/>
    <w:rsid w:val="00514FDD"/>
    <w:rsid w:val="00516F80"/>
    <w:rsid w:val="00523335"/>
    <w:rsid w:val="00523853"/>
    <w:rsid w:val="005246BF"/>
    <w:rsid w:val="005262CA"/>
    <w:rsid w:val="005263E2"/>
    <w:rsid w:val="00526B5F"/>
    <w:rsid w:val="0052722B"/>
    <w:rsid w:val="00533C29"/>
    <w:rsid w:val="00536236"/>
    <w:rsid w:val="0054076B"/>
    <w:rsid w:val="0054164C"/>
    <w:rsid w:val="00541F2F"/>
    <w:rsid w:val="005449FC"/>
    <w:rsid w:val="00544AFC"/>
    <w:rsid w:val="00544CBD"/>
    <w:rsid w:val="00547C3E"/>
    <w:rsid w:val="0055002D"/>
    <w:rsid w:val="005502FB"/>
    <w:rsid w:val="00553C6B"/>
    <w:rsid w:val="005542D8"/>
    <w:rsid w:val="00557213"/>
    <w:rsid w:val="00557FB0"/>
    <w:rsid w:val="0056273C"/>
    <w:rsid w:val="00564C84"/>
    <w:rsid w:val="00565E67"/>
    <w:rsid w:val="00566AC0"/>
    <w:rsid w:val="00566F37"/>
    <w:rsid w:val="00567BAE"/>
    <w:rsid w:val="00572318"/>
    <w:rsid w:val="00584B80"/>
    <w:rsid w:val="00584EFE"/>
    <w:rsid w:val="005856C4"/>
    <w:rsid w:val="00585C20"/>
    <w:rsid w:val="005901EC"/>
    <w:rsid w:val="00592354"/>
    <w:rsid w:val="005A2F98"/>
    <w:rsid w:val="005A4A6D"/>
    <w:rsid w:val="005A743F"/>
    <w:rsid w:val="005B03B6"/>
    <w:rsid w:val="005B4502"/>
    <w:rsid w:val="005B5A76"/>
    <w:rsid w:val="005B5EED"/>
    <w:rsid w:val="005B675B"/>
    <w:rsid w:val="005B7015"/>
    <w:rsid w:val="005B7FD2"/>
    <w:rsid w:val="005C0FBF"/>
    <w:rsid w:val="005C1996"/>
    <w:rsid w:val="005C1A3D"/>
    <w:rsid w:val="005C3F9C"/>
    <w:rsid w:val="005C5A17"/>
    <w:rsid w:val="005C7766"/>
    <w:rsid w:val="005D0726"/>
    <w:rsid w:val="005D12F3"/>
    <w:rsid w:val="005D30C7"/>
    <w:rsid w:val="005D3D34"/>
    <w:rsid w:val="005D4B8B"/>
    <w:rsid w:val="005D6274"/>
    <w:rsid w:val="005D6950"/>
    <w:rsid w:val="005D70AA"/>
    <w:rsid w:val="005D746B"/>
    <w:rsid w:val="005E730A"/>
    <w:rsid w:val="005F40B0"/>
    <w:rsid w:val="005F5DCD"/>
    <w:rsid w:val="00600DE1"/>
    <w:rsid w:val="00603093"/>
    <w:rsid w:val="00603DF4"/>
    <w:rsid w:val="00603EB2"/>
    <w:rsid w:val="0060634E"/>
    <w:rsid w:val="00610E39"/>
    <w:rsid w:val="0061145F"/>
    <w:rsid w:val="00611C17"/>
    <w:rsid w:val="00614E1B"/>
    <w:rsid w:val="00616547"/>
    <w:rsid w:val="00617727"/>
    <w:rsid w:val="00621B6A"/>
    <w:rsid w:val="00626B4C"/>
    <w:rsid w:val="00627BBB"/>
    <w:rsid w:val="00627EDC"/>
    <w:rsid w:val="00630067"/>
    <w:rsid w:val="006308E4"/>
    <w:rsid w:val="006327AC"/>
    <w:rsid w:val="00635978"/>
    <w:rsid w:val="00636F9A"/>
    <w:rsid w:val="00640BB8"/>
    <w:rsid w:val="00642056"/>
    <w:rsid w:val="006466EF"/>
    <w:rsid w:val="00656E2D"/>
    <w:rsid w:val="0065790C"/>
    <w:rsid w:val="0066417D"/>
    <w:rsid w:val="00664894"/>
    <w:rsid w:val="00664E18"/>
    <w:rsid w:val="006666B7"/>
    <w:rsid w:val="0066759C"/>
    <w:rsid w:val="0067061C"/>
    <w:rsid w:val="00677237"/>
    <w:rsid w:val="006801B4"/>
    <w:rsid w:val="00681E22"/>
    <w:rsid w:val="006822EB"/>
    <w:rsid w:val="00683B3A"/>
    <w:rsid w:val="00684254"/>
    <w:rsid w:val="006878F0"/>
    <w:rsid w:val="0069112E"/>
    <w:rsid w:val="0069434E"/>
    <w:rsid w:val="0069713F"/>
    <w:rsid w:val="006972F4"/>
    <w:rsid w:val="006A02C3"/>
    <w:rsid w:val="006A1A97"/>
    <w:rsid w:val="006A2833"/>
    <w:rsid w:val="006A3BA8"/>
    <w:rsid w:val="006A6B7D"/>
    <w:rsid w:val="006A6CD0"/>
    <w:rsid w:val="006A7BD3"/>
    <w:rsid w:val="006B0CB6"/>
    <w:rsid w:val="006B372A"/>
    <w:rsid w:val="006B3BCE"/>
    <w:rsid w:val="006B65B2"/>
    <w:rsid w:val="006C3495"/>
    <w:rsid w:val="006C3F10"/>
    <w:rsid w:val="006D3CBC"/>
    <w:rsid w:val="006D4CA4"/>
    <w:rsid w:val="006D6B8E"/>
    <w:rsid w:val="006D78F0"/>
    <w:rsid w:val="006D7E05"/>
    <w:rsid w:val="006E3664"/>
    <w:rsid w:val="006F0C05"/>
    <w:rsid w:val="006F0FE9"/>
    <w:rsid w:val="006F4BD4"/>
    <w:rsid w:val="006F6C94"/>
    <w:rsid w:val="0070135F"/>
    <w:rsid w:val="00701815"/>
    <w:rsid w:val="0070257C"/>
    <w:rsid w:val="00702F13"/>
    <w:rsid w:val="00704D8A"/>
    <w:rsid w:val="00704E04"/>
    <w:rsid w:val="00706894"/>
    <w:rsid w:val="00707F9C"/>
    <w:rsid w:val="0071322B"/>
    <w:rsid w:val="00715ED3"/>
    <w:rsid w:val="00716258"/>
    <w:rsid w:val="0072387B"/>
    <w:rsid w:val="0072750F"/>
    <w:rsid w:val="00727CC6"/>
    <w:rsid w:val="00730337"/>
    <w:rsid w:val="00730F01"/>
    <w:rsid w:val="00734A6E"/>
    <w:rsid w:val="00736081"/>
    <w:rsid w:val="007423A8"/>
    <w:rsid w:val="00743066"/>
    <w:rsid w:val="007434A5"/>
    <w:rsid w:val="0074393D"/>
    <w:rsid w:val="00744224"/>
    <w:rsid w:val="00746AB6"/>
    <w:rsid w:val="00746F2C"/>
    <w:rsid w:val="007524A9"/>
    <w:rsid w:val="007532D0"/>
    <w:rsid w:val="00756F71"/>
    <w:rsid w:val="00756F8D"/>
    <w:rsid w:val="00757C75"/>
    <w:rsid w:val="007617C2"/>
    <w:rsid w:val="00763D1A"/>
    <w:rsid w:val="00764A42"/>
    <w:rsid w:val="00764EB9"/>
    <w:rsid w:val="00767FE6"/>
    <w:rsid w:val="00771A90"/>
    <w:rsid w:val="0077321A"/>
    <w:rsid w:val="0077487C"/>
    <w:rsid w:val="0077572A"/>
    <w:rsid w:val="007757F0"/>
    <w:rsid w:val="007761B7"/>
    <w:rsid w:val="00777772"/>
    <w:rsid w:val="00780841"/>
    <w:rsid w:val="00780D5C"/>
    <w:rsid w:val="00781769"/>
    <w:rsid w:val="0078220B"/>
    <w:rsid w:val="00782683"/>
    <w:rsid w:val="007865AE"/>
    <w:rsid w:val="00786E01"/>
    <w:rsid w:val="00787221"/>
    <w:rsid w:val="00794B84"/>
    <w:rsid w:val="007961C0"/>
    <w:rsid w:val="0079634D"/>
    <w:rsid w:val="00797C79"/>
    <w:rsid w:val="007A4878"/>
    <w:rsid w:val="007A4BEA"/>
    <w:rsid w:val="007A4D71"/>
    <w:rsid w:val="007A5014"/>
    <w:rsid w:val="007A6C1C"/>
    <w:rsid w:val="007B146D"/>
    <w:rsid w:val="007B1A24"/>
    <w:rsid w:val="007B3CA5"/>
    <w:rsid w:val="007B573D"/>
    <w:rsid w:val="007C2792"/>
    <w:rsid w:val="007C35A1"/>
    <w:rsid w:val="007C3CBB"/>
    <w:rsid w:val="007C66D2"/>
    <w:rsid w:val="007C67D6"/>
    <w:rsid w:val="007D1A8E"/>
    <w:rsid w:val="007D58DE"/>
    <w:rsid w:val="007D5F4A"/>
    <w:rsid w:val="007D6376"/>
    <w:rsid w:val="007E0095"/>
    <w:rsid w:val="007E020D"/>
    <w:rsid w:val="007E1535"/>
    <w:rsid w:val="007E58B1"/>
    <w:rsid w:val="007E6C2E"/>
    <w:rsid w:val="007F03EC"/>
    <w:rsid w:val="007F5586"/>
    <w:rsid w:val="007F62FE"/>
    <w:rsid w:val="007F6B2F"/>
    <w:rsid w:val="007F7002"/>
    <w:rsid w:val="00800523"/>
    <w:rsid w:val="0080246B"/>
    <w:rsid w:val="00802A44"/>
    <w:rsid w:val="0080635A"/>
    <w:rsid w:val="00806AF5"/>
    <w:rsid w:val="00813EE6"/>
    <w:rsid w:val="00815775"/>
    <w:rsid w:val="0081634C"/>
    <w:rsid w:val="0081758A"/>
    <w:rsid w:val="008206F4"/>
    <w:rsid w:val="008217B0"/>
    <w:rsid w:val="00822246"/>
    <w:rsid w:val="008235B7"/>
    <w:rsid w:val="008245CA"/>
    <w:rsid w:val="00826758"/>
    <w:rsid w:val="00830593"/>
    <w:rsid w:val="008305C4"/>
    <w:rsid w:val="00830722"/>
    <w:rsid w:val="008332B0"/>
    <w:rsid w:val="00836C5D"/>
    <w:rsid w:val="0083701A"/>
    <w:rsid w:val="0084055B"/>
    <w:rsid w:val="00840E0B"/>
    <w:rsid w:val="00841DF6"/>
    <w:rsid w:val="00846A03"/>
    <w:rsid w:val="00846C1F"/>
    <w:rsid w:val="00850A4F"/>
    <w:rsid w:val="00850C71"/>
    <w:rsid w:val="0085175E"/>
    <w:rsid w:val="008528FA"/>
    <w:rsid w:val="008539CB"/>
    <w:rsid w:val="00854057"/>
    <w:rsid w:val="008556E3"/>
    <w:rsid w:val="0085640F"/>
    <w:rsid w:val="00857C4F"/>
    <w:rsid w:val="00860A91"/>
    <w:rsid w:val="0086184D"/>
    <w:rsid w:val="00861D1D"/>
    <w:rsid w:val="00864B27"/>
    <w:rsid w:val="008665AB"/>
    <w:rsid w:val="008709E7"/>
    <w:rsid w:val="00870C1B"/>
    <w:rsid w:val="00871604"/>
    <w:rsid w:val="008725DD"/>
    <w:rsid w:val="00875241"/>
    <w:rsid w:val="00875399"/>
    <w:rsid w:val="008834F9"/>
    <w:rsid w:val="00886FF3"/>
    <w:rsid w:val="00887CCA"/>
    <w:rsid w:val="00892048"/>
    <w:rsid w:val="00895DBB"/>
    <w:rsid w:val="0089649E"/>
    <w:rsid w:val="008A0277"/>
    <w:rsid w:val="008A0B1F"/>
    <w:rsid w:val="008A35C8"/>
    <w:rsid w:val="008A4569"/>
    <w:rsid w:val="008A7643"/>
    <w:rsid w:val="008A771E"/>
    <w:rsid w:val="008A7C98"/>
    <w:rsid w:val="008B00FF"/>
    <w:rsid w:val="008B0DE1"/>
    <w:rsid w:val="008B2CDC"/>
    <w:rsid w:val="008B456A"/>
    <w:rsid w:val="008C164D"/>
    <w:rsid w:val="008C1696"/>
    <w:rsid w:val="008C4D3E"/>
    <w:rsid w:val="008C5028"/>
    <w:rsid w:val="008D2E99"/>
    <w:rsid w:val="008D3577"/>
    <w:rsid w:val="008D382F"/>
    <w:rsid w:val="008D7BF5"/>
    <w:rsid w:val="008E0008"/>
    <w:rsid w:val="008E0FBD"/>
    <w:rsid w:val="008E1405"/>
    <w:rsid w:val="008E4AB1"/>
    <w:rsid w:val="008E6177"/>
    <w:rsid w:val="008E6D66"/>
    <w:rsid w:val="008E7422"/>
    <w:rsid w:val="008E747E"/>
    <w:rsid w:val="008E78AB"/>
    <w:rsid w:val="008F4B1E"/>
    <w:rsid w:val="008F621D"/>
    <w:rsid w:val="008F6C58"/>
    <w:rsid w:val="0090006B"/>
    <w:rsid w:val="00900714"/>
    <w:rsid w:val="00900E8B"/>
    <w:rsid w:val="009011B2"/>
    <w:rsid w:val="00903C66"/>
    <w:rsid w:val="00903CAC"/>
    <w:rsid w:val="00905FF0"/>
    <w:rsid w:val="00907292"/>
    <w:rsid w:val="00911472"/>
    <w:rsid w:val="009154AE"/>
    <w:rsid w:val="00916B9C"/>
    <w:rsid w:val="0092147D"/>
    <w:rsid w:val="00921CB0"/>
    <w:rsid w:val="00922A83"/>
    <w:rsid w:val="00923A47"/>
    <w:rsid w:val="00924118"/>
    <w:rsid w:val="009251C9"/>
    <w:rsid w:val="009257D4"/>
    <w:rsid w:val="00926785"/>
    <w:rsid w:val="00927A42"/>
    <w:rsid w:val="0093074B"/>
    <w:rsid w:val="009334B5"/>
    <w:rsid w:val="00933D5E"/>
    <w:rsid w:val="009346B0"/>
    <w:rsid w:val="00934D37"/>
    <w:rsid w:val="00934D9E"/>
    <w:rsid w:val="009362D2"/>
    <w:rsid w:val="00936839"/>
    <w:rsid w:val="00940530"/>
    <w:rsid w:val="0094063F"/>
    <w:rsid w:val="00943A03"/>
    <w:rsid w:val="0094744C"/>
    <w:rsid w:val="00947ADB"/>
    <w:rsid w:val="00954D6C"/>
    <w:rsid w:val="00956AF1"/>
    <w:rsid w:val="00963542"/>
    <w:rsid w:val="00963606"/>
    <w:rsid w:val="00963E9A"/>
    <w:rsid w:val="009644A4"/>
    <w:rsid w:val="009647B1"/>
    <w:rsid w:val="00964BE1"/>
    <w:rsid w:val="00965DF1"/>
    <w:rsid w:val="009676A5"/>
    <w:rsid w:val="009721A7"/>
    <w:rsid w:val="009722A9"/>
    <w:rsid w:val="009734B1"/>
    <w:rsid w:val="0097421B"/>
    <w:rsid w:val="009766AE"/>
    <w:rsid w:val="009767C6"/>
    <w:rsid w:val="00976FCE"/>
    <w:rsid w:val="00977DAA"/>
    <w:rsid w:val="00982519"/>
    <w:rsid w:val="009830F4"/>
    <w:rsid w:val="0098405A"/>
    <w:rsid w:val="00985FCD"/>
    <w:rsid w:val="009863DB"/>
    <w:rsid w:val="00990D54"/>
    <w:rsid w:val="009941A7"/>
    <w:rsid w:val="009942FD"/>
    <w:rsid w:val="009948D2"/>
    <w:rsid w:val="00995156"/>
    <w:rsid w:val="00997007"/>
    <w:rsid w:val="009A028D"/>
    <w:rsid w:val="009A0BF8"/>
    <w:rsid w:val="009A4411"/>
    <w:rsid w:val="009A4793"/>
    <w:rsid w:val="009A4FA5"/>
    <w:rsid w:val="009A5414"/>
    <w:rsid w:val="009A630A"/>
    <w:rsid w:val="009A6780"/>
    <w:rsid w:val="009A758B"/>
    <w:rsid w:val="009A7CE9"/>
    <w:rsid w:val="009B1644"/>
    <w:rsid w:val="009B16F2"/>
    <w:rsid w:val="009B2037"/>
    <w:rsid w:val="009B2752"/>
    <w:rsid w:val="009B282B"/>
    <w:rsid w:val="009B34E5"/>
    <w:rsid w:val="009B3C8C"/>
    <w:rsid w:val="009B45A9"/>
    <w:rsid w:val="009B50E7"/>
    <w:rsid w:val="009C0893"/>
    <w:rsid w:val="009C322F"/>
    <w:rsid w:val="009D04D3"/>
    <w:rsid w:val="009E051C"/>
    <w:rsid w:val="009E07F4"/>
    <w:rsid w:val="009E2702"/>
    <w:rsid w:val="009E739F"/>
    <w:rsid w:val="009E7A21"/>
    <w:rsid w:val="009F064A"/>
    <w:rsid w:val="009F24E0"/>
    <w:rsid w:val="009F5209"/>
    <w:rsid w:val="009F5B42"/>
    <w:rsid w:val="00A0010E"/>
    <w:rsid w:val="00A01811"/>
    <w:rsid w:val="00A01E8F"/>
    <w:rsid w:val="00A05A65"/>
    <w:rsid w:val="00A05C27"/>
    <w:rsid w:val="00A06EB8"/>
    <w:rsid w:val="00A0719E"/>
    <w:rsid w:val="00A07792"/>
    <w:rsid w:val="00A14C0B"/>
    <w:rsid w:val="00A14F37"/>
    <w:rsid w:val="00A16A05"/>
    <w:rsid w:val="00A23FA1"/>
    <w:rsid w:val="00A323A7"/>
    <w:rsid w:val="00A34399"/>
    <w:rsid w:val="00A3704E"/>
    <w:rsid w:val="00A37991"/>
    <w:rsid w:val="00A40923"/>
    <w:rsid w:val="00A43773"/>
    <w:rsid w:val="00A5103F"/>
    <w:rsid w:val="00A5239B"/>
    <w:rsid w:val="00A5577B"/>
    <w:rsid w:val="00A6069E"/>
    <w:rsid w:val="00A62FCF"/>
    <w:rsid w:val="00A643EF"/>
    <w:rsid w:val="00A64B4F"/>
    <w:rsid w:val="00A661AF"/>
    <w:rsid w:val="00A66956"/>
    <w:rsid w:val="00A677C8"/>
    <w:rsid w:val="00A71E7C"/>
    <w:rsid w:val="00A72080"/>
    <w:rsid w:val="00A724BB"/>
    <w:rsid w:val="00A7396A"/>
    <w:rsid w:val="00A74FF9"/>
    <w:rsid w:val="00A778FA"/>
    <w:rsid w:val="00A77A30"/>
    <w:rsid w:val="00A81022"/>
    <w:rsid w:val="00A811F8"/>
    <w:rsid w:val="00A8173D"/>
    <w:rsid w:val="00A82C0A"/>
    <w:rsid w:val="00A843A5"/>
    <w:rsid w:val="00A84591"/>
    <w:rsid w:val="00A84DE8"/>
    <w:rsid w:val="00A8536D"/>
    <w:rsid w:val="00A86E93"/>
    <w:rsid w:val="00A87F04"/>
    <w:rsid w:val="00A9003B"/>
    <w:rsid w:val="00A919CE"/>
    <w:rsid w:val="00A92B48"/>
    <w:rsid w:val="00A93A33"/>
    <w:rsid w:val="00A94587"/>
    <w:rsid w:val="00AA2617"/>
    <w:rsid w:val="00AA2654"/>
    <w:rsid w:val="00AA4DFA"/>
    <w:rsid w:val="00AA77AA"/>
    <w:rsid w:val="00AB093F"/>
    <w:rsid w:val="00AB0E63"/>
    <w:rsid w:val="00AB17A0"/>
    <w:rsid w:val="00AB2142"/>
    <w:rsid w:val="00AB4271"/>
    <w:rsid w:val="00AB5121"/>
    <w:rsid w:val="00AB752B"/>
    <w:rsid w:val="00AC39D6"/>
    <w:rsid w:val="00AC45A6"/>
    <w:rsid w:val="00AC4641"/>
    <w:rsid w:val="00AC6F47"/>
    <w:rsid w:val="00AD0BB1"/>
    <w:rsid w:val="00AD660A"/>
    <w:rsid w:val="00AD6C65"/>
    <w:rsid w:val="00AE0358"/>
    <w:rsid w:val="00AE0EC4"/>
    <w:rsid w:val="00AE0F93"/>
    <w:rsid w:val="00AE2433"/>
    <w:rsid w:val="00AE435E"/>
    <w:rsid w:val="00AE46EC"/>
    <w:rsid w:val="00AF117E"/>
    <w:rsid w:val="00AF209D"/>
    <w:rsid w:val="00AF3B41"/>
    <w:rsid w:val="00AF53AF"/>
    <w:rsid w:val="00AF6D4A"/>
    <w:rsid w:val="00B02F8C"/>
    <w:rsid w:val="00B04FDA"/>
    <w:rsid w:val="00B103B4"/>
    <w:rsid w:val="00B11640"/>
    <w:rsid w:val="00B11AA7"/>
    <w:rsid w:val="00B11ED0"/>
    <w:rsid w:val="00B15268"/>
    <w:rsid w:val="00B15909"/>
    <w:rsid w:val="00B1684F"/>
    <w:rsid w:val="00B24F26"/>
    <w:rsid w:val="00B25283"/>
    <w:rsid w:val="00B259C2"/>
    <w:rsid w:val="00B27890"/>
    <w:rsid w:val="00B322AC"/>
    <w:rsid w:val="00B324B2"/>
    <w:rsid w:val="00B32C8C"/>
    <w:rsid w:val="00B3386F"/>
    <w:rsid w:val="00B34264"/>
    <w:rsid w:val="00B362F2"/>
    <w:rsid w:val="00B36446"/>
    <w:rsid w:val="00B40C70"/>
    <w:rsid w:val="00B44BCD"/>
    <w:rsid w:val="00B46155"/>
    <w:rsid w:val="00B47262"/>
    <w:rsid w:val="00B513D4"/>
    <w:rsid w:val="00B52829"/>
    <w:rsid w:val="00B53B07"/>
    <w:rsid w:val="00B56E29"/>
    <w:rsid w:val="00B57CF3"/>
    <w:rsid w:val="00B6396D"/>
    <w:rsid w:val="00B6654F"/>
    <w:rsid w:val="00B7029E"/>
    <w:rsid w:val="00B71DC7"/>
    <w:rsid w:val="00B71E72"/>
    <w:rsid w:val="00B75337"/>
    <w:rsid w:val="00B75988"/>
    <w:rsid w:val="00B75D18"/>
    <w:rsid w:val="00B76DF1"/>
    <w:rsid w:val="00B77514"/>
    <w:rsid w:val="00B775C7"/>
    <w:rsid w:val="00B811B0"/>
    <w:rsid w:val="00B83417"/>
    <w:rsid w:val="00B92762"/>
    <w:rsid w:val="00B92B67"/>
    <w:rsid w:val="00B97965"/>
    <w:rsid w:val="00B97F4A"/>
    <w:rsid w:val="00BA2E00"/>
    <w:rsid w:val="00BA3B26"/>
    <w:rsid w:val="00BA7333"/>
    <w:rsid w:val="00BA7BDA"/>
    <w:rsid w:val="00BB21BC"/>
    <w:rsid w:val="00BB2980"/>
    <w:rsid w:val="00BB38CE"/>
    <w:rsid w:val="00BB3B1C"/>
    <w:rsid w:val="00BB409B"/>
    <w:rsid w:val="00BB60A9"/>
    <w:rsid w:val="00BC4862"/>
    <w:rsid w:val="00BC62E3"/>
    <w:rsid w:val="00BC7CB0"/>
    <w:rsid w:val="00BC7F9A"/>
    <w:rsid w:val="00BD2F87"/>
    <w:rsid w:val="00BD3694"/>
    <w:rsid w:val="00BD56AA"/>
    <w:rsid w:val="00BD5F77"/>
    <w:rsid w:val="00BD6E37"/>
    <w:rsid w:val="00BD77F5"/>
    <w:rsid w:val="00BD797B"/>
    <w:rsid w:val="00BE1656"/>
    <w:rsid w:val="00BE3EBB"/>
    <w:rsid w:val="00BE5E63"/>
    <w:rsid w:val="00BF0D7E"/>
    <w:rsid w:val="00BF0EE6"/>
    <w:rsid w:val="00BF41C3"/>
    <w:rsid w:val="00BF5894"/>
    <w:rsid w:val="00BF6E04"/>
    <w:rsid w:val="00BF6EA4"/>
    <w:rsid w:val="00C00B8D"/>
    <w:rsid w:val="00C075DD"/>
    <w:rsid w:val="00C07D45"/>
    <w:rsid w:val="00C10B43"/>
    <w:rsid w:val="00C12079"/>
    <w:rsid w:val="00C12977"/>
    <w:rsid w:val="00C132A9"/>
    <w:rsid w:val="00C13D7C"/>
    <w:rsid w:val="00C149E7"/>
    <w:rsid w:val="00C16B1A"/>
    <w:rsid w:val="00C17D04"/>
    <w:rsid w:val="00C2060B"/>
    <w:rsid w:val="00C27D0A"/>
    <w:rsid w:val="00C32716"/>
    <w:rsid w:val="00C327DB"/>
    <w:rsid w:val="00C33A08"/>
    <w:rsid w:val="00C37053"/>
    <w:rsid w:val="00C37664"/>
    <w:rsid w:val="00C413AD"/>
    <w:rsid w:val="00C41CF3"/>
    <w:rsid w:val="00C50D00"/>
    <w:rsid w:val="00C5291A"/>
    <w:rsid w:val="00C53C2C"/>
    <w:rsid w:val="00C57D6A"/>
    <w:rsid w:val="00C623B1"/>
    <w:rsid w:val="00C635A4"/>
    <w:rsid w:val="00C636B4"/>
    <w:rsid w:val="00C643FB"/>
    <w:rsid w:val="00C64CD6"/>
    <w:rsid w:val="00C655F7"/>
    <w:rsid w:val="00C65EEC"/>
    <w:rsid w:val="00C73EE0"/>
    <w:rsid w:val="00C74E3F"/>
    <w:rsid w:val="00C7501D"/>
    <w:rsid w:val="00C80C73"/>
    <w:rsid w:val="00C80E43"/>
    <w:rsid w:val="00C819F7"/>
    <w:rsid w:val="00C82C28"/>
    <w:rsid w:val="00C8387E"/>
    <w:rsid w:val="00C84591"/>
    <w:rsid w:val="00C84B32"/>
    <w:rsid w:val="00C914D1"/>
    <w:rsid w:val="00C91E77"/>
    <w:rsid w:val="00C93B8F"/>
    <w:rsid w:val="00C96076"/>
    <w:rsid w:val="00C96DF7"/>
    <w:rsid w:val="00C97225"/>
    <w:rsid w:val="00CA079B"/>
    <w:rsid w:val="00CA0AA0"/>
    <w:rsid w:val="00CA24DA"/>
    <w:rsid w:val="00CA2A4C"/>
    <w:rsid w:val="00CA5A8B"/>
    <w:rsid w:val="00CA7B93"/>
    <w:rsid w:val="00CB5A4F"/>
    <w:rsid w:val="00CC123C"/>
    <w:rsid w:val="00CC17DC"/>
    <w:rsid w:val="00CC28A6"/>
    <w:rsid w:val="00CC3D30"/>
    <w:rsid w:val="00CC4647"/>
    <w:rsid w:val="00CC578D"/>
    <w:rsid w:val="00CC6E6A"/>
    <w:rsid w:val="00CC7836"/>
    <w:rsid w:val="00CD0D0D"/>
    <w:rsid w:val="00CD3B4C"/>
    <w:rsid w:val="00CD3BAB"/>
    <w:rsid w:val="00CD675F"/>
    <w:rsid w:val="00CE17F2"/>
    <w:rsid w:val="00CE1D08"/>
    <w:rsid w:val="00CE23A2"/>
    <w:rsid w:val="00CE28DA"/>
    <w:rsid w:val="00CE2E09"/>
    <w:rsid w:val="00CF1A32"/>
    <w:rsid w:val="00CF1D93"/>
    <w:rsid w:val="00CF2A54"/>
    <w:rsid w:val="00CF2E5F"/>
    <w:rsid w:val="00CF426A"/>
    <w:rsid w:val="00CF44DC"/>
    <w:rsid w:val="00D01F71"/>
    <w:rsid w:val="00D03232"/>
    <w:rsid w:val="00D0381A"/>
    <w:rsid w:val="00D040C3"/>
    <w:rsid w:val="00D04FA5"/>
    <w:rsid w:val="00D05364"/>
    <w:rsid w:val="00D06B12"/>
    <w:rsid w:val="00D102CD"/>
    <w:rsid w:val="00D1031A"/>
    <w:rsid w:val="00D10759"/>
    <w:rsid w:val="00D116B3"/>
    <w:rsid w:val="00D13FF7"/>
    <w:rsid w:val="00D1657F"/>
    <w:rsid w:val="00D20B51"/>
    <w:rsid w:val="00D20F42"/>
    <w:rsid w:val="00D238A9"/>
    <w:rsid w:val="00D24B3B"/>
    <w:rsid w:val="00D30EB1"/>
    <w:rsid w:val="00D32923"/>
    <w:rsid w:val="00D33952"/>
    <w:rsid w:val="00D43CCC"/>
    <w:rsid w:val="00D43DB7"/>
    <w:rsid w:val="00D449ED"/>
    <w:rsid w:val="00D47412"/>
    <w:rsid w:val="00D47DEE"/>
    <w:rsid w:val="00D50260"/>
    <w:rsid w:val="00D50859"/>
    <w:rsid w:val="00D513CB"/>
    <w:rsid w:val="00D518A2"/>
    <w:rsid w:val="00D52511"/>
    <w:rsid w:val="00D52874"/>
    <w:rsid w:val="00D54930"/>
    <w:rsid w:val="00D54E28"/>
    <w:rsid w:val="00D602E0"/>
    <w:rsid w:val="00D6343C"/>
    <w:rsid w:val="00D70511"/>
    <w:rsid w:val="00D70C12"/>
    <w:rsid w:val="00D70F35"/>
    <w:rsid w:val="00D746FF"/>
    <w:rsid w:val="00D75AB2"/>
    <w:rsid w:val="00D75E83"/>
    <w:rsid w:val="00D77BF7"/>
    <w:rsid w:val="00D82814"/>
    <w:rsid w:val="00D82D24"/>
    <w:rsid w:val="00D875F3"/>
    <w:rsid w:val="00D922D4"/>
    <w:rsid w:val="00D964D8"/>
    <w:rsid w:val="00D9673A"/>
    <w:rsid w:val="00D97093"/>
    <w:rsid w:val="00D97853"/>
    <w:rsid w:val="00DA0887"/>
    <w:rsid w:val="00DA0AFF"/>
    <w:rsid w:val="00DA0DD7"/>
    <w:rsid w:val="00DA3227"/>
    <w:rsid w:val="00DA4F4E"/>
    <w:rsid w:val="00DA609D"/>
    <w:rsid w:val="00DA66EA"/>
    <w:rsid w:val="00DA79FA"/>
    <w:rsid w:val="00DB155C"/>
    <w:rsid w:val="00DB1FCE"/>
    <w:rsid w:val="00DB5205"/>
    <w:rsid w:val="00DB602D"/>
    <w:rsid w:val="00DB66E2"/>
    <w:rsid w:val="00DB7C77"/>
    <w:rsid w:val="00DB7E49"/>
    <w:rsid w:val="00DC0D20"/>
    <w:rsid w:val="00DC0DE4"/>
    <w:rsid w:val="00DC1A74"/>
    <w:rsid w:val="00DC2A09"/>
    <w:rsid w:val="00DC2BC0"/>
    <w:rsid w:val="00DC79D0"/>
    <w:rsid w:val="00DC7B1F"/>
    <w:rsid w:val="00DD0A59"/>
    <w:rsid w:val="00DD1B1F"/>
    <w:rsid w:val="00DD5A9D"/>
    <w:rsid w:val="00DD757D"/>
    <w:rsid w:val="00DE2486"/>
    <w:rsid w:val="00DE2DAC"/>
    <w:rsid w:val="00DE3A28"/>
    <w:rsid w:val="00DE4B73"/>
    <w:rsid w:val="00DE719C"/>
    <w:rsid w:val="00DE77CE"/>
    <w:rsid w:val="00DF18C4"/>
    <w:rsid w:val="00DF1A2A"/>
    <w:rsid w:val="00DF405C"/>
    <w:rsid w:val="00DF4C86"/>
    <w:rsid w:val="00DF4EDE"/>
    <w:rsid w:val="00DF675B"/>
    <w:rsid w:val="00DF757F"/>
    <w:rsid w:val="00E07CB2"/>
    <w:rsid w:val="00E07CDB"/>
    <w:rsid w:val="00E109A7"/>
    <w:rsid w:val="00E10ECA"/>
    <w:rsid w:val="00E119AF"/>
    <w:rsid w:val="00E1211A"/>
    <w:rsid w:val="00E139FA"/>
    <w:rsid w:val="00E15EFA"/>
    <w:rsid w:val="00E168B1"/>
    <w:rsid w:val="00E17399"/>
    <w:rsid w:val="00E173D0"/>
    <w:rsid w:val="00E17B38"/>
    <w:rsid w:val="00E2052B"/>
    <w:rsid w:val="00E21299"/>
    <w:rsid w:val="00E23AA2"/>
    <w:rsid w:val="00E23D1C"/>
    <w:rsid w:val="00E315EC"/>
    <w:rsid w:val="00E32A0C"/>
    <w:rsid w:val="00E32C57"/>
    <w:rsid w:val="00E34DFE"/>
    <w:rsid w:val="00E351DD"/>
    <w:rsid w:val="00E36B3D"/>
    <w:rsid w:val="00E4611B"/>
    <w:rsid w:val="00E46AFD"/>
    <w:rsid w:val="00E4724D"/>
    <w:rsid w:val="00E475B2"/>
    <w:rsid w:val="00E50BD3"/>
    <w:rsid w:val="00E5567A"/>
    <w:rsid w:val="00E55D1A"/>
    <w:rsid w:val="00E55DCD"/>
    <w:rsid w:val="00E56EAF"/>
    <w:rsid w:val="00E574AF"/>
    <w:rsid w:val="00E609C9"/>
    <w:rsid w:val="00E65ECA"/>
    <w:rsid w:val="00E6704A"/>
    <w:rsid w:val="00E703EA"/>
    <w:rsid w:val="00E73D81"/>
    <w:rsid w:val="00E748E2"/>
    <w:rsid w:val="00E7574D"/>
    <w:rsid w:val="00E75986"/>
    <w:rsid w:val="00E80DDD"/>
    <w:rsid w:val="00E816B9"/>
    <w:rsid w:val="00E8787B"/>
    <w:rsid w:val="00E904EE"/>
    <w:rsid w:val="00E90DB6"/>
    <w:rsid w:val="00E91ABB"/>
    <w:rsid w:val="00E92B0A"/>
    <w:rsid w:val="00E92E86"/>
    <w:rsid w:val="00E939A7"/>
    <w:rsid w:val="00E95346"/>
    <w:rsid w:val="00E96EAC"/>
    <w:rsid w:val="00EA083E"/>
    <w:rsid w:val="00EA595F"/>
    <w:rsid w:val="00EA6EBA"/>
    <w:rsid w:val="00EB34A5"/>
    <w:rsid w:val="00EB39A2"/>
    <w:rsid w:val="00EB4B3C"/>
    <w:rsid w:val="00EB5F0A"/>
    <w:rsid w:val="00EB655C"/>
    <w:rsid w:val="00EB7267"/>
    <w:rsid w:val="00EB7DC3"/>
    <w:rsid w:val="00EC22E1"/>
    <w:rsid w:val="00EC25C1"/>
    <w:rsid w:val="00EC28E1"/>
    <w:rsid w:val="00EC5583"/>
    <w:rsid w:val="00EC5F1F"/>
    <w:rsid w:val="00EC7553"/>
    <w:rsid w:val="00ED2031"/>
    <w:rsid w:val="00ED3B81"/>
    <w:rsid w:val="00ED52D4"/>
    <w:rsid w:val="00ED5E03"/>
    <w:rsid w:val="00ED79E2"/>
    <w:rsid w:val="00EE03E8"/>
    <w:rsid w:val="00EE235E"/>
    <w:rsid w:val="00EE2F3E"/>
    <w:rsid w:val="00EE3F54"/>
    <w:rsid w:val="00EE4B73"/>
    <w:rsid w:val="00EE4BA1"/>
    <w:rsid w:val="00EE6FF5"/>
    <w:rsid w:val="00EF4811"/>
    <w:rsid w:val="00EF5132"/>
    <w:rsid w:val="00EF5AE3"/>
    <w:rsid w:val="00EF6F40"/>
    <w:rsid w:val="00F0007E"/>
    <w:rsid w:val="00F0074A"/>
    <w:rsid w:val="00F009A3"/>
    <w:rsid w:val="00F00EF9"/>
    <w:rsid w:val="00F00F29"/>
    <w:rsid w:val="00F01FF7"/>
    <w:rsid w:val="00F0302C"/>
    <w:rsid w:val="00F052A3"/>
    <w:rsid w:val="00F07595"/>
    <w:rsid w:val="00F079BD"/>
    <w:rsid w:val="00F100ED"/>
    <w:rsid w:val="00F137AB"/>
    <w:rsid w:val="00F14F72"/>
    <w:rsid w:val="00F22CCA"/>
    <w:rsid w:val="00F25BD8"/>
    <w:rsid w:val="00F2744B"/>
    <w:rsid w:val="00F311D1"/>
    <w:rsid w:val="00F337B8"/>
    <w:rsid w:val="00F33A77"/>
    <w:rsid w:val="00F34BBE"/>
    <w:rsid w:val="00F37AF3"/>
    <w:rsid w:val="00F436F6"/>
    <w:rsid w:val="00F44A4A"/>
    <w:rsid w:val="00F454FB"/>
    <w:rsid w:val="00F461E3"/>
    <w:rsid w:val="00F47858"/>
    <w:rsid w:val="00F50232"/>
    <w:rsid w:val="00F50F96"/>
    <w:rsid w:val="00F5365B"/>
    <w:rsid w:val="00F53676"/>
    <w:rsid w:val="00F538EC"/>
    <w:rsid w:val="00F54D5A"/>
    <w:rsid w:val="00F554CC"/>
    <w:rsid w:val="00F63F58"/>
    <w:rsid w:val="00F76854"/>
    <w:rsid w:val="00F769DA"/>
    <w:rsid w:val="00F80069"/>
    <w:rsid w:val="00F836BE"/>
    <w:rsid w:val="00F84821"/>
    <w:rsid w:val="00F8498A"/>
    <w:rsid w:val="00F87635"/>
    <w:rsid w:val="00F91479"/>
    <w:rsid w:val="00F91C8E"/>
    <w:rsid w:val="00F925B5"/>
    <w:rsid w:val="00F94587"/>
    <w:rsid w:val="00F95481"/>
    <w:rsid w:val="00FA05D8"/>
    <w:rsid w:val="00FA12A5"/>
    <w:rsid w:val="00FA2E60"/>
    <w:rsid w:val="00FA33C3"/>
    <w:rsid w:val="00FA3CC1"/>
    <w:rsid w:val="00FA42F8"/>
    <w:rsid w:val="00FA4A4D"/>
    <w:rsid w:val="00FA5430"/>
    <w:rsid w:val="00FA7415"/>
    <w:rsid w:val="00FB18FC"/>
    <w:rsid w:val="00FB19CD"/>
    <w:rsid w:val="00FB332C"/>
    <w:rsid w:val="00FC02C9"/>
    <w:rsid w:val="00FC53C2"/>
    <w:rsid w:val="00FC5E15"/>
    <w:rsid w:val="00FC5EDE"/>
    <w:rsid w:val="00FC6ED7"/>
    <w:rsid w:val="00FD0B11"/>
    <w:rsid w:val="00FD5319"/>
    <w:rsid w:val="00FD5B25"/>
    <w:rsid w:val="00FD6748"/>
    <w:rsid w:val="00FD7D06"/>
    <w:rsid w:val="00FD7D3E"/>
    <w:rsid w:val="00FE2E0E"/>
    <w:rsid w:val="00FE4493"/>
    <w:rsid w:val="00FE47CC"/>
    <w:rsid w:val="00FE6742"/>
    <w:rsid w:val="00FE6977"/>
    <w:rsid w:val="00FE6B14"/>
    <w:rsid w:val="00FF0602"/>
    <w:rsid w:val="00FF0E3C"/>
    <w:rsid w:val="00FF3108"/>
    <w:rsid w:val="00FF410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6AADC9"/>
  <w15:docId w15:val="{3F4D50C8-D970-43D7-9076-C8EFC87D2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1356"/>
  </w:style>
  <w:style w:type="paragraph" w:styleId="Ttulo1">
    <w:name w:val="heading 1"/>
    <w:basedOn w:val="Normal"/>
    <w:next w:val="Normal"/>
    <w:qFormat/>
    <w:pPr>
      <w:keepNext/>
      <w:outlineLvl w:val="0"/>
    </w:pPr>
    <w:rPr>
      <w:rFonts w:ascii="Verdana" w:hAnsi="Verdana"/>
      <w:b/>
      <w:bCs/>
      <w:color w:val="800000"/>
      <w:sz w:val="22"/>
      <w:szCs w:val="22"/>
    </w:rPr>
  </w:style>
  <w:style w:type="paragraph" w:styleId="Ttulo2">
    <w:name w:val="heading 2"/>
    <w:basedOn w:val="Normal"/>
    <w:next w:val="Normal"/>
    <w:qFormat/>
    <w:pPr>
      <w:keepNext/>
      <w:outlineLvl w:val="1"/>
    </w:pPr>
    <w:rPr>
      <w:i/>
      <w:iCs/>
    </w:rPr>
  </w:style>
  <w:style w:type="paragraph" w:styleId="Ttulo3">
    <w:name w:val="heading 3"/>
    <w:basedOn w:val="Normal"/>
    <w:next w:val="Normal"/>
    <w:qFormat/>
    <w:pPr>
      <w:keepNext/>
      <w:jc w:val="both"/>
      <w:outlineLvl w:val="2"/>
    </w:pPr>
    <w:rPr>
      <w:rFonts w:ascii="Verdana" w:hAnsi="Verdana"/>
      <w:b/>
      <w:bCs/>
      <w:color w:val="800000"/>
      <w:sz w:val="22"/>
      <w:szCs w:val="22"/>
    </w:rPr>
  </w:style>
  <w:style w:type="paragraph" w:styleId="Ttulo4">
    <w:name w:val="heading 4"/>
    <w:basedOn w:val="Normal"/>
    <w:next w:val="Normal"/>
    <w:qFormat/>
    <w:pPr>
      <w:keepNext/>
      <w:jc w:val="both"/>
      <w:outlineLvl w:val="3"/>
    </w:pPr>
    <w:rPr>
      <w:rFonts w:ascii="Verdana" w:hAnsi="Verdana"/>
      <w:b/>
      <w:bCs/>
      <w:color w:val="800000"/>
      <w:spacing w:val="-20"/>
      <w:szCs w:val="22"/>
    </w:rPr>
  </w:style>
  <w:style w:type="paragraph" w:styleId="Ttulo5">
    <w:name w:val="heading 5"/>
    <w:basedOn w:val="Normal"/>
    <w:qFormat/>
    <w:pPr>
      <w:spacing w:before="100" w:beforeAutospacing="1" w:after="100" w:afterAutospacing="1"/>
      <w:outlineLvl w:val="4"/>
    </w:pPr>
    <w:rPr>
      <w:rFonts w:ascii="Arial Unicode MS" w:eastAsia="Arial Unicode MS" w:hAnsi="Arial Unicode MS" w:cs="Arial Unicode MS"/>
      <w:b/>
      <w:bCs/>
      <w:sz w:val="24"/>
      <w:szCs w:val="24"/>
    </w:rPr>
  </w:style>
  <w:style w:type="paragraph" w:styleId="Ttulo6">
    <w:name w:val="heading 6"/>
    <w:basedOn w:val="Normal"/>
    <w:next w:val="Normal"/>
    <w:link w:val="Ttulo6Car"/>
    <w:qFormat/>
    <w:rsid w:val="00BA7BDA"/>
    <w:pPr>
      <w:spacing w:before="240" w:after="60"/>
      <w:outlineLvl w:val="5"/>
    </w:pPr>
    <w:rPr>
      <w:rFonts w:ascii="Calibri" w:hAnsi="Calibri"/>
      <w:b/>
      <w:bCs/>
      <w:sz w:val="22"/>
      <w:szCs w:val="22"/>
      <w:lang w:val="x-none" w:eastAsia="x-none"/>
    </w:rPr>
  </w:style>
  <w:style w:type="paragraph" w:styleId="Ttulo9">
    <w:name w:val="heading 9"/>
    <w:basedOn w:val="Normal"/>
    <w:next w:val="Normal"/>
    <w:qFormat/>
    <w:pPr>
      <w:keepNext/>
      <w:jc w:val="center"/>
      <w:outlineLvl w:val="8"/>
    </w:pPr>
    <w:rPr>
      <w:b/>
      <w:bCs/>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pPr>
      <w:pBdr>
        <w:top w:val="single" w:sz="6" w:space="1" w:color="auto"/>
        <w:left w:val="single" w:sz="6" w:space="4" w:color="auto"/>
        <w:bottom w:val="single" w:sz="6" w:space="1" w:color="auto"/>
        <w:right w:val="single" w:sz="6" w:space="4" w:color="auto"/>
      </w:pBdr>
      <w:overflowPunct w:val="0"/>
      <w:autoSpaceDE w:val="0"/>
      <w:autoSpaceDN w:val="0"/>
      <w:adjustRightInd w:val="0"/>
      <w:jc w:val="both"/>
      <w:textAlignment w:val="baseline"/>
    </w:pPr>
    <w:rPr>
      <w:b/>
      <w:sz w:val="28"/>
      <w:lang w:val="es-ES_tradnl"/>
    </w:rPr>
  </w:style>
  <w:style w:type="paragraph" w:styleId="Textoindependiente3">
    <w:name w:val="Body Text 3"/>
    <w:basedOn w:val="Normal"/>
    <w:pPr>
      <w:jc w:val="both"/>
    </w:pPr>
    <w:rPr>
      <w:i/>
      <w:iCs/>
      <w:sz w:val="22"/>
    </w:rPr>
  </w:style>
  <w:style w:type="paragraph" w:styleId="Sangra3detindependiente">
    <w:name w:val="Body Text Indent 3"/>
    <w:basedOn w:val="Normal"/>
    <w:pPr>
      <w:autoSpaceDE w:val="0"/>
      <w:autoSpaceDN w:val="0"/>
      <w:adjustRightInd w:val="0"/>
      <w:ind w:left="567"/>
      <w:jc w:val="both"/>
    </w:pPr>
    <w:rPr>
      <w:bCs/>
      <w:i/>
      <w:iCs/>
      <w:sz w:val="24"/>
    </w:rPr>
  </w:style>
  <w:style w:type="paragraph" w:styleId="Encabezado">
    <w:name w:val="header"/>
    <w:basedOn w:val="Normal"/>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Nmerodepgina">
    <w:name w:val="page number"/>
    <w:basedOn w:val="Fuentedeprrafopredeter"/>
  </w:style>
  <w:style w:type="paragraph" w:styleId="Prrafodelista">
    <w:name w:val="List Paragraph"/>
    <w:basedOn w:val="Normal"/>
    <w:qFormat/>
    <w:pPr>
      <w:spacing w:after="200" w:line="276" w:lineRule="auto"/>
      <w:ind w:left="720"/>
      <w:contextualSpacing/>
    </w:pPr>
    <w:rPr>
      <w:rFonts w:ascii="Calibri" w:eastAsia="Calibri" w:hAnsi="Calibri"/>
      <w:sz w:val="22"/>
      <w:szCs w:val="22"/>
      <w:lang w:eastAsia="en-US"/>
    </w:rPr>
  </w:style>
  <w:style w:type="paragraph" w:customStyle="1" w:styleId="Default">
    <w:name w:val="Default"/>
    <w:pPr>
      <w:autoSpaceDE w:val="0"/>
      <w:autoSpaceDN w:val="0"/>
      <w:adjustRightInd w:val="0"/>
    </w:pPr>
    <w:rPr>
      <w:rFonts w:ascii="Helvetica 55 Roman" w:hAnsi="Helvetica 55 Roman" w:cs="Helvetica 55 Roman"/>
      <w:color w:val="000000"/>
      <w:sz w:val="24"/>
      <w:szCs w:val="24"/>
    </w:rPr>
  </w:style>
  <w:style w:type="paragraph" w:customStyle="1" w:styleId="CM2">
    <w:name w:val="CM2"/>
    <w:basedOn w:val="Default"/>
    <w:next w:val="Default"/>
    <w:pPr>
      <w:spacing w:line="176" w:lineRule="atLeast"/>
    </w:pPr>
    <w:rPr>
      <w:rFonts w:cs="Times New Roman"/>
      <w:color w:val="auto"/>
    </w:rPr>
  </w:style>
  <w:style w:type="paragraph" w:styleId="Sangradetextonormal">
    <w:name w:val="Body Text Indent"/>
    <w:basedOn w:val="Normal"/>
    <w:link w:val="SangradetextonormalCar"/>
    <w:pPr>
      <w:ind w:left="360"/>
      <w:jc w:val="both"/>
    </w:pPr>
    <w:rPr>
      <w:b/>
      <w:bCs/>
      <w:i/>
      <w:iCs/>
      <w:color w:val="800000"/>
      <w:sz w:val="24"/>
      <w:szCs w:val="22"/>
    </w:rPr>
  </w:style>
  <w:style w:type="character" w:styleId="Hipervnculo">
    <w:name w:val="Hyperlink"/>
    <w:rPr>
      <w:color w:val="333333"/>
      <w:u w:val="single"/>
    </w:rPr>
  </w:style>
  <w:style w:type="paragraph" w:styleId="Sangra2detindependiente">
    <w:name w:val="Body Text Indent 2"/>
    <w:basedOn w:val="Normal"/>
    <w:pPr>
      <w:ind w:left="284"/>
      <w:jc w:val="both"/>
    </w:pPr>
    <w:rPr>
      <w:bCs/>
      <w:sz w:val="24"/>
    </w:rPr>
  </w:style>
  <w:style w:type="paragraph" w:styleId="Textodebloque">
    <w:name w:val="Block Text"/>
    <w:basedOn w:val="Normal"/>
    <w:pPr>
      <w:ind w:left="180" w:right="-1"/>
      <w:jc w:val="both"/>
    </w:pPr>
    <w:rPr>
      <w:bCs/>
      <w:sz w:val="24"/>
    </w:rPr>
  </w:style>
  <w:style w:type="character" w:styleId="Refdecomentario">
    <w:name w:val="annotation reference"/>
    <w:semiHidden/>
    <w:rPr>
      <w:sz w:val="16"/>
      <w:szCs w:val="16"/>
    </w:rPr>
  </w:style>
  <w:style w:type="paragraph" w:styleId="Textocomentario">
    <w:name w:val="annotation text"/>
    <w:basedOn w:val="Normal"/>
    <w:semiHidden/>
  </w:style>
  <w:style w:type="character" w:customStyle="1" w:styleId="CarCar2">
    <w:name w:val="Car Car2"/>
    <w:basedOn w:val="Fuentedeprrafopredeter"/>
  </w:style>
  <w:style w:type="paragraph" w:styleId="Asuntodelcomentario">
    <w:name w:val="annotation subject"/>
    <w:basedOn w:val="Textocomentario"/>
    <w:next w:val="Textocomentario"/>
    <w:rPr>
      <w:b/>
      <w:bCs/>
    </w:rPr>
  </w:style>
  <w:style w:type="character" w:customStyle="1" w:styleId="CarCar1">
    <w:name w:val="Car Car1"/>
    <w:rPr>
      <w:b/>
      <w:bCs/>
    </w:rPr>
  </w:style>
  <w:style w:type="paragraph" w:styleId="Textodeglobo">
    <w:name w:val="Balloon Text"/>
    <w:basedOn w:val="Normal"/>
    <w:rPr>
      <w:rFonts w:ascii="Tahoma" w:hAnsi="Tahoma" w:cs="Tahoma"/>
      <w:sz w:val="16"/>
      <w:szCs w:val="16"/>
    </w:rPr>
  </w:style>
  <w:style w:type="character" w:customStyle="1" w:styleId="CarCar">
    <w:name w:val="Car Car"/>
    <w:rPr>
      <w:rFonts w:ascii="Tahoma" w:hAnsi="Tahoma" w:cs="Tahoma"/>
      <w:sz w:val="16"/>
      <w:szCs w:val="16"/>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Textoindependiente">
    <w:name w:val="Body Text"/>
    <w:basedOn w:val="Normal"/>
    <w:pPr>
      <w:jc w:val="both"/>
    </w:pPr>
    <w:rPr>
      <w:rFonts w:ascii="Verdana" w:hAnsi="Verdana"/>
      <w:sz w:val="22"/>
      <w:szCs w:val="24"/>
    </w:rPr>
  </w:style>
  <w:style w:type="character" w:customStyle="1" w:styleId="PiedepginaCar">
    <w:name w:val="Pie de página Car"/>
    <w:link w:val="Piedepgina"/>
    <w:uiPriority w:val="99"/>
    <w:rsid w:val="003735A6"/>
  </w:style>
  <w:style w:type="character" w:customStyle="1" w:styleId="Ttulo6Car">
    <w:name w:val="Título 6 Car"/>
    <w:link w:val="Ttulo6"/>
    <w:semiHidden/>
    <w:rsid w:val="00BA7BDA"/>
    <w:rPr>
      <w:rFonts w:ascii="Calibri" w:eastAsia="Times New Roman" w:hAnsi="Calibri" w:cs="Times New Roman"/>
      <w:b/>
      <w:bCs/>
      <w:sz w:val="22"/>
      <w:szCs w:val="22"/>
    </w:rPr>
  </w:style>
  <w:style w:type="paragraph" w:customStyle="1" w:styleId="Textoindependiente22">
    <w:name w:val="Texto independiente 22"/>
    <w:basedOn w:val="Normal"/>
    <w:rsid w:val="005C1A3D"/>
    <w:pPr>
      <w:pBdr>
        <w:top w:val="single" w:sz="6" w:space="1" w:color="auto"/>
        <w:left w:val="single" w:sz="6" w:space="4" w:color="auto"/>
        <w:bottom w:val="single" w:sz="6" w:space="1" w:color="auto"/>
        <w:right w:val="single" w:sz="6" w:space="4" w:color="auto"/>
      </w:pBdr>
      <w:overflowPunct w:val="0"/>
      <w:autoSpaceDE w:val="0"/>
      <w:autoSpaceDN w:val="0"/>
      <w:adjustRightInd w:val="0"/>
      <w:jc w:val="both"/>
      <w:textAlignment w:val="baseline"/>
    </w:pPr>
    <w:rPr>
      <w:b/>
      <w:sz w:val="28"/>
      <w:lang w:val="es-ES_tradnl"/>
    </w:rPr>
  </w:style>
  <w:style w:type="paragraph" w:styleId="Subttulo">
    <w:name w:val="Subtitle"/>
    <w:basedOn w:val="Normal"/>
    <w:next w:val="Normal"/>
    <w:link w:val="SubttuloCar"/>
    <w:qFormat/>
    <w:rsid w:val="00F554CC"/>
    <w:pPr>
      <w:spacing w:after="60"/>
      <w:jc w:val="center"/>
      <w:outlineLvl w:val="1"/>
    </w:pPr>
    <w:rPr>
      <w:rFonts w:ascii="Calibri Light" w:hAnsi="Calibri Light"/>
      <w:sz w:val="24"/>
      <w:szCs w:val="24"/>
    </w:rPr>
  </w:style>
  <w:style w:type="character" w:customStyle="1" w:styleId="SubttuloCar">
    <w:name w:val="Subtítulo Car"/>
    <w:link w:val="Subttulo"/>
    <w:rsid w:val="00F554CC"/>
    <w:rPr>
      <w:rFonts w:ascii="Calibri Light" w:eastAsia="Times New Roman" w:hAnsi="Calibri Light" w:cs="Times New Roman"/>
      <w:sz w:val="24"/>
      <w:szCs w:val="24"/>
    </w:rPr>
  </w:style>
  <w:style w:type="table" w:styleId="Tablaconcuadrcula">
    <w:name w:val="Table Grid"/>
    <w:basedOn w:val="Tablanormal"/>
    <w:rsid w:val="002818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rsid w:val="00EB5F0A"/>
    <w:pPr>
      <w:ind w:left="283" w:hanging="283"/>
      <w:contextualSpacing/>
    </w:pPr>
  </w:style>
  <w:style w:type="paragraph" w:styleId="Saludo">
    <w:name w:val="Salutation"/>
    <w:basedOn w:val="Normal"/>
    <w:next w:val="Normal"/>
    <w:link w:val="SaludoCar"/>
    <w:rsid w:val="00EB5F0A"/>
  </w:style>
  <w:style w:type="character" w:customStyle="1" w:styleId="SaludoCar">
    <w:name w:val="Saludo Car"/>
    <w:basedOn w:val="Fuentedeprrafopredeter"/>
    <w:link w:val="Saludo"/>
    <w:rsid w:val="00EB5F0A"/>
  </w:style>
  <w:style w:type="paragraph" w:styleId="Listaconvietas">
    <w:name w:val="List Bullet"/>
    <w:basedOn w:val="Normal"/>
    <w:rsid w:val="00EB5F0A"/>
    <w:pPr>
      <w:numPr>
        <w:numId w:val="2"/>
      </w:numPr>
      <w:contextualSpacing/>
    </w:pPr>
  </w:style>
  <w:style w:type="paragraph" w:styleId="Ttulo">
    <w:name w:val="Title"/>
    <w:basedOn w:val="Normal"/>
    <w:next w:val="Normal"/>
    <w:link w:val="TtuloCar"/>
    <w:qFormat/>
    <w:rsid w:val="00EB5F0A"/>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ar">
    <w:name w:val="Título Car"/>
    <w:basedOn w:val="Fuentedeprrafopredeter"/>
    <w:link w:val="Ttulo"/>
    <w:rsid w:val="00EB5F0A"/>
    <w:rPr>
      <w:rFonts w:asciiTheme="majorHAnsi" w:eastAsiaTheme="majorEastAsia" w:hAnsiTheme="majorHAnsi" w:cstheme="majorBidi"/>
      <w:color w:val="323E4F" w:themeColor="text2" w:themeShade="BF"/>
      <w:spacing w:val="5"/>
      <w:kern w:val="28"/>
      <w:sz w:val="52"/>
      <w:szCs w:val="52"/>
    </w:rPr>
  </w:style>
  <w:style w:type="paragraph" w:customStyle="1" w:styleId="Lneadeasunto">
    <w:name w:val="Línea de asunto"/>
    <w:basedOn w:val="Normal"/>
    <w:rsid w:val="00EB5F0A"/>
  </w:style>
  <w:style w:type="paragraph" w:styleId="Textoindependienteprimerasangra2">
    <w:name w:val="Body Text First Indent 2"/>
    <w:basedOn w:val="Sangradetextonormal"/>
    <w:link w:val="Textoindependienteprimerasangra2Car"/>
    <w:rsid w:val="00EB5F0A"/>
    <w:pPr>
      <w:ind w:firstLine="360"/>
      <w:jc w:val="left"/>
    </w:pPr>
    <w:rPr>
      <w:b w:val="0"/>
      <w:bCs w:val="0"/>
      <w:i w:val="0"/>
      <w:iCs w:val="0"/>
      <w:color w:val="auto"/>
      <w:sz w:val="20"/>
      <w:szCs w:val="20"/>
    </w:rPr>
  </w:style>
  <w:style w:type="character" w:customStyle="1" w:styleId="SangradetextonormalCar">
    <w:name w:val="Sangría de texto normal Car"/>
    <w:basedOn w:val="Fuentedeprrafopredeter"/>
    <w:link w:val="Sangradetextonormal"/>
    <w:rsid w:val="00EB5F0A"/>
    <w:rPr>
      <w:b/>
      <w:bCs/>
      <w:i/>
      <w:iCs/>
      <w:color w:val="800000"/>
      <w:sz w:val="24"/>
      <w:szCs w:val="22"/>
    </w:rPr>
  </w:style>
  <w:style w:type="character" w:customStyle="1" w:styleId="Textoindependienteprimerasangra2Car">
    <w:name w:val="Texto independiente primera sangría 2 Car"/>
    <w:basedOn w:val="SangradetextonormalCar"/>
    <w:link w:val="Textoindependienteprimerasangra2"/>
    <w:rsid w:val="00EB5F0A"/>
    <w:rPr>
      <w:b w:val="0"/>
      <w:bCs w:val="0"/>
      <w:i w:val="0"/>
      <w:iCs w:val="0"/>
      <w:color w:val="800000"/>
      <w:sz w:val="24"/>
      <w:szCs w:val="22"/>
    </w:rPr>
  </w:style>
  <w:style w:type="paragraph" w:styleId="Revisin">
    <w:name w:val="Revision"/>
    <w:hidden/>
    <w:uiPriority w:val="99"/>
    <w:semiHidden/>
    <w:rsid w:val="002B4566"/>
  </w:style>
  <w:style w:type="character" w:styleId="Mencinsinresolver">
    <w:name w:val="Unresolved Mention"/>
    <w:basedOn w:val="Fuentedeprrafopredeter"/>
    <w:uiPriority w:val="99"/>
    <w:semiHidden/>
    <w:unhideWhenUsed/>
    <w:rsid w:val="004A7FE0"/>
    <w:rPr>
      <w:color w:val="605E5C"/>
      <w:shd w:val="clear" w:color="auto" w:fill="E1DFDD"/>
    </w:rPr>
  </w:style>
  <w:style w:type="character" w:styleId="nfasis">
    <w:name w:val="Emphasis"/>
    <w:basedOn w:val="Fuentedeprrafopredeter"/>
    <w:uiPriority w:val="20"/>
    <w:qFormat/>
    <w:rsid w:val="009A5414"/>
    <w:rPr>
      <w:i/>
      <w:iCs/>
    </w:rPr>
  </w:style>
  <w:style w:type="character" w:styleId="Fuerte">
    <w:name w:val="Strong"/>
    <w:basedOn w:val="Fuentedeprrafopredeter"/>
    <w:uiPriority w:val="22"/>
    <w:qFormat/>
    <w:rsid w:val="00F54D5A"/>
    <w:rPr>
      <w:b/>
      <w:bCs/>
    </w:rPr>
  </w:style>
  <w:style w:type="character" w:styleId="Hipervnculovisitado">
    <w:name w:val="FollowedHyperlink"/>
    <w:basedOn w:val="Fuentedeprrafopredeter"/>
    <w:semiHidden/>
    <w:unhideWhenUsed/>
    <w:rsid w:val="008C50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292040">
      <w:bodyDiv w:val="1"/>
      <w:marLeft w:val="0"/>
      <w:marRight w:val="0"/>
      <w:marTop w:val="0"/>
      <w:marBottom w:val="0"/>
      <w:divBdr>
        <w:top w:val="single" w:sz="2" w:space="0" w:color="CC3640"/>
        <w:left w:val="none" w:sz="0" w:space="0" w:color="auto"/>
        <w:bottom w:val="none" w:sz="0" w:space="0" w:color="auto"/>
        <w:right w:val="none" w:sz="0" w:space="0" w:color="auto"/>
      </w:divBdr>
      <w:divsChild>
        <w:div w:id="1438138402">
          <w:marLeft w:val="0"/>
          <w:marRight w:val="0"/>
          <w:marTop w:val="0"/>
          <w:marBottom w:val="0"/>
          <w:divBdr>
            <w:top w:val="single" w:sz="2" w:space="0" w:color="FF0000"/>
            <w:left w:val="single" w:sz="2" w:space="0" w:color="FF0000"/>
            <w:bottom w:val="single" w:sz="2" w:space="0" w:color="FF0000"/>
            <w:right w:val="single" w:sz="2" w:space="0" w:color="FF0000"/>
          </w:divBdr>
          <w:divsChild>
            <w:div w:id="1817066799">
              <w:marLeft w:val="0"/>
              <w:marRight w:val="0"/>
              <w:marTop w:val="0"/>
              <w:marBottom w:val="0"/>
              <w:divBdr>
                <w:top w:val="none" w:sz="0" w:space="0" w:color="auto"/>
                <w:left w:val="single" w:sz="6" w:space="0" w:color="DDDDDD"/>
                <w:bottom w:val="none" w:sz="0" w:space="0" w:color="auto"/>
                <w:right w:val="none" w:sz="0" w:space="0" w:color="auto"/>
              </w:divBdr>
              <w:divsChild>
                <w:div w:id="603264568">
                  <w:marLeft w:val="0"/>
                  <w:marRight w:val="0"/>
                  <w:marTop w:val="0"/>
                  <w:marBottom w:val="0"/>
                  <w:divBdr>
                    <w:top w:val="single" w:sz="2" w:space="0" w:color="008000"/>
                    <w:left w:val="single" w:sz="2" w:space="0" w:color="008000"/>
                    <w:bottom w:val="single" w:sz="2" w:space="0" w:color="008000"/>
                    <w:right w:val="single" w:sz="2" w:space="0" w:color="008000"/>
                  </w:divBdr>
                  <w:divsChild>
                    <w:div w:id="1812477817">
                      <w:marLeft w:val="0"/>
                      <w:marRight w:val="0"/>
                      <w:marTop w:val="0"/>
                      <w:marBottom w:val="0"/>
                      <w:divBdr>
                        <w:top w:val="none" w:sz="0" w:space="0" w:color="auto"/>
                        <w:left w:val="none" w:sz="0" w:space="0" w:color="auto"/>
                        <w:bottom w:val="none" w:sz="0" w:space="0" w:color="auto"/>
                        <w:right w:val="none" w:sz="0" w:space="0" w:color="auto"/>
                      </w:divBdr>
                      <w:divsChild>
                        <w:div w:id="1188181832">
                          <w:marLeft w:val="0"/>
                          <w:marRight w:val="0"/>
                          <w:marTop w:val="0"/>
                          <w:marBottom w:val="0"/>
                          <w:divBdr>
                            <w:top w:val="none" w:sz="0" w:space="0" w:color="auto"/>
                            <w:left w:val="none" w:sz="0" w:space="0" w:color="auto"/>
                            <w:bottom w:val="none" w:sz="0" w:space="0" w:color="auto"/>
                            <w:right w:val="none" w:sz="0" w:space="0" w:color="auto"/>
                          </w:divBdr>
                          <w:divsChild>
                            <w:div w:id="1494760864">
                              <w:marLeft w:val="0"/>
                              <w:marRight w:val="0"/>
                              <w:marTop w:val="0"/>
                              <w:marBottom w:val="0"/>
                              <w:divBdr>
                                <w:top w:val="none" w:sz="0" w:space="0" w:color="auto"/>
                                <w:left w:val="single" w:sz="6" w:space="0" w:color="C3CDD8"/>
                                <w:bottom w:val="none" w:sz="0" w:space="0" w:color="auto"/>
                                <w:right w:val="none" w:sz="0" w:space="0" w:color="auto"/>
                              </w:divBdr>
                            </w:div>
                          </w:divsChild>
                        </w:div>
                      </w:divsChild>
                    </w:div>
                  </w:divsChild>
                </w:div>
              </w:divsChild>
            </w:div>
          </w:divsChild>
        </w:div>
      </w:divsChild>
    </w:div>
    <w:div w:id="160313268">
      <w:bodyDiv w:val="1"/>
      <w:marLeft w:val="0"/>
      <w:marRight w:val="0"/>
      <w:marTop w:val="0"/>
      <w:marBottom w:val="0"/>
      <w:divBdr>
        <w:top w:val="none" w:sz="0" w:space="0" w:color="auto"/>
        <w:left w:val="none" w:sz="0" w:space="0" w:color="auto"/>
        <w:bottom w:val="none" w:sz="0" w:space="0" w:color="auto"/>
        <w:right w:val="none" w:sz="0" w:space="0" w:color="auto"/>
      </w:divBdr>
    </w:div>
    <w:div w:id="259604202">
      <w:bodyDiv w:val="1"/>
      <w:marLeft w:val="0"/>
      <w:marRight w:val="0"/>
      <w:marTop w:val="0"/>
      <w:marBottom w:val="0"/>
      <w:divBdr>
        <w:top w:val="none" w:sz="0" w:space="0" w:color="auto"/>
        <w:left w:val="none" w:sz="0" w:space="0" w:color="auto"/>
        <w:bottom w:val="none" w:sz="0" w:space="0" w:color="auto"/>
        <w:right w:val="none" w:sz="0" w:space="0" w:color="auto"/>
      </w:divBdr>
    </w:div>
    <w:div w:id="288125558">
      <w:bodyDiv w:val="1"/>
      <w:marLeft w:val="0"/>
      <w:marRight w:val="0"/>
      <w:marTop w:val="0"/>
      <w:marBottom w:val="0"/>
      <w:divBdr>
        <w:top w:val="none" w:sz="0" w:space="0" w:color="auto"/>
        <w:left w:val="none" w:sz="0" w:space="0" w:color="auto"/>
        <w:bottom w:val="none" w:sz="0" w:space="0" w:color="auto"/>
        <w:right w:val="none" w:sz="0" w:space="0" w:color="auto"/>
      </w:divBdr>
      <w:divsChild>
        <w:div w:id="1083377438">
          <w:marLeft w:val="0"/>
          <w:marRight w:val="0"/>
          <w:marTop w:val="0"/>
          <w:marBottom w:val="0"/>
          <w:divBdr>
            <w:top w:val="none" w:sz="0" w:space="0" w:color="auto"/>
            <w:left w:val="none" w:sz="0" w:space="0" w:color="auto"/>
            <w:bottom w:val="none" w:sz="0" w:space="0" w:color="auto"/>
            <w:right w:val="none" w:sz="0" w:space="0" w:color="auto"/>
          </w:divBdr>
          <w:divsChild>
            <w:div w:id="598605979">
              <w:marLeft w:val="0"/>
              <w:marRight w:val="0"/>
              <w:marTop w:val="0"/>
              <w:marBottom w:val="0"/>
              <w:divBdr>
                <w:top w:val="none" w:sz="0" w:space="0" w:color="auto"/>
                <w:left w:val="none" w:sz="0" w:space="0" w:color="auto"/>
                <w:bottom w:val="none" w:sz="0" w:space="0" w:color="auto"/>
                <w:right w:val="none" w:sz="0" w:space="0" w:color="auto"/>
              </w:divBdr>
              <w:divsChild>
                <w:div w:id="967862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179241">
      <w:bodyDiv w:val="1"/>
      <w:marLeft w:val="0"/>
      <w:marRight w:val="0"/>
      <w:marTop w:val="0"/>
      <w:marBottom w:val="0"/>
      <w:divBdr>
        <w:top w:val="none" w:sz="0" w:space="0" w:color="auto"/>
        <w:left w:val="none" w:sz="0" w:space="0" w:color="auto"/>
        <w:bottom w:val="none" w:sz="0" w:space="0" w:color="auto"/>
        <w:right w:val="none" w:sz="0" w:space="0" w:color="auto"/>
      </w:divBdr>
    </w:div>
    <w:div w:id="427654978">
      <w:bodyDiv w:val="1"/>
      <w:marLeft w:val="0"/>
      <w:marRight w:val="0"/>
      <w:marTop w:val="0"/>
      <w:marBottom w:val="0"/>
      <w:divBdr>
        <w:top w:val="none" w:sz="0" w:space="0" w:color="auto"/>
        <w:left w:val="none" w:sz="0" w:space="0" w:color="auto"/>
        <w:bottom w:val="none" w:sz="0" w:space="0" w:color="auto"/>
        <w:right w:val="none" w:sz="0" w:space="0" w:color="auto"/>
      </w:divBdr>
      <w:divsChild>
        <w:div w:id="1793353933">
          <w:marLeft w:val="0"/>
          <w:marRight w:val="0"/>
          <w:marTop w:val="0"/>
          <w:marBottom w:val="0"/>
          <w:divBdr>
            <w:top w:val="none" w:sz="0" w:space="0" w:color="auto"/>
            <w:left w:val="none" w:sz="0" w:space="0" w:color="auto"/>
            <w:bottom w:val="none" w:sz="0" w:space="0" w:color="auto"/>
            <w:right w:val="none" w:sz="0" w:space="0" w:color="auto"/>
          </w:divBdr>
          <w:divsChild>
            <w:div w:id="976449450">
              <w:marLeft w:val="0"/>
              <w:marRight w:val="0"/>
              <w:marTop w:val="0"/>
              <w:marBottom w:val="0"/>
              <w:divBdr>
                <w:top w:val="none" w:sz="0" w:space="0" w:color="auto"/>
                <w:left w:val="none" w:sz="0" w:space="0" w:color="auto"/>
                <w:bottom w:val="none" w:sz="0" w:space="0" w:color="auto"/>
                <w:right w:val="none" w:sz="0" w:space="0" w:color="auto"/>
              </w:divBdr>
              <w:divsChild>
                <w:div w:id="74530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971642">
      <w:bodyDiv w:val="1"/>
      <w:marLeft w:val="0"/>
      <w:marRight w:val="0"/>
      <w:marTop w:val="0"/>
      <w:marBottom w:val="0"/>
      <w:divBdr>
        <w:top w:val="none" w:sz="0" w:space="0" w:color="auto"/>
        <w:left w:val="none" w:sz="0" w:space="0" w:color="auto"/>
        <w:bottom w:val="none" w:sz="0" w:space="0" w:color="auto"/>
        <w:right w:val="none" w:sz="0" w:space="0" w:color="auto"/>
      </w:divBdr>
      <w:divsChild>
        <w:div w:id="267006058">
          <w:marLeft w:val="0"/>
          <w:marRight w:val="0"/>
          <w:marTop w:val="0"/>
          <w:marBottom w:val="0"/>
          <w:divBdr>
            <w:top w:val="none" w:sz="0" w:space="0" w:color="auto"/>
            <w:left w:val="none" w:sz="0" w:space="0" w:color="auto"/>
            <w:bottom w:val="none" w:sz="0" w:space="0" w:color="auto"/>
            <w:right w:val="none" w:sz="0" w:space="0" w:color="auto"/>
          </w:divBdr>
          <w:divsChild>
            <w:div w:id="1723671748">
              <w:marLeft w:val="212"/>
              <w:marRight w:val="0"/>
              <w:marTop w:val="0"/>
              <w:marBottom w:val="0"/>
              <w:divBdr>
                <w:top w:val="none" w:sz="0" w:space="0" w:color="auto"/>
                <w:left w:val="none" w:sz="0" w:space="0" w:color="auto"/>
                <w:bottom w:val="none" w:sz="0" w:space="0" w:color="auto"/>
                <w:right w:val="none" w:sz="0" w:space="0" w:color="auto"/>
              </w:divBdr>
              <w:divsChild>
                <w:div w:id="117381619">
                  <w:marLeft w:val="0"/>
                  <w:marRight w:val="0"/>
                  <w:marTop w:val="0"/>
                  <w:marBottom w:val="225"/>
                  <w:divBdr>
                    <w:top w:val="none" w:sz="0" w:space="0" w:color="auto"/>
                    <w:left w:val="none" w:sz="0" w:space="0" w:color="auto"/>
                    <w:bottom w:val="none" w:sz="0" w:space="0" w:color="auto"/>
                    <w:right w:val="none" w:sz="0" w:space="0" w:color="auto"/>
                  </w:divBdr>
                </w:div>
                <w:div w:id="371728919">
                  <w:marLeft w:val="0"/>
                  <w:marRight w:val="0"/>
                  <w:marTop w:val="0"/>
                  <w:marBottom w:val="0"/>
                  <w:divBdr>
                    <w:top w:val="none" w:sz="0" w:space="0" w:color="auto"/>
                    <w:left w:val="none" w:sz="0" w:space="0" w:color="auto"/>
                    <w:bottom w:val="none" w:sz="0" w:space="0" w:color="auto"/>
                    <w:right w:val="none" w:sz="0" w:space="0" w:color="auto"/>
                  </w:divBdr>
                </w:div>
                <w:div w:id="1983582512">
                  <w:marLeft w:val="0"/>
                  <w:marRight w:val="0"/>
                  <w:marTop w:val="225"/>
                  <w:marBottom w:val="0"/>
                  <w:divBdr>
                    <w:top w:val="none" w:sz="0" w:space="0" w:color="auto"/>
                    <w:left w:val="none" w:sz="0" w:space="0" w:color="auto"/>
                    <w:bottom w:val="none" w:sz="0" w:space="0" w:color="auto"/>
                    <w:right w:val="none" w:sz="0" w:space="0" w:color="auto"/>
                  </w:divBdr>
                  <w:divsChild>
                    <w:div w:id="1505588989">
                      <w:marLeft w:val="0"/>
                      <w:marRight w:val="0"/>
                      <w:marTop w:val="0"/>
                      <w:marBottom w:val="0"/>
                      <w:divBdr>
                        <w:top w:val="none" w:sz="0" w:space="0" w:color="auto"/>
                        <w:left w:val="none" w:sz="0" w:space="0" w:color="auto"/>
                        <w:bottom w:val="none" w:sz="0" w:space="0" w:color="auto"/>
                        <w:right w:val="none" w:sz="0" w:space="0" w:color="auto"/>
                      </w:divBdr>
                    </w:div>
                    <w:div w:id="163193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162247">
          <w:marLeft w:val="0"/>
          <w:marRight w:val="0"/>
          <w:marTop w:val="0"/>
          <w:marBottom w:val="300"/>
          <w:divBdr>
            <w:top w:val="none" w:sz="0" w:space="0" w:color="auto"/>
            <w:left w:val="none" w:sz="0" w:space="0" w:color="auto"/>
            <w:bottom w:val="none" w:sz="0" w:space="0" w:color="auto"/>
            <w:right w:val="none" w:sz="0" w:space="0" w:color="auto"/>
          </w:divBdr>
        </w:div>
      </w:divsChild>
    </w:div>
    <w:div w:id="455101620">
      <w:bodyDiv w:val="1"/>
      <w:marLeft w:val="0"/>
      <w:marRight w:val="0"/>
      <w:marTop w:val="0"/>
      <w:marBottom w:val="0"/>
      <w:divBdr>
        <w:top w:val="none" w:sz="0" w:space="0" w:color="auto"/>
        <w:left w:val="none" w:sz="0" w:space="0" w:color="auto"/>
        <w:bottom w:val="none" w:sz="0" w:space="0" w:color="auto"/>
        <w:right w:val="none" w:sz="0" w:space="0" w:color="auto"/>
      </w:divBdr>
    </w:div>
    <w:div w:id="514808269">
      <w:bodyDiv w:val="1"/>
      <w:marLeft w:val="0"/>
      <w:marRight w:val="0"/>
      <w:marTop w:val="0"/>
      <w:marBottom w:val="0"/>
      <w:divBdr>
        <w:top w:val="none" w:sz="0" w:space="0" w:color="auto"/>
        <w:left w:val="none" w:sz="0" w:space="0" w:color="auto"/>
        <w:bottom w:val="none" w:sz="0" w:space="0" w:color="auto"/>
        <w:right w:val="none" w:sz="0" w:space="0" w:color="auto"/>
      </w:divBdr>
    </w:div>
    <w:div w:id="612052137">
      <w:bodyDiv w:val="1"/>
      <w:marLeft w:val="0"/>
      <w:marRight w:val="0"/>
      <w:marTop w:val="0"/>
      <w:marBottom w:val="0"/>
      <w:divBdr>
        <w:top w:val="none" w:sz="0" w:space="0" w:color="auto"/>
        <w:left w:val="none" w:sz="0" w:space="0" w:color="auto"/>
        <w:bottom w:val="none" w:sz="0" w:space="0" w:color="auto"/>
        <w:right w:val="none" w:sz="0" w:space="0" w:color="auto"/>
      </w:divBdr>
    </w:div>
    <w:div w:id="719984605">
      <w:bodyDiv w:val="1"/>
      <w:marLeft w:val="0"/>
      <w:marRight w:val="0"/>
      <w:marTop w:val="0"/>
      <w:marBottom w:val="0"/>
      <w:divBdr>
        <w:top w:val="single" w:sz="2" w:space="0" w:color="CC3640"/>
        <w:left w:val="none" w:sz="0" w:space="0" w:color="auto"/>
        <w:bottom w:val="none" w:sz="0" w:space="0" w:color="auto"/>
        <w:right w:val="none" w:sz="0" w:space="0" w:color="auto"/>
      </w:divBdr>
      <w:divsChild>
        <w:div w:id="2015374774">
          <w:marLeft w:val="0"/>
          <w:marRight w:val="0"/>
          <w:marTop w:val="0"/>
          <w:marBottom w:val="0"/>
          <w:divBdr>
            <w:top w:val="single" w:sz="2" w:space="0" w:color="FF0000"/>
            <w:left w:val="single" w:sz="2" w:space="0" w:color="FF0000"/>
            <w:bottom w:val="single" w:sz="2" w:space="0" w:color="FF0000"/>
            <w:right w:val="single" w:sz="2" w:space="0" w:color="FF0000"/>
          </w:divBdr>
          <w:divsChild>
            <w:div w:id="1689214525">
              <w:marLeft w:val="0"/>
              <w:marRight w:val="0"/>
              <w:marTop w:val="0"/>
              <w:marBottom w:val="0"/>
              <w:divBdr>
                <w:top w:val="none" w:sz="0" w:space="0" w:color="auto"/>
                <w:left w:val="single" w:sz="6" w:space="0" w:color="DDDDDD"/>
                <w:bottom w:val="none" w:sz="0" w:space="0" w:color="auto"/>
                <w:right w:val="none" w:sz="0" w:space="0" w:color="auto"/>
              </w:divBdr>
              <w:divsChild>
                <w:div w:id="712844937">
                  <w:marLeft w:val="0"/>
                  <w:marRight w:val="0"/>
                  <w:marTop w:val="0"/>
                  <w:marBottom w:val="0"/>
                  <w:divBdr>
                    <w:top w:val="single" w:sz="2" w:space="0" w:color="008000"/>
                    <w:left w:val="single" w:sz="2" w:space="0" w:color="008000"/>
                    <w:bottom w:val="single" w:sz="2" w:space="0" w:color="008000"/>
                    <w:right w:val="single" w:sz="2" w:space="0" w:color="008000"/>
                  </w:divBdr>
                  <w:divsChild>
                    <w:div w:id="1357272261">
                      <w:marLeft w:val="0"/>
                      <w:marRight w:val="0"/>
                      <w:marTop w:val="0"/>
                      <w:marBottom w:val="0"/>
                      <w:divBdr>
                        <w:top w:val="none" w:sz="0" w:space="0" w:color="auto"/>
                        <w:left w:val="none" w:sz="0" w:space="0" w:color="auto"/>
                        <w:bottom w:val="none" w:sz="0" w:space="0" w:color="auto"/>
                        <w:right w:val="none" w:sz="0" w:space="0" w:color="auto"/>
                      </w:divBdr>
                      <w:divsChild>
                        <w:div w:id="487478296">
                          <w:marLeft w:val="0"/>
                          <w:marRight w:val="0"/>
                          <w:marTop w:val="0"/>
                          <w:marBottom w:val="0"/>
                          <w:divBdr>
                            <w:top w:val="none" w:sz="0" w:space="0" w:color="auto"/>
                            <w:left w:val="none" w:sz="0" w:space="0" w:color="auto"/>
                            <w:bottom w:val="none" w:sz="0" w:space="0" w:color="auto"/>
                            <w:right w:val="none" w:sz="0" w:space="0" w:color="auto"/>
                          </w:divBdr>
                          <w:divsChild>
                            <w:div w:id="1501192953">
                              <w:marLeft w:val="0"/>
                              <w:marRight w:val="0"/>
                              <w:marTop w:val="0"/>
                              <w:marBottom w:val="0"/>
                              <w:divBdr>
                                <w:top w:val="none" w:sz="0" w:space="0" w:color="auto"/>
                                <w:left w:val="single" w:sz="6" w:space="0" w:color="C3CDD8"/>
                                <w:bottom w:val="none" w:sz="0" w:space="0" w:color="auto"/>
                                <w:right w:val="none" w:sz="0" w:space="0" w:color="auto"/>
                              </w:divBdr>
                            </w:div>
                          </w:divsChild>
                        </w:div>
                      </w:divsChild>
                    </w:div>
                  </w:divsChild>
                </w:div>
              </w:divsChild>
            </w:div>
          </w:divsChild>
        </w:div>
      </w:divsChild>
    </w:div>
    <w:div w:id="762147046">
      <w:bodyDiv w:val="1"/>
      <w:marLeft w:val="0"/>
      <w:marRight w:val="0"/>
      <w:marTop w:val="0"/>
      <w:marBottom w:val="0"/>
      <w:divBdr>
        <w:top w:val="none" w:sz="0" w:space="0" w:color="auto"/>
        <w:left w:val="none" w:sz="0" w:space="0" w:color="auto"/>
        <w:bottom w:val="none" w:sz="0" w:space="0" w:color="auto"/>
        <w:right w:val="none" w:sz="0" w:space="0" w:color="auto"/>
      </w:divBdr>
    </w:div>
    <w:div w:id="863204377">
      <w:bodyDiv w:val="1"/>
      <w:marLeft w:val="0"/>
      <w:marRight w:val="0"/>
      <w:marTop w:val="0"/>
      <w:marBottom w:val="0"/>
      <w:divBdr>
        <w:top w:val="none" w:sz="0" w:space="0" w:color="auto"/>
        <w:left w:val="none" w:sz="0" w:space="0" w:color="auto"/>
        <w:bottom w:val="none" w:sz="0" w:space="0" w:color="auto"/>
        <w:right w:val="none" w:sz="0" w:space="0" w:color="auto"/>
      </w:divBdr>
    </w:div>
    <w:div w:id="863641549">
      <w:bodyDiv w:val="1"/>
      <w:marLeft w:val="0"/>
      <w:marRight w:val="0"/>
      <w:marTop w:val="0"/>
      <w:marBottom w:val="0"/>
      <w:divBdr>
        <w:top w:val="none" w:sz="0" w:space="0" w:color="auto"/>
        <w:left w:val="none" w:sz="0" w:space="0" w:color="auto"/>
        <w:bottom w:val="none" w:sz="0" w:space="0" w:color="auto"/>
        <w:right w:val="none" w:sz="0" w:space="0" w:color="auto"/>
      </w:divBdr>
    </w:div>
    <w:div w:id="1027871664">
      <w:bodyDiv w:val="1"/>
      <w:marLeft w:val="0"/>
      <w:marRight w:val="0"/>
      <w:marTop w:val="0"/>
      <w:marBottom w:val="0"/>
      <w:divBdr>
        <w:top w:val="none" w:sz="0" w:space="0" w:color="auto"/>
        <w:left w:val="none" w:sz="0" w:space="0" w:color="auto"/>
        <w:bottom w:val="none" w:sz="0" w:space="0" w:color="auto"/>
        <w:right w:val="none" w:sz="0" w:space="0" w:color="auto"/>
      </w:divBdr>
    </w:div>
    <w:div w:id="1421025656">
      <w:bodyDiv w:val="1"/>
      <w:marLeft w:val="0"/>
      <w:marRight w:val="0"/>
      <w:marTop w:val="0"/>
      <w:marBottom w:val="0"/>
      <w:divBdr>
        <w:top w:val="none" w:sz="0" w:space="0" w:color="auto"/>
        <w:left w:val="none" w:sz="0" w:space="0" w:color="auto"/>
        <w:bottom w:val="none" w:sz="0" w:space="0" w:color="auto"/>
        <w:right w:val="none" w:sz="0" w:space="0" w:color="auto"/>
      </w:divBdr>
    </w:div>
    <w:div w:id="1421758333">
      <w:bodyDiv w:val="1"/>
      <w:marLeft w:val="0"/>
      <w:marRight w:val="0"/>
      <w:marTop w:val="0"/>
      <w:marBottom w:val="0"/>
      <w:divBdr>
        <w:top w:val="none" w:sz="0" w:space="0" w:color="auto"/>
        <w:left w:val="none" w:sz="0" w:space="0" w:color="auto"/>
        <w:bottom w:val="none" w:sz="0" w:space="0" w:color="auto"/>
        <w:right w:val="none" w:sz="0" w:space="0" w:color="auto"/>
      </w:divBdr>
    </w:div>
    <w:div w:id="1508789665">
      <w:bodyDiv w:val="1"/>
      <w:marLeft w:val="0"/>
      <w:marRight w:val="0"/>
      <w:marTop w:val="0"/>
      <w:marBottom w:val="0"/>
      <w:divBdr>
        <w:top w:val="none" w:sz="0" w:space="0" w:color="auto"/>
        <w:left w:val="none" w:sz="0" w:space="0" w:color="auto"/>
        <w:bottom w:val="none" w:sz="0" w:space="0" w:color="auto"/>
        <w:right w:val="none" w:sz="0" w:space="0" w:color="auto"/>
      </w:divBdr>
    </w:div>
    <w:div w:id="1532063018">
      <w:bodyDiv w:val="1"/>
      <w:marLeft w:val="0"/>
      <w:marRight w:val="0"/>
      <w:marTop w:val="0"/>
      <w:marBottom w:val="0"/>
      <w:divBdr>
        <w:top w:val="none" w:sz="0" w:space="0" w:color="auto"/>
        <w:left w:val="none" w:sz="0" w:space="0" w:color="auto"/>
        <w:bottom w:val="none" w:sz="0" w:space="0" w:color="auto"/>
        <w:right w:val="none" w:sz="0" w:space="0" w:color="auto"/>
      </w:divBdr>
    </w:div>
    <w:div w:id="1619140252">
      <w:bodyDiv w:val="1"/>
      <w:marLeft w:val="0"/>
      <w:marRight w:val="0"/>
      <w:marTop w:val="0"/>
      <w:marBottom w:val="0"/>
      <w:divBdr>
        <w:top w:val="none" w:sz="0" w:space="0" w:color="auto"/>
        <w:left w:val="none" w:sz="0" w:space="0" w:color="auto"/>
        <w:bottom w:val="none" w:sz="0" w:space="0" w:color="auto"/>
        <w:right w:val="none" w:sz="0" w:space="0" w:color="auto"/>
      </w:divBdr>
    </w:div>
    <w:div w:id="1744449734">
      <w:bodyDiv w:val="1"/>
      <w:marLeft w:val="0"/>
      <w:marRight w:val="0"/>
      <w:marTop w:val="0"/>
      <w:marBottom w:val="0"/>
      <w:divBdr>
        <w:top w:val="none" w:sz="0" w:space="0" w:color="auto"/>
        <w:left w:val="none" w:sz="0" w:space="0" w:color="auto"/>
        <w:bottom w:val="none" w:sz="0" w:space="0" w:color="auto"/>
        <w:right w:val="none" w:sz="0" w:space="0" w:color="auto"/>
      </w:divBdr>
    </w:div>
    <w:div w:id="1746151239">
      <w:bodyDiv w:val="1"/>
      <w:marLeft w:val="0"/>
      <w:marRight w:val="0"/>
      <w:marTop w:val="0"/>
      <w:marBottom w:val="0"/>
      <w:divBdr>
        <w:top w:val="single" w:sz="2" w:space="0" w:color="CC3640"/>
        <w:left w:val="none" w:sz="0" w:space="0" w:color="auto"/>
        <w:bottom w:val="none" w:sz="0" w:space="0" w:color="auto"/>
        <w:right w:val="none" w:sz="0" w:space="0" w:color="auto"/>
      </w:divBdr>
      <w:divsChild>
        <w:div w:id="1263418999">
          <w:marLeft w:val="0"/>
          <w:marRight w:val="0"/>
          <w:marTop w:val="0"/>
          <w:marBottom w:val="0"/>
          <w:divBdr>
            <w:top w:val="single" w:sz="2" w:space="0" w:color="FF0000"/>
            <w:left w:val="single" w:sz="2" w:space="0" w:color="FF0000"/>
            <w:bottom w:val="single" w:sz="2" w:space="0" w:color="FF0000"/>
            <w:right w:val="single" w:sz="2" w:space="0" w:color="FF0000"/>
          </w:divBdr>
          <w:divsChild>
            <w:div w:id="43452492">
              <w:marLeft w:val="0"/>
              <w:marRight w:val="0"/>
              <w:marTop w:val="0"/>
              <w:marBottom w:val="0"/>
              <w:divBdr>
                <w:top w:val="none" w:sz="0" w:space="0" w:color="auto"/>
                <w:left w:val="single" w:sz="6" w:space="0" w:color="DDDDDD"/>
                <w:bottom w:val="none" w:sz="0" w:space="0" w:color="auto"/>
                <w:right w:val="none" w:sz="0" w:space="0" w:color="auto"/>
              </w:divBdr>
              <w:divsChild>
                <w:div w:id="795296239">
                  <w:marLeft w:val="0"/>
                  <w:marRight w:val="0"/>
                  <w:marTop w:val="0"/>
                  <w:marBottom w:val="0"/>
                  <w:divBdr>
                    <w:top w:val="single" w:sz="2" w:space="0" w:color="008000"/>
                    <w:left w:val="single" w:sz="2" w:space="0" w:color="008000"/>
                    <w:bottom w:val="single" w:sz="2" w:space="0" w:color="008000"/>
                    <w:right w:val="single" w:sz="2" w:space="0" w:color="008000"/>
                  </w:divBdr>
                  <w:divsChild>
                    <w:div w:id="547182613">
                      <w:marLeft w:val="0"/>
                      <w:marRight w:val="0"/>
                      <w:marTop w:val="0"/>
                      <w:marBottom w:val="0"/>
                      <w:divBdr>
                        <w:top w:val="none" w:sz="0" w:space="0" w:color="auto"/>
                        <w:left w:val="none" w:sz="0" w:space="0" w:color="auto"/>
                        <w:bottom w:val="none" w:sz="0" w:space="0" w:color="auto"/>
                        <w:right w:val="none" w:sz="0" w:space="0" w:color="auto"/>
                      </w:divBdr>
                      <w:divsChild>
                        <w:div w:id="1466503467">
                          <w:marLeft w:val="0"/>
                          <w:marRight w:val="0"/>
                          <w:marTop w:val="0"/>
                          <w:marBottom w:val="0"/>
                          <w:divBdr>
                            <w:top w:val="none" w:sz="0" w:space="0" w:color="auto"/>
                            <w:left w:val="none" w:sz="0" w:space="0" w:color="auto"/>
                            <w:bottom w:val="none" w:sz="0" w:space="0" w:color="auto"/>
                            <w:right w:val="none" w:sz="0" w:space="0" w:color="auto"/>
                          </w:divBdr>
                          <w:divsChild>
                            <w:div w:id="1442454742">
                              <w:marLeft w:val="0"/>
                              <w:marRight w:val="0"/>
                              <w:marTop w:val="0"/>
                              <w:marBottom w:val="0"/>
                              <w:divBdr>
                                <w:top w:val="none" w:sz="0" w:space="0" w:color="auto"/>
                                <w:left w:val="single" w:sz="6" w:space="0" w:color="C3CDD8"/>
                                <w:bottom w:val="none" w:sz="0" w:space="0" w:color="auto"/>
                                <w:right w:val="none" w:sz="0" w:space="0" w:color="auto"/>
                              </w:divBdr>
                            </w:div>
                          </w:divsChild>
                        </w:div>
                      </w:divsChild>
                    </w:div>
                  </w:divsChild>
                </w:div>
              </w:divsChild>
            </w:div>
          </w:divsChild>
        </w:div>
      </w:divsChild>
    </w:div>
    <w:div w:id="1849128168">
      <w:bodyDiv w:val="1"/>
      <w:marLeft w:val="0"/>
      <w:marRight w:val="0"/>
      <w:marTop w:val="0"/>
      <w:marBottom w:val="0"/>
      <w:divBdr>
        <w:top w:val="none" w:sz="0" w:space="0" w:color="auto"/>
        <w:left w:val="none" w:sz="0" w:space="0" w:color="auto"/>
        <w:bottom w:val="none" w:sz="0" w:space="0" w:color="auto"/>
        <w:right w:val="none" w:sz="0" w:space="0" w:color="auto"/>
      </w:divBdr>
    </w:div>
    <w:div w:id="2088108856">
      <w:bodyDiv w:val="1"/>
      <w:marLeft w:val="0"/>
      <w:marRight w:val="0"/>
      <w:marTop w:val="0"/>
      <w:marBottom w:val="0"/>
      <w:divBdr>
        <w:top w:val="none" w:sz="0" w:space="0" w:color="auto"/>
        <w:left w:val="none" w:sz="0" w:space="0" w:color="auto"/>
        <w:bottom w:val="none" w:sz="0" w:space="0" w:color="auto"/>
        <w:right w:val="none" w:sz="0" w:space="0" w:color="auto"/>
      </w:divBdr>
    </w:div>
    <w:div w:id="210032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oe.es/buscar/act.php?id=BOE-A-1992-28740&amp;p=20261002&amp;tn=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C95735-D8C6-4DCB-B44C-0D6DECFF96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14</Pages>
  <Words>5845</Words>
  <Characters>32151</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OCTUBRE</vt:lpstr>
    </vt:vector>
  </TitlesOfParts>
  <Company>Atlantis Hotels</Company>
  <LinksUpToDate>false</LinksUpToDate>
  <CharactersWithSpaces>37921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OCTUBRE</dc:title>
  <dc:subject/>
  <dc:creator>Juan Lorente</dc:creator>
  <cp:keywords/>
  <cp:lastModifiedBy>Jose Luis Chico Bersabe</cp:lastModifiedBy>
  <cp:revision>7</cp:revision>
  <dcterms:created xsi:type="dcterms:W3CDTF">2026-10-26T12:12:00Z</dcterms:created>
  <dcterms:modified xsi:type="dcterms:W3CDTF">2026-10-28T12:57:00Z</dcterms:modified>
</cp:coreProperties>
</file>