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800000"/>
        <w:tblCellMar>
          <w:left w:w="70" w:type="dxa"/>
          <w:right w:w="70" w:type="dxa"/>
        </w:tblCellMar>
        <w:tblLook w:val="0000" w:firstRow="0" w:lastRow="0" w:firstColumn="0" w:lastColumn="0" w:noHBand="0" w:noVBand="0"/>
      </w:tblPr>
      <w:tblGrid>
        <w:gridCol w:w="1513"/>
        <w:gridCol w:w="7132"/>
      </w:tblGrid>
      <w:tr w:rsidR="00341BFE" w14:paraId="06ED56A6" w14:textId="77777777">
        <w:trPr>
          <w:trHeight w:val="889"/>
        </w:trPr>
        <w:tc>
          <w:tcPr>
            <w:tcW w:w="1150" w:type="dxa"/>
            <w:shd w:val="clear" w:color="auto" w:fill="000000"/>
            <w:vAlign w:val="center"/>
          </w:tcPr>
          <w:p w14:paraId="40D3B041" w14:textId="084A8438" w:rsidR="00341BFE" w:rsidRPr="00005F73" w:rsidRDefault="003735A6" w:rsidP="003735A6">
            <w:pPr>
              <w:pStyle w:val="Ttulo9"/>
              <w:jc w:val="left"/>
              <w:rPr>
                <w:rFonts w:ascii="Verdana" w:hAnsi="Verdana"/>
                <w:szCs w:val="20"/>
              </w:rPr>
            </w:pPr>
            <w:r w:rsidRPr="00005F73">
              <w:rPr>
                <w:rFonts w:ascii="Verdana" w:hAnsi="Verdana"/>
                <w:szCs w:val="20"/>
              </w:rPr>
              <w:t>NOVIEMBRE</w:t>
            </w:r>
          </w:p>
          <w:p w14:paraId="141D75D9" w14:textId="07482D58" w:rsidR="00341BFE" w:rsidRDefault="00341BFE" w:rsidP="00AC6F47">
            <w:pPr>
              <w:jc w:val="center"/>
              <w:rPr>
                <w:rFonts w:ascii="Verdana" w:hAnsi="Verdana"/>
                <w:b/>
                <w:bCs/>
                <w:sz w:val="22"/>
                <w:szCs w:val="32"/>
              </w:rPr>
            </w:pPr>
            <w:r w:rsidRPr="00005F73">
              <w:rPr>
                <w:rFonts w:ascii="Verdana" w:hAnsi="Verdana"/>
                <w:b/>
                <w:bCs/>
              </w:rPr>
              <w:t>20</w:t>
            </w:r>
            <w:r w:rsidR="00AC6F47">
              <w:rPr>
                <w:rFonts w:ascii="Verdana" w:hAnsi="Verdana"/>
                <w:b/>
                <w:bCs/>
              </w:rPr>
              <w:t>2</w:t>
            </w:r>
            <w:r w:rsidR="00A71E7C">
              <w:rPr>
                <w:rFonts w:ascii="Verdana" w:hAnsi="Verdana"/>
                <w:b/>
                <w:bCs/>
              </w:rPr>
              <w:t>5</w:t>
            </w:r>
          </w:p>
        </w:tc>
        <w:tc>
          <w:tcPr>
            <w:tcW w:w="7494" w:type="dxa"/>
            <w:shd w:val="clear" w:color="auto" w:fill="993300"/>
            <w:vAlign w:val="center"/>
          </w:tcPr>
          <w:p w14:paraId="493EBD34" w14:textId="77777777" w:rsidR="00341BFE" w:rsidRPr="00005F73" w:rsidRDefault="00341BFE">
            <w:pPr>
              <w:jc w:val="center"/>
              <w:rPr>
                <w:rFonts w:ascii="Verdana" w:hAnsi="Verdana"/>
                <w:b/>
                <w:bCs/>
                <w:color w:val="FFFFFF"/>
                <w:sz w:val="24"/>
                <w:szCs w:val="24"/>
              </w:rPr>
            </w:pPr>
            <w:r w:rsidRPr="00005F73">
              <w:rPr>
                <w:rFonts w:ascii="Verdana" w:hAnsi="Verdana"/>
                <w:b/>
                <w:bCs/>
                <w:color w:val="FFFFFF"/>
                <w:sz w:val="24"/>
                <w:szCs w:val="24"/>
              </w:rPr>
              <w:t>APUNTES SOBRE LA ACTUALIDAD FISCAL</w:t>
            </w:r>
          </w:p>
        </w:tc>
      </w:tr>
    </w:tbl>
    <w:p w14:paraId="5A21E137" w14:textId="77777777" w:rsidR="00341BFE" w:rsidRDefault="00341BFE">
      <w:pPr>
        <w:jc w:val="both"/>
        <w:rPr>
          <w:rFonts w:ascii="Verdana" w:hAnsi="Verdana"/>
          <w:b/>
          <w:sz w:val="22"/>
        </w:rPr>
      </w:pPr>
    </w:p>
    <w:p w14:paraId="60C9DCAF" w14:textId="77777777" w:rsidR="00341BFE" w:rsidRDefault="00341BFE">
      <w:pPr>
        <w:jc w:val="both"/>
        <w:rPr>
          <w:rFonts w:ascii="Verdana" w:hAnsi="Verdana"/>
          <w:b/>
          <w:sz w:val="22"/>
        </w:rPr>
      </w:pPr>
    </w:p>
    <w:p w14:paraId="3B242062" w14:textId="77777777" w:rsidR="00341BFE" w:rsidRPr="00005F73" w:rsidRDefault="00341BFE" w:rsidP="00DC2BC0">
      <w:pPr>
        <w:tabs>
          <w:tab w:val="left" w:pos="284"/>
        </w:tabs>
        <w:jc w:val="center"/>
        <w:rPr>
          <w:rFonts w:ascii="Verdana" w:hAnsi="Verdana"/>
          <w:color w:val="800000"/>
          <w:u w:val="single"/>
        </w:rPr>
      </w:pPr>
      <w:r w:rsidRPr="00005F73">
        <w:rPr>
          <w:rFonts w:ascii="Verdana" w:hAnsi="Verdana"/>
          <w:b/>
          <w:bCs/>
          <w:color w:val="800000"/>
          <w:u w:val="single"/>
        </w:rPr>
        <w:t>SUMARIO</w:t>
      </w:r>
    </w:p>
    <w:p w14:paraId="73FB1E46" w14:textId="77777777" w:rsidR="00341BFE" w:rsidRDefault="00341BFE" w:rsidP="00A84591">
      <w:pPr>
        <w:jc w:val="center"/>
        <w:rPr>
          <w:rFonts w:ascii="Verdana" w:hAnsi="Verdana"/>
          <w:b/>
          <w:bCs/>
          <w:i/>
          <w:iCs/>
          <w:color w:val="800000"/>
          <w:sz w:val="18"/>
          <w:szCs w:val="18"/>
          <w:u w:val="single"/>
        </w:rPr>
      </w:pPr>
    </w:p>
    <w:p w14:paraId="3A9DB1E4" w14:textId="147D2F97" w:rsidR="00293771" w:rsidRDefault="00293771">
      <w:pPr>
        <w:pStyle w:val="Prrafodelista"/>
        <w:numPr>
          <w:ilvl w:val="0"/>
          <w:numId w:val="16"/>
        </w:numPr>
        <w:tabs>
          <w:tab w:val="left" w:pos="142"/>
        </w:tabs>
        <w:spacing w:line="240" w:lineRule="auto"/>
        <w:ind w:left="284" w:hanging="284"/>
        <w:jc w:val="both"/>
        <w:rPr>
          <w:rFonts w:ascii="Verdana" w:hAnsi="Verdana"/>
          <w:b/>
          <w:bCs/>
          <w:i/>
          <w:iCs/>
          <w:color w:val="800000"/>
          <w:sz w:val="18"/>
          <w:szCs w:val="18"/>
        </w:rPr>
      </w:pPr>
      <w:r w:rsidRPr="00293771">
        <w:rPr>
          <w:rFonts w:ascii="Verdana" w:hAnsi="Verdana"/>
          <w:b/>
          <w:bCs/>
          <w:i/>
          <w:iCs/>
          <w:color w:val="800000"/>
          <w:sz w:val="18"/>
          <w:szCs w:val="18"/>
        </w:rPr>
        <w:t>VERI*FACTU VS SII: DIFERENCIAS CLAVE, VENTAJAS Y DESVENTAJAS DE CADA SISTEMA</w:t>
      </w:r>
    </w:p>
    <w:p w14:paraId="5D90D341" w14:textId="1C4956BB" w:rsidR="003B490E" w:rsidRDefault="00DE77CE" w:rsidP="003B490E">
      <w:pPr>
        <w:pStyle w:val="Prrafodelista"/>
        <w:tabs>
          <w:tab w:val="left" w:pos="142"/>
        </w:tabs>
        <w:spacing w:line="240" w:lineRule="auto"/>
        <w:ind w:left="284"/>
        <w:jc w:val="both"/>
        <w:rPr>
          <w:rFonts w:ascii="Verdana" w:hAnsi="Verdana"/>
          <w:b/>
          <w:bCs/>
          <w:i/>
          <w:iCs/>
          <w:color w:val="800000"/>
          <w:sz w:val="18"/>
          <w:szCs w:val="18"/>
        </w:rPr>
      </w:pPr>
      <w:r>
        <w:rPr>
          <w:rFonts w:ascii="Verdana" w:hAnsi="Verdana"/>
          <w:b/>
          <w:bCs/>
          <w:i/>
          <w:iCs/>
          <w:color w:val="800000"/>
          <w:sz w:val="18"/>
          <w:szCs w:val="18"/>
        </w:rPr>
        <w:t xml:space="preserve">Repasamos la obligatoriedad de </w:t>
      </w:r>
      <w:r w:rsidR="00B75337">
        <w:rPr>
          <w:rFonts w:ascii="Verdana" w:hAnsi="Verdana"/>
          <w:b/>
          <w:bCs/>
          <w:i/>
          <w:iCs/>
          <w:color w:val="800000"/>
          <w:sz w:val="18"/>
          <w:szCs w:val="18"/>
        </w:rPr>
        <w:t>adaptar la facturación al sistema Veri*</w:t>
      </w:r>
      <w:proofErr w:type="spellStart"/>
      <w:r w:rsidR="00B75337">
        <w:rPr>
          <w:rFonts w:ascii="Verdana" w:hAnsi="Verdana"/>
          <w:b/>
          <w:bCs/>
          <w:i/>
          <w:iCs/>
          <w:color w:val="800000"/>
          <w:sz w:val="18"/>
          <w:szCs w:val="18"/>
        </w:rPr>
        <w:t>factu</w:t>
      </w:r>
      <w:proofErr w:type="spellEnd"/>
      <w:r>
        <w:rPr>
          <w:rFonts w:ascii="Verdana" w:hAnsi="Verdana"/>
          <w:b/>
          <w:bCs/>
          <w:i/>
          <w:iCs/>
          <w:color w:val="800000"/>
          <w:sz w:val="18"/>
          <w:szCs w:val="18"/>
        </w:rPr>
        <w:t>, así como las diferencias significativas entre los sistemas VERI*FACTU y SII.</w:t>
      </w:r>
    </w:p>
    <w:p w14:paraId="198A2270" w14:textId="77777777" w:rsidR="00DE77CE" w:rsidRDefault="00DE77CE" w:rsidP="003B490E">
      <w:pPr>
        <w:pStyle w:val="Prrafodelista"/>
        <w:tabs>
          <w:tab w:val="left" w:pos="142"/>
        </w:tabs>
        <w:spacing w:line="240" w:lineRule="auto"/>
        <w:ind w:left="284"/>
        <w:jc w:val="both"/>
        <w:rPr>
          <w:rFonts w:ascii="Verdana" w:hAnsi="Verdana"/>
          <w:b/>
          <w:bCs/>
          <w:i/>
          <w:iCs/>
          <w:color w:val="800000"/>
          <w:sz w:val="18"/>
          <w:szCs w:val="18"/>
        </w:rPr>
      </w:pPr>
    </w:p>
    <w:p w14:paraId="1A52D873" w14:textId="685A38EC" w:rsidR="00AF53AF" w:rsidRPr="00AF53AF" w:rsidRDefault="00AF53AF">
      <w:pPr>
        <w:pStyle w:val="Prrafodelista"/>
        <w:numPr>
          <w:ilvl w:val="0"/>
          <w:numId w:val="16"/>
        </w:numPr>
        <w:tabs>
          <w:tab w:val="left" w:pos="142"/>
        </w:tabs>
        <w:ind w:left="284" w:hanging="284"/>
        <w:jc w:val="both"/>
        <w:rPr>
          <w:rFonts w:ascii="Verdana" w:hAnsi="Verdana"/>
          <w:b/>
          <w:bCs/>
          <w:i/>
          <w:color w:val="800000"/>
          <w:sz w:val="18"/>
          <w:szCs w:val="18"/>
        </w:rPr>
      </w:pPr>
      <w:r w:rsidRPr="00AF53AF">
        <w:rPr>
          <w:rFonts w:ascii="Verdana" w:hAnsi="Verdana"/>
          <w:b/>
          <w:bCs/>
          <w:i/>
          <w:color w:val="800000"/>
          <w:sz w:val="18"/>
          <w:szCs w:val="18"/>
        </w:rPr>
        <w:t>EL TEAC RECHAZA PODER APLICAR LA REDUCCIÓN POR PENSIÓN COMPENSATORIA A LAS PAREJAS DE HECHO</w:t>
      </w:r>
    </w:p>
    <w:p w14:paraId="1D72F7D0" w14:textId="68F6A0C1" w:rsidR="00767FE6" w:rsidRPr="00F54D5A" w:rsidRDefault="00AF53AF" w:rsidP="00F54D5A">
      <w:pPr>
        <w:pStyle w:val="Prrafodelista"/>
        <w:tabs>
          <w:tab w:val="left" w:pos="142"/>
        </w:tabs>
        <w:spacing w:line="240" w:lineRule="auto"/>
        <w:ind w:left="284"/>
        <w:jc w:val="both"/>
        <w:rPr>
          <w:rFonts w:ascii="Verdana" w:hAnsi="Verdana"/>
          <w:b/>
          <w:bCs/>
          <w:i/>
          <w:iCs/>
          <w:color w:val="800000"/>
          <w:sz w:val="18"/>
          <w:szCs w:val="18"/>
        </w:rPr>
      </w:pPr>
      <w:r w:rsidRPr="00AF53AF">
        <w:rPr>
          <w:rFonts w:ascii="Verdana" w:hAnsi="Verdana"/>
          <w:b/>
          <w:bCs/>
          <w:i/>
          <w:iCs/>
          <w:color w:val="800000"/>
          <w:sz w:val="18"/>
          <w:szCs w:val="18"/>
        </w:rPr>
        <w:t>El Tribunal Económico-Administrativo Central confirma la imposibilidad de aplicar la reducción del art. 55 de la Ley IRPF a las pensiones compensatorias derivadas de la disolución de parejas de hecho.</w:t>
      </w:r>
    </w:p>
    <w:p w14:paraId="287397F7" w14:textId="77777777" w:rsidR="00767FE6" w:rsidRDefault="00767FE6" w:rsidP="00767FE6">
      <w:pPr>
        <w:pStyle w:val="Prrafodelista"/>
        <w:tabs>
          <w:tab w:val="left" w:pos="142"/>
        </w:tabs>
        <w:spacing w:line="240" w:lineRule="auto"/>
        <w:ind w:left="284"/>
        <w:jc w:val="both"/>
        <w:rPr>
          <w:rFonts w:ascii="Verdana" w:hAnsi="Verdana"/>
          <w:b/>
          <w:bCs/>
          <w:i/>
          <w:iCs/>
          <w:color w:val="800000"/>
          <w:sz w:val="18"/>
          <w:szCs w:val="18"/>
        </w:rPr>
      </w:pPr>
    </w:p>
    <w:p w14:paraId="22D7E6E8" w14:textId="43AC922B" w:rsidR="00767FE6" w:rsidRPr="00767FE6" w:rsidRDefault="005901EC">
      <w:pPr>
        <w:pStyle w:val="Prrafodelista"/>
        <w:numPr>
          <w:ilvl w:val="0"/>
          <w:numId w:val="16"/>
        </w:numPr>
        <w:tabs>
          <w:tab w:val="left" w:pos="142"/>
        </w:tabs>
        <w:ind w:left="284" w:hanging="284"/>
        <w:jc w:val="both"/>
        <w:rPr>
          <w:rFonts w:ascii="Verdana" w:hAnsi="Verdana"/>
          <w:b/>
          <w:bCs/>
          <w:i/>
          <w:iCs/>
          <w:color w:val="800000"/>
          <w:sz w:val="18"/>
          <w:szCs w:val="18"/>
        </w:rPr>
      </w:pPr>
      <w:r w:rsidRPr="005901EC">
        <w:rPr>
          <w:rFonts w:ascii="Verdana" w:hAnsi="Verdana"/>
          <w:b/>
          <w:bCs/>
          <w:i/>
          <w:iCs/>
          <w:color w:val="800000"/>
          <w:sz w:val="18"/>
          <w:szCs w:val="18"/>
        </w:rPr>
        <w:t>LA EXCEPCIÓN DE LA PRESUNCIÓN DE USO PRIVATIVO PARA LOS VEHÍCULOS MIXTOS DESTINADOS AL TRANSPORTE DE MERCANCÍAS SE PUEDE APLICAR A OTROS PROFESIONALES QUE USEN LOS VEHÍCULOS PARA TRANSPORTAR MATERIALES PROPIOS DE SU OFICIO</w:t>
      </w:r>
    </w:p>
    <w:p w14:paraId="058D4463" w14:textId="4B638915" w:rsidR="00767FE6" w:rsidRDefault="009D04D3" w:rsidP="00D47DEE">
      <w:pPr>
        <w:pStyle w:val="Prrafodelista"/>
        <w:tabs>
          <w:tab w:val="left" w:pos="142"/>
        </w:tabs>
        <w:spacing w:line="240" w:lineRule="auto"/>
        <w:ind w:left="284"/>
        <w:jc w:val="both"/>
        <w:rPr>
          <w:rFonts w:ascii="Verdana" w:hAnsi="Verdana"/>
          <w:b/>
          <w:bCs/>
          <w:i/>
          <w:iCs/>
          <w:color w:val="800000"/>
          <w:sz w:val="18"/>
          <w:szCs w:val="18"/>
        </w:rPr>
      </w:pPr>
      <w:r>
        <w:rPr>
          <w:rFonts w:ascii="Verdana" w:hAnsi="Verdana"/>
          <w:b/>
          <w:bCs/>
          <w:i/>
          <w:iCs/>
          <w:color w:val="800000"/>
          <w:sz w:val="18"/>
          <w:szCs w:val="18"/>
        </w:rPr>
        <w:t xml:space="preserve">Así lo establece el </w:t>
      </w:r>
      <w:r w:rsidR="007A4878" w:rsidRPr="007A4878">
        <w:rPr>
          <w:rFonts w:ascii="Verdana" w:hAnsi="Verdana"/>
          <w:b/>
          <w:bCs/>
          <w:i/>
          <w:iCs/>
          <w:color w:val="800000"/>
          <w:sz w:val="18"/>
          <w:szCs w:val="18"/>
        </w:rPr>
        <w:t>TEAC</w:t>
      </w:r>
      <w:r>
        <w:rPr>
          <w:rFonts w:ascii="Verdana" w:hAnsi="Verdana"/>
          <w:b/>
          <w:bCs/>
          <w:i/>
          <w:iCs/>
          <w:color w:val="800000"/>
          <w:sz w:val="18"/>
          <w:szCs w:val="18"/>
        </w:rPr>
        <w:t xml:space="preserve"> </w:t>
      </w:r>
      <w:bookmarkStart w:id="0" w:name="_Hlk212053035"/>
      <w:r>
        <w:rPr>
          <w:rFonts w:ascii="Verdana" w:hAnsi="Verdana"/>
          <w:b/>
          <w:bCs/>
          <w:i/>
          <w:iCs/>
          <w:color w:val="800000"/>
          <w:sz w:val="18"/>
          <w:szCs w:val="18"/>
        </w:rPr>
        <w:t>en su</w:t>
      </w:r>
      <w:r w:rsidRPr="007A4878">
        <w:rPr>
          <w:rFonts w:ascii="Verdana" w:hAnsi="Verdana"/>
          <w:b/>
          <w:bCs/>
          <w:i/>
          <w:iCs/>
          <w:color w:val="800000"/>
          <w:sz w:val="18"/>
          <w:szCs w:val="18"/>
        </w:rPr>
        <w:t xml:space="preserve"> </w:t>
      </w:r>
      <w:r>
        <w:rPr>
          <w:rFonts w:ascii="Verdana" w:hAnsi="Verdana"/>
          <w:b/>
          <w:bCs/>
          <w:i/>
          <w:iCs/>
          <w:color w:val="800000"/>
          <w:sz w:val="18"/>
          <w:szCs w:val="18"/>
        </w:rPr>
        <w:t>r</w:t>
      </w:r>
      <w:r w:rsidRPr="007A4878">
        <w:rPr>
          <w:rFonts w:ascii="Verdana" w:hAnsi="Verdana"/>
          <w:b/>
          <w:bCs/>
          <w:i/>
          <w:iCs/>
          <w:color w:val="800000"/>
          <w:sz w:val="18"/>
          <w:szCs w:val="18"/>
        </w:rPr>
        <w:t>esolución</w:t>
      </w:r>
      <w:r w:rsidR="007A4878" w:rsidRPr="007A4878">
        <w:rPr>
          <w:rFonts w:ascii="Verdana" w:hAnsi="Verdana"/>
          <w:b/>
          <w:bCs/>
          <w:i/>
          <w:iCs/>
          <w:color w:val="800000"/>
          <w:sz w:val="18"/>
          <w:szCs w:val="18"/>
        </w:rPr>
        <w:t xml:space="preserve"> de 24 de junio de 2025</w:t>
      </w:r>
      <w:bookmarkEnd w:id="0"/>
      <w:r>
        <w:rPr>
          <w:rFonts w:ascii="Verdana" w:hAnsi="Verdana"/>
          <w:b/>
          <w:bCs/>
          <w:i/>
          <w:iCs/>
          <w:color w:val="800000"/>
          <w:sz w:val="18"/>
          <w:szCs w:val="18"/>
        </w:rPr>
        <w:t>.</w:t>
      </w:r>
    </w:p>
    <w:p w14:paraId="019056D1" w14:textId="77777777" w:rsidR="00A06EB8" w:rsidRDefault="00A06EB8" w:rsidP="00D47DEE">
      <w:pPr>
        <w:pStyle w:val="Prrafodelista"/>
        <w:tabs>
          <w:tab w:val="left" w:pos="142"/>
        </w:tabs>
        <w:spacing w:line="240" w:lineRule="auto"/>
        <w:ind w:left="284"/>
        <w:jc w:val="both"/>
        <w:rPr>
          <w:rFonts w:ascii="Verdana" w:hAnsi="Verdana"/>
          <w:b/>
          <w:bCs/>
          <w:i/>
          <w:iCs/>
          <w:color w:val="800000"/>
          <w:sz w:val="18"/>
          <w:szCs w:val="18"/>
        </w:rPr>
      </w:pPr>
    </w:p>
    <w:p w14:paraId="7841C5B9" w14:textId="22D44649" w:rsidR="00A06EB8" w:rsidRDefault="00B6654F">
      <w:pPr>
        <w:pStyle w:val="Prrafodelista"/>
        <w:numPr>
          <w:ilvl w:val="0"/>
          <w:numId w:val="16"/>
        </w:numPr>
        <w:tabs>
          <w:tab w:val="left" w:pos="142"/>
        </w:tabs>
        <w:spacing w:line="240" w:lineRule="auto"/>
        <w:ind w:left="284" w:hanging="284"/>
        <w:jc w:val="both"/>
        <w:rPr>
          <w:rFonts w:ascii="Verdana" w:hAnsi="Verdana"/>
          <w:b/>
          <w:bCs/>
          <w:i/>
          <w:iCs/>
          <w:color w:val="800000"/>
          <w:sz w:val="18"/>
          <w:szCs w:val="18"/>
        </w:rPr>
      </w:pPr>
      <w:r w:rsidRPr="00B6654F">
        <w:rPr>
          <w:rFonts w:ascii="Verdana" w:hAnsi="Verdana"/>
          <w:b/>
          <w:bCs/>
          <w:i/>
          <w:iCs/>
          <w:color w:val="800000"/>
          <w:sz w:val="18"/>
          <w:szCs w:val="18"/>
        </w:rPr>
        <w:t>EL AHORRO DE COSTES TRIBUTARIOS FUTUROS PUEDE SER UN MOTIVO ECONÓMICO EN UNA FUSIÓN POR ABSORCIÓN</w:t>
      </w:r>
    </w:p>
    <w:p w14:paraId="59687036" w14:textId="25835B51" w:rsidR="00B6654F" w:rsidRDefault="009D04D3" w:rsidP="00B6654F">
      <w:pPr>
        <w:pStyle w:val="Prrafodelista"/>
        <w:tabs>
          <w:tab w:val="left" w:pos="142"/>
        </w:tabs>
        <w:spacing w:line="240" w:lineRule="auto"/>
        <w:ind w:left="284"/>
        <w:jc w:val="both"/>
        <w:rPr>
          <w:rFonts w:ascii="Verdana" w:hAnsi="Verdana"/>
          <w:b/>
          <w:bCs/>
          <w:i/>
          <w:iCs/>
          <w:color w:val="800000"/>
          <w:sz w:val="18"/>
          <w:szCs w:val="18"/>
        </w:rPr>
      </w:pPr>
      <w:r>
        <w:rPr>
          <w:rFonts w:ascii="Verdana" w:hAnsi="Verdana"/>
          <w:b/>
          <w:bCs/>
          <w:i/>
          <w:iCs/>
          <w:color w:val="800000"/>
          <w:sz w:val="18"/>
          <w:szCs w:val="18"/>
        </w:rPr>
        <w:t xml:space="preserve">La </w:t>
      </w:r>
      <w:r w:rsidR="00B6654F" w:rsidRPr="00B6654F">
        <w:rPr>
          <w:rFonts w:ascii="Verdana" w:hAnsi="Verdana"/>
          <w:b/>
          <w:bCs/>
          <w:i/>
          <w:iCs/>
          <w:color w:val="800000"/>
          <w:sz w:val="18"/>
          <w:szCs w:val="18"/>
        </w:rPr>
        <w:t>DGT</w:t>
      </w:r>
      <w:r>
        <w:rPr>
          <w:rFonts w:ascii="Verdana" w:hAnsi="Verdana"/>
          <w:b/>
          <w:bCs/>
          <w:i/>
          <w:iCs/>
          <w:color w:val="800000"/>
          <w:sz w:val="18"/>
          <w:szCs w:val="18"/>
        </w:rPr>
        <w:t xml:space="preserve"> </w:t>
      </w:r>
      <w:bookmarkStart w:id="1" w:name="_Hlk212053406"/>
      <w:r>
        <w:rPr>
          <w:rFonts w:ascii="Verdana" w:hAnsi="Verdana"/>
          <w:b/>
          <w:bCs/>
          <w:i/>
          <w:iCs/>
          <w:color w:val="800000"/>
          <w:sz w:val="18"/>
          <w:szCs w:val="18"/>
        </w:rPr>
        <w:t>en su r</w:t>
      </w:r>
      <w:r w:rsidR="00B6654F" w:rsidRPr="00B6654F">
        <w:rPr>
          <w:rFonts w:ascii="Verdana" w:hAnsi="Verdana"/>
          <w:b/>
          <w:bCs/>
          <w:i/>
          <w:iCs/>
          <w:color w:val="800000"/>
          <w:sz w:val="18"/>
          <w:szCs w:val="18"/>
        </w:rPr>
        <w:t>esolución V1503-25, de 18 de agosto de 2025</w:t>
      </w:r>
      <w:bookmarkEnd w:id="1"/>
      <w:r>
        <w:rPr>
          <w:rFonts w:ascii="Verdana" w:hAnsi="Verdana"/>
          <w:b/>
          <w:bCs/>
          <w:i/>
          <w:iCs/>
          <w:color w:val="800000"/>
          <w:sz w:val="18"/>
          <w:szCs w:val="18"/>
        </w:rPr>
        <w:t>, así lo entiende</w:t>
      </w:r>
      <w:r w:rsidR="00293771">
        <w:rPr>
          <w:rFonts w:ascii="Verdana" w:hAnsi="Verdana"/>
          <w:b/>
          <w:bCs/>
          <w:i/>
          <w:iCs/>
          <w:color w:val="800000"/>
          <w:sz w:val="18"/>
          <w:szCs w:val="18"/>
        </w:rPr>
        <w:t>.</w:t>
      </w:r>
    </w:p>
    <w:p w14:paraId="377F922F" w14:textId="77777777" w:rsidR="00A86E93" w:rsidRDefault="00A86E93" w:rsidP="00B6654F">
      <w:pPr>
        <w:pStyle w:val="Prrafodelista"/>
        <w:tabs>
          <w:tab w:val="left" w:pos="142"/>
        </w:tabs>
        <w:spacing w:line="240" w:lineRule="auto"/>
        <w:ind w:left="284"/>
        <w:jc w:val="both"/>
        <w:rPr>
          <w:rFonts w:ascii="Verdana" w:hAnsi="Verdana"/>
          <w:b/>
          <w:bCs/>
          <w:i/>
          <w:iCs/>
          <w:color w:val="800000"/>
          <w:sz w:val="18"/>
          <w:szCs w:val="18"/>
        </w:rPr>
      </w:pPr>
    </w:p>
    <w:p w14:paraId="166BCAB7" w14:textId="492CF0CA" w:rsidR="00A86E93" w:rsidRDefault="00A86E93" w:rsidP="00A86E93">
      <w:pPr>
        <w:pStyle w:val="Prrafodelista"/>
        <w:numPr>
          <w:ilvl w:val="0"/>
          <w:numId w:val="16"/>
        </w:numPr>
        <w:tabs>
          <w:tab w:val="left" w:pos="142"/>
        </w:tabs>
        <w:spacing w:line="240" w:lineRule="auto"/>
        <w:ind w:left="284" w:hanging="284"/>
        <w:jc w:val="both"/>
        <w:rPr>
          <w:rFonts w:ascii="Verdana" w:hAnsi="Verdana"/>
          <w:b/>
          <w:bCs/>
          <w:i/>
          <w:iCs/>
          <w:color w:val="800000"/>
          <w:sz w:val="18"/>
          <w:szCs w:val="18"/>
        </w:rPr>
      </w:pPr>
      <w:r w:rsidRPr="00A86E93">
        <w:rPr>
          <w:rFonts w:ascii="Verdana" w:hAnsi="Verdana"/>
          <w:b/>
          <w:bCs/>
          <w:i/>
          <w:iCs/>
          <w:color w:val="800000"/>
          <w:sz w:val="18"/>
          <w:szCs w:val="18"/>
        </w:rPr>
        <w:t>CRITERIO UNIFICADO DEL TEAC SOBRE EL USO GRATUITO DE BIENES SOCIALES POR SOCIOS</w:t>
      </w:r>
    </w:p>
    <w:p w14:paraId="3BB8134A" w14:textId="17706300" w:rsidR="00293771" w:rsidRDefault="00A86E93" w:rsidP="00B6654F">
      <w:pPr>
        <w:pStyle w:val="Prrafodelista"/>
        <w:tabs>
          <w:tab w:val="left" w:pos="142"/>
        </w:tabs>
        <w:spacing w:line="240" w:lineRule="auto"/>
        <w:ind w:left="284"/>
        <w:jc w:val="both"/>
        <w:rPr>
          <w:rFonts w:ascii="Verdana" w:hAnsi="Verdana"/>
          <w:b/>
          <w:bCs/>
          <w:i/>
          <w:iCs/>
          <w:color w:val="800000"/>
          <w:sz w:val="18"/>
          <w:szCs w:val="18"/>
        </w:rPr>
      </w:pPr>
      <w:bookmarkStart w:id="2" w:name="_Hlk212030107"/>
      <w:r w:rsidRPr="00A86E93">
        <w:rPr>
          <w:rFonts w:ascii="Verdana" w:hAnsi="Verdana"/>
          <w:b/>
          <w:bCs/>
          <w:i/>
          <w:iCs/>
          <w:color w:val="800000"/>
          <w:sz w:val="18"/>
          <w:szCs w:val="18"/>
        </w:rPr>
        <w:t>El Tribunal Económico-Administrativo Central (TEAC) ha unificado criterio respecto al tratamiento fiscal en el IRPF del uso gratuito por un socio de bienes pertenecientes a su sociedad</w:t>
      </w:r>
      <w:r>
        <w:rPr>
          <w:rFonts w:ascii="Verdana" w:hAnsi="Verdana"/>
          <w:b/>
          <w:bCs/>
          <w:i/>
          <w:iCs/>
          <w:color w:val="800000"/>
          <w:sz w:val="18"/>
          <w:szCs w:val="18"/>
        </w:rPr>
        <w:t>.</w:t>
      </w:r>
    </w:p>
    <w:p w14:paraId="147870DC" w14:textId="77777777" w:rsidR="00A86E93" w:rsidRDefault="00A86E93" w:rsidP="00B6654F">
      <w:pPr>
        <w:pStyle w:val="Prrafodelista"/>
        <w:tabs>
          <w:tab w:val="left" w:pos="142"/>
        </w:tabs>
        <w:spacing w:line="240" w:lineRule="auto"/>
        <w:ind w:left="284"/>
        <w:jc w:val="both"/>
        <w:rPr>
          <w:rFonts w:ascii="Verdana" w:hAnsi="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BD56AA" w:rsidRPr="00DE77CE" w14:paraId="7B0DC2EE" w14:textId="77777777" w:rsidTr="004D0BD0">
        <w:tc>
          <w:tcPr>
            <w:tcW w:w="180" w:type="dxa"/>
            <w:shd w:val="clear" w:color="auto" w:fill="FF6600"/>
          </w:tcPr>
          <w:p w14:paraId="1B57FB57" w14:textId="77777777" w:rsidR="00BD56AA" w:rsidRPr="00DE77CE" w:rsidRDefault="00BD56AA" w:rsidP="004D0BD0">
            <w:pPr>
              <w:rPr>
                <w:rFonts w:ascii="Verdana" w:hAnsi="Verdana"/>
                <w:b/>
                <w:bCs/>
                <w:color w:val="800000"/>
                <w:sz w:val="18"/>
                <w:szCs w:val="18"/>
              </w:rPr>
            </w:pPr>
          </w:p>
        </w:tc>
        <w:tc>
          <w:tcPr>
            <w:tcW w:w="8460" w:type="dxa"/>
          </w:tcPr>
          <w:p w14:paraId="1952081B" w14:textId="0899EF47" w:rsidR="00BD56AA" w:rsidRPr="00DE77CE" w:rsidRDefault="00DE77CE">
            <w:pPr>
              <w:numPr>
                <w:ilvl w:val="0"/>
                <w:numId w:val="1"/>
              </w:numPr>
              <w:tabs>
                <w:tab w:val="clear" w:pos="928"/>
                <w:tab w:val="num" w:pos="320"/>
              </w:tabs>
              <w:ind w:left="317" w:hanging="280"/>
              <w:jc w:val="both"/>
              <w:rPr>
                <w:rFonts w:ascii="Verdana" w:hAnsi="Verdana"/>
                <w:b/>
                <w:bCs/>
                <w:color w:val="800000"/>
                <w:sz w:val="18"/>
                <w:szCs w:val="18"/>
              </w:rPr>
            </w:pPr>
            <w:r w:rsidRPr="00DE77CE">
              <w:rPr>
                <w:rFonts w:ascii="Verdana" w:hAnsi="Verdana"/>
                <w:b/>
                <w:bCs/>
                <w:color w:val="800000"/>
                <w:sz w:val="18"/>
                <w:szCs w:val="18"/>
              </w:rPr>
              <w:t>VERI*FACTU VS SII: DIFERENCIAS CLAVE, VENTAJAS Y DESVENTAJAS DE CADA SISTEMA</w:t>
            </w:r>
          </w:p>
        </w:tc>
      </w:tr>
    </w:tbl>
    <w:p w14:paraId="3A8178D2" w14:textId="6EDC6053" w:rsidR="00E55DCD" w:rsidRPr="00E55DCD" w:rsidRDefault="00DE77CE" w:rsidP="00C132A9">
      <w:pPr>
        <w:spacing w:before="100" w:beforeAutospacing="1" w:after="100" w:afterAutospacing="1"/>
        <w:ind w:left="284"/>
        <w:jc w:val="both"/>
        <w:rPr>
          <w:rFonts w:ascii="Verdana" w:hAnsi="Verdana"/>
          <w:sz w:val="18"/>
          <w:szCs w:val="18"/>
        </w:rPr>
      </w:pPr>
      <w:r>
        <w:rPr>
          <w:rFonts w:ascii="Verdana" w:hAnsi="Verdana"/>
          <w:sz w:val="18"/>
          <w:szCs w:val="18"/>
        </w:rPr>
        <w:t>L</w:t>
      </w:r>
      <w:r w:rsidRPr="00E55DCD">
        <w:rPr>
          <w:rFonts w:ascii="Verdana" w:hAnsi="Verdana"/>
          <w:sz w:val="18"/>
          <w:szCs w:val="18"/>
        </w:rPr>
        <w:t xml:space="preserve">as nuevas obligaciones legales en España respecto a la emisión y envío de facturas electrónicas, derivadas de la </w:t>
      </w:r>
      <w:r w:rsidRPr="00E55DCD">
        <w:rPr>
          <w:rFonts w:ascii="Verdana" w:hAnsi="Verdana"/>
          <w:b/>
          <w:bCs/>
          <w:sz w:val="18"/>
          <w:szCs w:val="18"/>
        </w:rPr>
        <w:t>Ley Crea y Crece (Ley 18/2022)</w:t>
      </w:r>
      <w:r w:rsidRPr="00E55DCD">
        <w:rPr>
          <w:rFonts w:ascii="Verdana" w:hAnsi="Verdana"/>
          <w:sz w:val="18"/>
          <w:szCs w:val="18"/>
        </w:rPr>
        <w:t xml:space="preserve"> y la </w:t>
      </w:r>
      <w:r w:rsidRPr="00E55DCD">
        <w:rPr>
          <w:rFonts w:ascii="Verdana" w:hAnsi="Verdana"/>
          <w:b/>
          <w:bCs/>
          <w:sz w:val="18"/>
          <w:szCs w:val="18"/>
        </w:rPr>
        <w:t>Ley Antifraude (Ley 11/2021)</w:t>
      </w:r>
      <w:r w:rsidR="00C132A9">
        <w:rPr>
          <w:rFonts w:ascii="Verdana" w:hAnsi="Verdana"/>
          <w:b/>
          <w:bCs/>
          <w:sz w:val="18"/>
          <w:szCs w:val="18"/>
        </w:rPr>
        <w:t xml:space="preserve"> </w:t>
      </w:r>
      <w:r w:rsidR="00C132A9">
        <w:rPr>
          <w:rFonts w:ascii="Verdana" w:hAnsi="Verdana"/>
          <w:sz w:val="18"/>
          <w:szCs w:val="18"/>
        </w:rPr>
        <w:t>derivan en que l</w:t>
      </w:r>
      <w:r w:rsidR="00E55DCD" w:rsidRPr="00E55DCD">
        <w:rPr>
          <w:rFonts w:ascii="Verdana" w:hAnsi="Verdana"/>
          <w:b/>
          <w:bCs/>
          <w:sz w:val="18"/>
          <w:szCs w:val="18"/>
        </w:rPr>
        <w:t>a facturación electrónica será obligatoria para todas las empresas</w:t>
      </w:r>
      <w:r w:rsidR="00C132A9">
        <w:rPr>
          <w:rFonts w:ascii="Verdana" w:hAnsi="Verdana"/>
          <w:b/>
          <w:bCs/>
          <w:sz w:val="18"/>
          <w:szCs w:val="18"/>
        </w:rPr>
        <w:t>.</w:t>
      </w:r>
      <w:r w:rsidR="00E55DCD" w:rsidRPr="00E55DCD">
        <w:rPr>
          <w:rFonts w:ascii="Verdana" w:hAnsi="Verdana"/>
          <w:sz w:val="18"/>
          <w:szCs w:val="18"/>
        </w:rPr>
        <w:t xml:space="preserve"> </w:t>
      </w:r>
    </w:p>
    <w:p w14:paraId="1404F226" w14:textId="0555D634" w:rsidR="00E55DCD" w:rsidRDefault="00C132A9" w:rsidP="00C132A9">
      <w:pPr>
        <w:spacing w:before="100" w:beforeAutospacing="1" w:after="100" w:afterAutospacing="1"/>
        <w:ind w:left="284"/>
        <w:jc w:val="both"/>
        <w:rPr>
          <w:rFonts w:ascii="Verdana" w:hAnsi="Verdana"/>
          <w:sz w:val="18"/>
          <w:szCs w:val="18"/>
        </w:rPr>
      </w:pPr>
      <w:r>
        <w:rPr>
          <w:rFonts w:ascii="Verdana" w:hAnsi="Verdana"/>
          <w:sz w:val="18"/>
          <w:szCs w:val="18"/>
        </w:rPr>
        <w:t>A continuación, resumimos esquemáticamente la obligación</w:t>
      </w:r>
      <w:r w:rsidR="009B45A9">
        <w:rPr>
          <w:rFonts w:ascii="Verdana" w:hAnsi="Verdana"/>
          <w:sz w:val="18"/>
          <w:szCs w:val="18"/>
        </w:rPr>
        <w:t xml:space="preserve"> de</w:t>
      </w:r>
      <w:r>
        <w:rPr>
          <w:rFonts w:ascii="Verdana" w:hAnsi="Verdana"/>
          <w:sz w:val="18"/>
          <w:szCs w:val="18"/>
        </w:rPr>
        <w:t xml:space="preserve"> </w:t>
      </w:r>
      <w:r w:rsidR="00B75337">
        <w:rPr>
          <w:rFonts w:ascii="Verdana" w:hAnsi="Verdana"/>
          <w:sz w:val="18"/>
          <w:szCs w:val="18"/>
        </w:rPr>
        <w:t>adapt</w:t>
      </w:r>
      <w:r w:rsidR="009B45A9">
        <w:rPr>
          <w:rFonts w:ascii="Verdana" w:hAnsi="Verdana"/>
          <w:sz w:val="18"/>
          <w:szCs w:val="18"/>
        </w:rPr>
        <w:t>ar</w:t>
      </w:r>
      <w:r w:rsidR="00B75337">
        <w:rPr>
          <w:rFonts w:ascii="Verdana" w:hAnsi="Verdana"/>
          <w:sz w:val="18"/>
          <w:szCs w:val="18"/>
        </w:rPr>
        <w:t xml:space="preserve"> el SIF (Sistema</w:t>
      </w:r>
      <w:r w:rsidR="009B45A9">
        <w:rPr>
          <w:rFonts w:ascii="Verdana" w:hAnsi="Verdana"/>
          <w:sz w:val="18"/>
          <w:szCs w:val="18"/>
        </w:rPr>
        <w:t xml:space="preserve">s informáticos de </w:t>
      </w:r>
      <w:r w:rsidR="00B75337">
        <w:rPr>
          <w:rFonts w:ascii="Verdana" w:hAnsi="Verdana"/>
          <w:sz w:val="18"/>
          <w:szCs w:val="18"/>
        </w:rPr>
        <w:t xml:space="preserve"> facturación</w:t>
      </w:r>
      <w:r w:rsidR="009B45A9">
        <w:rPr>
          <w:rFonts w:ascii="Verdana" w:hAnsi="Verdana"/>
          <w:sz w:val="18"/>
          <w:szCs w:val="18"/>
        </w:rPr>
        <w:t>)</w:t>
      </w:r>
      <w:r w:rsidR="00B75337">
        <w:rPr>
          <w:rFonts w:ascii="Verdana" w:hAnsi="Verdana"/>
          <w:sz w:val="18"/>
          <w:szCs w:val="18"/>
        </w:rPr>
        <w:t xml:space="preserve"> </w:t>
      </w:r>
      <w:r>
        <w:rPr>
          <w:rFonts w:ascii="Verdana" w:hAnsi="Verdana"/>
          <w:sz w:val="18"/>
          <w:szCs w:val="18"/>
        </w:rPr>
        <w:t>.</w:t>
      </w:r>
    </w:p>
    <w:p w14:paraId="19980016" w14:textId="090E61B5" w:rsidR="00E55DCD" w:rsidRPr="00C149E7" w:rsidRDefault="00B75337" w:rsidP="00C132A9">
      <w:pPr>
        <w:spacing w:before="100" w:beforeAutospacing="1" w:after="100" w:afterAutospacing="1"/>
        <w:ind w:left="284"/>
        <w:jc w:val="both"/>
        <w:outlineLvl w:val="2"/>
        <w:rPr>
          <w:rFonts w:ascii="Verdana" w:hAnsi="Verdana"/>
          <w:b/>
          <w:bCs/>
          <w:color w:val="C00000"/>
          <w:sz w:val="18"/>
          <w:szCs w:val="18"/>
        </w:rPr>
      </w:pPr>
      <w:r w:rsidRPr="00C149E7">
        <w:rPr>
          <w:rFonts w:ascii="Verdana" w:hAnsi="Verdana"/>
          <w:b/>
          <w:bCs/>
          <w:color w:val="C00000"/>
          <w:sz w:val="18"/>
          <w:szCs w:val="18"/>
        </w:rPr>
        <w:t>CONTEXTO GENERAL</w:t>
      </w:r>
    </w:p>
    <w:p w14:paraId="77481BF0" w14:textId="2FFF2AD1" w:rsidR="00E55DCD" w:rsidRDefault="00E55DCD" w:rsidP="008C5028">
      <w:pPr>
        <w:numPr>
          <w:ilvl w:val="0"/>
          <w:numId w:val="17"/>
        </w:numPr>
        <w:spacing w:before="100" w:beforeAutospacing="1" w:after="100" w:afterAutospacing="1"/>
        <w:ind w:left="567" w:hanging="283"/>
        <w:contextualSpacing/>
        <w:jc w:val="both"/>
        <w:rPr>
          <w:rFonts w:ascii="Verdana" w:hAnsi="Verdana"/>
          <w:sz w:val="18"/>
          <w:szCs w:val="18"/>
        </w:rPr>
      </w:pPr>
      <w:r w:rsidRPr="00E55DCD">
        <w:rPr>
          <w:rFonts w:ascii="Verdana" w:hAnsi="Verdana"/>
          <w:sz w:val="18"/>
          <w:szCs w:val="18"/>
        </w:rPr>
        <w:t xml:space="preserve">El objetivo principal de la </w:t>
      </w:r>
      <w:r w:rsidRPr="00E55DCD">
        <w:rPr>
          <w:rFonts w:ascii="Verdana" w:hAnsi="Verdana"/>
          <w:b/>
          <w:bCs/>
          <w:sz w:val="18"/>
          <w:szCs w:val="18"/>
        </w:rPr>
        <w:t>Ley Crea y Crece</w:t>
      </w:r>
      <w:r w:rsidRPr="00E55DCD">
        <w:rPr>
          <w:rFonts w:ascii="Verdana" w:hAnsi="Verdana"/>
          <w:sz w:val="18"/>
          <w:szCs w:val="18"/>
        </w:rPr>
        <w:t xml:space="preserve"> es </w:t>
      </w:r>
      <w:r w:rsidRPr="00E55DCD">
        <w:rPr>
          <w:rFonts w:ascii="Verdana" w:hAnsi="Verdana"/>
          <w:b/>
          <w:bCs/>
          <w:sz w:val="18"/>
          <w:szCs w:val="18"/>
        </w:rPr>
        <w:t xml:space="preserve">digitalizar </w:t>
      </w:r>
      <w:r w:rsidR="00B75337" w:rsidRPr="00E55DCD">
        <w:rPr>
          <w:rFonts w:ascii="Verdana" w:hAnsi="Verdana"/>
          <w:b/>
          <w:bCs/>
          <w:sz w:val="18"/>
          <w:szCs w:val="18"/>
        </w:rPr>
        <w:t xml:space="preserve">las </w:t>
      </w:r>
      <w:r w:rsidR="00B75337">
        <w:rPr>
          <w:rFonts w:ascii="Verdana" w:hAnsi="Verdana"/>
          <w:b/>
          <w:bCs/>
          <w:sz w:val="18"/>
          <w:szCs w:val="18"/>
        </w:rPr>
        <w:t>empresas</w:t>
      </w:r>
      <w:r w:rsidRPr="00E55DCD">
        <w:rPr>
          <w:rFonts w:ascii="Verdana" w:hAnsi="Verdana"/>
          <w:sz w:val="18"/>
          <w:szCs w:val="18"/>
        </w:rPr>
        <w:t xml:space="preserve"> y </w:t>
      </w:r>
      <w:r w:rsidRPr="00E55DCD">
        <w:rPr>
          <w:rFonts w:ascii="Verdana" w:hAnsi="Verdana"/>
          <w:b/>
          <w:bCs/>
          <w:sz w:val="18"/>
          <w:szCs w:val="18"/>
        </w:rPr>
        <w:t>reducir la morosidad</w:t>
      </w:r>
      <w:r w:rsidRPr="00E55DCD">
        <w:rPr>
          <w:rFonts w:ascii="Verdana" w:hAnsi="Verdana"/>
          <w:sz w:val="18"/>
          <w:szCs w:val="18"/>
        </w:rPr>
        <w:t xml:space="preserve"> en las operaciones comerciales.</w:t>
      </w:r>
    </w:p>
    <w:p w14:paraId="7C09E655" w14:textId="77777777" w:rsidR="00B75337" w:rsidRPr="00E55DCD" w:rsidRDefault="00B75337" w:rsidP="00B75337">
      <w:pPr>
        <w:spacing w:before="100" w:beforeAutospacing="1" w:after="100" w:afterAutospacing="1"/>
        <w:ind w:left="284"/>
        <w:contextualSpacing/>
        <w:jc w:val="both"/>
        <w:rPr>
          <w:rFonts w:ascii="Verdana" w:hAnsi="Verdana"/>
          <w:sz w:val="18"/>
          <w:szCs w:val="18"/>
        </w:rPr>
      </w:pPr>
    </w:p>
    <w:p w14:paraId="2464BF20" w14:textId="77777777" w:rsidR="00E55DCD" w:rsidRDefault="00E55DCD" w:rsidP="008C5028">
      <w:pPr>
        <w:numPr>
          <w:ilvl w:val="0"/>
          <w:numId w:val="17"/>
        </w:numPr>
        <w:spacing w:before="100" w:beforeAutospacing="1" w:after="100" w:afterAutospacing="1"/>
        <w:ind w:left="567" w:hanging="283"/>
        <w:contextualSpacing/>
        <w:jc w:val="both"/>
        <w:rPr>
          <w:rFonts w:ascii="Verdana" w:hAnsi="Verdana"/>
          <w:sz w:val="18"/>
          <w:szCs w:val="18"/>
        </w:rPr>
      </w:pPr>
      <w:r w:rsidRPr="00E55DCD">
        <w:rPr>
          <w:rFonts w:ascii="Verdana" w:hAnsi="Verdana"/>
          <w:sz w:val="18"/>
          <w:szCs w:val="18"/>
        </w:rPr>
        <w:lastRenderedPageBreak/>
        <w:t xml:space="preserve">Paralelamente, la </w:t>
      </w:r>
      <w:r w:rsidRPr="00E55DCD">
        <w:rPr>
          <w:rFonts w:ascii="Verdana" w:hAnsi="Verdana"/>
          <w:b/>
          <w:bCs/>
          <w:sz w:val="18"/>
          <w:szCs w:val="18"/>
        </w:rPr>
        <w:t>Ley Antifraude</w:t>
      </w:r>
      <w:r w:rsidRPr="00E55DCD">
        <w:rPr>
          <w:rFonts w:ascii="Verdana" w:hAnsi="Verdana"/>
          <w:sz w:val="18"/>
          <w:szCs w:val="18"/>
        </w:rPr>
        <w:t xml:space="preserve"> busca </w:t>
      </w:r>
      <w:r w:rsidRPr="00E55DCD">
        <w:rPr>
          <w:rFonts w:ascii="Verdana" w:hAnsi="Verdana"/>
          <w:b/>
          <w:bCs/>
          <w:sz w:val="18"/>
          <w:szCs w:val="18"/>
        </w:rPr>
        <w:t>prevenir el fraude fiscal</w:t>
      </w:r>
      <w:r w:rsidRPr="00E55DCD">
        <w:rPr>
          <w:rFonts w:ascii="Verdana" w:hAnsi="Verdana"/>
          <w:sz w:val="18"/>
          <w:szCs w:val="18"/>
        </w:rPr>
        <w:t xml:space="preserve"> mediante el control inmediato de las facturas emitidas.</w:t>
      </w:r>
    </w:p>
    <w:p w14:paraId="1365B66C" w14:textId="77777777" w:rsidR="00383A1B" w:rsidRPr="00E55DCD" w:rsidRDefault="00383A1B" w:rsidP="00383A1B">
      <w:pPr>
        <w:spacing w:before="100" w:beforeAutospacing="1" w:after="100" w:afterAutospacing="1"/>
        <w:ind w:left="284"/>
        <w:contextualSpacing/>
        <w:jc w:val="both"/>
        <w:rPr>
          <w:rFonts w:ascii="Verdana" w:hAnsi="Verdana"/>
          <w:sz w:val="18"/>
          <w:szCs w:val="18"/>
        </w:rPr>
      </w:pPr>
    </w:p>
    <w:p w14:paraId="4804E8B2" w14:textId="4296D6AC" w:rsidR="00E55DCD" w:rsidRDefault="00E55DCD" w:rsidP="008C5028">
      <w:pPr>
        <w:numPr>
          <w:ilvl w:val="0"/>
          <w:numId w:val="17"/>
        </w:numPr>
        <w:tabs>
          <w:tab w:val="clear" w:pos="720"/>
          <w:tab w:val="num" w:pos="567"/>
        </w:tabs>
        <w:spacing w:before="100" w:beforeAutospacing="1" w:after="100" w:afterAutospacing="1"/>
        <w:ind w:left="567" w:hanging="283"/>
        <w:contextualSpacing/>
        <w:jc w:val="both"/>
        <w:rPr>
          <w:rFonts w:ascii="Verdana" w:hAnsi="Verdana"/>
          <w:sz w:val="18"/>
          <w:szCs w:val="18"/>
        </w:rPr>
      </w:pPr>
      <w:r w:rsidRPr="00E55DCD">
        <w:rPr>
          <w:rFonts w:ascii="Verdana" w:hAnsi="Verdana"/>
          <w:sz w:val="18"/>
          <w:szCs w:val="18"/>
        </w:rPr>
        <w:t xml:space="preserve">A partir de </w:t>
      </w:r>
      <w:r w:rsidRPr="00E55DCD">
        <w:rPr>
          <w:rFonts w:ascii="Verdana" w:hAnsi="Verdana"/>
          <w:b/>
          <w:bCs/>
          <w:sz w:val="18"/>
          <w:szCs w:val="18"/>
        </w:rPr>
        <w:t>2026</w:t>
      </w:r>
      <w:r w:rsidRPr="00E55DCD">
        <w:rPr>
          <w:rFonts w:ascii="Verdana" w:hAnsi="Verdana"/>
          <w:sz w:val="18"/>
          <w:szCs w:val="18"/>
        </w:rPr>
        <w:t xml:space="preserve">, las empresas deberán </w:t>
      </w:r>
      <w:r w:rsidRPr="00E55DCD">
        <w:rPr>
          <w:rFonts w:ascii="Verdana" w:hAnsi="Verdana"/>
          <w:b/>
          <w:bCs/>
          <w:sz w:val="18"/>
          <w:szCs w:val="18"/>
        </w:rPr>
        <w:t>remitir las facturas a Hacienda de forma instantánea</w:t>
      </w:r>
      <w:r w:rsidR="00E6704A">
        <w:rPr>
          <w:rFonts w:ascii="Verdana" w:hAnsi="Verdana"/>
          <w:sz w:val="18"/>
          <w:szCs w:val="18"/>
        </w:rPr>
        <w:t xml:space="preserve"> salvo que opten por el sistema No Veri*</w:t>
      </w:r>
      <w:proofErr w:type="spellStart"/>
      <w:r w:rsidR="00E6704A">
        <w:rPr>
          <w:rFonts w:ascii="Verdana" w:hAnsi="Verdana"/>
          <w:sz w:val="18"/>
          <w:szCs w:val="18"/>
        </w:rPr>
        <w:t>factu</w:t>
      </w:r>
      <w:proofErr w:type="spellEnd"/>
      <w:r w:rsidR="00E6704A">
        <w:rPr>
          <w:rFonts w:ascii="Verdana" w:hAnsi="Verdana"/>
          <w:sz w:val="18"/>
          <w:szCs w:val="18"/>
        </w:rPr>
        <w:t>.</w:t>
      </w:r>
    </w:p>
    <w:p w14:paraId="17143F19" w14:textId="77777777" w:rsidR="00383A1B" w:rsidRDefault="00383A1B" w:rsidP="00C132A9">
      <w:pPr>
        <w:spacing w:before="100" w:beforeAutospacing="1" w:after="100" w:afterAutospacing="1"/>
        <w:ind w:left="284"/>
        <w:jc w:val="both"/>
        <w:outlineLvl w:val="2"/>
        <w:rPr>
          <w:rFonts w:ascii="Verdana" w:hAnsi="Verdana"/>
          <w:b/>
          <w:bCs/>
          <w:color w:val="C00000"/>
          <w:sz w:val="18"/>
          <w:szCs w:val="18"/>
        </w:rPr>
      </w:pPr>
    </w:p>
    <w:p w14:paraId="1831ABAB" w14:textId="17118B28" w:rsidR="00E55DCD" w:rsidRPr="00C149E7" w:rsidRDefault="00E55DCD" w:rsidP="00C132A9">
      <w:pPr>
        <w:spacing w:before="100" w:beforeAutospacing="1" w:after="100" w:afterAutospacing="1"/>
        <w:ind w:left="284"/>
        <w:jc w:val="both"/>
        <w:outlineLvl w:val="2"/>
        <w:rPr>
          <w:rFonts w:ascii="Verdana" w:hAnsi="Verdana"/>
          <w:b/>
          <w:bCs/>
          <w:color w:val="C00000"/>
          <w:sz w:val="18"/>
          <w:szCs w:val="18"/>
        </w:rPr>
      </w:pPr>
      <w:r w:rsidRPr="00C149E7">
        <w:rPr>
          <w:rFonts w:ascii="Verdana" w:hAnsi="Verdana"/>
          <w:b/>
          <w:bCs/>
          <w:color w:val="C00000"/>
          <w:sz w:val="18"/>
          <w:szCs w:val="18"/>
        </w:rPr>
        <w:t>Sistema de facturación: VERI</w:t>
      </w:r>
      <w:r w:rsidR="000663E7" w:rsidRPr="00C149E7">
        <w:rPr>
          <w:rFonts w:ascii="Verdana" w:hAnsi="Verdana"/>
          <w:b/>
          <w:bCs/>
          <w:color w:val="C00000"/>
          <w:sz w:val="18"/>
          <w:szCs w:val="18"/>
        </w:rPr>
        <w:t>*</w:t>
      </w:r>
      <w:r w:rsidRPr="00C149E7">
        <w:rPr>
          <w:rFonts w:ascii="Verdana" w:hAnsi="Verdana"/>
          <w:b/>
          <w:bCs/>
          <w:color w:val="C00000"/>
          <w:sz w:val="18"/>
          <w:szCs w:val="18"/>
        </w:rPr>
        <w:t>FACTU</w:t>
      </w:r>
    </w:p>
    <w:p w14:paraId="7965F1D2" w14:textId="1CB18FDA" w:rsidR="008E4AB1" w:rsidRPr="006E4B17" w:rsidRDefault="008E4AB1" w:rsidP="008C5028">
      <w:pPr>
        <w:numPr>
          <w:ilvl w:val="0"/>
          <w:numId w:val="18"/>
        </w:numPr>
        <w:spacing w:before="100" w:beforeAutospacing="1" w:after="100" w:afterAutospacing="1"/>
        <w:ind w:left="426" w:hanging="142"/>
        <w:jc w:val="both"/>
        <w:rPr>
          <w:rFonts w:ascii="Verdana" w:hAnsi="Verdana"/>
          <w:sz w:val="18"/>
          <w:szCs w:val="18"/>
        </w:rPr>
      </w:pPr>
      <w:bookmarkStart w:id="3" w:name="_Hlk212222163"/>
      <w:r w:rsidRPr="006E4B17">
        <w:rPr>
          <w:rFonts w:ascii="Verdana" w:hAnsi="Verdana" w:cs="Arial"/>
          <w:b/>
          <w:bCs/>
          <w:spacing w:val="-5"/>
          <w:sz w:val="18"/>
          <w:szCs w:val="18"/>
          <w:shd w:val="clear" w:color="auto" w:fill="FFFFFF"/>
        </w:rPr>
        <w:t>Veri</w:t>
      </w:r>
      <w:r w:rsidR="00656E2D" w:rsidRPr="006E4B17">
        <w:rPr>
          <w:rFonts w:ascii="Verdana" w:hAnsi="Verdana" w:cs="Arial"/>
          <w:b/>
          <w:bCs/>
          <w:spacing w:val="-5"/>
          <w:sz w:val="18"/>
          <w:szCs w:val="18"/>
          <w:shd w:val="clear" w:color="auto" w:fill="FFFFFF"/>
        </w:rPr>
        <w:t>*</w:t>
      </w:r>
      <w:proofErr w:type="spellStart"/>
      <w:r w:rsidRPr="006E4B17">
        <w:rPr>
          <w:rFonts w:ascii="Verdana" w:hAnsi="Verdana" w:cs="Arial"/>
          <w:b/>
          <w:bCs/>
          <w:spacing w:val="-5"/>
          <w:sz w:val="18"/>
          <w:szCs w:val="18"/>
          <w:shd w:val="clear" w:color="auto" w:fill="FFFFFF"/>
        </w:rPr>
        <w:t>factu</w:t>
      </w:r>
      <w:proofErr w:type="spellEnd"/>
      <w:r w:rsidRPr="006E4B17">
        <w:rPr>
          <w:rFonts w:ascii="Verdana" w:hAnsi="Verdana" w:cs="Arial"/>
          <w:b/>
          <w:bCs/>
          <w:spacing w:val="-5"/>
          <w:sz w:val="18"/>
          <w:szCs w:val="18"/>
          <w:shd w:val="clear" w:color="auto" w:fill="FFFFFF"/>
        </w:rPr>
        <w:t xml:space="preserve"> es un sistema de facturación verificable</w:t>
      </w:r>
      <w:r w:rsidRPr="006E4B17">
        <w:rPr>
          <w:rFonts w:ascii="Verdana" w:hAnsi="Verdana" w:cs="Arial"/>
          <w:spacing w:val="-5"/>
          <w:sz w:val="18"/>
          <w:szCs w:val="18"/>
          <w:shd w:val="clear" w:color="auto" w:fill="FFFFFF"/>
        </w:rPr>
        <w:t xml:space="preserve"> creado para dar mayor transparencia, trazabilidad y control en tiempo real a Hacienda, </w:t>
      </w:r>
      <w:r w:rsidRPr="006E4B17">
        <w:rPr>
          <w:rFonts w:ascii="Verdana" w:hAnsi="Verdana" w:cs="Arial"/>
          <w:b/>
          <w:bCs/>
          <w:spacing w:val="-5"/>
          <w:sz w:val="18"/>
          <w:szCs w:val="18"/>
          <w:shd w:val="clear" w:color="auto" w:fill="FFFFFF"/>
        </w:rPr>
        <w:t>evitando dobles contabilidades</w:t>
      </w:r>
      <w:r w:rsidRPr="006E4B17">
        <w:rPr>
          <w:rFonts w:ascii="Verdana" w:hAnsi="Verdana" w:cs="Arial"/>
          <w:spacing w:val="-5"/>
          <w:sz w:val="18"/>
          <w:szCs w:val="18"/>
          <w:shd w:val="clear" w:color="auto" w:fill="FFFFFF"/>
        </w:rPr>
        <w:t>. Es una de las medidas incluidas en la </w:t>
      </w:r>
      <w:r w:rsidR="000663E7" w:rsidRPr="006E4B17">
        <w:rPr>
          <w:rFonts w:ascii="Verdana" w:hAnsi="Verdana" w:cs="Arial"/>
          <w:spacing w:val="-5"/>
          <w:sz w:val="18"/>
          <w:szCs w:val="18"/>
          <w:shd w:val="clear" w:color="auto" w:fill="FFFFFF"/>
        </w:rPr>
        <w:t>Ley</w:t>
      </w:r>
      <w:r w:rsidRPr="006E4B17">
        <w:rPr>
          <w:rFonts w:ascii="Verdana" w:hAnsi="Verdana"/>
          <w:sz w:val="18"/>
          <w:szCs w:val="18"/>
        </w:rPr>
        <w:t xml:space="preserve"> Antifraude</w:t>
      </w:r>
      <w:r w:rsidRPr="006E4B17">
        <w:rPr>
          <w:rFonts w:ascii="Verdana" w:hAnsi="Verdana" w:cs="Arial"/>
          <w:spacing w:val="-5"/>
          <w:sz w:val="18"/>
          <w:szCs w:val="18"/>
          <w:shd w:val="clear" w:color="auto" w:fill="FFFFFF"/>
        </w:rPr>
        <w:t> cuyo reglamento se aprobó en octubre de 2024 (</w:t>
      </w:r>
      <w:hyperlink r:id="rId8" w:tgtFrame="_blank" w:history="1">
        <w:r w:rsidRPr="006E4B17">
          <w:rPr>
            <w:rStyle w:val="Hipervnculo"/>
            <w:rFonts w:ascii="Verdana" w:hAnsi="Verdana" w:cs="Arial"/>
            <w:color w:val="auto"/>
            <w:spacing w:val="-5"/>
            <w:sz w:val="18"/>
            <w:szCs w:val="18"/>
            <w:shd w:val="clear" w:color="auto" w:fill="FFFFFF"/>
          </w:rPr>
          <w:t>Orden HAC/1177/2024</w:t>
        </w:r>
      </w:hyperlink>
      <w:r w:rsidR="009863DB" w:rsidRPr="006E4B17">
        <w:t>)</w:t>
      </w:r>
      <w:r w:rsidRPr="006E4B17">
        <w:rPr>
          <w:rFonts w:ascii="Verdana" w:hAnsi="Verdana" w:cs="Arial"/>
          <w:spacing w:val="-5"/>
          <w:sz w:val="18"/>
          <w:szCs w:val="18"/>
          <w:shd w:val="clear" w:color="auto" w:fill="FFFFFF"/>
        </w:rPr>
        <w:t>. Establece los requisitos que deben cumplir los programas de facturación, entre ellos la posibilidad de usar este sistema de facturas verificables.</w:t>
      </w:r>
    </w:p>
    <w:bookmarkEnd w:id="3"/>
    <w:p w14:paraId="44938807" w14:textId="157A7B66" w:rsidR="00E55DCD" w:rsidRPr="00E55DCD" w:rsidRDefault="00E55DCD" w:rsidP="00C17D04">
      <w:pPr>
        <w:spacing w:before="100" w:beforeAutospacing="1" w:after="100" w:afterAutospacing="1"/>
        <w:ind w:left="426"/>
        <w:jc w:val="both"/>
        <w:rPr>
          <w:rFonts w:ascii="Verdana" w:hAnsi="Verdana"/>
          <w:sz w:val="18"/>
          <w:szCs w:val="18"/>
        </w:rPr>
      </w:pPr>
      <w:r w:rsidRPr="00E55DCD">
        <w:rPr>
          <w:rFonts w:ascii="Verdana" w:hAnsi="Verdana"/>
          <w:sz w:val="18"/>
          <w:szCs w:val="18"/>
        </w:rPr>
        <w:t xml:space="preserve">Hacienda ha desarrollado un sistema gratuito llamado </w:t>
      </w:r>
      <w:r w:rsidRPr="00E55DCD">
        <w:rPr>
          <w:rFonts w:ascii="Verdana" w:hAnsi="Verdana"/>
          <w:b/>
          <w:bCs/>
          <w:sz w:val="18"/>
          <w:szCs w:val="18"/>
        </w:rPr>
        <w:t>VERI</w:t>
      </w:r>
      <w:r w:rsidR="000663E7">
        <w:rPr>
          <w:rFonts w:ascii="Verdana" w:hAnsi="Verdana"/>
          <w:b/>
          <w:bCs/>
          <w:sz w:val="18"/>
          <w:szCs w:val="18"/>
        </w:rPr>
        <w:t>*</w:t>
      </w:r>
      <w:r w:rsidRPr="00E55DCD">
        <w:rPr>
          <w:rFonts w:ascii="Verdana" w:hAnsi="Verdana"/>
          <w:b/>
          <w:bCs/>
          <w:sz w:val="18"/>
          <w:szCs w:val="18"/>
        </w:rPr>
        <w:t>FACTU</w:t>
      </w:r>
      <w:r w:rsidRPr="00E55DCD">
        <w:rPr>
          <w:rFonts w:ascii="Verdana" w:hAnsi="Verdana"/>
          <w:sz w:val="18"/>
          <w:szCs w:val="18"/>
        </w:rPr>
        <w:t xml:space="preserve">, diseñado para que </w:t>
      </w:r>
      <w:r w:rsidRPr="00C17D04">
        <w:rPr>
          <w:rFonts w:ascii="Verdana" w:hAnsi="Verdana"/>
          <w:b/>
          <w:bCs/>
          <w:sz w:val="18"/>
          <w:szCs w:val="18"/>
        </w:rPr>
        <w:t>pymes y autónomos</w:t>
      </w:r>
      <w:r w:rsidRPr="00E55DCD">
        <w:rPr>
          <w:rFonts w:ascii="Verdana" w:hAnsi="Verdana"/>
          <w:sz w:val="18"/>
          <w:szCs w:val="18"/>
        </w:rPr>
        <w:t xml:space="preserve"> puedan </w:t>
      </w:r>
      <w:r w:rsidR="00F2744B">
        <w:rPr>
          <w:rFonts w:ascii="Verdana" w:hAnsi="Verdana"/>
          <w:sz w:val="18"/>
          <w:szCs w:val="18"/>
        </w:rPr>
        <w:t xml:space="preserve">emitir y </w:t>
      </w:r>
      <w:r w:rsidRPr="00E55DCD">
        <w:rPr>
          <w:rFonts w:ascii="Verdana" w:hAnsi="Verdana"/>
          <w:sz w:val="18"/>
          <w:szCs w:val="18"/>
        </w:rPr>
        <w:t>enviar sus facturas electrónicas en tiempo real.</w:t>
      </w:r>
      <w:r w:rsidR="000663E7" w:rsidRPr="000663E7">
        <w:rPr>
          <w:rFonts w:ascii="Verdana" w:hAnsi="Verdana"/>
          <w:sz w:val="18"/>
          <w:szCs w:val="18"/>
        </w:rPr>
        <w:t xml:space="preserve"> </w:t>
      </w:r>
      <w:r w:rsidR="000663E7" w:rsidRPr="00E55DCD">
        <w:rPr>
          <w:rFonts w:ascii="Verdana" w:hAnsi="Verdana"/>
          <w:sz w:val="18"/>
          <w:szCs w:val="18"/>
        </w:rPr>
        <w:t xml:space="preserve">Permitirá emitir hasta </w:t>
      </w:r>
      <w:r w:rsidR="000663E7" w:rsidRPr="00E55DCD">
        <w:rPr>
          <w:rFonts w:ascii="Verdana" w:hAnsi="Verdana"/>
          <w:b/>
          <w:bCs/>
          <w:sz w:val="18"/>
          <w:szCs w:val="18"/>
        </w:rPr>
        <w:t>100 facturas anuales</w:t>
      </w:r>
      <w:r w:rsidR="000663E7" w:rsidRPr="00E55DCD">
        <w:rPr>
          <w:rFonts w:ascii="Verdana" w:hAnsi="Verdana"/>
          <w:sz w:val="18"/>
          <w:szCs w:val="18"/>
        </w:rPr>
        <w:t xml:space="preserve"> sin coste</w:t>
      </w:r>
      <w:r w:rsidR="0021101B">
        <w:rPr>
          <w:rFonts w:ascii="Verdana" w:hAnsi="Verdana"/>
          <w:sz w:val="18"/>
          <w:szCs w:val="18"/>
        </w:rPr>
        <w:t xml:space="preserve"> y ya</w:t>
      </w:r>
      <w:r w:rsidR="00E6704A">
        <w:rPr>
          <w:rFonts w:ascii="Verdana" w:hAnsi="Verdana"/>
          <w:sz w:val="18"/>
          <w:szCs w:val="18"/>
        </w:rPr>
        <w:t xml:space="preserve"> está</w:t>
      </w:r>
      <w:r w:rsidR="0021101B">
        <w:rPr>
          <w:rFonts w:ascii="Verdana" w:hAnsi="Verdana"/>
          <w:sz w:val="18"/>
          <w:szCs w:val="18"/>
        </w:rPr>
        <w:t xml:space="preserve"> operativo en la web de la AEAT.</w:t>
      </w:r>
    </w:p>
    <w:p w14:paraId="4F23E803" w14:textId="091E150F" w:rsidR="00E55DCD" w:rsidRPr="009B45A9" w:rsidRDefault="00E55DCD" w:rsidP="00C132A9">
      <w:pPr>
        <w:spacing w:before="100" w:beforeAutospacing="1" w:after="100" w:afterAutospacing="1"/>
        <w:ind w:left="284"/>
        <w:jc w:val="both"/>
        <w:outlineLvl w:val="2"/>
        <w:rPr>
          <w:rFonts w:ascii="Verdana" w:hAnsi="Verdana"/>
          <w:b/>
          <w:bCs/>
          <w:color w:val="C00000"/>
          <w:sz w:val="18"/>
          <w:szCs w:val="18"/>
          <w:u w:val="single"/>
        </w:rPr>
      </w:pPr>
      <w:r w:rsidRPr="00C149E7">
        <w:rPr>
          <w:rFonts w:ascii="Verdana" w:hAnsi="Verdana"/>
          <w:b/>
          <w:bCs/>
          <w:color w:val="C00000"/>
          <w:sz w:val="18"/>
          <w:szCs w:val="18"/>
        </w:rPr>
        <w:t xml:space="preserve"> </w:t>
      </w:r>
      <w:r w:rsidR="00B75337" w:rsidRPr="009B45A9">
        <w:rPr>
          <w:rFonts w:ascii="Verdana" w:hAnsi="Verdana"/>
          <w:b/>
          <w:bCs/>
          <w:color w:val="C00000"/>
          <w:sz w:val="18"/>
          <w:szCs w:val="18"/>
          <w:u w:val="single"/>
        </w:rPr>
        <w:t>Futura o</w:t>
      </w:r>
      <w:r w:rsidRPr="009B45A9">
        <w:rPr>
          <w:rFonts w:ascii="Verdana" w:hAnsi="Verdana"/>
          <w:b/>
          <w:bCs/>
          <w:color w:val="C00000"/>
          <w:sz w:val="18"/>
          <w:szCs w:val="18"/>
          <w:u w:val="single"/>
        </w:rPr>
        <w:t>bligatoriedad de la facturación electrónica</w:t>
      </w:r>
    </w:p>
    <w:p w14:paraId="2F8891C9" w14:textId="67A75A3C" w:rsidR="00E55DCD" w:rsidRDefault="00E55DCD" w:rsidP="008C5028">
      <w:pPr>
        <w:numPr>
          <w:ilvl w:val="0"/>
          <w:numId w:val="19"/>
        </w:numPr>
        <w:spacing w:before="100" w:beforeAutospacing="1" w:after="100" w:afterAutospacing="1"/>
        <w:ind w:left="567" w:hanging="283"/>
        <w:contextualSpacing/>
        <w:jc w:val="both"/>
        <w:rPr>
          <w:rFonts w:ascii="Verdana" w:hAnsi="Verdana"/>
          <w:sz w:val="18"/>
          <w:szCs w:val="18"/>
        </w:rPr>
      </w:pPr>
      <w:r w:rsidRPr="00E55DCD">
        <w:rPr>
          <w:rFonts w:ascii="Verdana" w:hAnsi="Verdana"/>
          <w:sz w:val="18"/>
          <w:szCs w:val="18"/>
        </w:rPr>
        <w:t xml:space="preserve">La </w:t>
      </w:r>
      <w:r w:rsidRPr="00E55DCD">
        <w:rPr>
          <w:rFonts w:ascii="Verdana" w:hAnsi="Verdana"/>
          <w:b/>
          <w:bCs/>
          <w:sz w:val="18"/>
          <w:szCs w:val="18"/>
        </w:rPr>
        <w:t>factura electrónica</w:t>
      </w:r>
      <w:r w:rsidRPr="00E55DCD">
        <w:rPr>
          <w:rFonts w:ascii="Verdana" w:hAnsi="Verdana"/>
          <w:sz w:val="18"/>
          <w:szCs w:val="18"/>
        </w:rPr>
        <w:t xml:space="preserve"> será el </w:t>
      </w:r>
      <w:r w:rsidRPr="00E55DCD">
        <w:rPr>
          <w:rFonts w:ascii="Verdana" w:hAnsi="Verdana"/>
          <w:b/>
          <w:bCs/>
          <w:sz w:val="18"/>
          <w:szCs w:val="18"/>
        </w:rPr>
        <w:t>único formato válido</w:t>
      </w:r>
      <w:r w:rsidRPr="00E55DCD">
        <w:rPr>
          <w:rFonts w:ascii="Verdana" w:hAnsi="Verdana"/>
          <w:sz w:val="18"/>
          <w:szCs w:val="18"/>
        </w:rPr>
        <w:t xml:space="preserve"> en las relaciones comerciales entre empresas, pymes y autónomos </w:t>
      </w:r>
      <w:r w:rsidRPr="009863DB">
        <w:rPr>
          <w:rFonts w:ascii="Verdana" w:hAnsi="Verdana"/>
          <w:b/>
          <w:bCs/>
          <w:sz w:val="18"/>
          <w:szCs w:val="18"/>
        </w:rPr>
        <w:t>una vez se publique el reglamento definitivo</w:t>
      </w:r>
      <w:r w:rsidRPr="00E55DCD">
        <w:rPr>
          <w:rFonts w:ascii="Verdana" w:hAnsi="Verdana"/>
          <w:sz w:val="18"/>
          <w:szCs w:val="18"/>
        </w:rPr>
        <w:t>.</w:t>
      </w:r>
      <w:r w:rsidR="00383A1B">
        <w:rPr>
          <w:rFonts w:ascii="Verdana" w:hAnsi="Verdana"/>
          <w:sz w:val="18"/>
          <w:szCs w:val="18"/>
        </w:rPr>
        <w:t xml:space="preserve"> El Reglamento aún no se ha aprobado y oficialmente no se ha informado de ninguna fecha prevista para ello</w:t>
      </w:r>
      <w:r w:rsidR="006E4B17">
        <w:rPr>
          <w:rFonts w:ascii="Verdana" w:hAnsi="Verdana"/>
          <w:sz w:val="18"/>
          <w:szCs w:val="18"/>
        </w:rPr>
        <w:t>.</w:t>
      </w:r>
    </w:p>
    <w:p w14:paraId="758699A0" w14:textId="77777777" w:rsidR="003C75DE" w:rsidRPr="00E55DCD" w:rsidRDefault="003C75DE" w:rsidP="003C75DE">
      <w:pPr>
        <w:spacing w:before="100" w:beforeAutospacing="1" w:after="100" w:afterAutospacing="1"/>
        <w:ind w:left="284"/>
        <w:contextualSpacing/>
        <w:jc w:val="both"/>
        <w:rPr>
          <w:rFonts w:ascii="Verdana" w:hAnsi="Verdana"/>
          <w:sz w:val="18"/>
          <w:szCs w:val="18"/>
        </w:rPr>
      </w:pPr>
    </w:p>
    <w:p w14:paraId="070A51A2" w14:textId="504041F6" w:rsidR="003C75DE" w:rsidRPr="00786E01" w:rsidRDefault="00E55DCD" w:rsidP="00BD77F5">
      <w:pPr>
        <w:numPr>
          <w:ilvl w:val="0"/>
          <w:numId w:val="19"/>
        </w:numPr>
        <w:tabs>
          <w:tab w:val="clear" w:pos="720"/>
          <w:tab w:val="left" w:pos="851"/>
        </w:tabs>
        <w:spacing w:before="100" w:beforeAutospacing="1" w:after="100" w:afterAutospacing="1"/>
        <w:ind w:left="567" w:hanging="283"/>
        <w:contextualSpacing/>
        <w:jc w:val="both"/>
        <w:outlineLvl w:val="2"/>
        <w:rPr>
          <w:rFonts w:ascii="Verdana" w:hAnsi="Verdana"/>
          <w:b/>
          <w:bCs/>
          <w:sz w:val="18"/>
          <w:szCs w:val="18"/>
        </w:rPr>
      </w:pPr>
      <w:r w:rsidRPr="00786E01">
        <w:rPr>
          <w:rFonts w:ascii="Verdana" w:hAnsi="Verdana"/>
          <w:b/>
          <w:bCs/>
          <w:sz w:val="18"/>
          <w:szCs w:val="18"/>
        </w:rPr>
        <w:t>No debe confundirse con la obligación de enviar las facturas a Hacienda</w:t>
      </w:r>
      <w:r w:rsidRPr="00786E01">
        <w:rPr>
          <w:rFonts w:ascii="Verdana" w:hAnsi="Verdana"/>
          <w:sz w:val="18"/>
          <w:szCs w:val="18"/>
        </w:rPr>
        <w:t xml:space="preserve"> </w:t>
      </w:r>
      <w:r w:rsidR="00FE4493" w:rsidRPr="00786E01">
        <w:rPr>
          <w:rFonts w:ascii="Verdana" w:hAnsi="Verdana"/>
          <w:sz w:val="18"/>
          <w:szCs w:val="18"/>
        </w:rPr>
        <w:t xml:space="preserve">en realidad un </w:t>
      </w:r>
      <w:r w:rsidR="00786E01" w:rsidRPr="00786E01">
        <w:rPr>
          <w:rFonts w:ascii="Verdana" w:hAnsi="Verdana"/>
          <w:sz w:val="18"/>
          <w:szCs w:val="18"/>
        </w:rPr>
        <w:t>resumen de la factura llamado registro de facturación que lleva incorporado una serie de medidas de seguridad y control</w:t>
      </w:r>
      <w:r w:rsidR="00786E01">
        <w:rPr>
          <w:rFonts w:ascii="Verdana" w:hAnsi="Verdana"/>
          <w:sz w:val="18"/>
          <w:szCs w:val="18"/>
        </w:rPr>
        <w:t>.</w:t>
      </w:r>
    </w:p>
    <w:p w14:paraId="7F0B3BF9" w14:textId="77777777" w:rsidR="00786E01" w:rsidRPr="00786E01" w:rsidRDefault="00786E01" w:rsidP="00786E01"/>
    <w:p w14:paraId="55D6EBBB" w14:textId="5E5BE919" w:rsidR="00E55DCD" w:rsidRPr="00E55DCD" w:rsidRDefault="00E55DCD" w:rsidP="00786E01">
      <w:pPr>
        <w:spacing w:before="100" w:beforeAutospacing="1" w:after="100" w:afterAutospacing="1"/>
        <w:ind w:left="284"/>
        <w:contextualSpacing/>
        <w:jc w:val="both"/>
        <w:outlineLvl w:val="2"/>
        <w:rPr>
          <w:rFonts w:ascii="Verdana" w:hAnsi="Verdana"/>
          <w:b/>
          <w:bCs/>
          <w:sz w:val="18"/>
          <w:szCs w:val="18"/>
        </w:rPr>
      </w:pPr>
      <w:r w:rsidRPr="00E55DCD">
        <w:rPr>
          <w:rFonts w:ascii="Verdana" w:hAnsi="Verdana"/>
          <w:b/>
          <w:bCs/>
          <w:sz w:val="18"/>
          <w:szCs w:val="18"/>
        </w:rPr>
        <w:t>Excepciones y exenciones</w:t>
      </w:r>
    </w:p>
    <w:p w14:paraId="311E5182" w14:textId="77777777" w:rsidR="00E55DCD" w:rsidRPr="00E55DCD" w:rsidRDefault="00E55DCD" w:rsidP="00786E01">
      <w:pPr>
        <w:spacing w:before="100" w:beforeAutospacing="1" w:after="100" w:afterAutospacing="1"/>
        <w:ind w:left="284"/>
        <w:contextualSpacing/>
        <w:jc w:val="both"/>
        <w:rPr>
          <w:rFonts w:ascii="Verdana" w:hAnsi="Verdana"/>
          <w:sz w:val="18"/>
          <w:szCs w:val="18"/>
        </w:rPr>
      </w:pPr>
      <w:r w:rsidRPr="00E55DCD">
        <w:rPr>
          <w:rFonts w:ascii="Verdana" w:hAnsi="Verdana"/>
          <w:sz w:val="18"/>
          <w:szCs w:val="18"/>
        </w:rPr>
        <w:t xml:space="preserve">Algunos sectores y operaciones </w:t>
      </w:r>
      <w:r w:rsidRPr="009863DB">
        <w:rPr>
          <w:rFonts w:ascii="Verdana" w:hAnsi="Verdana"/>
          <w:b/>
          <w:bCs/>
          <w:sz w:val="18"/>
          <w:szCs w:val="18"/>
        </w:rPr>
        <w:t>podrían</w:t>
      </w:r>
      <w:r w:rsidRPr="00E55DCD">
        <w:rPr>
          <w:rFonts w:ascii="Verdana" w:hAnsi="Verdana"/>
          <w:sz w:val="18"/>
          <w:szCs w:val="18"/>
        </w:rPr>
        <w:t xml:space="preserve"> quedar exentos, entre ellos:</w:t>
      </w:r>
    </w:p>
    <w:p w14:paraId="7329A344" w14:textId="77777777" w:rsidR="00E55DCD" w:rsidRPr="00E55DCD" w:rsidRDefault="00E55DCD" w:rsidP="008C5028">
      <w:pPr>
        <w:numPr>
          <w:ilvl w:val="0"/>
          <w:numId w:val="20"/>
        </w:numPr>
        <w:spacing w:before="100" w:beforeAutospacing="1" w:after="100" w:afterAutospacing="1"/>
        <w:ind w:left="567" w:hanging="283"/>
        <w:jc w:val="both"/>
        <w:rPr>
          <w:rFonts w:ascii="Verdana" w:hAnsi="Verdana"/>
          <w:sz w:val="18"/>
          <w:szCs w:val="18"/>
        </w:rPr>
      </w:pPr>
      <w:r w:rsidRPr="00E55DCD">
        <w:rPr>
          <w:rFonts w:ascii="Verdana" w:hAnsi="Verdana"/>
          <w:b/>
          <w:bCs/>
          <w:sz w:val="18"/>
          <w:szCs w:val="18"/>
        </w:rPr>
        <w:t>Bares, restaurantes, peluquerías, tintorerías, aparcamientos</w:t>
      </w:r>
      <w:r w:rsidRPr="00E55DCD">
        <w:rPr>
          <w:rFonts w:ascii="Verdana" w:hAnsi="Verdana"/>
          <w:sz w:val="18"/>
          <w:szCs w:val="18"/>
        </w:rPr>
        <w:t xml:space="preserve"> o </w:t>
      </w:r>
      <w:r w:rsidRPr="00E55DCD">
        <w:rPr>
          <w:rFonts w:ascii="Verdana" w:hAnsi="Verdana"/>
          <w:b/>
          <w:bCs/>
          <w:sz w:val="18"/>
          <w:szCs w:val="18"/>
        </w:rPr>
        <w:t>servicios a domicilio</w:t>
      </w:r>
      <w:r w:rsidRPr="00E55DCD">
        <w:rPr>
          <w:rFonts w:ascii="Verdana" w:hAnsi="Verdana"/>
          <w:sz w:val="18"/>
          <w:szCs w:val="18"/>
        </w:rPr>
        <w:t xml:space="preserve">, cuando la venta </w:t>
      </w:r>
      <w:r w:rsidRPr="00E55DCD">
        <w:rPr>
          <w:rFonts w:ascii="Verdana" w:hAnsi="Verdana"/>
          <w:b/>
          <w:bCs/>
          <w:sz w:val="18"/>
          <w:szCs w:val="18"/>
        </w:rPr>
        <w:t>no supere los 3.000 €</w:t>
      </w:r>
      <w:r w:rsidRPr="00E55DCD">
        <w:rPr>
          <w:rFonts w:ascii="Verdana" w:hAnsi="Verdana"/>
          <w:sz w:val="18"/>
          <w:szCs w:val="18"/>
        </w:rPr>
        <w:t>.</w:t>
      </w:r>
    </w:p>
    <w:p w14:paraId="1F696D01" w14:textId="77777777" w:rsidR="00E55DCD" w:rsidRPr="00E55DCD" w:rsidRDefault="00E55DCD" w:rsidP="008C5028">
      <w:pPr>
        <w:numPr>
          <w:ilvl w:val="0"/>
          <w:numId w:val="20"/>
        </w:numPr>
        <w:spacing w:before="100" w:beforeAutospacing="1" w:after="100" w:afterAutospacing="1"/>
        <w:ind w:left="567" w:hanging="283"/>
        <w:jc w:val="both"/>
        <w:rPr>
          <w:rFonts w:ascii="Verdana" w:hAnsi="Verdana"/>
          <w:sz w:val="18"/>
          <w:szCs w:val="18"/>
        </w:rPr>
      </w:pPr>
      <w:r w:rsidRPr="00E55DCD">
        <w:rPr>
          <w:rFonts w:ascii="Verdana" w:hAnsi="Verdana"/>
          <w:b/>
          <w:bCs/>
          <w:sz w:val="18"/>
          <w:szCs w:val="18"/>
        </w:rPr>
        <w:t>Empresas con facturación anual inferior a 400 €</w:t>
      </w:r>
      <w:r w:rsidRPr="00E55DCD">
        <w:rPr>
          <w:rFonts w:ascii="Verdana" w:hAnsi="Verdana"/>
          <w:sz w:val="18"/>
          <w:szCs w:val="18"/>
        </w:rPr>
        <w:t xml:space="preserve"> (IVA incluido).</w:t>
      </w:r>
    </w:p>
    <w:p w14:paraId="2A87783C" w14:textId="77777777" w:rsidR="00E55DCD" w:rsidRPr="00E55DCD" w:rsidRDefault="00E55DCD" w:rsidP="008C5028">
      <w:pPr>
        <w:numPr>
          <w:ilvl w:val="0"/>
          <w:numId w:val="20"/>
        </w:numPr>
        <w:spacing w:before="100" w:beforeAutospacing="1" w:after="100" w:afterAutospacing="1"/>
        <w:ind w:left="567" w:hanging="283"/>
        <w:jc w:val="both"/>
        <w:rPr>
          <w:rFonts w:ascii="Verdana" w:hAnsi="Verdana"/>
          <w:sz w:val="18"/>
          <w:szCs w:val="18"/>
        </w:rPr>
      </w:pPr>
      <w:r w:rsidRPr="00E55DCD">
        <w:rPr>
          <w:rFonts w:ascii="Verdana" w:hAnsi="Verdana"/>
          <w:b/>
          <w:bCs/>
          <w:sz w:val="18"/>
          <w:szCs w:val="18"/>
        </w:rPr>
        <w:t>Operaciones con clientes finales (B2C)</w:t>
      </w:r>
      <w:r w:rsidRPr="00E55DCD">
        <w:rPr>
          <w:rFonts w:ascii="Verdana" w:hAnsi="Verdana"/>
          <w:sz w:val="18"/>
          <w:szCs w:val="18"/>
        </w:rPr>
        <w:t xml:space="preserve"> que se documenten mediante </w:t>
      </w:r>
      <w:r w:rsidRPr="00E55DCD">
        <w:rPr>
          <w:rFonts w:ascii="Verdana" w:hAnsi="Verdana"/>
          <w:b/>
          <w:bCs/>
          <w:sz w:val="18"/>
          <w:szCs w:val="18"/>
        </w:rPr>
        <w:t>facturas simplificadas</w:t>
      </w:r>
      <w:r w:rsidRPr="00E55DCD">
        <w:rPr>
          <w:rFonts w:ascii="Verdana" w:hAnsi="Verdana"/>
          <w:sz w:val="18"/>
          <w:szCs w:val="18"/>
        </w:rPr>
        <w:t>.</w:t>
      </w:r>
    </w:p>
    <w:p w14:paraId="2A1C6A78" w14:textId="77777777" w:rsidR="00E55DCD" w:rsidRPr="00E55DCD" w:rsidRDefault="00E55DCD" w:rsidP="008C5028">
      <w:pPr>
        <w:numPr>
          <w:ilvl w:val="0"/>
          <w:numId w:val="20"/>
        </w:numPr>
        <w:spacing w:before="100" w:beforeAutospacing="1" w:after="100" w:afterAutospacing="1"/>
        <w:ind w:left="567" w:hanging="283"/>
        <w:jc w:val="both"/>
        <w:rPr>
          <w:rFonts w:ascii="Verdana" w:hAnsi="Verdana"/>
          <w:sz w:val="18"/>
          <w:szCs w:val="18"/>
        </w:rPr>
      </w:pPr>
      <w:r w:rsidRPr="00E55DCD">
        <w:rPr>
          <w:rFonts w:ascii="Verdana" w:hAnsi="Verdana"/>
          <w:b/>
          <w:bCs/>
          <w:sz w:val="18"/>
          <w:szCs w:val="18"/>
        </w:rPr>
        <w:t>Operaciones internacionales</w:t>
      </w:r>
      <w:r w:rsidRPr="00E55DCD">
        <w:rPr>
          <w:rFonts w:ascii="Verdana" w:hAnsi="Verdana"/>
          <w:sz w:val="18"/>
          <w:szCs w:val="18"/>
        </w:rPr>
        <w:t>, ya que la norma se aplicará solo a transacciones privadas dentro del territorio español.</w:t>
      </w:r>
    </w:p>
    <w:p w14:paraId="1F2D3AD0" w14:textId="2F118F23" w:rsidR="00E55DCD" w:rsidRPr="00E55DCD" w:rsidRDefault="00E55DCD" w:rsidP="00C132A9">
      <w:pPr>
        <w:spacing w:before="100" w:beforeAutospacing="1" w:after="100" w:afterAutospacing="1"/>
        <w:ind w:left="284"/>
        <w:jc w:val="both"/>
        <w:rPr>
          <w:rFonts w:ascii="Verdana" w:hAnsi="Verdana"/>
          <w:sz w:val="18"/>
          <w:szCs w:val="18"/>
        </w:rPr>
      </w:pPr>
      <w:r w:rsidRPr="00E55DCD">
        <w:rPr>
          <w:rFonts w:ascii="Verdana" w:hAnsi="Verdana"/>
          <w:sz w:val="18"/>
          <w:szCs w:val="18"/>
        </w:rPr>
        <w:t xml:space="preserve">Estas exenciones podrían ser </w:t>
      </w:r>
      <w:r w:rsidRPr="00E55DCD">
        <w:rPr>
          <w:rFonts w:ascii="Verdana" w:hAnsi="Verdana"/>
          <w:b/>
          <w:bCs/>
          <w:sz w:val="18"/>
          <w:szCs w:val="18"/>
        </w:rPr>
        <w:t>temporales o modificarse</w:t>
      </w:r>
      <w:r w:rsidRPr="00E55DCD">
        <w:rPr>
          <w:rFonts w:ascii="Verdana" w:hAnsi="Verdana"/>
          <w:sz w:val="18"/>
          <w:szCs w:val="18"/>
        </w:rPr>
        <w:t xml:space="preserve"> durante el desarrollo reglamentario</w:t>
      </w:r>
      <w:r w:rsidR="00383A1B">
        <w:rPr>
          <w:rFonts w:ascii="Verdana" w:hAnsi="Verdana"/>
          <w:sz w:val="18"/>
          <w:szCs w:val="18"/>
        </w:rPr>
        <w:t xml:space="preserve"> que se encuentra en fase de audiencia e información desde marzo de </w:t>
      </w:r>
      <w:r w:rsidR="00B75337">
        <w:rPr>
          <w:rFonts w:ascii="Verdana" w:hAnsi="Verdana"/>
          <w:sz w:val="18"/>
          <w:szCs w:val="18"/>
        </w:rPr>
        <w:t>2025.</w:t>
      </w:r>
    </w:p>
    <w:p w14:paraId="23BA23CB" w14:textId="09B384ED" w:rsidR="00E55DCD" w:rsidRPr="009B45A9" w:rsidRDefault="00E55DCD" w:rsidP="00C132A9">
      <w:pPr>
        <w:spacing w:before="100" w:beforeAutospacing="1" w:after="100" w:afterAutospacing="1"/>
        <w:ind w:left="284"/>
        <w:jc w:val="both"/>
        <w:outlineLvl w:val="2"/>
        <w:rPr>
          <w:rFonts w:ascii="Verdana" w:hAnsi="Verdana"/>
          <w:b/>
          <w:bCs/>
          <w:color w:val="C00000"/>
          <w:sz w:val="18"/>
          <w:szCs w:val="18"/>
        </w:rPr>
      </w:pPr>
      <w:r w:rsidRPr="009B45A9">
        <w:rPr>
          <w:rFonts w:ascii="Verdana" w:hAnsi="Verdana"/>
          <w:b/>
          <w:bCs/>
          <w:color w:val="C00000"/>
          <w:sz w:val="18"/>
          <w:szCs w:val="18"/>
        </w:rPr>
        <w:t>Fechas clave</w:t>
      </w:r>
      <w:r w:rsidR="00383A1B" w:rsidRPr="009B45A9">
        <w:rPr>
          <w:rFonts w:ascii="Verdana" w:hAnsi="Verdana"/>
          <w:b/>
          <w:bCs/>
          <w:color w:val="C00000"/>
          <w:sz w:val="18"/>
          <w:szCs w:val="18"/>
        </w:rPr>
        <w:t xml:space="preserve"> para que el sistema de facturación </w:t>
      </w:r>
      <w:r w:rsidR="00786E01">
        <w:rPr>
          <w:rFonts w:ascii="Verdana" w:hAnsi="Verdana"/>
          <w:b/>
          <w:bCs/>
          <w:color w:val="C00000"/>
          <w:sz w:val="18"/>
          <w:szCs w:val="18"/>
        </w:rPr>
        <w:t xml:space="preserve">(SIF) </w:t>
      </w:r>
      <w:r w:rsidR="00383A1B" w:rsidRPr="009B45A9">
        <w:rPr>
          <w:rFonts w:ascii="Verdana" w:hAnsi="Verdana"/>
          <w:b/>
          <w:bCs/>
          <w:color w:val="C00000"/>
          <w:sz w:val="18"/>
          <w:szCs w:val="18"/>
        </w:rPr>
        <w:t xml:space="preserve">cumpla con la norma </w:t>
      </w:r>
      <w:proofErr w:type="spellStart"/>
      <w:r w:rsidR="00383A1B" w:rsidRPr="009B45A9">
        <w:rPr>
          <w:rFonts w:ascii="Verdana" w:hAnsi="Verdana"/>
          <w:b/>
          <w:bCs/>
          <w:color w:val="C00000"/>
          <w:sz w:val="18"/>
          <w:szCs w:val="18"/>
        </w:rPr>
        <w:t>VERi</w:t>
      </w:r>
      <w:proofErr w:type="spellEnd"/>
      <w:r w:rsidR="00383A1B" w:rsidRPr="009B45A9">
        <w:rPr>
          <w:rFonts w:ascii="Verdana" w:hAnsi="Verdana"/>
          <w:b/>
          <w:bCs/>
          <w:color w:val="C00000"/>
          <w:sz w:val="18"/>
          <w:szCs w:val="18"/>
        </w:rPr>
        <w:t>*</w:t>
      </w:r>
      <w:proofErr w:type="spellStart"/>
      <w:r w:rsidR="00383A1B" w:rsidRPr="009B45A9">
        <w:rPr>
          <w:rFonts w:ascii="Verdana" w:hAnsi="Verdana"/>
          <w:b/>
          <w:bCs/>
          <w:color w:val="C00000"/>
          <w:sz w:val="18"/>
          <w:szCs w:val="18"/>
        </w:rPr>
        <w:t>factu</w:t>
      </w:r>
      <w:proofErr w:type="spellEnd"/>
    </w:p>
    <w:p w14:paraId="36FBFB50" w14:textId="16DCA311" w:rsidR="00E55DCD" w:rsidRDefault="00225A7C" w:rsidP="008C5028">
      <w:pPr>
        <w:numPr>
          <w:ilvl w:val="0"/>
          <w:numId w:val="21"/>
        </w:numPr>
        <w:spacing w:before="100" w:beforeAutospacing="1" w:after="100" w:afterAutospacing="1"/>
        <w:ind w:left="567" w:hanging="283"/>
        <w:contextualSpacing/>
        <w:jc w:val="both"/>
        <w:rPr>
          <w:rFonts w:ascii="Verdana" w:hAnsi="Verdana"/>
          <w:sz w:val="18"/>
          <w:szCs w:val="18"/>
        </w:rPr>
      </w:pPr>
      <w:r>
        <w:rPr>
          <w:rFonts w:ascii="Verdana" w:hAnsi="Verdana"/>
          <w:b/>
          <w:bCs/>
          <w:sz w:val="18"/>
          <w:szCs w:val="18"/>
        </w:rPr>
        <w:t xml:space="preserve">1 de enero de 2026 </w:t>
      </w:r>
      <w:r w:rsidRPr="00225A7C">
        <w:rPr>
          <w:rFonts w:ascii="Verdana" w:hAnsi="Verdana"/>
          <w:sz w:val="18"/>
          <w:szCs w:val="18"/>
        </w:rPr>
        <w:t>obligación</w:t>
      </w:r>
      <w:r>
        <w:rPr>
          <w:rFonts w:ascii="Verdana" w:hAnsi="Verdana"/>
          <w:b/>
          <w:bCs/>
          <w:sz w:val="18"/>
          <w:szCs w:val="18"/>
        </w:rPr>
        <w:t xml:space="preserve"> </w:t>
      </w:r>
      <w:r>
        <w:rPr>
          <w:rFonts w:ascii="Verdana" w:hAnsi="Verdana"/>
          <w:sz w:val="18"/>
          <w:szCs w:val="18"/>
        </w:rPr>
        <w:t>para los obligados tributarios contribuyentes del Impuesto sobre Sociedades.</w:t>
      </w:r>
    </w:p>
    <w:p w14:paraId="0436799A" w14:textId="77777777" w:rsidR="00E32A0C" w:rsidRPr="00E55DCD" w:rsidRDefault="00E32A0C" w:rsidP="00E32A0C">
      <w:pPr>
        <w:spacing w:before="100" w:beforeAutospacing="1" w:after="100" w:afterAutospacing="1"/>
        <w:ind w:left="284"/>
        <w:contextualSpacing/>
        <w:jc w:val="both"/>
        <w:rPr>
          <w:rFonts w:ascii="Verdana" w:hAnsi="Verdana"/>
          <w:sz w:val="18"/>
          <w:szCs w:val="18"/>
        </w:rPr>
      </w:pPr>
    </w:p>
    <w:p w14:paraId="7BE4FA5C" w14:textId="296880B2" w:rsidR="00E55DCD" w:rsidRDefault="00225A7C" w:rsidP="008C5028">
      <w:pPr>
        <w:numPr>
          <w:ilvl w:val="0"/>
          <w:numId w:val="21"/>
        </w:numPr>
        <w:spacing w:before="100" w:beforeAutospacing="1" w:after="100" w:afterAutospacing="1"/>
        <w:ind w:left="567" w:hanging="283"/>
        <w:contextualSpacing/>
        <w:jc w:val="both"/>
        <w:rPr>
          <w:rFonts w:ascii="Verdana" w:hAnsi="Verdana"/>
          <w:sz w:val="18"/>
          <w:szCs w:val="18"/>
        </w:rPr>
      </w:pPr>
      <w:r>
        <w:rPr>
          <w:rFonts w:ascii="Verdana" w:hAnsi="Verdana"/>
          <w:b/>
          <w:bCs/>
          <w:sz w:val="18"/>
          <w:szCs w:val="18"/>
        </w:rPr>
        <w:lastRenderedPageBreak/>
        <w:t xml:space="preserve">1 de julio de 2026 </w:t>
      </w:r>
      <w:r>
        <w:rPr>
          <w:rFonts w:ascii="Verdana" w:hAnsi="Verdana"/>
          <w:sz w:val="18"/>
          <w:szCs w:val="18"/>
        </w:rPr>
        <w:t>para las demás empresas y autónomos que utilicen sistemas informáticos de facturación.</w:t>
      </w:r>
    </w:p>
    <w:p w14:paraId="605B8A50" w14:textId="688EF75A" w:rsidR="00383A1B" w:rsidRDefault="00383A1B" w:rsidP="008C5028">
      <w:pPr>
        <w:numPr>
          <w:ilvl w:val="0"/>
          <w:numId w:val="21"/>
        </w:numPr>
        <w:spacing w:before="100" w:beforeAutospacing="1" w:after="100" w:afterAutospacing="1"/>
        <w:ind w:left="567" w:hanging="283"/>
        <w:contextualSpacing/>
        <w:jc w:val="both"/>
        <w:rPr>
          <w:rFonts w:ascii="Verdana" w:hAnsi="Verdana"/>
          <w:sz w:val="18"/>
          <w:szCs w:val="18"/>
        </w:rPr>
      </w:pPr>
      <w:r>
        <w:rPr>
          <w:rFonts w:ascii="Verdana" w:hAnsi="Verdana"/>
          <w:sz w:val="18"/>
          <w:szCs w:val="18"/>
        </w:rPr>
        <w:t xml:space="preserve">Además, </w:t>
      </w:r>
      <w:r w:rsidRPr="00B75337">
        <w:rPr>
          <w:rFonts w:ascii="Verdana" w:hAnsi="Verdana"/>
          <w:b/>
          <w:bCs/>
          <w:sz w:val="18"/>
          <w:szCs w:val="18"/>
        </w:rPr>
        <w:t>desde el 29 de julio de 2025</w:t>
      </w:r>
      <w:r>
        <w:rPr>
          <w:rFonts w:ascii="Verdana" w:hAnsi="Verdana"/>
          <w:sz w:val="18"/>
          <w:szCs w:val="18"/>
        </w:rPr>
        <w:t xml:space="preserve"> los desarrolladores de software ya están obligados a comercializar productos 100% adaptados</w:t>
      </w:r>
      <w:r w:rsidR="00B75337">
        <w:rPr>
          <w:rFonts w:ascii="Verdana" w:hAnsi="Verdana"/>
          <w:sz w:val="18"/>
          <w:szCs w:val="18"/>
        </w:rPr>
        <w:t xml:space="preserve"> a la normativa por lo que cualquier cliente que empiece a utilizarlos a partir de esta fecha deberá cumplir con la normativa.</w:t>
      </w:r>
    </w:p>
    <w:p w14:paraId="65804339" w14:textId="77777777" w:rsidR="00E32A0C" w:rsidRPr="00E55DCD" w:rsidRDefault="00E32A0C" w:rsidP="00E32A0C">
      <w:pPr>
        <w:spacing w:before="100" w:beforeAutospacing="1" w:after="100" w:afterAutospacing="1"/>
        <w:ind w:left="567"/>
        <w:contextualSpacing/>
        <w:jc w:val="both"/>
        <w:rPr>
          <w:rFonts w:ascii="Verdana" w:hAnsi="Verdana"/>
          <w:sz w:val="18"/>
          <w:szCs w:val="18"/>
        </w:rPr>
      </w:pPr>
    </w:p>
    <w:p w14:paraId="63BF91E2" w14:textId="150C2B3A" w:rsidR="00E55DCD" w:rsidRPr="00E55DCD" w:rsidRDefault="00E55DCD" w:rsidP="00C132A9">
      <w:pPr>
        <w:spacing w:before="100" w:beforeAutospacing="1" w:after="100" w:afterAutospacing="1"/>
        <w:ind w:left="284"/>
        <w:jc w:val="both"/>
        <w:outlineLvl w:val="2"/>
        <w:rPr>
          <w:rFonts w:ascii="Verdana" w:hAnsi="Verdana"/>
          <w:b/>
          <w:bCs/>
          <w:sz w:val="18"/>
          <w:szCs w:val="18"/>
        </w:rPr>
      </w:pPr>
      <w:r w:rsidRPr="00E55DCD">
        <w:rPr>
          <w:rFonts w:ascii="Verdana" w:hAnsi="Verdana"/>
          <w:b/>
          <w:bCs/>
          <w:sz w:val="18"/>
          <w:szCs w:val="18"/>
        </w:rPr>
        <w:t xml:space="preserve"> Requisitos técnicos y QR obligatorio</w:t>
      </w:r>
    </w:p>
    <w:p w14:paraId="474C8276" w14:textId="39E0260E" w:rsidR="00E55DCD" w:rsidRDefault="00E55DCD" w:rsidP="008C5028">
      <w:pPr>
        <w:numPr>
          <w:ilvl w:val="0"/>
          <w:numId w:val="22"/>
        </w:numPr>
        <w:spacing w:before="100" w:beforeAutospacing="1" w:after="100" w:afterAutospacing="1"/>
        <w:ind w:left="567" w:hanging="283"/>
        <w:contextualSpacing/>
        <w:jc w:val="both"/>
        <w:rPr>
          <w:rFonts w:ascii="Verdana" w:hAnsi="Verdana"/>
          <w:sz w:val="18"/>
          <w:szCs w:val="18"/>
        </w:rPr>
      </w:pPr>
      <w:r w:rsidRPr="00E55DCD">
        <w:rPr>
          <w:rFonts w:ascii="Verdana" w:hAnsi="Verdana"/>
          <w:sz w:val="18"/>
          <w:szCs w:val="18"/>
        </w:rPr>
        <w:t xml:space="preserve">Los sistemas informáticos deberán estar </w:t>
      </w:r>
      <w:r w:rsidRPr="00E55DCD">
        <w:rPr>
          <w:rFonts w:ascii="Verdana" w:hAnsi="Verdana"/>
          <w:b/>
          <w:bCs/>
          <w:sz w:val="18"/>
          <w:szCs w:val="18"/>
        </w:rPr>
        <w:t>certificados</w:t>
      </w:r>
      <w:r w:rsidRPr="00E55DCD">
        <w:rPr>
          <w:rFonts w:ascii="Verdana" w:hAnsi="Verdana"/>
          <w:sz w:val="18"/>
          <w:szCs w:val="18"/>
        </w:rPr>
        <w:t xml:space="preserve"> y cumplir con los estándares de </w:t>
      </w:r>
      <w:r w:rsidRPr="00E55DCD">
        <w:rPr>
          <w:rFonts w:ascii="Verdana" w:hAnsi="Verdana"/>
          <w:b/>
          <w:bCs/>
          <w:sz w:val="18"/>
          <w:szCs w:val="18"/>
        </w:rPr>
        <w:t>VERI</w:t>
      </w:r>
      <w:r w:rsidR="00463CB5">
        <w:rPr>
          <w:rFonts w:ascii="Verdana" w:hAnsi="Verdana"/>
          <w:b/>
          <w:bCs/>
          <w:sz w:val="18"/>
          <w:szCs w:val="18"/>
        </w:rPr>
        <w:t>*</w:t>
      </w:r>
      <w:r w:rsidRPr="00E55DCD">
        <w:rPr>
          <w:rFonts w:ascii="Verdana" w:hAnsi="Verdana"/>
          <w:b/>
          <w:bCs/>
          <w:sz w:val="18"/>
          <w:szCs w:val="18"/>
        </w:rPr>
        <w:t>FACTU</w:t>
      </w:r>
      <w:r w:rsidRPr="00E55DCD">
        <w:rPr>
          <w:rFonts w:ascii="Verdana" w:hAnsi="Verdana"/>
          <w:sz w:val="18"/>
          <w:szCs w:val="18"/>
        </w:rPr>
        <w:t>.</w:t>
      </w:r>
    </w:p>
    <w:p w14:paraId="382BE682" w14:textId="77777777" w:rsidR="003C75DE" w:rsidRPr="00E55DCD" w:rsidRDefault="003C75DE" w:rsidP="003C75DE">
      <w:pPr>
        <w:spacing w:before="100" w:beforeAutospacing="1" w:after="100" w:afterAutospacing="1"/>
        <w:ind w:left="284"/>
        <w:contextualSpacing/>
        <w:rPr>
          <w:rFonts w:ascii="Verdana" w:hAnsi="Verdana"/>
          <w:sz w:val="18"/>
          <w:szCs w:val="18"/>
        </w:rPr>
      </w:pPr>
    </w:p>
    <w:p w14:paraId="5D35D044" w14:textId="79E0AEEA" w:rsidR="00E55DCD" w:rsidRDefault="00E55DCD" w:rsidP="00BD77F5">
      <w:pPr>
        <w:numPr>
          <w:ilvl w:val="0"/>
          <w:numId w:val="22"/>
        </w:numPr>
        <w:spacing w:before="100" w:beforeAutospacing="1" w:after="100" w:afterAutospacing="1"/>
        <w:ind w:left="567" w:hanging="283"/>
        <w:contextualSpacing/>
        <w:jc w:val="both"/>
        <w:rPr>
          <w:rFonts w:ascii="Verdana" w:hAnsi="Verdana"/>
          <w:sz w:val="18"/>
          <w:szCs w:val="18"/>
        </w:rPr>
      </w:pPr>
      <w:r w:rsidRPr="00E55DCD">
        <w:rPr>
          <w:rFonts w:ascii="Verdana" w:hAnsi="Verdana"/>
          <w:sz w:val="18"/>
          <w:szCs w:val="18"/>
        </w:rPr>
        <w:t xml:space="preserve">Las </w:t>
      </w:r>
      <w:r w:rsidRPr="00E55DCD">
        <w:rPr>
          <w:rFonts w:ascii="Verdana" w:hAnsi="Verdana"/>
          <w:b/>
          <w:bCs/>
          <w:sz w:val="18"/>
          <w:szCs w:val="18"/>
        </w:rPr>
        <w:t>facturas electrónicas y en papel</w:t>
      </w:r>
      <w:r w:rsidRPr="00E55DCD">
        <w:rPr>
          <w:rFonts w:ascii="Verdana" w:hAnsi="Verdana"/>
          <w:sz w:val="18"/>
          <w:szCs w:val="18"/>
        </w:rPr>
        <w:t xml:space="preserve"> deberán incluir un </w:t>
      </w:r>
      <w:r w:rsidRPr="00E55DCD">
        <w:rPr>
          <w:rFonts w:ascii="Verdana" w:hAnsi="Verdana"/>
          <w:b/>
          <w:bCs/>
          <w:sz w:val="18"/>
          <w:szCs w:val="18"/>
        </w:rPr>
        <w:t>código QR</w:t>
      </w:r>
      <w:r w:rsidR="00B75337">
        <w:rPr>
          <w:rFonts w:ascii="Verdana" w:hAnsi="Verdana"/>
          <w:b/>
          <w:bCs/>
          <w:sz w:val="18"/>
          <w:szCs w:val="18"/>
        </w:rPr>
        <w:t xml:space="preserve"> y un hash</w:t>
      </w:r>
      <w:r w:rsidR="009B45A9">
        <w:rPr>
          <w:rFonts w:ascii="Verdana" w:hAnsi="Verdana"/>
          <w:b/>
          <w:bCs/>
          <w:sz w:val="18"/>
          <w:szCs w:val="18"/>
        </w:rPr>
        <w:t xml:space="preserve">                         </w:t>
      </w:r>
      <w:r w:rsidRPr="00E55DCD">
        <w:rPr>
          <w:rFonts w:ascii="Verdana" w:hAnsi="Verdana"/>
          <w:sz w:val="18"/>
          <w:szCs w:val="18"/>
        </w:rPr>
        <w:t xml:space="preserve"> que permita su verificación inmediata por parte de Hacienda</w:t>
      </w:r>
      <w:r w:rsidR="00BD77F5">
        <w:rPr>
          <w:rFonts w:ascii="Verdana" w:hAnsi="Verdana"/>
          <w:sz w:val="18"/>
          <w:szCs w:val="18"/>
        </w:rPr>
        <w:t>, en el caso de acogerse voluntariamente al</w:t>
      </w:r>
      <w:r w:rsidR="002947FB">
        <w:rPr>
          <w:rFonts w:ascii="Verdana" w:hAnsi="Verdana"/>
          <w:sz w:val="18"/>
          <w:szCs w:val="18"/>
        </w:rPr>
        <w:t xml:space="preserve"> sistema</w:t>
      </w:r>
      <w:r w:rsidR="00BD77F5">
        <w:rPr>
          <w:rFonts w:ascii="Verdana" w:hAnsi="Verdana"/>
          <w:sz w:val="18"/>
          <w:szCs w:val="18"/>
        </w:rPr>
        <w:t xml:space="preserve"> Ver*</w:t>
      </w:r>
      <w:proofErr w:type="spellStart"/>
      <w:r w:rsidR="00BD77F5">
        <w:rPr>
          <w:rFonts w:ascii="Verdana" w:hAnsi="Verdana"/>
          <w:sz w:val="18"/>
          <w:szCs w:val="18"/>
        </w:rPr>
        <w:t>factu</w:t>
      </w:r>
      <w:proofErr w:type="spellEnd"/>
      <w:r w:rsidRPr="00E55DCD">
        <w:rPr>
          <w:rFonts w:ascii="Verdana" w:hAnsi="Verdana"/>
          <w:sz w:val="18"/>
          <w:szCs w:val="18"/>
        </w:rPr>
        <w:t>.</w:t>
      </w:r>
    </w:p>
    <w:p w14:paraId="7483B404" w14:textId="73AAB5FB" w:rsidR="00E55DCD" w:rsidRDefault="00E55DCD" w:rsidP="00BD77F5">
      <w:pPr>
        <w:spacing w:before="100" w:beforeAutospacing="1" w:after="100" w:afterAutospacing="1"/>
        <w:contextualSpacing/>
        <w:jc w:val="both"/>
        <w:rPr>
          <w:rFonts w:ascii="Verdana" w:hAnsi="Verdana"/>
          <w:sz w:val="18"/>
          <w:szCs w:val="18"/>
        </w:rPr>
      </w:pPr>
    </w:p>
    <w:p w14:paraId="0333691C" w14:textId="77777777" w:rsidR="00C149E7" w:rsidRDefault="00C149E7" w:rsidP="00BD77F5">
      <w:pPr>
        <w:spacing w:before="100" w:beforeAutospacing="1" w:after="100" w:afterAutospacing="1"/>
        <w:contextualSpacing/>
        <w:jc w:val="both"/>
        <w:rPr>
          <w:rFonts w:ascii="Verdana" w:hAnsi="Verdana"/>
          <w:sz w:val="18"/>
          <w:szCs w:val="18"/>
        </w:rPr>
      </w:pPr>
    </w:p>
    <w:p w14:paraId="747B25FC" w14:textId="75711B45" w:rsidR="00E55DCD" w:rsidRPr="00E55DCD" w:rsidRDefault="00E55DCD" w:rsidP="00BD77F5">
      <w:pPr>
        <w:spacing w:before="100" w:beforeAutospacing="1" w:after="100" w:afterAutospacing="1"/>
        <w:ind w:left="284"/>
        <w:contextualSpacing/>
        <w:jc w:val="both"/>
        <w:outlineLvl w:val="2"/>
        <w:rPr>
          <w:rFonts w:ascii="Verdana" w:hAnsi="Verdana"/>
          <w:b/>
          <w:bCs/>
          <w:sz w:val="18"/>
          <w:szCs w:val="18"/>
        </w:rPr>
      </w:pPr>
      <w:r w:rsidRPr="00E55DCD">
        <w:rPr>
          <w:rFonts w:ascii="Verdana" w:hAnsi="Verdana"/>
          <w:b/>
          <w:bCs/>
          <w:sz w:val="18"/>
          <w:szCs w:val="18"/>
        </w:rPr>
        <w:t xml:space="preserve">Ventajas </w:t>
      </w:r>
      <w:r w:rsidR="009863DB">
        <w:rPr>
          <w:rFonts w:ascii="Verdana" w:hAnsi="Verdana"/>
          <w:b/>
          <w:bCs/>
          <w:sz w:val="18"/>
          <w:szCs w:val="18"/>
        </w:rPr>
        <w:t>del sistema Veri*</w:t>
      </w:r>
      <w:proofErr w:type="spellStart"/>
      <w:r w:rsidR="009863DB">
        <w:rPr>
          <w:rFonts w:ascii="Verdana" w:hAnsi="Verdana"/>
          <w:b/>
          <w:bCs/>
          <w:sz w:val="18"/>
          <w:szCs w:val="18"/>
        </w:rPr>
        <w:t>factu</w:t>
      </w:r>
      <w:proofErr w:type="spellEnd"/>
    </w:p>
    <w:p w14:paraId="336D1D13" w14:textId="77777777" w:rsidR="00E55DCD" w:rsidRPr="00E55DCD" w:rsidRDefault="00E55DCD" w:rsidP="008C5028">
      <w:pPr>
        <w:numPr>
          <w:ilvl w:val="0"/>
          <w:numId w:val="23"/>
        </w:numPr>
        <w:spacing w:before="100" w:beforeAutospacing="1" w:after="100" w:afterAutospacing="1"/>
        <w:ind w:left="284" w:firstLine="0"/>
        <w:jc w:val="both"/>
        <w:rPr>
          <w:rFonts w:ascii="Verdana" w:hAnsi="Verdana"/>
          <w:sz w:val="18"/>
          <w:szCs w:val="18"/>
        </w:rPr>
      </w:pPr>
      <w:r w:rsidRPr="00E55DCD">
        <w:rPr>
          <w:rFonts w:ascii="Verdana" w:hAnsi="Verdana"/>
          <w:sz w:val="18"/>
          <w:szCs w:val="18"/>
        </w:rPr>
        <w:t xml:space="preserve">Mayor </w:t>
      </w:r>
      <w:r w:rsidRPr="00E55DCD">
        <w:rPr>
          <w:rFonts w:ascii="Verdana" w:hAnsi="Verdana"/>
          <w:b/>
          <w:bCs/>
          <w:sz w:val="18"/>
          <w:szCs w:val="18"/>
        </w:rPr>
        <w:t>seguridad y trazabilidad</w:t>
      </w:r>
      <w:r w:rsidRPr="00E55DCD">
        <w:rPr>
          <w:rFonts w:ascii="Verdana" w:hAnsi="Verdana"/>
          <w:sz w:val="18"/>
          <w:szCs w:val="18"/>
        </w:rPr>
        <w:t xml:space="preserve"> de las operaciones.</w:t>
      </w:r>
    </w:p>
    <w:p w14:paraId="7C01245C" w14:textId="77777777" w:rsidR="00E55DCD" w:rsidRPr="00E55DCD" w:rsidRDefault="00E55DCD" w:rsidP="008C5028">
      <w:pPr>
        <w:numPr>
          <w:ilvl w:val="0"/>
          <w:numId w:val="23"/>
        </w:numPr>
        <w:spacing w:before="100" w:beforeAutospacing="1" w:after="100" w:afterAutospacing="1"/>
        <w:ind w:left="284" w:firstLine="0"/>
        <w:jc w:val="both"/>
        <w:rPr>
          <w:rFonts w:ascii="Verdana" w:hAnsi="Verdana"/>
          <w:sz w:val="18"/>
          <w:szCs w:val="18"/>
        </w:rPr>
      </w:pPr>
      <w:r w:rsidRPr="00E55DCD">
        <w:rPr>
          <w:rFonts w:ascii="Verdana" w:hAnsi="Verdana"/>
          <w:b/>
          <w:bCs/>
          <w:sz w:val="18"/>
          <w:szCs w:val="18"/>
        </w:rPr>
        <w:t>Reducción de errores</w:t>
      </w:r>
      <w:r w:rsidRPr="00E55DCD">
        <w:rPr>
          <w:rFonts w:ascii="Verdana" w:hAnsi="Verdana"/>
          <w:sz w:val="18"/>
          <w:szCs w:val="18"/>
        </w:rPr>
        <w:t xml:space="preserve"> y del fraude.</w:t>
      </w:r>
    </w:p>
    <w:p w14:paraId="52DCE20B" w14:textId="77777777" w:rsidR="00E55DCD" w:rsidRPr="00E55DCD" w:rsidRDefault="00E55DCD" w:rsidP="008C5028">
      <w:pPr>
        <w:numPr>
          <w:ilvl w:val="0"/>
          <w:numId w:val="23"/>
        </w:numPr>
        <w:spacing w:before="100" w:beforeAutospacing="1" w:after="100" w:afterAutospacing="1"/>
        <w:ind w:left="284" w:firstLine="0"/>
        <w:jc w:val="both"/>
        <w:rPr>
          <w:rFonts w:ascii="Verdana" w:hAnsi="Verdana"/>
          <w:sz w:val="18"/>
          <w:szCs w:val="18"/>
        </w:rPr>
      </w:pPr>
      <w:r w:rsidRPr="00E55DCD">
        <w:rPr>
          <w:rFonts w:ascii="Verdana" w:hAnsi="Verdana"/>
          <w:sz w:val="18"/>
          <w:szCs w:val="18"/>
        </w:rPr>
        <w:t xml:space="preserve">Ahorro en </w:t>
      </w:r>
      <w:r w:rsidRPr="00E55DCD">
        <w:rPr>
          <w:rFonts w:ascii="Verdana" w:hAnsi="Verdana"/>
          <w:b/>
          <w:bCs/>
          <w:sz w:val="18"/>
          <w:szCs w:val="18"/>
        </w:rPr>
        <w:t>costes administrativos y de impresión</w:t>
      </w:r>
      <w:r w:rsidRPr="00E55DCD">
        <w:rPr>
          <w:rFonts w:ascii="Verdana" w:hAnsi="Verdana"/>
          <w:sz w:val="18"/>
          <w:szCs w:val="18"/>
        </w:rPr>
        <w:t>.</w:t>
      </w:r>
    </w:p>
    <w:p w14:paraId="7ED8AD50" w14:textId="77777777" w:rsidR="00E55DCD" w:rsidRPr="00E55DCD" w:rsidRDefault="00E55DCD" w:rsidP="008C5028">
      <w:pPr>
        <w:numPr>
          <w:ilvl w:val="0"/>
          <w:numId w:val="23"/>
        </w:numPr>
        <w:spacing w:before="100" w:beforeAutospacing="1" w:after="100" w:afterAutospacing="1"/>
        <w:ind w:left="284" w:firstLine="0"/>
        <w:jc w:val="both"/>
        <w:rPr>
          <w:rFonts w:ascii="Verdana" w:hAnsi="Verdana"/>
          <w:sz w:val="18"/>
          <w:szCs w:val="18"/>
        </w:rPr>
      </w:pPr>
      <w:r w:rsidRPr="00E55DCD">
        <w:rPr>
          <w:rFonts w:ascii="Verdana" w:hAnsi="Verdana"/>
          <w:b/>
          <w:bCs/>
          <w:sz w:val="18"/>
          <w:szCs w:val="18"/>
        </w:rPr>
        <w:t>Agilidad</w:t>
      </w:r>
      <w:r w:rsidRPr="00E55DCD">
        <w:rPr>
          <w:rFonts w:ascii="Verdana" w:hAnsi="Verdana"/>
          <w:sz w:val="18"/>
          <w:szCs w:val="18"/>
        </w:rPr>
        <w:t xml:space="preserve"> en cobros y pagos, ayudando a reducir la morosidad.</w:t>
      </w:r>
    </w:p>
    <w:p w14:paraId="597DD6CA" w14:textId="77777777" w:rsidR="00E55DCD" w:rsidRPr="00E55DCD" w:rsidRDefault="00E55DCD" w:rsidP="008C5028">
      <w:pPr>
        <w:numPr>
          <w:ilvl w:val="0"/>
          <w:numId w:val="23"/>
        </w:numPr>
        <w:spacing w:before="100" w:beforeAutospacing="1" w:after="100" w:afterAutospacing="1"/>
        <w:ind w:left="284" w:firstLine="0"/>
        <w:jc w:val="both"/>
        <w:rPr>
          <w:rFonts w:ascii="Verdana" w:hAnsi="Verdana"/>
          <w:sz w:val="18"/>
          <w:szCs w:val="18"/>
        </w:rPr>
      </w:pPr>
      <w:r w:rsidRPr="00E55DCD">
        <w:rPr>
          <w:rFonts w:ascii="Verdana" w:hAnsi="Verdana"/>
          <w:sz w:val="18"/>
          <w:szCs w:val="18"/>
        </w:rPr>
        <w:t xml:space="preserve">Facilita la </w:t>
      </w:r>
      <w:r w:rsidRPr="00E55DCD">
        <w:rPr>
          <w:rFonts w:ascii="Verdana" w:hAnsi="Verdana"/>
          <w:b/>
          <w:bCs/>
          <w:sz w:val="18"/>
          <w:szCs w:val="18"/>
        </w:rPr>
        <w:t>transparencia y digitalización</w:t>
      </w:r>
      <w:r w:rsidRPr="00E55DCD">
        <w:rPr>
          <w:rFonts w:ascii="Verdana" w:hAnsi="Verdana"/>
          <w:sz w:val="18"/>
          <w:szCs w:val="18"/>
        </w:rPr>
        <w:t xml:space="preserve"> del tejido empresarial.</w:t>
      </w:r>
    </w:p>
    <w:p w14:paraId="3580A13E" w14:textId="497B10E1" w:rsidR="00E55DCD" w:rsidRPr="00E55DCD" w:rsidRDefault="00E55DCD" w:rsidP="00C132A9">
      <w:pPr>
        <w:spacing w:before="100" w:beforeAutospacing="1" w:after="100" w:afterAutospacing="1"/>
        <w:ind w:left="284"/>
        <w:jc w:val="both"/>
        <w:outlineLvl w:val="2"/>
        <w:rPr>
          <w:rFonts w:ascii="Verdana" w:hAnsi="Verdana"/>
          <w:b/>
          <w:bCs/>
          <w:sz w:val="18"/>
          <w:szCs w:val="18"/>
        </w:rPr>
      </w:pPr>
      <w:r w:rsidRPr="00E55DCD">
        <w:rPr>
          <w:rFonts w:ascii="Verdana" w:hAnsi="Verdana"/>
          <w:b/>
          <w:bCs/>
          <w:sz w:val="18"/>
          <w:szCs w:val="18"/>
        </w:rPr>
        <w:t>Sanciones y cumplimiento</w:t>
      </w:r>
    </w:p>
    <w:p w14:paraId="22B69022" w14:textId="77777777" w:rsidR="00E55DCD" w:rsidRPr="00E55DCD" w:rsidRDefault="00E55DCD" w:rsidP="008C5028">
      <w:pPr>
        <w:numPr>
          <w:ilvl w:val="0"/>
          <w:numId w:val="24"/>
        </w:numPr>
        <w:spacing w:before="100" w:beforeAutospacing="1" w:after="100" w:afterAutospacing="1"/>
        <w:ind w:left="284" w:firstLine="0"/>
        <w:jc w:val="both"/>
        <w:rPr>
          <w:rFonts w:ascii="Verdana" w:hAnsi="Verdana"/>
          <w:sz w:val="18"/>
          <w:szCs w:val="18"/>
        </w:rPr>
      </w:pPr>
      <w:r w:rsidRPr="00E55DCD">
        <w:rPr>
          <w:rFonts w:ascii="Verdana" w:hAnsi="Verdana"/>
          <w:sz w:val="18"/>
          <w:szCs w:val="18"/>
        </w:rPr>
        <w:t xml:space="preserve">No cumplir con los plazos o requisitos puede acarrear </w:t>
      </w:r>
      <w:r w:rsidRPr="00E55DCD">
        <w:rPr>
          <w:rFonts w:ascii="Verdana" w:hAnsi="Verdana"/>
          <w:b/>
          <w:bCs/>
          <w:sz w:val="18"/>
          <w:szCs w:val="18"/>
        </w:rPr>
        <w:t>sanciones económicas</w:t>
      </w:r>
      <w:r w:rsidRPr="00E55DCD">
        <w:rPr>
          <w:rFonts w:ascii="Verdana" w:hAnsi="Verdana"/>
          <w:sz w:val="18"/>
          <w:szCs w:val="18"/>
        </w:rPr>
        <w:t>.</w:t>
      </w:r>
    </w:p>
    <w:p w14:paraId="304675E2" w14:textId="6EB5B458" w:rsidR="00350D6D" w:rsidRPr="00C149E7" w:rsidRDefault="00463CB5" w:rsidP="00C132A9">
      <w:pPr>
        <w:spacing w:before="100" w:beforeAutospacing="1" w:after="100" w:afterAutospacing="1"/>
        <w:ind w:left="284"/>
        <w:jc w:val="both"/>
        <w:rPr>
          <w:rFonts w:ascii="Verdana" w:hAnsi="Verdana"/>
          <w:b/>
          <w:bCs/>
          <w:color w:val="C00000"/>
          <w:sz w:val="18"/>
          <w:szCs w:val="18"/>
        </w:rPr>
      </w:pPr>
      <w:r w:rsidRPr="00C149E7">
        <w:rPr>
          <w:rFonts w:ascii="Verdana" w:hAnsi="Verdana"/>
          <w:b/>
          <w:bCs/>
          <w:color w:val="C00000"/>
          <w:sz w:val="18"/>
          <w:szCs w:val="18"/>
        </w:rPr>
        <w:t>COMPARATIVA ENTRE VERI*FACTU Y SII:</w:t>
      </w:r>
    </w:p>
    <w:p w14:paraId="6D099294" w14:textId="77777777" w:rsidR="00764EB9" w:rsidRPr="00C149E7" w:rsidRDefault="00764EB9" w:rsidP="00764EB9">
      <w:pPr>
        <w:spacing w:before="100" w:beforeAutospacing="1" w:after="100" w:afterAutospacing="1"/>
        <w:ind w:left="284"/>
        <w:outlineLvl w:val="2"/>
        <w:rPr>
          <w:rFonts w:ascii="Verdana" w:hAnsi="Verdana"/>
          <w:b/>
          <w:bCs/>
          <w:color w:val="C00000"/>
          <w:sz w:val="18"/>
          <w:szCs w:val="18"/>
        </w:rPr>
      </w:pPr>
      <w:r w:rsidRPr="00C149E7">
        <w:rPr>
          <w:rFonts w:ascii="Verdana" w:hAnsi="Verdana"/>
          <w:b/>
          <w:bCs/>
          <w:color w:val="C00000"/>
          <w:sz w:val="18"/>
          <w:szCs w:val="18"/>
        </w:rPr>
        <w:t>1. Contexto general</w:t>
      </w:r>
    </w:p>
    <w:p w14:paraId="23492CE1" w14:textId="77777777" w:rsidR="00764EB9" w:rsidRPr="00764EB9" w:rsidRDefault="00764EB9" w:rsidP="00764EB9">
      <w:pPr>
        <w:spacing w:before="100" w:beforeAutospacing="1" w:after="100" w:afterAutospacing="1"/>
        <w:ind w:left="284"/>
        <w:rPr>
          <w:rFonts w:ascii="Verdana" w:hAnsi="Verdana"/>
          <w:sz w:val="18"/>
          <w:szCs w:val="18"/>
        </w:rPr>
      </w:pPr>
      <w:r w:rsidRPr="00764EB9">
        <w:rPr>
          <w:rFonts w:ascii="Verdana" w:hAnsi="Verdana"/>
          <w:sz w:val="18"/>
          <w:szCs w:val="18"/>
        </w:rPr>
        <w:t xml:space="preserve">España está en un proceso de </w:t>
      </w:r>
      <w:r w:rsidRPr="00764EB9">
        <w:rPr>
          <w:rFonts w:ascii="Verdana" w:hAnsi="Verdana"/>
          <w:b/>
          <w:bCs/>
          <w:sz w:val="18"/>
          <w:szCs w:val="18"/>
        </w:rPr>
        <w:t>digitalización de la facturación y control tributario</w:t>
      </w:r>
      <w:r w:rsidRPr="00764EB9">
        <w:rPr>
          <w:rFonts w:ascii="Verdana" w:hAnsi="Verdana"/>
          <w:sz w:val="18"/>
          <w:szCs w:val="18"/>
        </w:rPr>
        <w:t>.</w:t>
      </w:r>
      <w:r w:rsidRPr="00764EB9">
        <w:rPr>
          <w:rFonts w:ascii="Verdana" w:hAnsi="Verdana"/>
          <w:sz w:val="18"/>
          <w:szCs w:val="18"/>
        </w:rPr>
        <w:br/>
        <w:t>Existen dos modelos clave:</w:t>
      </w:r>
    </w:p>
    <w:p w14:paraId="494B89FB" w14:textId="5CCA5F6E" w:rsidR="00764EB9" w:rsidRDefault="00764EB9" w:rsidP="00B362F2">
      <w:pPr>
        <w:numPr>
          <w:ilvl w:val="0"/>
          <w:numId w:val="25"/>
        </w:numPr>
        <w:tabs>
          <w:tab w:val="clear" w:pos="720"/>
        </w:tabs>
        <w:spacing w:before="100" w:beforeAutospacing="1" w:after="100" w:afterAutospacing="1"/>
        <w:ind w:left="567" w:hanging="283"/>
        <w:contextualSpacing/>
        <w:rPr>
          <w:rFonts w:ascii="Verdana" w:hAnsi="Verdana"/>
          <w:sz w:val="18"/>
          <w:szCs w:val="18"/>
        </w:rPr>
      </w:pPr>
      <w:r w:rsidRPr="00764EB9">
        <w:rPr>
          <w:rFonts w:ascii="Verdana" w:hAnsi="Verdana"/>
          <w:b/>
          <w:bCs/>
          <w:sz w:val="18"/>
          <w:szCs w:val="18"/>
        </w:rPr>
        <w:t>Veri*</w:t>
      </w:r>
      <w:proofErr w:type="spellStart"/>
      <w:r w:rsidRPr="00764EB9">
        <w:rPr>
          <w:rFonts w:ascii="Verdana" w:hAnsi="Verdana"/>
          <w:b/>
          <w:bCs/>
          <w:sz w:val="18"/>
          <w:szCs w:val="18"/>
        </w:rPr>
        <w:t>factu</w:t>
      </w:r>
      <w:proofErr w:type="spellEnd"/>
      <w:r w:rsidRPr="00764EB9">
        <w:rPr>
          <w:rFonts w:ascii="Verdana" w:hAnsi="Verdana"/>
          <w:sz w:val="18"/>
          <w:szCs w:val="18"/>
        </w:rPr>
        <w:t>, de aplicación a partir de 2026.</w:t>
      </w:r>
      <w:r w:rsidR="00225A7C">
        <w:rPr>
          <w:rFonts w:ascii="Verdana" w:hAnsi="Verdana"/>
          <w:sz w:val="18"/>
          <w:szCs w:val="18"/>
        </w:rPr>
        <w:t xml:space="preserve"> La </w:t>
      </w:r>
      <w:r w:rsidR="00C17D04">
        <w:rPr>
          <w:rFonts w:ascii="Verdana" w:hAnsi="Verdana"/>
          <w:sz w:val="18"/>
          <w:szCs w:val="18"/>
        </w:rPr>
        <w:t>modalidad</w:t>
      </w:r>
      <w:r w:rsidR="00225A7C">
        <w:rPr>
          <w:rFonts w:ascii="Verdana" w:hAnsi="Verdana"/>
          <w:sz w:val="18"/>
          <w:szCs w:val="18"/>
        </w:rPr>
        <w:t xml:space="preserve"> </w:t>
      </w:r>
      <w:r w:rsidR="00225A7C" w:rsidRPr="00225A7C">
        <w:rPr>
          <w:rFonts w:ascii="Verdana" w:hAnsi="Verdana"/>
          <w:b/>
          <w:bCs/>
          <w:sz w:val="18"/>
          <w:szCs w:val="18"/>
        </w:rPr>
        <w:t>NO Veri*</w:t>
      </w:r>
      <w:proofErr w:type="spellStart"/>
      <w:r w:rsidR="00225A7C" w:rsidRPr="00225A7C">
        <w:rPr>
          <w:rFonts w:ascii="Verdana" w:hAnsi="Verdana"/>
          <w:b/>
          <w:bCs/>
          <w:sz w:val="18"/>
          <w:szCs w:val="18"/>
        </w:rPr>
        <w:t>factu</w:t>
      </w:r>
      <w:proofErr w:type="spellEnd"/>
      <w:r w:rsidR="00225A7C">
        <w:rPr>
          <w:rFonts w:ascii="Verdana" w:hAnsi="Verdana"/>
          <w:sz w:val="18"/>
          <w:szCs w:val="18"/>
        </w:rPr>
        <w:t xml:space="preserve"> </w:t>
      </w:r>
      <w:r w:rsidR="00225A7C" w:rsidRPr="006D7E05">
        <w:rPr>
          <w:rFonts w:ascii="Verdana" w:hAnsi="Verdana"/>
          <w:b/>
          <w:bCs/>
          <w:sz w:val="18"/>
          <w:szCs w:val="18"/>
        </w:rPr>
        <w:t>no obliga</w:t>
      </w:r>
      <w:r w:rsidR="00225A7C">
        <w:rPr>
          <w:rFonts w:ascii="Verdana" w:hAnsi="Verdana"/>
          <w:sz w:val="18"/>
          <w:szCs w:val="18"/>
        </w:rPr>
        <w:t xml:space="preserve"> a remitir de forma inmediata las facturas emitidas, pero deben poder ser remitidas a requerimiento de la AEAT y cumplir con los requisitos de Veri*</w:t>
      </w:r>
      <w:proofErr w:type="spellStart"/>
      <w:r w:rsidR="00225A7C">
        <w:rPr>
          <w:rFonts w:ascii="Verdana" w:hAnsi="Verdana"/>
          <w:sz w:val="18"/>
          <w:szCs w:val="18"/>
        </w:rPr>
        <w:t>factu</w:t>
      </w:r>
      <w:proofErr w:type="spellEnd"/>
      <w:r w:rsidR="00225A7C">
        <w:rPr>
          <w:rFonts w:ascii="Verdana" w:hAnsi="Verdana"/>
          <w:sz w:val="18"/>
          <w:szCs w:val="18"/>
        </w:rPr>
        <w:t>.</w:t>
      </w:r>
    </w:p>
    <w:p w14:paraId="59FB2CC9" w14:textId="77777777" w:rsidR="00E32A0C" w:rsidRPr="00764EB9" w:rsidRDefault="00E32A0C" w:rsidP="00B362F2">
      <w:pPr>
        <w:spacing w:before="100" w:beforeAutospacing="1" w:after="100" w:afterAutospacing="1"/>
        <w:ind w:left="567" w:hanging="283"/>
        <w:contextualSpacing/>
        <w:rPr>
          <w:rFonts w:ascii="Verdana" w:hAnsi="Verdana"/>
          <w:sz w:val="18"/>
          <w:szCs w:val="18"/>
        </w:rPr>
      </w:pPr>
    </w:p>
    <w:p w14:paraId="71F93EA4" w14:textId="77777777" w:rsidR="00764EB9" w:rsidRDefault="00764EB9" w:rsidP="00B362F2">
      <w:pPr>
        <w:numPr>
          <w:ilvl w:val="0"/>
          <w:numId w:val="25"/>
        </w:numPr>
        <w:tabs>
          <w:tab w:val="clear" w:pos="720"/>
        </w:tabs>
        <w:spacing w:before="100" w:beforeAutospacing="1" w:after="100" w:afterAutospacing="1"/>
        <w:ind w:left="567" w:hanging="283"/>
        <w:contextualSpacing/>
        <w:rPr>
          <w:rFonts w:ascii="Verdana" w:hAnsi="Verdana"/>
          <w:sz w:val="18"/>
          <w:szCs w:val="18"/>
        </w:rPr>
      </w:pPr>
      <w:r w:rsidRPr="00764EB9">
        <w:rPr>
          <w:rFonts w:ascii="Verdana" w:hAnsi="Verdana"/>
          <w:b/>
          <w:bCs/>
          <w:sz w:val="18"/>
          <w:szCs w:val="18"/>
        </w:rPr>
        <w:t>SII (Suministro Inmediato de Información)</w:t>
      </w:r>
      <w:r w:rsidRPr="00764EB9">
        <w:rPr>
          <w:rFonts w:ascii="Verdana" w:hAnsi="Verdana"/>
          <w:sz w:val="18"/>
          <w:szCs w:val="18"/>
        </w:rPr>
        <w:t>, vigente desde 2017.</w:t>
      </w:r>
    </w:p>
    <w:p w14:paraId="5D888099" w14:textId="77777777" w:rsidR="00E32A0C" w:rsidRPr="00764EB9" w:rsidRDefault="00E32A0C" w:rsidP="00E32A0C">
      <w:pPr>
        <w:spacing w:before="100" w:beforeAutospacing="1" w:after="100" w:afterAutospacing="1"/>
        <w:ind w:left="284"/>
        <w:contextualSpacing/>
        <w:rPr>
          <w:rFonts w:ascii="Verdana" w:hAnsi="Verdana"/>
          <w:sz w:val="18"/>
          <w:szCs w:val="18"/>
        </w:rPr>
      </w:pPr>
    </w:p>
    <w:p w14:paraId="01E51F54" w14:textId="77777777" w:rsidR="00764EB9" w:rsidRPr="00764EB9" w:rsidRDefault="00764EB9" w:rsidP="00E32A0C">
      <w:pPr>
        <w:spacing w:before="100" w:beforeAutospacing="1" w:after="100" w:afterAutospacing="1"/>
        <w:ind w:left="284"/>
        <w:contextualSpacing/>
        <w:rPr>
          <w:rFonts w:ascii="Verdana" w:hAnsi="Verdana"/>
          <w:sz w:val="18"/>
          <w:szCs w:val="18"/>
        </w:rPr>
      </w:pPr>
      <w:r w:rsidRPr="00764EB9">
        <w:rPr>
          <w:rFonts w:ascii="Verdana" w:hAnsi="Verdana"/>
          <w:sz w:val="18"/>
          <w:szCs w:val="18"/>
        </w:rPr>
        <w:t xml:space="preserve">Ambos buscan reforzar la </w:t>
      </w:r>
      <w:r w:rsidRPr="00764EB9">
        <w:rPr>
          <w:rFonts w:ascii="Verdana" w:hAnsi="Verdana"/>
          <w:b/>
          <w:bCs/>
          <w:sz w:val="18"/>
          <w:szCs w:val="18"/>
        </w:rPr>
        <w:t>transparencia y el control fiscal</w:t>
      </w:r>
      <w:r w:rsidRPr="00764EB9">
        <w:rPr>
          <w:rFonts w:ascii="Verdana" w:hAnsi="Verdana"/>
          <w:sz w:val="18"/>
          <w:szCs w:val="18"/>
        </w:rPr>
        <w:t xml:space="preserve">, pero difieren en su </w:t>
      </w:r>
      <w:r w:rsidRPr="00764EB9">
        <w:rPr>
          <w:rFonts w:ascii="Verdana" w:hAnsi="Verdana"/>
          <w:b/>
          <w:bCs/>
          <w:sz w:val="18"/>
          <w:szCs w:val="18"/>
        </w:rPr>
        <w:t>alcance, objetivos y sujetos obligados</w:t>
      </w:r>
      <w:r w:rsidRPr="00764EB9">
        <w:rPr>
          <w:rFonts w:ascii="Verdana" w:hAnsi="Verdana"/>
          <w:sz w:val="18"/>
          <w:szCs w:val="18"/>
        </w:rPr>
        <w:t>.</w:t>
      </w:r>
    </w:p>
    <w:p w14:paraId="7B53EEAF" w14:textId="363DEFB4" w:rsidR="00764EB9" w:rsidRPr="00C149E7" w:rsidRDefault="00764EB9" w:rsidP="00C149E7">
      <w:pPr>
        <w:pStyle w:val="Prrafodelista"/>
        <w:numPr>
          <w:ilvl w:val="0"/>
          <w:numId w:val="1"/>
        </w:numPr>
        <w:tabs>
          <w:tab w:val="clear" w:pos="928"/>
          <w:tab w:val="num" w:pos="567"/>
        </w:tabs>
        <w:spacing w:before="100" w:beforeAutospacing="1" w:after="100" w:afterAutospacing="1"/>
        <w:ind w:hanging="786"/>
        <w:outlineLvl w:val="2"/>
        <w:rPr>
          <w:rFonts w:ascii="Verdana" w:hAnsi="Verdana"/>
          <w:b/>
          <w:bCs/>
          <w:color w:val="C00000"/>
          <w:sz w:val="18"/>
          <w:szCs w:val="18"/>
        </w:rPr>
      </w:pPr>
      <w:r w:rsidRPr="00C149E7">
        <w:rPr>
          <w:rFonts w:ascii="Verdana" w:hAnsi="Verdana"/>
          <w:b/>
          <w:bCs/>
          <w:color w:val="C00000"/>
          <w:sz w:val="18"/>
          <w:szCs w:val="18"/>
        </w:rPr>
        <w:t>¿Qué es Veri*</w:t>
      </w:r>
      <w:proofErr w:type="spellStart"/>
      <w:r w:rsidRPr="00C149E7">
        <w:rPr>
          <w:rFonts w:ascii="Verdana" w:hAnsi="Verdana"/>
          <w:b/>
          <w:bCs/>
          <w:color w:val="C00000"/>
          <w:sz w:val="18"/>
          <w:szCs w:val="18"/>
        </w:rPr>
        <w:t>factu</w:t>
      </w:r>
      <w:proofErr w:type="spellEnd"/>
      <w:r w:rsidRPr="00C149E7">
        <w:rPr>
          <w:rFonts w:ascii="Verdana" w:hAnsi="Verdana"/>
          <w:b/>
          <w:bCs/>
          <w:color w:val="C00000"/>
          <w:sz w:val="18"/>
          <w:szCs w:val="18"/>
        </w:rPr>
        <w:t>?</w:t>
      </w:r>
    </w:p>
    <w:p w14:paraId="5988BA26" w14:textId="1A039102" w:rsidR="00C149E7" w:rsidRPr="00BD77F5" w:rsidRDefault="00C149E7" w:rsidP="00C149E7">
      <w:pPr>
        <w:spacing w:before="100" w:beforeAutospacing="1" w:after="100" w:afterAutospacing="1"/>
        <w:ind w:left="284"/>
        <w:contextualSpacing/>
        <w:jc w:val="both"/>
        <w:rPr>
          <w:rFonts w:ascii="Verdana" w:hAnsi="Verdana"/>
          <w:sz w:val="18"/>
          <w:szCs w:val="18"/>
        </w:rPr>
      </w:pPr>
      <w:r w:rsidRPr="00BD77F5">
        <w:rPr>
          <w:rFonts w:ascii="Verdana" w:hAnsi="Verdana" w:cs="Arial"/>
          <w:spacing w:val="-5"/>
          <w:sz w:val="18"/>
          <w:szCs w:val="18"/>
          <w:shd w:val="clear" w:color="auto" w:fill="FFFFFF"/>
        </w:rPr>
        <w:t>Como hemos comentado en el punto anterior</w:t>
      </w:r>
      <w:r w:rsidRPr="00BD77F5">
        <w:rPr>
          <w:rFonts w:ascii="Verdana" w:hAnsi="Verdana" w:cs="Arial"/>
          <w:b/>
          <w:bCs/>
          <w:spacing w:val="-5"/>
          <w:sz w:val="18"/>
          <w:szCs w:val="18"/>
          <w:shd w:val="clear" w:color="auto" w:fill="FFFFFF"/>
        </w:rPr>
        <w:t>, Veri*</w:t>
      </w:r>
      <w:proofErr w:type="spellStart"/>
      <w:r w:rsidRPr="00BD77F5">
        <w:rPr>
          <w:rFonts w:ascii="Verdana" w:hAnsi="Verdana" w:cs="Arial"/>
          <w:b/>
          <w:bCs/>
          <w:spacing w:val="-5"/>
          <w:sz w:val="18"/>
          <w:szCs w:val="18"/>
          <w:shd w:val="clear" w:color="auto" w:fill="FFFFFF"/>
        </w:rPr>
        <w:t>factu</w:t>
      </w:r>
      <w:proofErr w:type="spellEnd"/>
      <w:r w:rsidRPr="00BD77F5">
        <w:rPr>
          <w:rFonts w:ascii="Verdana" w:hAnsi="Verdana" w:cs="Arial"/>
          <w:b/>
          <w:bCs/>
          <w:spacing w:val="-5"/>
          <w:sz w:val="18"/>
          <w:szCs w:val="18"/>
          <w:shd w:val="clear" w:color="auto" w:fill="FFFFFF"/>
        </w:rPr>
        <w:t xml:space="preserve"> es un sistema de facturación verificable</w:t>
      </w:r>
      <w:r w:rsidRPr="00BD77F5">
        <w:rPr>
          <w:rFonts w:ascii="Verdana" w:hAnsi="Verdana" w:cs="Arial"/>
          <w:spacing w:val="-5"/>
          <w:sz w:val="18"/>
          <w:szCs w:val="18"/>
          <w:shd w:val="clear" w:color="auto" w:fill="FFFFFF"/>
        </w:rPr>
        <w:t xml:space="preserve"> creado para dar mayor transparencia, trazabilidad y control en tiempo real a Hacienda, </w:t>
      </w:r>
      <w:r w:rsidRPr="00BD77F5">
        <w:rPr>
          <w:rFonts w:ascii="Verdana" w:hAnsi="Verdana" w:cs="Arial"/>
          <w:b/>
          <w:bCs/>
          <w:spacing w:val="-5"/>
          <w:sz w:val="18"/>
          <w:szCs w:val="18"/>
          <w:shd w:val="clear" w:color="auto" w:fill="FFFFFF"/>
        </w:rPr>
        <w:t>evitando dobles contabilidades</w:t>
      </w:r>
      <w:r w:rsidRPr="00BD77F5">
        <w:rPr>
          <w:rFonts w:ascii="Verdana" w:hAnsi="Verdana" w:cs="Arial"/>
          <w:spacing w:val="-5"/>
          <w:sz w:val="18"/>
          <w:szCs w:val="18"/>
          <w:shd w:val="clear" w:color="auto" w:fill="FFFFFF"/>
        </w:rPr>
        <w:t>. Es una de las medidas incluidas en la Ley</w:t>
      </w:r>
      <w:r w:rsidRPr="00BD77F5">
        <w:rPr>
          <w:rFonts w:ascii="Verdana" w:hAnsi="Verdana"/>
          <w:sz w:val="18"/>
          <w:szCs w:val="18"/>
        </w:rPr>
        <w:t xml:space="preserve"> Antifraude</w:t>
      </w:r>
      <w:r w:rsidRPr="00BD77F5">
        <w:rPr>
          <w:rFonts w:ascii="Verdana" w:hAnsi="Verdana" w:cs="Arial"/>
          <w:spacing w:val="-5"/>
          <w:sz w:val="18"/>
          <w:szCs w:val="18"/>
          <w:shd w:val="clear" w:color="auto" w:fill="FFFFFF"/>
        </w:rPr>
        <w:t> cuyo reglamento se aprobó en octubre de 2024 (</w:t>
      </w:r>
      <w:hyperlink r:id="rId9" w:tgtFrame="_blank" w:history="1">
        <w:r w:rsidRPr="00BD77F5">
          <w:rPr>
            <w:rStyle w:val="Hipervnculo"/>
            <w:rFonts w:ascii="Verdana" w:hAnsi="Verdana" w:cs="Arial"/>
            <w:color w:val="auto"/>
            <w:spacing w:val="-5"/>
            <w:sz w:val="18"/>
            <w:szCs w:val="18"/>
            <w:shd w:val="clear" w:color="auto" w:fill="FFFFFF"/>
          </w:rPr>
          <w:t>Orden HAC/1177/2024</w:t>
        </w:r>
      </w:hyperlink>
      <w:r w:rsidR="00BD77F5">
        <w:t>)</w:t>
      </w:r>
      <w:r w:rsidRPr="00BD77F5">
        <w:rPr>
          <w:rFonts w:ascii="Verdana" w:hAnsi="Verdana" w:cs="Arial"/>
          <w:spacing w:val="-5"/>
          <w:sz w:val="18"/>
          <w:szCs w:val="18"/>
          <w:shd w:val="clear" w:color="auto" w:fill="FFFFFF"/>
        </w:rPr>
        <w:t>. Establece los requisitos que deben cumplir los programas de facturación, entre ellos la posibilidad de usar este sistema de facturas verificables.</w:t>
      </w:r>
    </w:p>
    <w:p w14:paraId="4F4C1E94" w14:textId="77777777" w:rsidR="00C149E7" w:rsidRPr="00C149E7" w:rsidRDefault="00C149E7" w:rsidP="00C149E7">
      <w:pPr>
        <w:tabs>
          <w:tab w:val="left" w:pos="568"/>
        </w:tabs>
        <w:spacing w:before="100" w:beforeAutospacing="1" w:after="100" w:afterAutospacing="1"/>
        <w:ind w:left="568" w:hanging="284"/>
        <w:contextualSpacing/>
        <w:outlineLvl w:val="2"/>
        <w:rPr>
          <w:rFonts w:ascii="Verdana" w:hAnsi="Verdana"/>
          <w:b/>
          <w:bCs/>
          <w:sz w:val="18"/>
          <w:szCs w:val="18"/>
        </w:rPr>
      </w:pPr>
    </w:p>
    <w:p w14:paraId="5DF8AC67" w14:textId="2BC79D97" w:rsidR="00764EB9" w:rsidRDefault="00C149E7" w:rsidP="00C149E7">
      <w:pPr>
        <w:spacing w:before="100" w:beforeAutospacing="1" w:after="100" w:afterAutospacing="1"/>
        <w:ind w:left="284"/>
        <w:contextualSpacing/>
        <w:jc w:val="both"/>
        <w:rPr>
          <w:rFonts w:ascii="Verdana" w:hAnsi="Verdana"/>
          <w:sz w:val="18"/>
          <w:szCs w:val="18"/>
        </w:rPr>
      </w:pPr>
      <w:r w:rsidRPr="00C149E7">
        <w:rPr>
          <w:rFonts w:ascii="Verdana" w:hAnsi="Verdana"/>
          <w:sz w:val="18"/>
          <w:szCs w:val="18"/>
        </w:rPr>
        <w:t>De este modo</w:t>
      </w:r>
      <w:r>
        <w:rPr>
          <w:rFonts w:ascii="Verdana" w:hAnsi="Verdana"/>
          <w:b/>
          <w:bCs/>
          <w:sz w:val="18"/>
          <w:szCs w:val="18"/>
        </w:rPr>
        <w:t xml:space="preserve">, </w:t>
      </w:r>
      <w:r w:rsidR="00764EB9" w:rsidRPr="00764EB9">
        <w:rPr>
          <w:rFonts w:ascii="Verdana" w:hAnsi="Verdana"/>
          <w:b/>
          <w:bCs/>
          <w:sz w:val="18"/>
          <w:szCs w:val="18"/>
        </w:rPr>
        <w:t>Veri*</w:t>
      </w:r>
      <w:proofErr w:type="spellStart"/>
      <w:r w:rsidR="00764EB9" w:rsidRPr="00764EB9">
        <w:rPr>
          <w:rFonts w:ascii="Verdana" w:hAnsi="Verdana"/>
          <w:b/>
          <w:bCs/>
          <w:sz w:val="18"/>
          <w:szCs w:val="18"/>
        </w:rPr>
        <w:t>factu</w:t>
      </w:r>
      <w:proofErr w:type="spellEnd"/>
      <w:r w:rsidR="00764EB9" w:rsidRPr="00764EB9">
        <w:rPr>
          <w:rFonts w:ascii="Verdana" w:hAnsi="Verdana"/>
          <w:sz w:val="18"/>
          <w:szCs w:val="18"/>
        </w:rPr>
        <w:t xml:space="preserve"> regula los </w:t>
      </w:r>
      <w:r w:rsidR="00764EB9" w:rsidRPr="00764EB9">
        <w:rPr>
          <w:rFonts w:ascii="Verdana" w:hAnsi="Verdana"/>
          <w:b/>
          <w:bCs/>
          <w:sz w:val="18"/>
          <w:szCs w:val="18"/>
        </w:rPr>
        <w:t>Sistemas Informáticos de Facturación (SIF)</w:t>
      </w:r>
      <w:r w:rsidR="00764EB9" w:rsidRPr="00764EB9">
        <w:rPr>
          <w:rFonts w:ascii="Verdana" w:hAnsi="Verdana"/>
          <w:sz w:val="18"/>
          <w:szCs w:val="18"/>
        </w:rPr>
        <w:t xml:space="preserve">, que deben garantizar que cada factura sea </w:t>
      </w:r>
      <w:r w:rsidR="00764EB9" w:rsidRPr="00764EB9">
        <w:rPr>
          <w:rFonts w:ascii="Verdana" w:hAnsi="Verdana"/>
          <w:b/>
          <w:bCs/>
          <w:sz w:val="18"/>
          <w:szCs w:val="18"/>
        </w:rPr>
        <w:t>única, íntegra, trazable e inalterable</w:t>
      </w:r>
      <w:r w:rsidR="00764EB9" w:rsidRPr="00764EB9">
        <w:rPr>
          <w:rFonts w:ascii="Verdana" w:hAnsi="Verdana"/>
          <w:sz w:val="18"/>
          <w:szCs w:val="18"/>
        </w:rPr>
        <w:t>.</w:t>
      </w:r>
      <w:r w:rsidR="00764EB9" w:rsidRPr="00764EB9">
        <w:rPr>
          <w:rFonts w:ascii="Verdana" w:hAnsi="Verdana"/>
          <w:sz w:val="18"/>
          <w:szCs w:val="18"/>
        </w:rPr>
        <w:br/>
        <w:t xml:space="preserve">Su finalidad es </w:t>
      </w:r>
      <w:r w:rsidR="00764EB9" w:rsidRPr="00764EB9">
        <w:rPr>
          <w:rFonts w:ascii="Verdana" w:hAnsi="Verdana"/>
          <w:b/>
          <w:bCs/>
          <w:sz w:val="18"/>
          <w:szCs w:val="18"/>
        </w:rPr>
        <w:t>prevenir el fraude fiscal</w:t>
      </w:r>
      <w:r w:rsidR="00764EB9" w:rsidRPr="00764EB9">
        <w:rPr>
          <w:rFonts w:ascii="Verdana" w:hAnsi="Verdana"/>
          <w:sz w:val="18"/>
          <w:szCs w:val="18"/>
        </w:rPr>
        <w:t xml:space="preserve"> y evitar la manipulación o doble contabilidad.</w:t>
      </w:r>
    </w:p>
    <w:p w14:paraId="01343A6E" w14:textId="77777777" w:rsidR="00C149E7" w:rsidRPr="00764EB9" w:rsidRDefault="00C149E7" w:rsidP="00C149E7">
      <w:pPr>
        <w:spacing w:before="100" w:beforeAutospacing="1" w:after="100" w:afterAutospacing="1"/>
        <w:ind w:left="284"/>
        <w:contextualSpacing/>
        <w:jc w:val="both"/>
        <w:rPr>
          <w:rFonts w:ascii="Verdana" w:hAnsi="Verdana"/>
          <w:sz w:val="18"/>
          <w:szCs w:val="18"/>
        </w:rPr>
      </w:pPr>
    </w:p>
    <w:p w14:paraId="27FADCF0" w14:textId="1C9657AB" w:rsidR="00764EB9" w:rsidRPr="00764EB9" w:rsidRDefault="00764EB9" w:rsidP="00656E2D">
      <w:pPr>
        <w:spacing w:before="100" w:beforeAutospacing="1" w:after="100" w:afterAutospacing="1"/>
        <w:ind w:left="284"/>
        <w:jc w:val="both"/>
        <w:outlineLvl w:val="3"/>
        <w:rPr>
          <w:rFonts w:ascii="Verdana" w:hAnsi="Verdana"/>
          <w:b/>
          <w:bCs/>
          <w:sz w:val="18"/>
          <w:szCs w:val="18"/>
        </w:rPr>
      </w:pPr>
      <w:r w:rsidRPr="00764EB9">
        <w:rPr>
          <w:rFonts w:ascii="Verdana" w:hAnsi="Verdana"/>
          <w:b/>
          <w:bCs/>
          <w:sz w:val="18"/>
          <w:szCs w:val="18"/>
        </w:rPr>
        <w:t>Principales requisitos del sistema:</w:t>
      </w:r>
    </w:p>
    <w:p w14:paraId="5DFA9DC8" w14:textId="77777777" w:rsidR="00764EB9" w:rsidRDefault="00764EB9" w:rsidP="00B362F2">
      <w:pPr>
        <w:numPr>
          <w:ilvl w:val="0"/>
          <w:numId w:val="26"/>
        </w:numPr>
        <w:spacing w:before="100" w:beforeAutospacing="1" w:after="100" w:afterAutospacing="1"/>
        <w:ind w:left="709" w:hanging="425"/>
        <w:contextualSpacing/>
        <w:jc w:val="both"/>
        <w:rPr>
          <w:rFonts w:ascii="Verdana" w:hAnsi="Verdana"/>
          <w:sz w:val="18"/>
          <w:szCs w:val="18"/>
        </w:rPr>
      </w:pPr>
      <w:r w:rsidRPr="00764EB9">
        <w:rPr>
          <w:rFonts w:ascii="Verdana" w:hAnsi="Verdana"/>
          <w:b/>
          <w:bCs/>
          <w:sz w:val="18"/>
          <w:szCs w:val="18"/>
        </w:rPr>
        <w:t>Integridad, conservación, accesibilidad, legibilidad, trazabilidad e inalterabilidad</w:t>
      </w:r>
      <w:r w:rsidRPr="00764EB9">
        <w:rPr>
          <w:rFonts w:ascii="Verdana" w:hAnsi="Verdana"/>
          <w:sz w:val="18"/>
          <w:szCs w:val="18"/>
        </w:rPr>
        <w:t xml:space="preserve"> de los registros.</w:t>
      </w:r>
    </w:p>
    <w:p w14:paraId="266BB4C8" w14:textId="77777777" w:rsidR="00B362F2" w:rsidRPr="00764EB9" w:rsidRDefault="00B362F2" w:rsidP="00B362F2">
      <w:pPr>
        <w:spacing w:before="100" w:beforeAutospacing="1" w:after="100" w:afterAutospacing="1"/>
        <w:ind w:left="284"/>
        <w:contextualSpacing/>
        <w:jc w:val="both"/>
        <w:rPr>
          <w:rFonts w:ascii="Verdana" w:hAnsi="Verdana"/>
          <w:sz w:val="18"/>
          <w:szCs w:val="18"/>
        </w:rPr>
      </w:pPr>
    </w:p>
    <w:p w14:paraId="7283DD24" w14:textId="77777777" w:rsidR="00764EB9" w:rsidRDefault="00764EB9" w:rsidP="00B362F2">
      <w:pPr>
        <w:numPr>
          <w:ilvl w:val="0"/>
          <w:numId w:val="26"/>
        </w:numPr>
        <w:spacing w:before="100" w:beforeAutospacing="1" w:after="100" w:afterAutospacing="1"/>
        <w:ind w:left="284" w:firstLine="0"/>
        <w:contextualSpacing/>
        <w:jc w:val="both"/>
        <w:rPr>
          <w:rFonts w:ascii="Verdana" w:hAnsi="Verdana"/>
          <w:sz w:val="18"/>
          <w:szCs w:val="18"/>
        </w:rPr>
      </w:pPr>
      <w:r w:rsidRPr="00764EB9">
        <w:rPr>
          <w:rFonts w:ascii="Verdana" w:hAnsi="Verdana"/>
          <w:b/>
          <w:bCs/>
          <w:sz w:val="18"/>
          <w:szCs w:val="18"/>
        </w:rPr>
        <w:t>Identificador único, código QR y hash encadenado</w:t>
      </w:r>
      <w:r w:rsidRPr="00764EB9">
        <w:rPr>
          <w:rFonts w:ascii="Verdana" w:hAnsi="Verdana"/>
          <w:sz w:val="18"/>
          <w:szCs w:val="18"/>
        </w:rPr>
        <w:t xml:space="preserve"> en cada factura.</w:t>
      </w:r>
    </w:p>
    <w:p w14:paraId="347D8B88" w14:textId="77777777" w:rsidR="00B362F2" w:rsidRPr="00764EB9" w:rsidRDefault="00B362F2" w:rsidP="00B362F2">
      <w:pPr>
        <w:spacing w:before="100" w:beforeAutospacing="1" w:after="100" w:afterAutospacing="1"/>
        <w:ind w:left="284"/>
        <w:contextualSpacing/>
        <w:jc w:val="both"/>
        <w:rPr>
          <w:rFonts w:ascii="Verdana" w:hAnsi="Verdana"/>
          <w:sz w:val="18"/>
          <w:szCs w:val="18"/>
        </w:rPr>
      </w:pPr>
    </w:p>
    <w:p w14:paraId="47C7A5F7" w14:textId="77777777" w:rsidR="00764EB9" w:rsidRPr="00764EB9" w:rsidRDefault="00764EB9" w:rsidP="00B362F2">
      <w:pPr>
        <w:numPr>
          <w:ilvl w:val="0"/>
          <w:numId w:val="26"/>
        </w:numPr>
        <w:spacing w:before="100" w:beforeAutospacing="1" w:after="100" w:afterAutospacing="1"/>
        <w:ind w:left="284" w:firstLine="0"/>
        <w:contextualSpacing/>
        <w:jc w:val="both"/>
        <w:rPr>
          <w:rFonts w:ascii="Verdana" w:hAnsi="Verdana"/>
          <w:sz w:val="18"/>
          <w:szCs w:val="18"/>
        </w:rPr>
      </w:pPr>
      <w:r w:rsidRPr="00764EB9">
        <w:rPr>
          <w:rFonts w:ascii="Verdana" w:hAnsi="Verdana"/>
          <w:b/>
          <w:bCs/>
          <w:sz w:val="18"/>
          <w:szCs w:val="18"/>
        </w:rPr>
        <w:t>Envío automático</w:t>
      </w:r>
      <w:r w:rsidRPr="00764EB9">
        <w:rPr>
          <w:rFonts w:ascii="Verdana" w:hAnsi="Verdana"/>
          <w:sz w:val="18"/>
          <w:szCs w:val="18"/>
        </w:rPr>
        <w:t xml:space="preserve"> a la Agencia Tributaria (AEAT), ya sea:</w:t>
      </w:r>
    </w:p>
    <w:p w14:paraId="5136C02F" w14:textId="77777777" w:rsidR="00764EB9" w:rsidRPr="00764EB9" w:rsidRDefault="00764EB9" w:rsidP="00B362F2">
      <w:pPr>
        <w:numPr>
          <w:ilvl w:val="1"/>
          <w:numId w:val="26"/>
        </w:numPr>
        <w:tabs>
          <w:tab w:val="clear" w:pos="1440"/>
          <w:tab w:val="num" w:pos="993"/>
        </w:tabs>
        <w:spacing w:before="100" w:beforeAutospacing="1" w:after="100" w:afterAutospacing="1"/>
        <w:ind w:left="284" w:firstLine="425"/>
        <w:contextualSpacing/>
        <w:jc w:val="both"/>
        <w:rPr>
          <w:rFonts w:ascii="Verdana" w:hAnsi="Verdana"/>
          <w:sz w:val="18"/>
          <w:szCs w:val="18"/>
        </w:rPr>
      </w:pPr>
      <w:r w:rsidRPr="003505DA">
        <w:rPr>
          <w:rFonts w:ascii="Verdana" w:hAnsi="Verdana"/>
          <w:b/>
          <w:bCs/>
          <w:sz w:val="18"/>
          <w:szCs w:val="18"/>
        </w:rPr>
        <w:t>En</w:t>
      </w:r>
      <w:r w:rsidRPr="00764EB9">
        <w:rPr>
          <w:rFonts w:ascii="Verdana" w:hAnsi="Verdana"/>
          <w:sz w:val="18"/>
          <w:szCs w:val="18"/>
        </w:rPr>
        <w:t xml:space="preserve"> </w:t>
      </w:r>
      <w:r w:rsidRPr="00764EB9">
        <w:rPr>
          <w:rFonts w:ascii="Verdana" w:hAnsi="Verdana"/>
          <w:b/>
          <w:bCs/>
          <w:sz w:val="18"/>
          <w:szCs w:val="18"/>
        </w:rPr>
        <w:t>tiempo real</w:t>
      </w:r>
      <w:r w:rsidRPr="00764EB9">
        <w:rPr>
          <w:rFonts w:ascii="Verdana" w:hAnsi="Verdana"/>
          <w:sz w:val="18"/>
          <w:szCs w:val="18"/>
        </w:rPr>
        <w:t xml:space="preserve"> (modo Veri*</w:t>
      </w:r>
      <w:proofErr w:type="spellStart"/>
      <w:r w:rsidRPr="00764EB9">
        <w:rPr>
          <w:rFonts w:ascii="Verdana" w:hAnsi="Verdana"/>
          <w:sz w:val="18"/>
          <w:szCs w:val="18"/>
        </w:rPr>
        <w:t>factu</w:t>
      </w:r>
      <w:proofErr w:type="spellEnd"/>
      <w:r w:rsidRPr="00764EB9">
        <w:rPr>
          <w:rFonts w:ascii="Verdana" w:hAnsi="Verdana"/>
          <w:sz w:val="18"/>
          <w:szCs w:val="18"/>
        </w:rPr>
        <w:t>), o</w:t>
      </w:r>
    </w:p>
    <w:p w14:paraId="3C77A18B" w14:textId="77777777" w:rsidR="00764EB9" w:rsidRDefault="00764EB9" w:rsidP="00B362F2">
      <w:pPr>
        <w:numPr>
          <w:ilvl w:val="1"/>
          <w:numId w:val="26"/>
        </w:numPr>
        <w:tabs>
          <w:tab w:val="clear" w:pos="1440"/>
          <w:tab w:val="num" w:pos="993"/>
        </w:tabs>
        <w:spacing w:before="100" w:beforeAutospacing="1" w:after="100" w:afterAutospacing="1"/>
        <w:ind w:left="284" w:firstLine="425"/>
        <w:contextualSpacing/>
        <w:jc w:val="both"/>
        <w:rPr>
          <w:rFonts w:ascii="Verdana" w:hAnsi="Verdana"/>
          <w:sz w:val="18"/>
          <w:szCs w:val="18"/>
        </w:rPr>
      </w:pPr>
      <w:r w:rsidRPr="00764EB9">
        <w:rPr>
          <w:rFonts w:ascii="Verdana" w:hAnsi="Verdana"/>
          <w:b/>
          <w:bCs/>
          <w:sz w:val="18"/>
          <w:szCs w:val="18"/>
        </w:rPr>
        <w:t>A requerimiento</w:t>
      </w:r>
      <w:r w:rsidRPr="00764EB9">
        <w:rPr>
          <w:rFonts w:ascii="Verdana" w:hAnsi="Verdana"/>
          <w:sz w:val="18"/>
          <w:szCs w:val="18"/>
        </w:rPr>
        <w:t xml:space="preserve"> </w:t>
      </w:r>
      <w:r w:rsidRPr="00225A7C">
        <w:rPr>
          <w:rFonts w:ascii="Verdana" w:hAnsi="Verdana"/>
          <w:b/>
          <w:bCs/>
          <w:sz w:val="18"/>
          <w:szCs w:val="18"/>
        </w:rPr>
        <w:t>(modo No Veri*</w:t>
      </w:r>
      <w:proofErr w:type="spellStart"/>
      <w:r w:rsidRPr="00225A7C">
        <w:rPr>
          <w:rFonts w:ascii="Verdana" w:hAnsi="Verdana"/>
          <w:b/>
          <w:bCs/>
          <w:sz w:val="18"/>
          <w:szCs w:val="18"/>
        </w:rPr>
        <w:t>factu</w:t>
      </w:r>
      <w:proofErr w:type="spellEnd"/>
      <w:r w:rsidRPr="00225A7C">
        <w:rPr>
          <w:rFonts w:ascii="Verdana" w:hAnsi="Verdana"/>
          <w:b/>
          <w:bCs/>
          <w:sz w:val="18"/>
          <w:szCs w:val="18"/>
        </w:rPr>
        <w:t>)</w:t>
      </w:r>
      <w:r w:rsidRPr="00764EB9">
        <w:rPr>
          <w:rFonts w:ascii="Verdana" w:hAnsi="Verdana"/>
          <w:sz w:val="18"/>
          <w:szCs w:val="18"/>
        </w:rPr>
        <w:t>.</w:t>
      </w:r>
    </w:p>
    <w:p w14:paraId="26558C9B" w14:textId="77777777" w:rsidR="00C149E7" w:rsidRDefault="00C149E7" w:rsidP="00B362F2">
      <w:pPr>
        <w:spacing w:before="100" w:beforeAutospacing="1" w:after="100" w:afterAutospacing="1"/>
        <w:ind w:left="709"/>
        <w:contextualSpacing/>
        <w:jc w:val="both"/>
        <w:rPr>
          <w:rFonts w:ascii="Verdana" w:hAnsi="Verdana"/>
          <w:sz w:val="18"/>
          <w:szCs w:val="18"/>
        </w:rPr>
      </w:pPr>
    </w:p>
    <w:p w14:paraId="547D1C80" w14:textId="613442F3" w:rsidR="00764EB9" w:rsidRDefault="00764EB9" w:rsidP="00B362F2">
      <w:pPr>
        <w:numPr>
          <w:ilvl w:val="0"/>
          <w:numId w:val="26"/>
        </w:numPr>
        <w:spacing w:before="100" w:beforeAutospacing="1" w:after="100" w:afterAutospacing="1"/>
        <w:ind w:left="284" w:firstLine="0"/>
        <w:contextualSpacing/>
        <w:jc w:val="both"/>
        <w:rPr>
          <w:rFonts w:ascii="Verdana" w:hAnsi="Verdana"/>
          <w:sz w:val="18"/>
          <w:szCs w:val="18"/>
        </w:rPr>
      </w:pPr>
      <w:r w:rsidRPr="00764EB9">
        <w:rPr>
          <w:rFonts w:ascii="Verdana" w:hAnsi="Verdana"/>
          <w:b/>
          <w:bCs/>
          <w:sz w:val="18"/>
          <w:szCs w:val="18"/>
        </w:rPr>
        <w:t>Certificación obligatoria del software</w:t>
      </w:r>
      <w:r w:rsidRPr="00764EB9">
        <w:rPr>
          <w:rFonts w:ascii="Verdana" w:hAnsi="Verdana"/>
          <w:sz w:val="18"/>
          <w:szCs w:val="18"/>
        </w:rPr>
        <w:t xml:space="preserve"> por parte del desarrollador.</w:t>
      </w:r>
    </w:p>
    <w:p w14:paraId="72690434" w14:textId="77777777" w:rsidR="00C149E7" w:rsidRPr="00764EB9" w:rsidRDefault="00C149E7" w:rsidP="00C149E7">
      <w:pPr>
        <w:spacing w:before="100" w:beforeAutospacing="1" w:after="100" w:afterAutospacing="1"/>
        <w:ind w:left="284"/>
        <w:contextualSpacing/>
        <w:jc w:val="both"/>
        <w:rPr>
          <w:rFonts w:ascii="Verdana" w:hAnsi="Verdana"/>
          <w:sz w:val="18"/>
          <w:szCs w:val="18"/>
        </w:rPr>
      </w:pPr>
    </w:p>
    <w:p w14:paraId="5EBB2D85" w14:textId="41D334E7" w:rsidR="00764EB9" w:rsidRPr="00764EB9" w:rsidRDefault="00764EB9" w:rsidP="00656E2D">
      <w:pPr>
        <w:spacing w:before="100" w:beforeAutospacing="1" w:after="100" w:afterAutospacing="1"/>
        <w:ind w:left="284"/>
        <w:jc w:val="both"/>
        <w:outlineLvl w:val="3"/>
        <w:rPr>
          <w:rFonts w:ascii="Verdana" w:hAnsi="Verdana"/>
          <w:b/>
          <w:bCs/>
          <w:sz w:val="18"/>
          <w:szCs w:val="18"/>
        </w:rPr>
      </w:pPr>
      <w:r w:rsidRPr="00764EB9">
        <w:rPr>
          <w:rFonts w:ascii="Verdana" w:hAnsi="Verdana"/>
          <w:b/>
          <w:bCs/>
          <w:sz w:val="18"/>
          <w:szCs w:val="18"/>
        </w:rPr>
        <w:t>Normativa:</w:t>
      </w:r>
    </w:p>
    <w:p w14:paraId="4DCE2B0C" w14:textId="77777777" w:rsidR="00764EB9" w:rsidRPr="00764EB9" w:rsidRDefault="00764EB9" w:rsidP="008C5028">
      <w:pPr>
        <w:numPr>
          <w:ilvl w:val="0"/>
          <w:numId w:val="27"/>
        </w:numPr>
        <w:spacing w:before="100" w:beforeAutospacing="1" w:after="100" w:afterAutospacing="1"/>
        <w:ind w:left="284" w:firstLine="0"/>
        <w:jc w:val="both"/>
        <w:rPr>
          <w:rFonts w:ascii="Verdana" w:hAnsi="Verdana"/>
          <w:sz w:val="18"/>
          <w:szCs w:val="18"/>
        </w:rPr>
      </w:pPr>
      <w:r w:rsidRPr="00764EB9">
        <w:rPr>
          <w:rFonts w:ascii="Verdana" w:hAnsi="Verdana"/>
          <w:b/>
          <w:bCs/>
          <w:sz w:val="18"/>
          <w:szCs w:val="18"/>
        </w:rPr>
        <w:t>Ley 11/2021</w:t>
      </w:r>
      <w:r w:rsidRPr="00764EB9">
        <w:rPr>
          <w:rFonts w:ascii="Verdana" w:hAnsi="Verdana"/>
          <w:sz w:val="18"/>
          <w:szCs w:val="18"/>
        </w:rPr>
        <w:t xml:space="preserve"> (Prevención del fraude fiscal).</w:t>
      </w:r>
    </w:p>
    <w:p w14:paraId="79563C21" w14:textId="77777777" w:rsidR="00764EB9" w:rsidRPr="00764EB9" w:rsidRDefault="00764EB9" w:rsidP="008C5028">
      <w:pPr>
        <w:numPr>
          <w:ilvl w:val="0"/>
          <w:numId w:val="27"/>
        </w:numPr>
        <w:spacing w:before="100" w:beforeAutospacing="1" w:after="100" w:afterAutospacing="1"/>
        <w:ind w:left="284" w:firstLine="0"/>
        <w:jc w:val="both"/>
        <w:rPr>
          <w:rFonts w:ascii="Verdana" w:hAnsi="Verdana"/>
          <w:sz w:val="18"/>
          <w:szCs w:val="18"/>
        </w:rPr>
      </w:pPr>
      <w:r w:rsidRPr="00764EB9">
        <w:rPr>
          <w:rFonts w:ascii="Verdana" w:hAnsi="Verdana"/>
          <w:b/>
          <w:bCs/>
          <w:sz w:val="18"/>
          <w:szCs w:val="18"/>
        </w:rPr>
        <w:t>Real Decreto 1007/2023</w:t>
      </w:r>
      <w:r w:rsidRPr="00764EB9">
        <w:rPr>
          <w:rFonts w:ascii="Verdana" w:hAnsi="Verdana"/>
          <w:sz w:val="18"/>
          <w:szCs w:val="18"/>
        </w:rPr>
        <w:t xml:space="preserve"> (Reglamento Veri*</w:t>
      </w:r>
      <w:proofErr w:type="spellStart"/>
      <w:r w:rsidRPr="00764EB9">
        <w:rPr>
          <w:rFonts w:ascii="Verdana" w:hAnsi="Verdana"/>
          <w:sz w:val="18"/>
          <w:szCs w:val="18"/>
        </w:rPr>
        <w:t>factu</w:t>
      </w:r>
      <w:proofErr w:type="spellEnd"/>
      <w:r w:rsidRPr="00764EB9">
        <w:rPr>
          <w:rFonts w:ascii="Verdana" w:hAnsi="Verdana"/>
          <w:sz w:val="18"/>
          <w:szCs w:val="18"/>
        </w:rPr>
        <w:t>).</w:t>
      </w:r>
    </w:p>
    <w:p w14:paraId="7C4DB6D8" w14:textId="77777777" w:rsidR="00764EB9" w:rsidRPr="00764EB9" w:rsidRDefault="00764EB9" w:rsidP="008C5028">
      <w:pPr>
        <w:numPr>
          <w:ilvl w:val="0"/>
          <w:numId w:val="27"/>
        </w:numPr>
        <w:spacing w:before="100" w:beforeAutospacing="1" w:after="100" w:afterAutospacing="1"/>
        <w:ind w:left="284" w:firstLine="0"/>
        <w:jc w:val="both"/>
        <w:rPr>
          <w:rFonts w:ascii="Verdana" w:hAnsi="Verdana"/>
          <w:sz w:val="18"/>
          <w:szCs w:val="18"/>
        </w:rPr>
      </w:pPr>
      <w:r w:rsidRPr="00764EB9">
        <w:rPr>
          <w:rFonts w:ascii="Verdana" w:hAnsi="Verdana"/>
          <w:b/>
          <w:bCs/>
          <w:sz w:val="18"/>
          <w:szCs w:val="18"/>
        </w:rPr>
        <w:t>Orden HAC/1177/2024</w:t>
      </w:r>
      <w:r w:rsidRPr="00764EB9">
        <w:rPr>
          <w:rFonts w:ascii="Verdana" w:hAnsi="Verdana"/>
          <w:sz w:val="18"/>
          <w:szCs w:val="18"/>
        </w:rPr>
        <w:t xml:space="preserve"> (especificaciones técnicas).</w:t>
      </w:r>
    </w:p>
    <w:p w14:paraId="4C6C7C39" w14:textId="3A01A3B9" w:rsidR="00764EB9" w:rsidRPr="00764EB9" w:rsidRDefault="00764EB9" w:rsidP="00656E2D">
      <w:pPr>
        <w:spacing w:before="100" w:beforeAutospacing="1" w:after="100" w:afterAutospacing="1"/>
        <w:ind w:left="284"/>
        <w:jc w:val="both"/>
        <w:outlineLvl w:val="3"/>
        <w:rPr>
          <w:rFonts w:ascii="Verdana" w:hAnsi="Verdana"/>
          <w:b/>
          <w:bCs/>
          <w:sz w:val="18"/>
          <w:szCs w:val="18"/>
        </w:rPr>
      </w:pPr>
      <w:r w:rsidRPr="00764EB9">
        <w:rPr>
          <w:rFonts w:ascii="Verdana" w:hAnsi="Verdana"/>
          <w:b/>
          <w:bCs/>
          <w:sz w:val="18"/>
          <w:szCs w:val="18"/>
        </w:rPr>
        <w:t xml:space="preserve"> Entrada en vigor:</w:t>
      </w:r>
    </w:p>
    <w:p w14:paraId="78E66501" w14:textId="27962A10" w:rsidR="00764EB9" w:rsidRDefault="00764EB9" w:rsidP="00B362F2">
      <w:pPr>
        <w:numPr>
          <w:ilvl w:val="0"/>
          <w:numId w:val="28"/>
        </w:numPr>
        <w:spacing w:before="100" w:beforeAutospacing="1" w:after="100" w:afterAutospacing="1"/>
        <w:ind w:left="567" w:hanging="283"/>
        <w:contextualSpacing/>
        <w:jc w:val="both"/>
        <w:rPr>
          <w:rFonts w:ascii="Verdana" w:hAnsi="Verdana"/>
          <w:sz w:val="18"/>
          <w:szCs w:val="18"/>
        </w:rPr>
      </w:pPr>
      <w:r w:rsidRPr="00764EB9">
        <w:rPr>
          <w:rFonts w:ascii="Verdana" w:hAnsi="Verdana"/>
          <w:b/>
          <w:bCs/>
          <w:sz w:val="18"/>
          <w:szCs w:val="18"/>
        </w:rPr>
        <w:t>1 de enero de 2026</w:t>
      </w:r>
      <w:r w:rsidRPr="00764EB9">
        <w:rPr>
          <w:rFonts w:ascii="Verdana" w:hAnsi="Verdana"/>
          <w:sz w:val="18"/>
          <w:szCs w:val="18"/>
        </w:rPr>
        <w:t>: obligatoria para sociedades anónimas y limitadas,</w:t>
      </w:r>
      <w:r w:rsidR="002E77A4">
        <w:rPr>
          <w:rFonts w:ascii="Verdana" w:hAnsi="Verdana"/>
          <w:sz w:val="18"/>
          <w:szCs w:val="18"/>
        </w:rPr>
        <w:t xml:space="preserve"> contribuyentes del Impuesto sobre Sociedades</w:t>
      </w:r>
      <w:r w:rsidRPr="00764EB9">
        <w:rPr>
          <w:rFonts w:ascii="Verdana" w:hAnsi="Verdana"/>
          <w:sz w:val="18"/>
          <w:szCs w:val="18"/>
        </w:rPr>
        <w:t xml:space="preserve"> </w:t>
      </w:r>
      <w:r w:rsidRPr="00764EB9">
        <w:rPr>
          <w:rFonts w:ascii="Verdana" w:hAnsi="Verdana"/>
          <w:b/>
          <w:bCs/>
          <w:sz w:val="18"/>
          <w:szCs w:val="18"/>
        </w:rPr>
        <w:t>salvo</w:t>
      </w:r>
      <w:r w:rsidRPr="00764EB9">
        <w:rPr>
          <w:rFonts w:ascii="Verdana" w:hAnsi="Verdana"/>
          <w:sz w:val="18"/>
          <w:szCs w:val="18"/>
        </w:rPr>
        <w:t xml:space="preserve"> las ya acogidas al </w:t>
      </w:r>
      <w:r w:rsidRPr="00764EB9">
        <w:rPr>
          <w:rFonts w:ascii="Verdana" w:hAnsi="Verdana"/>
          <w:b/>
          <w:bCs/>
          <w:sz w:val="18"/>
          <w:szCs w:val="18"/>
        </w:rPr>
        <w:t>SII</w:t>
      </w:r>
      <w:r w:rsidRPr="00764EB9">
        <w:rPr>
          <w:rFonts w:ascii="Verdana" w:hAnsi="Verdana"/>
          <w:sz w:val="18"/>
          <w:szCs w:val="18"/>
        </w:rPr>
        <w:t>.</w:t>
      </w:r>
    </w:p>
    <w:p w14:paraId="7F07E0F8" w14:textId="77777777" w:rsidR="00B362F2" w:rsidRDefault="00B362F2" w:rsidP="00B362F2">
      <w:pPr>
        <w:spacing w:before="100" w:beforeAutospacing="1" w:after="100" w:afterAutospacing="1"/>
        <w:ind w:left="284"/>
        <w:contextualSpacing/>
        <w:jc w:val="both"/>
        <w:rPr>
          <w:rFonts w:ascii="Verdana" w:hAnsi="Verdana"/>
          <w:sz w:val="18"/>
          <w:szCs w:val="18"/>
        </w:rPr>
      </w:pPr>
    </w:p>
    <w:p w14:paraId="3DCCE568" w14:textId="20CFE7C8" w:rsidR="00225A7C" w:rsidRPr="00764EB9" w:rsidRDefault="002E77A4" w:rsidP="00B362F2">
      <w:pPr>
        <w:numPr>
          <w:ilvl w:val="0"/>
          <w:numId w:val="28"/>
        </w:numPr>
        <w:spacing w:before="100" w:beforeAutospacing="1" w:after="100" w:afterAutospacing="1"/>
        <w:ind w:left="567" w:hanging="283"/>
        <w:contextualSpacing/>
        <w:jc w:val="both"/>
        <w:rPr>
          <w:rFonts w:ascii="Verdana" w:hAnsi="Verdana"/>
          <w:sz w:val="18"/>
          <w:szCs w:val="18"/>
        </w:rPr>
      </w:pPr>
      <w:r>
        <w:rPr>
          <w:rFonts w:ascii="Verdana" w:hAnsi="Verdana"/>
          <w:b/>
          <w:bCs/>
          <w:sz w:val="18"/>
          <w:szCs w:val="18"/>
        </w:rPr>
        <w:t xml:space="preserve">1 de julio de 2026 </w:t>
      </w:r>
      <w:r w:rsidRPr="002E77A4">
        <w:rPr>
          <w:rFonts w:ascii="Verdana" w:hAnsi="Verdana"/>
          <w:sz w:val="18"/>
          <w:szCs w:val="18"/>
        </w:rPr>
        <w:t>las demás empresas y autónomos que utilicen sistemas informáticos de facturación</w:t>
      </w:r>
      <w:r w:rsidR="00BD77F5">
        <w:rPr>
          <w:rFonts w:ascii="Verdana" w:hAnsi="Verdana"/>
          <w:b/>
          <w:bCs/>
          <w:sz w:val="18"/>
          <w:szCs w:val="18"/>
        </w:rPr>
        <w:t>.</w:t>
      </w:r>
    </w:p>
    <w:p w14:paraId="28F3D97D" w14:textId="77777777" w:rsidR="00B362F2" w:rsidRDefault="00B362F2" w:rsidP="00656E2D">
      <w:pPr>
        <w:spacing w:before="100" w:beforeAutospacing="1" w:after="100" w:afterAutospacing="1"/>
        <w:ind w:left="284"/>
        <w:jc w:val="both"/>
        <w:outlineLvl w:val="3"/>
        <w:rPr>
          <w:rFonts w:ascii="Verdana" w:hAnsi="Verdana"/>
          <w:b/>
          <w:bCs/>
          <w:sz w:val="18"/>
          <w:szCs w:val="18"/>
        </w:rPr>
      </w:pPr>
    </w:p>
    <w:p w14:paraId="39BDD073" w14:textId="486A16A7" w:rsidR="00764EB9" w:rsidRPr="00764EB9" w:rsidRDefault="00764EB9" w:rsidP="00656E2D">
      <w:pPr>
        <w:spacing w:before="100" w:beforeAutospacing="1" w:after="100" w:afterAutospacing="1"/>
        <w:ind w:left="284"/>
        <w:jc w:val="both"/>
        <w:outlineLvl w:val="3"/>
        <w:rPr>
          <w:rFonts w:ascii="Verdana" w:hAnsi="Verdana"/>
          <w:b/>
          <w:bCs/>
          <w:sz w:val="18"/>
          <w:szCs w:val="18"/>
        </w:rPr>
      </w:pPr>
      <w:r w:rsidRPr="00764EB9">
        <w:rPr>
          <w:rFonts w:ascii="Verdana" w:hAnsi="Verdana"/>
          <w:b/>
          <w:bCs/>
          <w:sz w:val="18"/>
          <w:szCs w:val="18"/>
        </w:rPr>
        <w:t>Ventajas:</w:t>
      </w:r>
    </w:p>
    <w:p w14:paraId="41F293A2" w14:textId="77777777" w:rsidR="00764EB9" w:rsidRPr="00764EB9" w:rsidRDefault="00764EB9" w:rsidP="008C5028">
      <w:pPr>
        <w:numPr>
          <w:ilvl w:val="0"/>
          <w:numId w:val="29"/>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Seguridad e integridad de la facturación.</w:t>
      </w:r>
    </w:p>
    <w:p w14:paraId="12168F1D" w14:textId="77777777" w:rsidR="00764EB9" w:rsidRPr="00764EB9" w:rsidRDefault="00764EB9" w:rsidP="008C5028">
      <w:pPr>
        <w:numPr>
          <w:ilvl w:val="0"/>
          <w:numId w:val="29"/>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Posibilidad de enviar datos en tiempo real.</w:t>
      </w:r>
    </w:p>
    <w:p w14:paraId="067CF62C" w14:textId="77777777" w:rsidR="00764EB9" w:rsidRPr="00764EB9" w:rsidRDefault="00764EB9" w:rsidP="008C5028">
      <w:pPr>
        <w:numPr>
          <w:ilvl w:val="0"/>
          <w:numId w:val="29"/>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Homologación con sistemas europeos de control digital.</w:t>
      </w:r>
    </w:p>
    <w:p w14:paraId="02FCB707" w14:textId="7BAD9225" w:rsidR="00764EB9" w:rsidRPr="00764EB9" w:rsidRDefault="00764EB9" w:rsidP="00656E2D">
      <w:pPr>
        <w:spacing w:before="100" w:beforeAutospacing="1" w:after="100" w:afterAutospacing="1"/>
        <w:ind w:left="284"/>
        <w:jc w:val="both"/>
        <w:outlineLvl w:val="3"/>
        <w:rPr>
          <w:rFonts w:ascii="Verdana" w:hAnsi="Verdana"/>
          <w:b/>
          <w:bCs/>
          <w:sz w:val="18"/>
          <w:szCs w:val="18"/>
        </w:rPr>
      </w:pPr>
      <w:r w:rsidRPr="00764EB9">
        <w:rPr>
          <w:rFonts w:ascii="Verdana" w:hAnsi="Verdana"/>
          <w:b/>
          <w:bCs/>
          <w:sz w:val="18"/>
          <w:szCs w:val="18"/>
        </w:rPr>
        <w:t>Desventajas:</w:t>
      </w:r>
    </w:p>
    <w:p w14:paraId="34062E22" w14:textId="77777777" w:rsidR="00764EB9" w:rsidRPr="00764EB9" w:rsidRDefault="00764EB9" w:rsidP="008C5028">
      <w:pPr>
        <w:numPr>
          <w:ilvl w:val="0"/>
          <w:numId w:val="30"/>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Costes de adaptación del software.</w:t>
      </w:r>
    </w:p>
    <w:p w14:paraId="6C2496BB" w14:textId="77777777" w:rsidR="00764EB9" w:rsidRPr="00764EB9" w:rsidRDefault="00764EB9" w:rsidP="008C5028">
      <w:pPr>
        <w:numPr>
          <w:ilvl w:val="0"/>
          <w:numId w:val="30"/>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Formación del personal y complejidad inicial.</w:t>
      </w:r>
    </w:p>
    <w:p w14:paraId="65B3E01E" w14:textId="77777777" w:rsidR="00764EB9" w:rsidRPr="00C149E7" w:rsidRDefault="00764EB9" w:rsidP="00656E2D">
      <w:pPr>
        <w:spacing w:before="100" w:beforeAutospacing="1" w:after="100" w:afterAutospacing="1"/>
        <w:ind w:left="284"/>
        <w:jc w:val="both"/>
        <w:outlineLvl w:val="2"/>
        <w:rPr>
          <w:rFonts w:ascii="Verdana" w:hAnsi="Verdana"/>
          <w:b/>
          <w:bCs/>
          <w:color w:val="C00000"/>
          <w:sz w:val="18"/>
          <w:szCs w:val="18"/>
        </w:rPr>
      </w:pPr>
      <w:r w:rsidRPr="00C149E7">
        <w:rPr>
          <w:rFonts w:ascii="Verdana" w:hAnsi="Verdana"/>
          <w:b/>
          <w:bCs/>
          <w:color w:val="C00000"/>
          <w:sz w:val="18"/>
          <w:szCs w:val="18"/>
        </w:rPr>
        <w:t>3. ¿Qué es el SII?</w:t>
      </w:r>
    </w:p>
    <w:p w14:paraId="40A9C9BF" w14:textId="77777777" w:rsidR="00764EB9" w:rsidRPr="00764EB9" w:rsidRDefault="00764EB9" w:rsidP="00656E2D">
      <w:pPr>
        <w:spacing w:before="100" w:beforeAutospacing="1" w:after="100" w:afterAutospacing="1"/>
        <w:ind w:left="284"/>
        <w:jc w:val="both"/>
        <w:rPr>
          <w:rFonts w:ascii="Verdana" w:hAnsi="Verdana"/>
          <w:sz w:val="18"/>
          <w:szCs w:val="18"/>
        </w:rPr>
      </w:pPr>
      <w:r w:rsidRPr="00764EB9">
        <w:rPr>
          <w:rFonts w:ascii="Verdana" w:hAnsi="Verdana"/>
          <w:sz w:val="18"/>
          <w:szCs w:val="18"/>
        </w:rPr>
        <w:t xml:space="preserve">El </w:t>
      </w:r>
      <w:r w:rsidRPr="00764EB9">
        <w:rPr>
          <w:rFonts w:ascii="Verdana" w:hAnsi="Verdana"/>
          <w:b/>
          <w:bCs/>
          <w:sz w:val="18"/>
          <w:szCs w:val="18"/>
        </w:rPr>
        <w:t>Suministro Inmediato de Información (SII)</w:t>
      </w:r>
      <w:r w:rsidRPr="00764EB9">
        <w:rPr>
          <w:rFonts w:ascii="Verdana" w:hAnsi="Verdana"/>
          <w:sz w:val="18"/>
          <w:szCs w:val="18"/>
        </w:rPr>
        <w:t xml:space="preserve"> es un sistema electrónico de </w:t>
      </w:r>
      <w:r w:rsidRPr="00764EB9">
        <w:rPr>
          <w:rFonts w:ascii="Verdana" w:hAnsi="Verdana"/>
          <w:b/>
          <w:bCs/>
          <w:sz w:val="18"/>
          <w:szCs w:val="18"/>
        </w:rPr>
        <w:t>gestión del IVA</w:t>
      </w:r>
      <w:r w:rsidRPr="00764EB9">
        <w:rPr>
          <w:rFonts w:ascii="Verdana" w:hAnsi="Verdana"/>
          <w:sz w:val="18"/>
          <w:szCs w:val="18"/>
        </w:rPr>
        <w:t xml:space="preserve"> donde se remiten los </w:t>
      </w:r>
      <w:r w:rsidRPr="00764EB9">
        <w:rPr>
          <w:rFonts w:ascii="Verdana" w:hAnsi="Verdana"/>
          <w:b/>
          <w:bCs/>
          <w:sz w:val="18"/>
          <w:szCs w:val="18"/>
        </w:rPr>
        <w:t>libros registro</w:t>
      </w:r>
      <w:r w:rsidRPr="00764EB9">
        <w:rPr>
          <w:rFonts w:ascii="Verdana" w:hAnsi="Verdana"/>
          <w:sz w:val="18"/>
          <w:szCs w:val="18"/>
        </w:rPr>
        <w:t xml:space="preserve"> a la AEAT casi en tiempo real.</w:t>
      </w:r>
    </w:p>
    <w:p w14:paraId="4CAD7EF9" w14:textId="5E313CB9" w:rsidR="00764EB9" w:rsidRPr="00764EB9" w:rsidRDefault="00764EB9" w:rsidP="00656E2D">
      <w:pPr>
        <w:spacing w:before="100" w:beforeAutospacing="1" w:after="100" w:afterAutospacing="1"/>
        <w:ind w:left="284"/>
        <w:jc w:val="both"/>
        <w:outlineLvl w:val="3"/>
        <w:rPr>
          <w:rFonts w:ascii="Verdana" w:hAnsi="Verdana"/>
          <w:b/>
          <w:bCs/>
          <w:sz w:val="18"/>
          <w:szCs w:val="18"/>
        </w:rPr>
      </w:pPr>
      <w:r w:rsidRPr="00764EB9">
        <w:rPr>
          <w:rFonts w:ascii="Verdana" w:hAnsi="Verdana"/>
          <w:b/>
          <w:bCs/>
          <w:sz w:val="18"/>
          <w:szCs w:val="18"/>
        </w:rPr>
        <w:t>Objetivo:</w:t>
      </w:r>
    </w:p>
    <w:p w14:paraId="36ED0773" w14:textId="77777777" w:rsidR="00764EB9" w:rsidRPr="00764EB9" w:rsidRDefault="00764EB9" w:rsidP="008C5028">
      <w:pPr>
        <w:numPr>
          <w:ilvl w:val="0"/>
          <w:numId w:val="31"/>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lastRenderedPageBreak/>
        <w:t>Mejorar la asistencia al contribuyente y fortalecer el control tributario.</w:t>
      </w:r>
    </w:p>
    <w:p w14:paraId="3E439D52" w14:textId="1363A093" w:rsidR="00764EB9" w:rsidRPr="00764EB9" w:rsidRDefault="00764EB9" w:rsidP="00656E2D">
      <w:pPr>
        <w:spacing w:before="100" w:beforeAutospacing="1" w:after="100" w:afterAutospacing="1"/>
        <w:ind w:left="284"/>
        <w:jc w:val="both"/>
        <w:outlineLvl w:val="3"/>
        <w:rPr>
          <w:rFonts w:ascii="Verdana" w:hAnsi="Verdana"/>
          <w:b/>
          <w:bCs/>
          <w:sz w:val="18"/>
          <w:szCs w:val="18"/>
        </w:rPr>
      </w:pPr>
      <w:r w:rsidRPr="00764EB9">
        <w:rPr>
          <w:rFonts w:ascii="Verdana" w:hAnsi="Verdana"/>
          <w:b/>
          <w:bCs/>
          <w:sz w:val="18"/>
          <w:szCs w:val="18"/>
        </w:rPr>
        <w:t>Obligados:</w:t>
      </w:r>
    </w:p>
    <w:p w14:paraId="42F724C3" w14:textId="77777777" w:rsidR="00764EB9" w:rsidRPr="00764EB9" w:rsidRDefault="00764EB9" w:rsidP="008C5028">
      <w:pPr>
        <w:numPr>
          <w:ilvl w:val="0"/>
          <w:numId w:val="32"/>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Grandes empresas (facturación &gt; 6 millones €/año).</w:t>
      </w:r>
    </w:p>
    <w:p w14:paraId="1E4A1BBE" w14:textId="77777777" w:rsidR="00764EB9" w:rsidRPr="00764EB9" w:rsidRDefault="00764EB9" w:rsidP="008C5028">
      <w:pPr>
        <w:numPr>
          <w:ilvl w:val="0"/>
          <w:numId w:val="32"/>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Grupos de IVA.</w:t>
      </w:r>
    </w:p>
    <w:p w14:paraId="1C1705C4" w14:textId="77777777" w:rsidR="00764EB9" w:rsidRPr="00764EB9" w:rsidRDefault="00764EB9" w:rsidP="008C5028">
      <w:pPr>
        <w:numPr>
          <w:ilvl w:val="0"/>
          <w:numId w:val="32"/>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 xml:space="preserve">Empresas del </w:t>
      </w:r>
      <w:r w:rsidRPr="00764EB9">
        <w:rPr>
          <w:rFonts w:ascii="Verdana" w:hAnsi="Verdana"/>
          <w:b/>
          <w:bCs/>
          <w:sz w:val="18"/>
          <w:szCs w:val="18"/>
        </w:rPr>
        <w:t>régimen de devolución mensual (REDEME)</w:t>
      </w:r>
      <w:r w:rsidRPr="00764EB9">
        <w:rPr>
          <w:rFonts w:ascii="Verdana" w:hAnsi="Verdana"/>
          <w:sz w:val="18"/>
          <w:szCs w:val="18"/>
        </w:rPr>
        <w:t>.</w:t>
      </w:r>
    </w:p>
    <w:p w14:paraId="3A44FD74" w14:textId="7013DBD9" w:rsidR="00764EB9" w:rsidRPr="00764EB9" w:rsidRDefault="00764EB9" w:rsidP="00656E2D">
      <w:pPr>
        <w:spacing w:before="100" w:beforeAutospacing="1" w:after="100" w:afterAutospacing="1"/>
        <w:ind w:left="284"/>
        <w:jc w:val="both"/>
        <w:outlineLvl w:val="3"/>
        <w:rPr>
          <w:rFonts w:ascii="Verdana" w:hAnsi="Verdana"/>
          <w:b/>
          <w:bCs/>
          <w:sz w:val="18"/>
          <w:szCs w:val="18"/>
        </w:rPr>
      </w:pPr>
      <w:r w:rsidRPr="00764EB9">
        <w:rPr>
          <w:rFonts w:ascii="Verdana" w:hAnsi="Verdana"/>
          <w:b/>
          <w:bCs/>
          <w:sz w:val="18"/>
          <w:szCs w:val="18"/>
        </w:rPr>
        <w:t xml:space="preserve"> Características:</w:t>
      </w:r>
    </w:p>
    <w:p w14:paraId="03BC2F66" w14:textId="77777777" w:rsidR="00764EB9" w:rsidRPr="00764EB9" w:rsidRDefault="00764EB9" w:rsidP="008C5028">
      <w:pPr>
        <w:numPr>
          <w:ilvl w:val="0"/>
          <w:numId w:val="33"/>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 xml:space="preserve">No afecta la emisión de facturas, sino su </w:t>
      </w:r>
      <w:r w:rsidRPr="00764EB9">
        <w:rPr>
          <w:rFonts w:ascii="Verdana" w:hAnsi="Verdana"/>
          <w:b/>
          <w:bCs/>
          <w:sz w:val="18"/>
          <w:szCs w:val="18"/>
        </w:rPr>
        <w:t>declaración electrónica</w:t>
      </w:r>
      <w:r w:rsidRPr="00764EB9">
        <w:rPr>
          <w:rFonts w:ascii="Verdana" w:hAnsi="Verdana"/>
          <w:sz w:val="18"/>
          <w:szCs w:val="18"/>
        </w:rPr>
        <w:t>.</w:t>
      </w:r>
    </w:p>
    <w:p w14:paraId="657310E1" w14:textId="77777777" w:rsidR="00764EB9" w:rsidRPr="00764EB9" w:rsidRDefault="00764EB9" w:rsidP="008C5028">
      <w:pPr>
        <w:numPr>
          <w:ilvl w:val="0"/>
          <w:numId w:val="33"/>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 xml:space="preserve">Sustituye los modelos </w:t>
      </w:r>
      <w:r w:rsidRPr="00764EB9">
        <w:rPr>
          <w:rFonts w:ascii="Verdana" w:hAnsi="Verdana"/>
          <w:b/>
          <w:bCs/>
          <w:sz w:val="18"/>
          <w:szCs w:val="18"/>
        </w:rPr>
        <w:t>347, 340 y 390</w:t>
      </w:r>
      <w:r w:rsidRPr="00764EB9">
        <w:rPr>
          <w:rFonts w:ascii="Verdana" w:hAnsi="Verdana"/>
          <w:sz w:val="18"/>
          <w:szCs w:val="18"/>
        </w:rPr>
        <w:t>.</w:t>
      </w:r>
    </w:p>
    <w:p w14:paraId="0A5B63C1" w14:textId="77777777" w:rsidR="00764EB9" w:rsidRPr="00764EB9" w:rsidRDefault="00764EB9" w:rsidP="008C5028">
      <w:pPr>
        <w:numPr>
          <w:ilvl w:val="0"/>
          <w:numId w:val="33"/>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Comunicación casi inmediata para facilitar el cruce de datos.</w:t>
      </w:r>
    </w:p>
    <w:p w14:paraId="6F0E98AF" w14:textId="4A75E530" w:rsidR="00764EB9" w:rsidRPr="00764EB9" w:rsidRDefault="00764EB9" w:rsidP="00656E2D">
      <w:pPr>
        <w:spacing w:before="100" w:beforeAutospacing="1" w:after="100" w:afterAutospacing="1"/>
        <w:ind w:left="284"/>
        <w:jc w:val="both"/>
        <w:outlineLvl w:val="3"/>
        <w:rPr>
          <w:rFonts w:ascii="Verdana" w:hAnsi="Verdana"/>
          <w:b/>
          <w:bCs/>
          <w:sz w:val="18"/>
          <w:szCs w:val="18"/>
        </w:rPr>
      </w:pPr>
      <w:r w:rsidRPr="00764EB9">
        <w:rPr>
          <w:rFonts w:ascii="Verdana" w:hAnsi="Verdana"/>
          <w:b/>
          <w:bCs/>
          <w:sz w:val="18"/>
          <w:szCs w:val="18"/>
        </w:rPr>
        <w:t>Plazos:</w:t>
      </w:r>
    </w:p>
    <w:p w14:paraId="1E046CE9" w14:textId="15759516" w:rsidR="00764EB9" w:rsidRPr="00764EB9" w:rsidRDefault="00764EB9" w:rsidP="00BD77F5">
      <w:pPr>
        <w:numPr>
          <w:ilvl w:val="0"/>
          <w:numId w:val="34"/>
        </w:numPr>
        <w:spacing w:before="100" w:beforeAutospacing="1" w:after="100" w:afterAutospacing="1"/>
        <w:ind w:left="709" w:hanging="425"/>
        <w:jc w:val="both"/>
        <w:rPr>
          <w:rFonts w:ascii="Verdana" w:hAnsi="Verdana"/>
          <w:sz w:val="18"/>
          <w:szCs w:val="18"/>
        </w:rPr>
      </w:pPr>
      <w:r w:rsidRPr="00764EB9">
        <w:rPr>
          <w:rFonts w:ascii="Verdana" w:hAnsi="Verdana"/>
          <w:b/>
          <w:bCs/>
          <w:sz w:val="18"/>
          <w:szCs w:val="18"/>
        </w:rPr>
        <w:t>Facturas emitidas:</w:t>
      </w:r>
      <w:r w:rsidRPr="00764EB9">
        <w:rPr>
          <w:rFonts w:ascii="Verdana" w:hAnsi="Verdana"/>
          <w:sz w:val="18"/>
          <w:szCs w:val="18"/>
        </w:rPr>
        <w:t xml:space="preserve"> 4 días naturales</w:t>
      </w:r>
      <w:r w:rsidR="00BD77F5">
        <w:rPr>
          <w:rFonts w:ascii="Verdana" w:hAnsi="Verdana"/>
          <w:sz w:val="18"/>
          <w:szCs w:val="18"/>
        </w:rPr>
        <w:t xml:space="preserve"> sin incluir sábados, domingos ni fiestas nacionales.</w:t>
      </w:r>
      <w:r w:rsidRPr="00764EB9">
        <w:rPr>
          <w:rFonts w:ascii="Verdana" w:hAnsi="Verdana"/>
          <w:sz w:val="18"/>
          <w:szCs w:val="18"/>
        </w:rPr>
        <w:t xml:space="preserve"> (8 si las emite un tercero).</w:t>
      </w:r>
    </w:p>
    <w:p w14:paraId="4ACDFABB" w14:textId="77777777" w:rsidR="006B57BC" w:rsidRDefault="00764EB9" w:rsidP="006B57BC">
      <w:pPr>
        <w:numPr>
          <w:ilvl w:val="0"/>
          <w:numId w:val="34"/>
        </w:numPr>
        <w:ind w:left="709" w:hanging="425"/>
        <w:jc w:val="both"/>
        <w:rPr>
          <w:rFonts w:ascii="Verdana" w:hAnsi="Verdana"/>
          <w:sz w:val="18"/>
          <w:szCs w:val="18"/>
        </w:rPr>
      </w:pPr>
      <w:r w:rsidRPr="00764EB9">
        <w:rPr>
          <w:rFonts w:ascii="Verdana" w:hAnsi="Verdana"/>
          <w:b/>
          <w:bCs/>
          <w:sz w:val="18"/>
          <w:szCs w:val="18"/>
        </w:rPr>
        <w:t>Facturas recibidas:</w:t>
      </w:r>
      <w:r w:rsidRPr="00764EB9">
        <w:rPr>
          <w:rFonts w:ascii="Verdana" w:hAnsi="Verdana"/>
          <w:sz w:val="18"/>
          <w:szCs w:val="18"/>
        </w:rPr>
        <w:t xml:space="preserve"> 4 días desde el registro contable</w:t>
      </w:r>
      <w:r w:rsidR="006B57BC">
        <w:rPr>
          <w:rFonts w:ascii="Verdana" w:hAnsi="Verdana"/>
          <w:sz w:val="18"/>
          <w:szCs w:val="18"/>
        </w:rPr>
        <w:t xml:space="preserve"> sin incluir sábados, domingos ni fiestas nacionales</w:t>
      </w:r>
      <w:r w:rsidRPr="00764EB9">
        <w:rPr>
          <w:rFonts w:ascii="Verdana" w:hAnsi="Verdana"/>
          <w:sz w:val="18"/>
          <w:szCs w:val="18"/>
        </w:rPr>
        <w:t>.</w:t>
      </w:r>
    </w:p>
    <w:p w14:paraId="75EFA9F7" w14:textId="7DE81080" w:rsidR="00764EB9" w:rsidRPr="006B57BC" w:rsidRDefault="00764EB9" w:rsidP="006B57BC">
      <w:pPr>
        <w:ind w:left="709"/>
        <w:jc w:val="both"/>
        <w:rPr>
          <w:rFonts w:ascii="Verdana" w:hAnsi="Verdana"/>
          <w:sz w:val="18"/>
          <w:szCs w:val="18"/>
        </w:rPr>
      </w:pPr>
      <w:r w:rsidRPr="006B57BC">
        <w:rPr>
          <w:rFonts w:ascii="Verdana" w:hAnsi="Verdana"/>
          <w:sz w:val="18"/>
          <w:szCs w:val="18"/>
        </w:rPr>
        <w:t xml:space="preserve">Todo antes del día </w:t>
      </w:r>
      <w:r w:rsidRPr="006B57BC">
        <w:rPr>
          <w:rFonts w:ascii="Verdana" w:hAnsi="Verdana"/>
          <w:b/>
          <w:bCs/>
          <w:sz w:val="18"/>
          <w:szCs w:val="18"/>
        </w:rPr>
        <w:t>16 del mes siguiente</w:t>
      </w:r>
      <w:r w:rsidRPr="006B57BC">
        <w:rPr>
          <w:rFonts w:ascii="Verdana" w:hAnsi="Verdana"/>
          <w:sz w:val="18"/>
          <w:szCs w:val="18"/>
        </w:rPr>
        <w:t xml:space="preserve"> al devengo.</w:t>
      </w:r>
    </w:p>
    <w:p w14:paraId="06586318" w14:textId="5ABBDDE5" w:rsidR="00764EB9" w:rsidRPr="00764EB9" w:rsidRDefault="00764EB9" w:rsidP="00656E2D">
      <w:pPr>
        <w:spacing w:before="100" w:beforeAutospacing="1" w:after="100" w:afterAutospacing="1"/>
        <w:ind w:left="284"/>
        <w:jc w:val="both"/>
        <w:outlineLvl w:val="3"/>
        <w:rPr>
          <w:rFonts w:ascii="Verdana" w:hAnsi="Verdana"/>
          <w:b/>
          <w:bCs/>
          <w:sz w:val="18"/>
          <w:szCs w:val="18"/>
        </w:rPr>
      </w:pPr>
      <w:r w:rsidRPr="00764EB9">
        <w:rPr>
          <w:rFonts w:ascii="Verdana" w:hAnsi="Verdana"/>
          <w:b/>
          <w:bCs/>
          <w:sz w:val="18"/>
          <w:szCs w:val="18"/>
        </w:rPr>
        <w:t xml:space="preserve"> Ventajas:</w:t>
      </w:r>
    </w:p>
    <w:p w14:paraId="07DE34AA" w14:textId="77777777" w:rsidR="00764EB9" w:rsidRPr="00764EB9" w:rsidRDefault="00764EB9" w:rsidP="008C5028">
      <w:pPr>
        <w:numPr>
          <w:ilvl w:val="0"/>
          <w:numId w:val="35"/>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Gestión más ágil del IVA.</w:t>
      </w:r>
    </w:p>
    <w:p w14:paraId="7296FFEC" w14:textId="77777777" w:rsidR="00764EB9" w:rsidRPr="00764EB9" w:rsidRDefault="00764EB9" w:rsidP="008C5028">
      <w:pPr>
        <w:numPr>
          <w:ilvl w:val="0"/>
          <w:numId w:val="35"/>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Menos obligaciones formales (elimina modelos).</w:t>
      </w:r>
    </w:p>
    <w:p w14:paraId="25E4FA58" w14:textId="77777777" w:rsidR="00764EB9" w:rsidRPr="00764EB9" w:rsidRDefault="00764EB9" w:rsidP="008C5028">
      <w:pPr>
        <w:numPr>
          <w:ilvl w:val="0"/>
          <w:numId w:val="35"/>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Acceso a información cruzada con clientes/proveedores.</w:t>
      </w:r>
    </w:p>
    <w:p w14:paraId="5C64D450" w14:textId="181A06FD" w:rsidR="00764EB9" w:rsidRPr="00764EB9" w:rsidRDefault="00764EB9" w:rsidP="00656E2D">
      <w:pPr>
        <w:spacing w:before="100" w:beforeAutospacing="1" w:after="100" w:afterAutospacing="1"/>
        <w:ind w:left="284"/>
        <w:jc w:val="both"/>
        <w:outlineLvl w:val="3"/>
        <w:rPr>
          <w:rFonts w:ascii="Verdana" w:hAnsi="Verdana"/>
          <w:b/>
          <w:bCs/>
          <w:sz w:val="18"/>
          <w:szCs w:val="18"/>
        </w:rPr>
      </w:pPr>
      <w:r w:rsidRPr="00764EB9">
        <w:rPr>
          <w:rFonts w:ascii="Verdana" w:hAnsi="Verdana"/>
          <w:b/>
          <w:bCs/>
          <w:sz w:val="18"/>
          <w:szCs w:val="18"/>
        </w:rPr>
        <w:t xml:space="preserve"> Desventajas:</w:t>
      </w:r>
    </w:p>
    <w:p w14:paraId="2331F2CE" w14:textId="77777777" w:rsidR="00764EB9" w:rsidRPr="00764EB9" w:rsidRDefault="00764EB9" w:rsidP="008C5028">
      <w:pPr>
        <w:numPr>
          <w:ilvl w:val="0"/>
          <w:numId w:val="36"/>
        </w:numPr>
        <w:tabs>
          <w:tab w:val="left" w:pos="360"/>
        </w:tabs>
        <w:spacing w:before="100" w:beforeAutospacing="1" w:after="100" w:afterAutospacing="1"/>
        <w:ind w:left="284" w:firstLine="0"/>
        <w:jc w:val="both"/>
        <w:rPr>
          <w:rFonts w:ascii="Verdana" w:hAnsi="Verdana"/>
          <w:sz w:val="18"/>
          <w:szCs w:val="18"/>
        </w:rPr>
      </w:pPr>
      <w:r w:rsidRPr="00764EB9">
        <w:rPr>
          <w:rFonts w:ascii="Verdana" w:hAnsi="Verdana"/>
          <w:sz w:val="18"/>
          <w:szCs w:val="18"/>
        </w:rPr>
        <w:t>Alta carga administrativa y tecnológica.</w:t>
      </w:r>
    </w:p>
    <w:p w14:paraId="4E3C9856" w14:textId="77777777" w:rsidR="00764EB9" w:rsidRPr="00764EB9" w:rsidRDefault="00764EB9" w:rsidP="008C5028">
      <w:pPr>
        <w:numPr>
          <w:ilvl w:val="0"/>
          <w:numId w:val="36"/>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Plazos ajustados y riesgo de sanciones por errores o retrasos.</w:t>
      </w:r>
    </w:p>
    <w:p w14:paraId="55A7EACB" w14:textId="77777777" w:rsidR="00764EB9" w:rsidRPr="00C149E7" w:rsidRDefault="00764EB9" w:rsidP="00764EB9">
      <w:pPr>
        <w:spacing w:before="100" w:beforeAutospacing="1" w:after="100" w:afterAutospacing="1"/>
        <w:ind w:left="284"/>
        <w:outlineLvl w:val="2"/>
        <w:rPr>
          <w:rFonts w:ascii="Verdana" w:hAnsi="Verdana"/>
          <w:b/>
          <w:bCs/>
          <w:color w:val="C00000"/>
          <w:sz w:val="18"/>
          <w:szCs w:val="18"/>
        </w:rPr>
      </w:pPr>
      <w:r w:rsidRPr="00C149E7">
        <w:rPr>
          <w:rFonts w:ascii="Verdana" w:hAnsi="Verdana"/>
          <w:b/>
          <w:bCs/>
          <w:color w:val="C00000"/>
          <w:sz w:val="18"/>
          <w:szCs w:val="18"/>
        </w:rPr>
        <w:t>4. Comparativa esencial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7"/>
        <w:gridCol w:w="3583"/>
        <w:gridCol w:w="2705"/>
      </w:tblGrid>
      <w:tr w:rsidR="00764EB9" w:rsidRPr="00764EB9" w14:paraId="1A9CE5D4" w14:textId="77777777">
        <w:trPr>
          <w:tblHeader/>
          <w:tblCellSpacing w:w="15" w:type="dxa"/>
        </w:trPr>
        <w:tc>
          <w:tcPr>
            <w:tcW w:w="0" w:type="auto"/>
            <w:vAlign w:val="center"/>
            <w:hideMark/>
          </w:tcPr>
          <w:p w14:paraId="25E75500" w14:textId="77777777" w:rsidR="00764EB9" w:rsidRPr="00764EB9" w:rsidRDefault="00764EB9" w:rsidP="006E4B17">
            <w:pPr>
              <w:ind w:left="284"/>
              <w:rPr>
                <w:rFonts w:ascii="Verdana" w:hAnsi="Verdana"/>
                <w:b/>
                <w:bCs/>
                <w:sz w:val="18"/>
                <w:szCs w:val="18"/>
              </w:rPr>
            </w:pPr>
            <w:r w:rsidRPr="00764EB9">
              <w:rPr>
                <w:rFonts w:ascii="Verdana" w:hAnsi="Verdana"/>
                <w:b/>
                <w:bCs/>
                <w:sz w:val="18"/>
                <w:szCs w:val="18"/>
              </w:rPr>
              <w:t>Característica</w:t>
            </w:r>
          </w:p>
        </w:tc>
        <w:tc>
          <w:tcPr>
            <w:tcW w:w="0" w:type="auto"/>
            <w:vAlign w:val="center"/>
            <w:hideMark/>
          </w:tcPr>
          <w:p w14:paraId="36B4A004" w14:textId="77777777" w:rsidR="00764EB9" w:rsidRPr="00764EB9" w:rsidRDefault="00764EB9" w:rsidP="00764EB9">
            <w:pPr>
              <w:ind w:left="284"/>
              <w:jc w:val="center"/>
              <w:rPr>
                <w:rFonts w:ascii="Verdana" w:hAnsi="Verdana"/>
                <w:b/>
                <w:bCs/>
                <w:sz w:val="18"/>
                <w:szCs w:val="18"/>
              </w:rPr>
            </w:pPr>
            <w:r w:rsidRPr="00764EB9">
              <w:rPr>
                <w:rFonts w:ascii="Verdana" w:hAnsi="Verdana"/>
                <w:b/>
                <w:bCs/>
                <w:sz w:val="18"/>
                <w:szCs w:val="18"/>
              </w:rPr>
              <w:t>Veri*</w:t>
            </w:r>
            <w:proofErr w:type="spellStart"/>
            <w:r w:rsidRPr="00764EB9">
              <w:rPr>
                <w:rFonts w:ascii="Verdana" w:hAnsi="Verdana"/>
                <w:b/>
                <w:bCs/>
                <w:sz w:val="18"/>
                <w:szCs w:val="18"/>
              </w:rPr>
              <w:t>factu</w:t>
            </w:r>
            <w:proofErr w:type="spellEnd"/>
          </w:p>
        </w:tc>
        <w:tc>
          <w:tcPr>
            <w:tcW w:w="0" w:type="auto"/>
            <w:vAlign w:val="center"/>
            <w:hideMark/>
          </w:tcPr>
          <w:p w14:paraId="4A6B8A13" w14:textId="77777777" w:rsidR="00764EB9" w:rsidRPr="00764EB9" w:rsidRDefault="00764EB9" w:rsidP="00764EB9">
            <w:pPr>
              <w:ind w:left="284"/>
              <w:jc w:val="center"/>
              <w:rPr>
                <w:rFonts w:ascii="Verdana" w:hAnsi="Verdana"/>
                <w:b/>
                <w:bCs/>
                <w:sz w:val="18"/>
                <w:szCs w:val="18"/>
              </w:rPr>
            </w:pPr>
            <w:r w:rsidRPr="00764EB9">
              <w:rPr>
                <w:rFonts w:ascii="Verdana" w:hAnsi="Verdana"/>
                <w:b/>
                <w:bCs/>
                <w:sz w:val="18"/>
                <w:szCs w:val="18"/>
              </w:rPr>
              <w:t>SII</w:t>
            </w:r>
          </w:p>
        </w:tc>
      </w:tr>
      <w:tr w:rsidR="00764EB9" w:rsidRPr="00764EB9" w14:paraId="21F63FF3" w14:textId="77777777">
        <w:trPr>
          <w:tblCellSpacing w:w="15" w:type="dxa"/>
        </w:trPr>
        <w:tc>
          <w:tcPr>
            <w:tcW w:w="0" w:type="auto"/>
            <w:vAlign w:val="center"/>
            <w:hideMark/>
          </w:tcPr>
          <w:p w14:paraId="1029B136" w14:textId="77777777" w:rsidR="00764EB9" w:rsidRPr="00764EB9" w:rsidRDefault="00764EB9" w:rsidP="00764EB9">
            <w:pPr>
              <w:ind w:left="284"/>
              <w:rPr>
                <w:rFonts w:ascii="Verdana" w:hAnsi="Verdana"/>
                <w:sz w:val="18"/>
                <w:szCs w:val="18"/>
              </w:rPr>
            </w:pPr>
            <w:r w:rsidRPr="00764EB9">
              <w:rPr>
                <w:rFonts w:ascii="Verdana" w:hAnsi="Verdana"/>
                <w:b/>
                <w:bCs/>
                <w:sz w:val="18"/>
                <w:szCs w:val="18"/>
              </w:rPr>
              <w:t>Naturaleza</w:t>
            </w:r>
          </w:p>
        </w:tc>
        <w:tc>
          <w:tcPr>
            <w:tcW w:w="0" w:type="auto"/>
            <w:vAlign w:val="center"/>
            <w:hideMark/>
          </w:tcPr>
          <w:p w14:paraId="2A802B20" w14:textId="77777777" w:rsidR="00764EB9" w:rsidRPr="00764EB9" w:rsidRDefault="00764EB9" w:rsidP="00764EB9">
            <w:pPr>
              <w:ind w:left="284"/>
              <w:rPr>
                <w:rFonts w:ascii="Verdana" w:hAnsi="Verdana"/>
                <w:sz w:val="18"/>
                <w:szCs w:val="18"/>
              </w:rPr>
            </w:pPr>
            <w:r w:rsidRPr="00764EB9">
              <w:rPr>
                <w:rFonts w:ascii="Verdana" w:hAnsi="Verdana"/>
                <w:sz w:val="18"/>
                <w:szCs w:val="18"/>
              </w:rPr>
              <w:t>Regula el software y la trazabilidad de las facturas</w:t>
            </w:r>
          </w:p>
        </w:tc>
        <w:tc>
          <w:tcPr>
            <w:tcW w:w="0" w:type="auto"/>
            <w:vAlign w:val="center"/>
            <w:hideMark/>
          </w:tcPr>
          <w:p w14:paraId="1203418C" w14:textId="77777777" w:rsidR="00764EB9" w:rsidRPr="00764EB9" w:rsidRDefault="00764EB9" w:rsidP="00764EB9">
            <w:pPr>
              <w:ind w:left="284"/>
              <w:rPr>
                <w:rFonts w:ascii="Verdana" w:hAnsi="Verdana"/>
                <w:sz w:val="18"/>
                <w:szCs w:val="18"/>
              </w:rPr>
            </w:pPr>
            <w:r w:rsidRPr="00764EB9">
              <w:rPr>
                <w:rFonts w:ascii="Verdana" w:hAnsi="Verdana"/>
                <w:sz w:val="18"/>
                <w:szCs w:val="18"/>
              </w:rPr>
              <w:t>Sistema de gestión del IVA</w:t>
            </w:r>
          </w:p>
        </w:tc>
      </w:tr>
      <w:tr w:rsidR="00764EB9" w:rsidRPr="00764EB9" w14:paraId="28FA69B2" w14:textId="77777777">
        <w:trPr>
          <w:tblCellSpacing w:w="15" w:type="dxa"/>
        </w:trPr>
        <w:tc>
          <w:tcPr>
            <w:tcW w:w="0" w:type="auto"/>
            <w:vAlign w:val="center"/>
            <w:hideMark/>
          </w:tcPr>
          <w:p w14:paraId="7F000791" w14:textId="77777777" w:rsidR="00764EB9" w:rsidRPr="00764EB9" w:rsidRDefault="00764EB9" w:rsidP="00764EB9">
            <w:pPr>
              <w:ind w:left="284"/>
              <w:rPr>
                <w:rFonts w:ascii="Verdana" w:hAnsi="Verdana"/>
                <w:sz w:val="18"/>
                <w:szCs w:val="18"/>
              </w:rPr>
            </w:pPr>
            <w:r w:rsidRPr="00764EB9">
              <w:rPr>
                <w:rFonts w:ascii="Verdana" w:hAnsi="Verdana"/>
                <w:b/>
                <w:bCs/>
                <w:sz w:val="18"/>
                <w:szCs w:val="18"/>
              </w:rPr>
              <w:t>Sujetos obligados</w:t>
            </w:r>
          </w:p>
        </w:tc>
        <w:tc>
          <w:tcPr>
            <w:tcW w:w="0" w:type="auto"/>
            <w:vAlign w:val="center"/>
            <w:hideMark/>
          </w:tcPr>
          <w:p w14:paraId="3F2F5204" w14:textId="77777777" w:rsidR="00764EB9" w:rsidRPr="00764EB9" w:rsidRDefault="00764EB9" w:rsidP="00764EB9">
            <w:pPr>
              <w:ind w:left="284"/>
              <w:rPr>
                <w:rFonts w:ascii="Verdana" w:hAnsi="Verdana"/>
                <w:sz w:val="18"/>
                <w:szCs w:val="18"/>
              </w:rPr>
            </w:pPr>
            <w:r w:rsidRPr="00764EB9">
              <w:rPr>
                <w:rFonts w:ascii="Verdana" w:hAnsi="Verdana"/>
                <w:sz w:val="18"/>
                <w:szCs w:val="18"/>
              </w:rPr>
              <w:t xml:space="preserve">Todas las empresas y autónomos (excepto usuarios SII y </w:t>
            </w:r>
            <w:proofErr w:type="spellStart"/>
            <w:r w:rsidRPr="00764EB9">
              <w:rPr>
                <w:rFonts w:ascii="Verdana" w:hAnsi="Verdana"/>
                <w:sz w:val="18"/>
                <w:szCs w:val="18"/>
              </w:rPr>
              <w:t>TicketBAI</w:t>
            </w:r>
            <w:proofErr w:type="spellEnd"/>
            <w:r w:rsidRPr="00764EB9">
              <w:rPr>
                <w:rFonts w:ascii="Verdana" w:hAnsi="Verdana"/>
                <w:sz w:val="18"/>
                <w:szCs w:val="18"/>
              </w:rPr>
              <w:t>)</w:t>
            </w:r>
          </w:p>
        </w:tc>
        <w:tc>
          <w:tcPr>
            <w:tcW w:w="0" w:type="auto"/>
            <w:vAlign w:val="center"/>
            <w:hideMark/>
          </w:tcPr>
          <w:p w14:paraId="156A458A" w14:textId="77777777" w:rsidR="00764EB9" w:rsidRPr="00764EB9" w:rsidRDefault="00764EB9" w:rsidP="00764EB9">
            <w:pPr>
              <w:ind w:left="284"/>
              <w:rPr>
                <w:rFonts w:ascii="Verdana" w:hAnsi="Verdana"/>
                <w:sz w:val="18"/>
                <w:szCs w:val="18"/>
              </w:rPr>
            </w:pPr>
            <w:r w:rsidRPr="00764EB9">
              <w:rPr>
                <w:rFonts w:ascii="Verdana" w:hAnsi="Verdana"/>
                <w:sz w:val="18"/>
                <w:szCs w:val="18"/>
              </w:rPr>
              <w:t>Grandes empresas, REDEME y grupos de IVA</w:t>
            </w:r>
          </w:p>
        </w:tc>
      </w:tr>
      <w:tr w:rsidR="00764EB9" w:rsidRPr="00764EB9" w14:paraId="05A48727" w14:textId="77777777">
        <w:trPr>
          <w:tblCellSpacing w:w="15" w:type="dxa"/>
        </w:trPr>
        <w:tc>
          <w:tcPr>
            <w:tcW w:w="0" w:type="auto"/>
            <w:vAlign w:val="center"/>
            <w:hideMark/>
          </w:tcPr>
          <w:p w14:paraId="29B58BBC" w14:textId="77777777" w:rsidR="00764EB9" w:rsidRPr="00764EB9" w:rsidRDefault="00764EB9" w:rsidP="00764EB9">
            <w:pPr>
              <w:ind w:left="284"/>
              <w:rPr>
                <w:rFonts w:ascii="Verdana" w:hAnsi="Verdana"/>
                <w:sz w:val="18"/>
                <w:szCs w:val="18"/>
              </w:rPr>
            </w:pPr>
            <w:r w:rsidRPr="00764EB9">
              <w:rPr>
                <w:rFonts w:ascii="Verdana" w:hAnsi="Verdana"/>
                <w:b/>
                <w:bCs/>
                <w:sz w:val="18"/>
                <w:szCs w:val="18"/>
              </w:rPr>
              <w:t>Comunicación con Hacienda</w:t>
            </w:r>
          </w:p>
        </w:tc>
        <w:tc>
          <w:tcPr>
            <w:tcW w:w="0" w:type="auto"/>
            <w:vAlign w:val="center"/>
            <w:hideMark/>
          </w:tcPr>
          <w:p w14:paraId="34BE7C5F" w14:textId="77777777" w:rsidR="00764EB9" w:rsidRPr="00764EB9" w:rsidRDefault="00764EB9" w:rsidP="00764EB9">
            <w:pPr>
              <w:ind w:left="284"/>
              <w:rPr>
                <w:rFonts w:ascii="Verdana" w:hAnsi="Verdana"/>
                <w:sz w:val="18"/>
                <w:szCs w:val="18"/>
              </w:rPr>
            </w:pPr>
            <w:r w:rsidRPr="00764EB9">
              <w:rPr>
                <w:rFonts w:ascii="Verdana" w:hAnsi="Verdana"/>
                <w:sz w:val="18"/>
                <w:szCs w:val="18"/>
              </w:rPr>
              <w:t>Envío automático al emitir la factura</w:t>
            </w:r>
          </w:p>
        </w:tc>
        <w:tc>
          <w:tcPr>
            <w:tcW w:w="0" w:type="auto"/>
            <w:vAlign w:val="center"/>
            <w:hideMark/>
          </w:tcPr>
          <w:p w14:paraId="0AB61085" w14:textId="77777777" w:rsidR="00764EB9" w:rsidRPr="00764EB9" w:rsidRDefault="00764EB9" w:rsidP="00764EB9">
            <w:pPr>
              <w:ind w:left="284"/>
              <w:rPr>
                <w:rFonts w:ascii="Verdana" w:hAnsi="Verdana"/>
                <w:sz w:val="18"/>
                <w:szCs w:val="18"/>
              </w:rPr>
            </w:pPr>
            <w:r w:rsidRPr="00764EB9">
              <w:rPr>
                <w:rFonts w:ascii="Verdana" w:hAnsi="Verdana"/>
                <w:sz w:val="18"/>
                <w:szCs w:val="18"/>
              </w:rPr>
              <w:t>Envío de libros de IVA en 4 días</w:t>
            </w:r>
          </w:p>
        </w:tc>
      </w:tr>
      <w:tr w:rsidR="00764EB9" w:rsidRPr="00764EB9" w14:paraId="6D4DA697" w14:textId="77777777">
        <w:trPr>
          <w:tblCellSpacing w:w="15" w:type="dxa"/>
        </w:trPr>
        <w:tc>
          <w:tcPr>
            <w:tcW w:w="0" w:type="auto"/>
            <w:vAlign w:val="center"/>
            <w:hideMark/>
          </w:tcPr>
          <w:p w14:paraId="13E18590" w14:textId="77777777" w:rsidR="00764EB9" w:rsidRPr="00764EB9" w:rsidRDefault="00764EB9" w:rsidP="00764EB9">
            <w:pPr>
              <w:ind w:left="284"/>
              <w:rPr>
                <w:rFonts w:ascii="Verdana" w:hAnsi="Verdana"/>
                <w:sz w:val="18"/>
                <w:szCs w:val="18"/>
              </w:rPr>
            </w:pPr>
            <w:r w:rsidRPr="00764EB9">
              <w:rPr>
                <w:rFonts w:ascii="Verdana" w:hAnsi="Verdana"/>
                <w:b/>
                <w:bCs/>
                <w:sz w:val="18"/>
                <w:szCs w:val="18"/>
              </w:rPr>
              <w:t>Objetivo</w:t>
            </w:r>
          </w:p>
        </w:tc>
        <w:tc>
          <w:tcPr>
            <w:tcW w:w="0" w:type="auto"/>
            <w:vAlign w:val="center"/>
            <w:hideMark/>
          </w:tcPr>
          <w:p w14:paraId="4DCDA719" w14:textId="77777777" w:rsidR="00764EB9" w:rsidRPr="00764EB9" w:rsidRDefault="00764EB9" w:rsidP="00764EB9">
            <w:pPr>
              <w:ind w:left="284"/>
              <w:rPr>
                <w:rFonts w:ascii="Verdana" w:hAnsi="Verdana"/>
                <w:sz w:val="18"/>
                <w:szCs w:val="18"/>
              </w:rPr>
            </w:pPr>
            <w:r w:rsidRPr="00764EB9">
              <w:rPr>
                <w:rFonts w:ascii="Verdana" w:hAnsi="Verdana"/>
                <w:sz w:val="18"/>
                <w:szCs w:val="18"/>
              </w:rPr>
              <w:t>Garantizar integridad y autenticidad</w:t>
            </w:r>
          </w:p>
        </w:tc>
        <w:tc>
          <w:tcPr>
            <w:tcW w:w="0" w:type="auto"/>
            <w:vAlign w:val="center"/>
            <w:hideMark/>
          </w:tcPr>
          <w:p w14:paraId="6590565A" w14:textId="77777777" w:rsidR="00764EB9" w:rsidRPr="00764EB9" w:rsidRDefault="00764EB9" w:rsidP="00764EB9">
            <w:pPr>
              <w:ind w:left="284"/>
              <w:rPr>
                <w:rFonts w:ascii="Verdana" w:hAnsi="Verdana"/>
                <w:sz w:val="18"/>
                <w:szCs w:val="18"/>
              </w:rPr>
            </w:pPr>
            <w:r w:rsidRPr="00764EB9">
              <w:rPr>
                <w:rFonts w:ascii="Verdana" w:hAnsi="Verdana"/>
                <w:sz w:val="18"/>
                <w:szCs w:val="18"/>
              </w:rPr>
              <w:t>Control y gestión del IVA</w:t>
            </w:r>
          </w:p>
        </w:tc>
      </w:tr>
      <w:tr w:rsidR="00764EB9" w:rsidRPr="00764EB9" w14:paraId="6CBEDB5D" w14:textId="77777777">
        <w:trPr>
          <w:tblCellSpacing w:w="15" w:type="dxa"/>
        </w:trPr>
        <w:tc>
          <w:tcPr>
            <w:tcW w:w="0" w:type="auto"/>
            <w:vAlign w:val="center"/>
            <w:hideMark/>
          </w:tcPr>
          <w:p w14:paraId="56FCDE46" w14:textId="77777777" w:rsidR="00764EB9" w:rsidRPr="00764EB9" w:rsidRDefault="00764EB9" w:rsidP="00764EB9">
            <w:pPr>
              <w:ind w:left="284"/>
              <w:rPr>
                <w:rFonts w:ascii="Verdana" w:hAnsi="Verdana"/>
                <w:sz w:val="18"/>
                <w:szCs w:val="18"/>
              </w:rPr>
            </w:pPr>
            <w:r w:rsidRPr="00764EB9">
              <w:rPr>
                <w:rFonts w:ascii="Verdana" w:hAnsi="Verdana"/>
                <w:b/>
                <w:bCs/>
                <w:sz w:val="18"/>
                <w:szCs w:val="18"/>
              </w:rPr>
              <w:t>Facturas recibidas</w:t>
            </w:r>
          </w:p>
        </w:tc>
        <w:tc>
          <w:tcPr>
            <w:tcW w:w="0" w:type="auto"/>
            <w:vAlign w:val="center"/>
            <w:hideMark/>
          </w:tcPr>
          <w:p w14:paraId="3DE8012A" w14:textId="77777777" w:rsidR="00764EB9" w:rsidRPr="00764EB9" w:rsidRDefault="00764EB9" w:rsidP="00764EB9">
            <w:pPr>
              <w:ind w:left="284"/>
              <w:rPr>
                <w:rFonts w:ascii="Verdana" w:hAnsi="Verdana"/>
                <w:sz w:val="18"/>
                <w:szCs w:val="18"/>
              </w:rPr>
            </w:pPr>
            <w:r w:rsidRPr="00764EB9">
              <w:rPr>
                <w:rFonts w:ascii="Verdana" w:hAnsi="Verdana"/>
                <w:sz w:val="18"/>
                <w:szCs w:val="18"/>
              </w:rPr>
              <w:t>No las regula</w:t>
            </w:r>
          </w:p>
        </w:tc>
        <w:tc>
          <w:tcPr>
            <w:tcW w:w="0" w:type="auto"/>
            <w:vAlign w:val="center"/>
            <w:hideMark/>
          </w:tcPr>
          <w:p w14:paraId="08818B04" w14:textId="77777777" w:rsidR="00764EB9" w:rsidRPr="00764EB9" w:rsidRDefault="00764EB9" w:rsidP="00764EB9">
            <w:pPr>
              <w:ind w:left="284"/>
              <w:rPr>
                <w:rFonts w:ascii="Verdana" w:hAnsi="Verdana"/>
                <w:sz w:val="18"/>
                <w:szCs w:val="18"/>
              </w:rPr>
            </w:pPr>
            <w:r w:rsidRPr="00764EB9">
              <w:rPr>
                <w:rFonts w:ascii="Verdana" w:hAnsi="Verdana"/>
                <w:sz w:val="18"/>
                <w:szCs w:val="18"/>
              </w:rPr>
              <w:t>Deben declararse</w:t>
            </w:r>
          </w:p>
        </w:tc>
      </w:tr>
      <w:tr w:rsidR="00764EB9" w:rsidRPr="00764EB9" w14:paraId="4655BBE3" w14:textId="77777777">
        <w:trPr>
          <w:tblCellSpacing w:w="15" w:type="dxa"/>
        </w:trPr>
        <w:tc>
          <w:tcPr>
            <w:tcW w:w="0" w:type="auto"/>
            <w:vAlign w:val="center"/>
            <w:hideMark/>
          </w:tcPr>
          <w:p w14:paraId="70F2607D" w14:textId="77777777" w:rsidR="00764EB9" w:rsidRPr="00764EB9" w:rsidRDefault="00764EB9" w:rsidP="00764EB9">
            <w:pPr>
              <w:ind w:left="284"/>
              <w:rPr>
                <w:rFonts w:ascii="Verdana" w:hAnsi="Verdana"/>
                <w:sz w:val="18"/>
                <w:szCs w:val="18"/>
              </w:rPr>
            </w:pPr>
            <w:r w:rsidRPr="00764EB9">
              <w:rPr>
                <w:rFonts w:ascii="Verdana" w:hAnsi="Verdana"/>
                <w:b/>
                <w:bCs/>
                <w:sz w:val="18"/>
                <w:szCs w:val="18"/>
              </w:rPr>
              <w:t>Alcance técnico</w:t>
            </w:r>
          </w:p>
        </w:tc>
        <w:tc>
          <w:tcPr>
            <w:tcW w:w="0" w:type="auto"/>
            <w:vAlign w:val="center"/>
            <w:hideMark/>
          </w:tcPr>
          <w:p w14:paraId="1D6C9638" w14:textId="77777777" w:rsidR="00764EB9" w:rsidRPr="00764EB9" w:rsidRDefault="00764EB9" w:rsidP="00764EB9">
            <w:pPr>
              <w:ind w:left="284"/>
              <w:rPr>
                <w:rFonts w:ascii="Verdana" w:hAnsi="Verdana"/>
                <w:sz w:val="18"/>
                <w:szCs w:val="18"/>
              </w:rPr>
            </w:pPr>
            <w:r w:rsidRPr="00764EB9">
              <w:rPr>
                <w:rFonts w:ascii="Verdana" w:hAnsi="Verdana"/>
                <w:sz w:val="18"/>
                <w:szCs w:val="18"/>
              </w:rPr>
              <w:t>Certificación del software, hash, QR, trazabilidad</w:t>
            </w:r>
          </w:p>
        </w:tc>
        <w:tc>
          <w:tcPr>
            <w:tcW w:w="0" w:type="auto"/>
            <w:vAlign w:val="center"/>
            <w:hideMark/>
          </w:tcPr>
          <w:p w14:paraId="5196800E" w14:textId="15BB8C1B" w:rsidR="00997007" w:rsidRDefault="00764EB9" w:rsidP="00997007">
            <w:pPr>
              <w:ind w:left="284"/>
              <w:rPr>
                <w:rFonts w:ascii="Verdana" w:hAnsi="Verdana"/>
                <w:sz w:val="18"/>
                <w:szCs w:val="18"/>
              </w:rPr>
            </w:pPr>
            <w:r w:rsidRPr="00764EB9">
              <w:rPr>
                <w:rFonts w:ascii="Verdana" w:hAnsi="Verdana"/>
                <w:sz w:val="18"/>
                <w:szCs w:val="18"/>
              </w:rPr>
              <w:t>Transmisión electrónica de libros registro</w:t>
            </w:r>
          </w:p>
          <w:p w14:paraId="69CBB117" w14:textId="77777777" w:rsidR="00DC79D0" w:rsidRPr="00764EB9" w:rsidRDefault="00DC79D0" w:rsidP="00DC79D0">
            <w:pPr>
              <w:rPr>
                <w:rFonts w:ascii="Verdana" w:hAnsi="Verdana"/>
                <w:sz w:val="18"/>
                <w:szCs w:val="18"/>
              </w:rPr>
            </w:pPr>
          </w:p>
        </w:tc>
      </w:tr>
    </w:tbl>
    <w:p w14:paraId="282F3FCD" w14:textId="52552622" w:rsidR="00997007" w:rsidRDefault="00997007" w:rsidP="00997007">
      <w:pPr>
        <w:spacing w:before="100" w:beforeAutospacing="1" w:after="100" w:afterAutospacing="1"/>
        <w:ind w:left="284"/>
        <w:jc w:val="both"/>
        <w:outlineLvl w:val="2"/>
        <w:rPr>
          <w:rFonts w:ascii="Verdana" w:hAnsi="Verdana"/>
          <w:b/>
          <w:bCs/>
          <w:sz w:val="18"/>
          <w:szCs w:val="18"/>
        </w:rPr>
      </w:pPr>
      <w:r>
        <w:rPr>
          <w:rFonts w:ascii="Verdana" w:hAnsi="Verdana"/>
          <w:b/>
          <w:bCs/>
          <w:sz w:val="18"/>
          <w:szCs w:val="18"/>
        </w:rPr>
        <w:lastRenderedPageBreak/>
        <w:t>Particularidades del sistema NO Veri*</w:t>
      </w:r>
      <w:proofErr w:type="spellStart"/>
      <w:r>
        <w:rPr>
          <w:rFonts w:ascii="Verdana" w:hAnsi="Verdana"/>
          <w:b/>
          <w:bCs/>
          <w:sz w:val="18"/>
          <w:szCs w:val="18"/>
        </w:rPr>
        <w:t>factu</w:t>
      </w:r>
      <w:proofErr w:type="spellEnd"/>
    </w:p>
    <w:p w14:paraId="76AA46C1" w14:textId="3CFA1170" w:rsidR="00997007" w:rsidRDefault="00997007" w:rsidP="00997007">
      <w:pPr>
        <w:spacing w:before="100" w:beforeAutospacing="1" w:after="100" w:afterAutospacing="1"/>
        <w:ind w:left="284"/>
        <w:contextualSpacing/>
        <w:jc w:val="both"/>
        <w:outlineLvl w:val="2"/>
        <w:rPr>
          <w:rFonts w:ascii="Verdana" w:hAnsi="Verdana"/>
          <w:sz w:val="18"/>
          <w:szCs w:val="18"/>
        </w:rPr>
      </w:pPr>
      <w:r>
        <w:rPr>
          <w:rFonts w:ascii="Verdana" w:hAnsi="Verdana"/>
          <w:b/>
          <w:bCs/>
          <w:sz w:val="18"/>
          <w:szCs w:val="18"/>
        </w:rPr>
        <w:t>Objetivo principal idéntico al Veri*</w:t>
      </w:r>
      <w:proofErr w:type="spellStart"/>
      <w:r>
        <w:rPr>
          <w:rFonts w:ascii="Verdana" w:hAnsi="Verdana"/>
          <w:b/>
          <w:bCs/>
          <w:sz w:val="18"/>
          <w:szCs w:val="18"/>
        </w:rPr>
        <w:t>factu</w:t>
      </w:r>
      <w:proofErr w:type="spellEnd"/>
      <w:r>
        <w:rPr>
          <w:rFonts w:ascii="Verdana" w:hAnsi="Verdana"/>
          <w:b/>
          <w:bCs/>
          <w:sz w:val="18"/>
          <w:szCs w:val="18"/>
        </w:rPr>
        <w:t xml:space="preserve">. </w:t>
      </w:r>
      <w:r w:rsidRPr="00997007">
        <w:rPr>
          <w:rFonts w:ascii="Verdana" w:hAnsi="Verdana"/>
          <w:sz w:val="18"/>
          <w:szCs w:val="18"/>
        </w:rPr>
        <w:t>Esto es:</w:t>
      </w:r>
      <w:r>
        <w:rPr>
          <w:rFonts w:ascii="Verdana" w:hAnsi="Verdana"/>
          <w:sz w:val="18"/>
          <w:szCs w:val="18"/>
        </w:rPr>
        <w:t xml:space="preserve"> Trazabilidad, inalterabilidad, conservación, remisión e información bajo petición, por lo tanto, </w:t>
      </w:r>
      <w:r w:rsidRPr="00E6704A">
        <w:rPr>
          <w:rFonts w:ascii="Verdana" w:hAnsi="Verdana"/>
          <w:b/>
          <w:bCs/>
          <w:sz w:val="18"/>
          <w:szCs w:val="18"/>
        </w:rPr>
        <w:t>ninguna información se remite automáticamente a Hacienda</w:t>
      </w:r>
      <w:r>
        <w:rPr>
          <w:rFonts w:ascii="Verdana" w:hAnsi="Verdana"/>
          <w:sz w:val="18"/>
          <w:szCs w:val="18"/>
        </w:rPr>
        <w:t>.</w:t>
      </w:r>
    </w:p>
    <w:p w14:paraId="077C4F3D" w14:textId="77777777" w:rsidR="00997007" w:rsidRDefault="00997007" w:rsidP="00997007">
      <w:pPr>
        <w:spacing w:before="100" w:beforeAutospacing="1" w:after="100" w:afterAutospacing="1"/>
        <w:ind w:left="284"/>
        <w:contextualSpacing/>
        <w:jc w:val="both"/>
        <w:outlineLvl w:val="2"/>
        <w:rPr>
          <w:rFonts w:ascii="Verdana" w:hAnsi="Verdana"/>
          <w:sz w:val="18"/>
          <w:szCs w:val="18"/>
        </w:rPr>
      </w:pPr>
    </w:p>
    <w:p w14:paraId="4BFAEABA" w14:textId="7C351164" w:rsidR="00997007" w:rsidRPr="00997007" w:rsidRDefault="00997007" w:rsidP="00997007">
      <w:pPr>
        <w:spacing w:before="100" w:beforeAutospacing="1" w:after="100" w:afterAutospacing="1"/>
        <w:ind w:left="284"/>
        <w:contextualSpacing/>
        <w:jc w:val="both"/>
        <w:outlineLvl w:val="2"/>
        <w:rPr>
          <w:rFonts w:ascii="Verdana" w:hAnsi="Verdana"/>
          <w:sz w:val="18"/>
          <w:szCs w:val="18"/>
        </w:rPr>
      </w:pPr>
      <w:r w:rsidRPr="00997007">
        <w:rPr>
          <w:rFonts w:ascii="Verdana" w:hAnsi="Verdana"/>
          <w:b/>
          <w:bCs/>
          <w:sz w:val="18"/>
          <w:szCs w:val="18"/>
        </w:rPr>
        <w:t xml:space="preserve">El SIF </w:t>
      </w:r>
      <w:r>
        <w:rPr>
          <w:rFonts w:ascii="Verdana" w:hAnsi="Verdana"/>
          <w:b/>
          <w:bCs/>
          <w:sz w:val="18"/>
          <w:szCs w:val="18"/>
        </w:rPr>
        <w:t xml:space="preserve">(sistema informático de facturación) </w:t>
      </w:r>
      <w:r w:rsidRPr="00997007">
        <w:rPr>
          <w:rFonts w:ascii="Verdana" w:hAnsi="Verdana"/>
          <w:b/>
          <w:bCs/>
          <w:sz w:val="18"/>
          <w:szCs w:val="18"/>
        </w:rPr>
        <w:t>debe cumplir con todos los requisitos de la normativa e incorporar un registro de eventos y ser capaz de poder remitir las facturas a la Administración bajo su petición</w:t>
      </w:r>
      <w:r>
        <w:rPr>
          <w:rFonts w:ascii="Verdana" w:hAnsi="Verdana"/>
          <w:sz w:val="18"/>
          <w:szCs w:val="18"/>
        </w:rPr>
        <w:t>.</w:t>
      </w:r>
    </w:p>
    <w:p w14:paraId="08D5292C" w14:textId="77777777" w:rsidR="00997007" w:rsidRDefault="00997007" w:rsidP="00997007">
      <w:pPr>
        <w:spacing w:before="100" w:beforeAutospacing="1" w:after="100" w:afterAutospacing="1"/>
        <w:ind w:left="284"/>
        <w:contextualSpacing/>
        <w:jc w:val="both"/>
        <w:outlineLvl w:val="2"/>
        <w:rPr>
          <w:rFonts w:ascii="Verdana" w:hAnsi="Verdana"/>
          <w:b/>
          <w:bCs/>
          <w:sz w:val="18"/>
          <w:szCs w:val="18"/>
        </w:rPr>
      </w:pPr>
    </w:p>
    <w:p w14:paraId="41BB1A10" w14:textId="77777777" w:rsidR="00A64B4F" w:rsidRDefault="00A64B4F" w:rsidP="00997007">
      <w:pPr>
        <w:spacing w:before="100" w:beforeAutospacing="1" w:after="100" w:afterAutospacing="1"/>
        <w:ind w:left="284"/>
        <w:contextualSpacing/>
        <w:jc w:val="both"/>
        <w:outlineLvl w:val="2"/>
        <w:rPr>
          <w:rFonts w:ascii="Verdana" w:hAnsi="Verdana"/>
          <w:b/>
          <w:bCs/>
          <w:sz w:val="18"/>
          <w:szCs w:val="18"/>
        </w:rPr>
      </w:pPr>
    </w:p>
    <w:p w14:paraId="78CB4281" w14:textId="5E1FE65B" w:rsidR="00764EB9" w:rsidRDefault="00764EB9" w:rsidP="009B45A9">
      <w:pPr>
        <w:spacing w:before="100" w:beforeAutospacing="1" w:after="100" w:afterAutospacing="1"/>
        <w:ind w:left="284"/>
        <w:contextualSpacing/>
        <w:jc w:val="both"/>
        <w:outlineLvl w:val="2"/>
        <w:rPr>
          <w:rFonts w:ascii="Verdana" w:hAnsi="Verdana"/>
          <w:b/>
          <w:bCs/>
          <w:color w:val="C00000"/>
          <w:sz w:val="18"/>
          <w:szCs w:val="18"/>
        </w:rPr>
      </w:pPr>
      <w:r w:rsidRPr="00C149E7">
        <w:rPr>
          <w:rFonts w:ascii="Verdana" w:hAnsi="Verdana"/>
          <w:b/>
          <w:bCs/>
          <w:color w:val="C00000"/>
          <w:sz w:val="18"/>
          <w:szCs w:val="18"/>
        </w:rPr>
        <w:t>5. ¿Es posible usar el SII para evitar Veri*</w:t>
      </w:r>
      <w:proofErr w:type="spellStart"/>
      <w:r w:rsidRPr="00C149E7">
        <w:rPr>
          <w:rFonts w:ascii="Verdana" w:hAnsi="Verdana"/>
          <w:b/>
          <w:bCs/>
          <w:color w:val="C00000"/>
          <w:sz w:val="18"/>
          <w:szCs w:val="18"/>
        </w:rPr>
        <w:t>factu</w:t>
      </w:r>
      <w:proofErr w:type="spellEnd"/>
      <w:r w:rsidRPr="00C149E7">
        <w:rPr>
          <w:rFonts w:ascii="Verdana" w:hAnsi="Verdana"/>
          <w:b/>
          <w:bCs/>
          <w:color w:val="C00000"/>
          <w:sz w:val="18"/>
          <w:szCs w:val="18"/>
        </w:rPr>
        <w:t>?</w:t>
      </w:r>
    </w:p>
    <w:p w14:paraId="752B5087" w14:textId="77777777" w:rsidR="009B45A9" w:rsidRPr="00C149E7" w:rsidRDefault="009B45A9" w:rsidP="009B45A9">
      <w:pPr>
        <w:spacing w:before="100" w:beforeAutospacing="1" w:after="100" w:afterAutospacing="1"/>
        <w:ind w:left="284"/>
        <w:contextualSpacing/>
        <w:jc w:val="both"/>
        <w:outlineLvl w:val="2"/>
        <w:rPr>
          <w:rFonts w:ascii="Verdana" w:hAnsi="Verdana"/>
          <w:b/>
          <w:bCs/>
          <w:color w:val="C00000"/>
          <w:sz w:val="18"/>
          <w:szCs w:val="18"/>
        </w:rPr>
      </w:pPr>
    </w:p>
    <w:p w14:paraId="28C35776" w14:textId="41847D22" w:rsidR="00764EB9" w:rsidRPr="00764EB9" w:rsidRDefault="00764EB9" w:rsidP="009B45A9">
      <w:pPr>
        <w:spacing w:before="100" w:beforeAutospacing="1" w:after="100" w:afterAutospacing="1"/>
        <w:ind w:left="284"/>
        <w:jc w:val="both"/>
        <w:rPr>
          <w:rFonts w:ascii="Verdana" w:hAnsi="Verdana"/>
          <w:sz w:val="18"/>
          <w:szCs w:val="18"/>
        </w:rPr>
      </w:pPr>
      <w:r w:rsidRPr="00764EB9">
        <w:rPr>
          <w:rFonts w:ascii="Verdana" w:hAnsi="Verdana"/>
          <w:sz w:val="18"/>
          <w:szCs w:val="18"/>
        </w:rPr>
        <w:t xml:space="preserve">Sí, </w:t>
      </w:r>
      <w:r w:rsidRPr="00764EB9">
        <w:rPr>
          <w:rFonts w:ascii="Verdana" w:hAnsi="Verdana"/>
          <w:b/>
          <w:bCs/>
          <w:sz w:val="18"/>
          <w:szCs w:val="18"/>
        </w:rPr>
        <w:t>acogerse al SII exime de aplicar Veri*</w:t>
      </w:r>
      <w:proofErr w:type="spellStart"/>
      <w:r w:rsidRPr="00764EB9">
        <w:rPr>
          <w:rFonts w:ascii="Verdana" w:hAnsi="Verdana"/>
          <w:b/>
          <w:bCs/>
          <w:sz w:val="18"/>
          <w:szCs w:val="18"/>
        </w:rPr>
        <w:t>factu</w:t>
      </w:r>
      <w:proofErr w:type="spellEnd"/>
      <w:r w:rsidRPr="00764EB9">
        <w:rPr>
          <w:rFonts w:ascii="Verdana" w:hAnsi="Verdana"/>
          <w:sz w:val="18"/>
          <w:szCs w:val="18"/>
        </w:rPr>
        <w:t xml:space="preserve">, ya que los sistemas son </w:t>
      </w:r>
      <w:r w:rsidRPr="00764EB9">
        <w:rPr>
          <w:rFonts w:ascii="Verdana" w:hAnsi="Verdana"/>
          <w:b/>
          <w:bCs/>
          <w:sz w:val="18"/>
          <w:szCs w:val="18"/>
        </w:rPr>
        <w:t>excluyentes</w:t>
      </w:r>
      <w:r w:rsidRPr="00764EB9">
        <w:rPr>
          <w:rFonts w:ascii="Verdana" w:hAnsi="Verdana"/>
          <w:sz w:val="18"/>
          <w:szCs w:val="18"/>
        </w:rPr>
        <w:t>.</w:t>
      </w:r>
      <w:r w:rsidRPr="00764EB9">
        <w:rPr>
          <w:rFonts w:ascii="Verdana" w:hAnsi="Verdana"/>
          <w:sz w:val="18"/>
          <w:szCs w:val="18"/>
        </w:rPr>
        <w:br/>
        <w:t>Sin embargo:</w:t>
      </w:r>
    </w:p>
    <w:p w14:paraId="68FF0270" w14:textId="77777777" w:rsidR="00764EB9" w:rsidRPr="00764EB9" w:rsidRDefault="00764EB9" w:rsidP="008C5028">
      <w:pPr>
        <w:numPr>
          <w:ilvl w:val="0"/>
          <w:numId w:val="37"/>
        </w:numPr>
        <w:spacing w:before="100" w:beforeAutospacing="1" w:after="100" w:afterAutospacing="1"/>
        <w:ind w:left="284" w:firstLine="0"/>
        <w:jc w:val="both"/>
        <w:rPr>
          <w:rFonts w:ascii="Verdana" w:hAnsi="Verdana"/>
          <w:sz w:val="18"/>
          <w:szCs w:val="18"/>
        </w:rPr>
      </w:pPr>
      <w:r w:rsidRPr="00764EB9">
        <w:rPr>
          <w:rFonts w:ascii="Verdana" w:hAnsi="Verdana"/>
          <w:sz w:val="18"/>
          <w:szCs w:val="18"/>
        </w:rPr>
        <w:t xml:space="preserve">El </w:t>
      </w:r>
      <w:r w:rsidRPr="00764EB9">
        <w:rPr>
          <w:rFonts w:ascii="Verdana" w:hAnsi="Verdana"/>
          <w:b/>
          <w:bCs/>
          <w:sz w:val="18"/>
          <w:szCs w:val="18"/>
        </w:rPr>
        <w:t>SII exige mayor carga operativa</w:t>
      </w:r>
      <w:r w:rsidRPr="00764EB9">
        <w:rPr>
          <w:rFonts w:ascii="Verdana" w:hAnsi="Verdana"/>
          <w:sz w:val="18"/>
          <w:szCs w:val="18"/>
        </w:rPr>
        <w:t xml:space="preserve"> (envíos en 4 días, también facturas recibidas).</w:t>
      </w:r>
    </w:p>
    <w:p w14:paraId="1A0D61D9" w14:textId="32559D1E" w:rsidR="00764EB9" w:rsidRPr="00764EB9" w:rsidRDefault="00764EB9" w:rsidP="008C5028">
      <w:pPr>
        <w:numPr>
          <w:ilvl w:val="0"/>
          <w:numId w:val="37"/>
        </w:numPr>
        <w:spacing w:before="100" w:beforeAutospacing="1" w:after="100" w:afterAutospacing="1"/>
        <w:ind w:left="284" w:firstLine="0"/>
        <w:jc w:val="both"/>
        <w:rPr>
          <w:rFonts w:ascii="Verdana" w:hAnsi="Verdana"/>
          <w:sz w:val="18"/>
          <w:szCs w:val="18"/>
        </w:rPr>
      </w:pPr>
      <w:r w:rsidRPr="00764EB9">
        <w:rPr>
          <w:rFonts w:ascii="Verdana" w:hAnsi="Verdana"/>
          <w:b/>
          <w:bCs/>
          <w:sz w:val="18"/>
          <w:szCs w:val="18"/>
        </w:rPr>
        <w:t>Veri*</w:t>
      </w:r>
      <w:proofErr w:type="spellStart"/>
      <w:r w:rsidRPr="00764EB9">
        <w:rPr>
          <w:rFonts w:ascii="Verdana" w:hAnsi="Verdana"/>
          <w:b/>
          <w:bCs/>
          <w:sz w:val="18"/>
          <w:szCs w:val="18"/>
        </w:rPr>
        <w:t>factu</w:t>
      </w:r>
      <w:proofErr w:type="spellEnd"/>
      <w:r w:rsidRPr="00764EB9">
        <w:rPr>
          <w:rFonts w:ascii="Verdana" w:hAnsi="Verdana"/>
          <w:sz w:val="18"/>
          <w:szCs w:val="18"/>
        </w:rPr>
        <w:t xml:space="preserve"> resulta más </w:t>
      </w:r>
      <w:r w:rsidRPr="00764EB9">
        <w:rPr>
          <w:rFonts w:ascii="Verdana" w:hAnsi="Verdana"/>
          <w:b/>
          <w:bCs/>
          <w:sz w:val="18"/>
          <w:szCs w:val="18"/>
        </w:rPr>
        <w:t xml:space="preserve">ligero y </w:t>
      </w:r>
      <w:r w:rsidR="00E6704A">
        <w:rPr>
          <w:rFonts w:ascii="Verdana" w:hAnsi="Verdana"/>
          <w:b/>
          <w:bCs/>
          <w:sz w:val="18"/>
          <w:szCs w:val="18"/>
        </w:rPr>
        <w:t>operativo</w:t>
      </w:r>
      <w:r w:rsidRPr="00764EB9">
        <w:rPr>
          <w:rFonts w:ascii="Verdana" w:hAnsi="Verdana"/>
          <w:sz w:val="18"/>
          <w:szCs w:val="18"/>
        </w:rPr>
        <w:t>.</w:t>
      </w:r>
    </w:p>
    <w:p w14:paraId="0E6F8F89" w14:textId="77777777" w:rsidR="00764EB9" w:rsidRPr="00764EB9" w:rsidRDefault="00764EB9" w:rsidP="00656E2D">
      <w:pPr>
        <w:spacing w:before="100" w:beforeAutospacing="1" w:after="100" w:afterAutospacing="1"/>
        <w:ind w:left="284"/>
        <w:jc w:val="both"/>
        <w:rPr>
          <w:rFonts w:ascii="Verdana" w:hAnsi="Verdana"/>
          <w:sz w:val="18"/>
          <w:szCs w:val="18"/>
        </w:rPr>
      </w:pPr>
      <w:r w:rsidRPr="00764EB9">
        <w:rPr>
          <w:rFonts w:ascii="Verdana" w:hAnsi="Verdana"/>
          <w:sz w:val="18"/>
          <w:szCs w:val="18"/>
        </w:rPr>
        <w:t xml:space="preserve">Por tanto, la decisión depende del </w:t>
      </w:r>
      <w:r w:rsidRPr="00764EB9">
        <w:rPr>
          <w:rFonts w:ascii="Verdana" w:hAnsi="Verdana"/>
          <w:b/>
          <w:bCs/>
          <w:sz w:val="18"/>
          <w:szCs w:val="18"/>
        </w:rPr>
        <w:t>tamaño, volumen de facturación y capacidad tecnológica</w:t>
      </w:r>
      <w:r w:rsidRPr="00764EB9">
        <w:rPr>
          <w:rFonts w:ascii="Verdana" w:hAnsi="Verdana"/>
          <w:sz w:val="18"/>
          <w:szCs w:val="18"/>
        </w:rPr>
        <w:t xml:space="preserve"> de cada empresa.</w:t>
      </w:r>
    </w:p>
    <w:p w14:paraId="4A28C0A2" w14:textId="77777777" w:rsidR="00764EB9" w:rsidRPr="00C149E7" w:rsidRDefault="00764EB9" w:rsidP="00656E2D">
      <w:pPr>
        <w:spacing w:before="100" w:beforeAutospacing="1" w:after="100" w:afterAutospacing="1"/>
        <w:ind w:left="284"/>
        <w:jc w:val="both"/>
        <w:outlineLvl w:val="2"/>
        <w:rPr>
          <w:rFonts w:ascii="Verdana" w:hAnsi="Verdana"/>
          <w:b/>
          <w:bCs/>
          <w:color w:val="C00000"/>
          <w:sz w:val="18"/>
          <w:szCs w:val="18"/>
        </w:rPr>
      </w:pPr>
      <w:r w:rsidRPr="00C149E7">
        <w:rPr>
          <w:rFonts w:ascii="Verdana" w:hAnsi="Verdana"/>
          <w:b/>
          <w:bCs/>
          <w:color w:val="C00000"/>
          <w:sz w:val="18"/>
          <w:szCs w:val="18"/>
        </w:rPr>
        <w:t>6. Conclusión</w:t>
      </w:r>
    </w:p>
    <w:p w14:paraId="1872E51D" w14:textId="77777777" w:rsidR="00764EB9" w:rsidRPr="00764EB9" w:rsidRDefault="00764EB9" w:rsidP="008C5028">
      <w:pPr>
        <w:numPr>
          <w:ilvl w:val="0"/>
          <w:numId w:val="38"/>
        </w:numPr>
        <w:spacing w:before="100" w:beforeAutospacing="1" w:after="100" w:afterAutospacing="1"/>
        <w:ind w:left="284" w:firstLine="0"/>
        <w:jc w:val="both"/>
        <w:rPr>
          <w:rFonts w:ascii="Verdana" w:hAnsi="Verdana"/>
          <w:sz w:val="18"/>
          <w:szCs w:val="18"/>
        </w:rPr>
      </w:pPr>
      <w:r w:rsidRPr="00764EB9">
        <w:rPr>
          <w:rFonts w:ascii="Verdana" w:hAnsi="Verdana"/>
          <w:b/>
          <w:bCs/>
          <w:sz w:val="18"/>
          <w:szCs w:val="18"/>
        </w:rPr>
        <w:t>Veri*</w:t>
      </w:r>
      <w:proofErr w:type="spellStart"/>
      <w:r w:rsidRPr="00764EB9">
        <w:rPr>
          <w:rFonts w:ascii="Verdana" w:hAnsi="Verdana"/>
          <w:b/>
          <w:bCs/>
          <w:sz w:val="18"/>
          <w:szCs w:val="18"/>
        </w:rPr>
        <w:t>factu</w:t>
      </w:r>
      <w:proofErr w:type="spellEnd"/>
      <w:r w:rsidRPr="00764EB9">
        <w:rPr>
          <w:rFonts w:ascii="Verdana" w:hAnsi="Verdana"/>
          <w:sz w:val="18"/>
          <w:szCs w:val="18"/>
        </w:rPr>
        <w:t xml:space="preserve"> se orienta a la </w:t>
      </w:r>
      <w:r w:rsidRPr="00764EB9">
        <w:rPr>
          <w:rFonts w:ascii="Verdana" w:hAnsi="Verdana"/>
          <w:b/>
          <w:bCs/>
          <w:sz w:val="18"/>
          <w:szCs w:val="18"/>
        </w:rPr>
        <w:t>seguridad y trazabilidad</w:t>
      </w:r>
      <w:r w:rsidRPr="00764EB9">
        <w:rPr>
          <w:rFonts w:ascii="Verdana" w:hAnsi="Verdana"/>
          <w:sz w:val="18"/>
          <w:szCs w:val="18"/>
        </w:rPr>
        <w:t xml:space="preserve"> de la factura emitida.</w:t>
      </w:r>
    </w:p>
    <w:p w14:paraId="0ACC5059" w14:textId="77777777" w:rsidR="00764EB9" w:rsidRPr="00764EB9" w:rsidRDefault="00764EB9" w:rsidP="008C5028">
      <w:pPr>
        <w:numPr>
          <w:ilvl w:val="0"/>
          <w:numId w:val="38"/>
        </w:numPr>
        <w:spacing w:before="100" w:beforeAutospacing="1" w:after="100" w:afterAutospacing="1"/>
        <w:ind w:left="284" w:firstLine="0"/>
        <w:jc w:val="both"/>
        <w:rPr>
          <w:rFonts w:ascii="Verdana" w:hAnsi="Verdana"/>
          <w:sz w:val="18"/>
          <w:szCs w:val="18"/>
        </w:rPr>
      </w:pPr>
      <w:r w:rsidRPr="00764EB9">
        <w:rPr>
          <w:rFonts w:ascii="Verdana" w:hAnsi="Verdana"/>
          <w:b/>
          <w:bCs/>
          <w:sz w:val="18"/>
          <w:szCs w:val="18"/>
        </w:rPr>
        <w:t>SII</w:t>
      </w:r>
      <w:r w:rsidRPr="00764EB9">
        <w:rPr>
          <w:rFonts w:ascii="Verdana" w:hAnsi="Verdana"/>
          <w:sz w:val="18"/>
          <w:szCs w:val="18"/>
        </w:rPr>
        <w:t xml:space="preserve"> busca el </w:t>
      </w:r>
      <w:r w:rsidRPr="00764EB9">
        <w:rPr>
          <w:rFonts w:ascii="Verdana" w:hAnsi="Verdana"/>
          <w:b/>
          <w:bCs/>
          <w:sz w:val="18"/>
          <w:szCs w:val="18"/>
        </w:rPr>
        <w:t>control integral del IVA</w:t>
      </w:r>
      <w:r w:rsidRPr="00764EB9">
        <w:rPr>
          <w:rFonts w:ascii="Verdana" w:hAnsi="Verdana"/>
          <w:sz w:val="18"/>
          <w:szCs w:val="18"/>
        </w:rPr>
        <w:t xml:space="preserve"> y la disponibilidad inmediata de datos.</w:t>
      </w:r>
    </w:p>
    <w:p w14:paraId="5B330C65" w14:textId="77777777" w:rsidR="00764EB9" w:rsidRPr="00764EB9" w:rsidRDefault="00764EB9" w:rsidP="008C5028">
      <w:pPr>
        <w:numPr>
          <w:ilvl w:val="0"/>
          <w:numId w:val="38"/>
        </w:numPr>
        <w:spacing w:before="100" w:beforeAutospacing="1" w:after="100" w:afterAutospacing="1"/>
        <w:ind w:left="709" w:hanging="425"/>
        <w:jc w:val="both"/>
        <w:rPr>
          <w:rFonts w:ascii="Verdana" w:hAnsi="Verdana"/>
          <w:sz w:val="18"/>
          <w:szCs w:val="18"/>
        </w:rPr>
      </w:pPr>
      <w:r w:rsidRPr="00764EB9">
        <w:rPr>
          <w:rFonts w:ascii="Verdana" w:hAnsi="Verdana"/>
          <w:b/>
          <w:bCs/>
          <w:sz w:val="18"/>
          <w:szCs w:val="18"/>
        </w:rPr>
        <w:t>Ambos modelos fortalecen el control fiscal</w:t>
      </w:r>
      <w:r w:rsidRPr="00764EB9">
        <w:rPr>
          <w:rFonts w:ascii="Verdana" w:hAnsi="Verdana"/>
          <w:sz w:val="18"/>
          <w:szCs w:val="18"/>
        </w:rPr>
        <w:t xml:space="preserve">, pero su aplicación varía según la </w:t>
      </w:r>
      <w:r w:rsidRPr="00764EB9">
        <w:rPr>
          <w:rFonts w:ascii="Verdana" w:hAnsi="Verdana"/>
          <w:b/>
          <w:bCs/>
          <w:sz w:val="18"/>
          <w:szCs w:val="18"/>
        </w:rPr>
        <w:t>dimensión y recursos</w:t>
      </w:r>
      <w:r w:rsidRPr="00764EB9">
        <w:rPr>
          <w:rFonts w:ascii="Verdana" w:hAnsi="Verdana"/>
          <w:sz w:val="18"/>
          <w:szCs w:val="18"/>
        </w:rPr>
        <w:t xml:space="preserve"> del contribuyente.</w:t>
      </w:r>
    </w:p>
    <w:p w14:paraId="506F6305" w14:textId="104CA2AB" w:rsidR="00764EB9" w:rsidRPr="00764EB9" w:rsidRDefault="00764EB9" w:rsidP="008C5028">
      <w:pPr>
        <w:numPr>
          <w:ilvl w:val="0"/>
          <w:numId w:val="38"/>
        </w:numPr>
        <w:spacing w:before="100" w:beforeAutospacing="1" w:after="100" w:afterAutospacing="1"/>
        <w:ind w:left="709" w:hanging="425"/>
        <w:jc w:val="both"/>
        <w:rPr>
          <w:rFonts w:ascii="Verdana" w:hAnsi="Verdana"/>
          <w:sz w:val="18"/>
          <w:szCs w:val="18"/>
        </w:rPr>
      </w:pPr>
      <w:r w:rsidRPr="00764EB9">
        <w:rPr>
          <w:rFonts w:ascii="Verdana" w:hAnsi="Verdana"/>
          <w:sz w:val="18"/>
          <w:szCs w:val="18"/>
        </w:rPr>
        <w:t xml:space="preserve">Las </w:t>
      </w:r>
      <w:r w:rsidRPr="00764EB9">
        <w:rPr>
          <w:rFonts w:ascii="Verdana" w:hAnsi="Verdana"/>
          <w:b/>
          <w:bCs/>
          <w:sz w:val="18"/>
          <w:szCs w:val="18"/>
        </w:rPr>
        <w:t>pymes</w:t>
      </w:r>
      <w:r w:rsidRPr="00764EB9">
        <w:rPr>
          <w:rFonts w:ascii="Verdana" w:hAnsi="Verdana"/>
          <w:sz w:val="18"/>
          <w:szCs w:val="18"/>
        </w:rPr>
        <w:t xml:space="preserve"> </w:t>
      </w:r>
      <w:r w:rsidR="00656E2D">
        <w:rPr>
          <w:rFonts w:ascii="Verdana" w:hAnsi="Verdana"/>
          <w:sz w:val="18"/>
          <w:szCs w:val="18"/>
        </w:rPr>
        <w:t>en su mayoría</w:t>
      </w:r>
      <w:r w:rsidRPr="00764EB9">
        <w:rPr>
          <w:rFonts w:ascii="Verdana" w:hAnsi="Verdana"/>
          <w:sz w:val="18"/>
          <w:szCs w:val="18"/>
        </w:rPr>
        <w:t xml:space="preserve"> optarán por Veri*</w:t>
      </w:r>
      <w:proofErr w:type="spellStart"/>
      <w:r w:rsidRPr="00764EB9">
        <w:rPr>
          <w:rFonts w:ascii="Verdana" w:hAnsi="Verdana"/>
          <w:sz w:val="18"/>
          <w:szCs w:val="18"/>
        </w:rPr>
        <w:t>factu</w:t>
      </w:r>
      <w:proofErr w:type="spellEnd"/>
      <w:r w:rsidRPr="00764EB9">
        <w:rPr>
          <w:rFonts w:ascii="Verdana" w:hAnsi="Verdana"/>
          <w:sz w:val="18"/>
          <w:szCs w:val="18"/>
        </w:rPr>
        <w:t xml:space="preserve">, mientras que las </w:t>
      </w:r>
      <w:r w:rsidRPr="00764EB9">
        <w:rPr>
          <w:rFonts w:ascii="Verdana" w:hAnsi="Verdana"/>
          <w:b/>
          <w:bCs/>
          <w:sz w:val="18"/>
          <w:szCs w:val="18"/>
        </w:rPr>
        <w:t>grandes empresas</w:t>
      </w:r>
      <w:r w:rsidRPr="00764EB9">
        <w:rPr>
          <w:rFonts w:ascii="Verdana" w:hAnsi="Verdana"/>
          <w:sz w:val="18"/>
          <w:szCs w:val="18"/>
        </w:rPr>
        <w:t xml:space="preserve"> continuarán con el SII.</w:t>
      </w:r>
    </w:p>
    <w:bookmarkEnd w:id="2"/>
    <w:p w14:paraId="5759ACC4" w14:textId="77777777" w:rsidR="009B2037" w:rsidRDefault="009B2037" w:rsidP="00DB602D">
      <w:pPr>
        <w:tabs>
          <w:tab w:val="left" w:pos="0"/>
        </w:tabs>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27365B" w:rsidRPr="00463CB5" w14:paraId="054CB53B" w14:textId="77777777" w:rsidTr="00202B3B">
        <w:tc>
          <w:tcPr>
            <w:tcW w:w="180" w:type="dxa"/>
            <w:shd w:val="clear" w:color="auto" w:fill="FF6600"/>
          </w:tcPr>
          <w:p w14:paraId="1305BA38" w14:textId="77777777" w:rsidR="0027365B" w:rsidRPr="00463CB5" w:rsidRDefault="0027365B" w:rsidP="00202B3B">
            <w:pPr>
              <w:rPr>
                <w:rFonts w:ascii="Verdana" w:hAnsi="Verdana"/>
                <w:b/>
                <w:bCs/>
                <w:iCs/>
                <w:color w:val="800000"/>
                <w:sz w:val="18"/>
                <w:szCs w:val="18"/>
              </w:rPr>
            </w:pPr>
            <w:bookmarkStart w:id="4" w:name="_Hlk85643580"/>
          </w:p>
        </w:tc>
        <w:tc>
          <w:tcPr>
            <w:tcW w:w="8460" w:type="dxa"/>
          </w:tcPr>
          <w:p w14:paraId="5DC5B8BB" w14:textId="02800BB3" w:rsidR="0027365B" w:rsidRPr="00463CB5" w:rsidRDefault="00AF53AF" w:rsidP="008C5028">
            <w:pPr>
              <w:numPr>
                <w:ilvl w:val="0"/>
                <w:numId w:val="44"/>
              </w:numPr>
              <w:tabs>
                <w:tab w:val="clear" w:pos="928"/>
              </w:tabs>
              <w:ind w:left="384" w:hanging="384"/>
              <w:jc w:val="both"/>
              <w:rPr>
                <w:rFonts w:ascii="Verdana" w:hAnsi="Verdana"/>
                <w:b/>
                <w:bCs/>
                <w:iCs/>
                <w:color w:val="800000"/>
                <w:sz w:val="18"/>
                <w:szCs w:val="18"/>
              </w:rPr>
            </w:pPr>
            <w:r w:rsidRPr="00463CB5">
              <w:rPr>
                <w:rFonts w:ascii="Verdana" w:hAnsi="Verdana"/>
                <w:b/>
                <w:bCs/>
                <w:iCs/>
                <w:color w:val="800000"/>
                <w:sz w:val="18"/>
                <w:szCs w:val="18"/>
              </w:rPr>
              <w:t>EL TEAC RECHAZA</w:t>
            </w:r>
            <w:r w:rsidR="00D47DEE" w:rsidRPr="00463CB5">
              <w:rPr>
                <w:rFonts w:ascii="Verdana" w:hAnsi="Verdana"/>
                <w:b/>
                <w:bCs/>
                <w:iCs/>
                <w:color w:val="800000"/>
                <w:sz w:val="18"/>
                <w:szCs w:val="18"/>
              </w:rPr>
              <w:t xml:space="preserve"> PODER APLICAR LA REDUCCIÓN POR PENSIÓN COMPENSATORIA A LAS PAREJAS DE HECHO</w:t>
            </w:r>
          </w:p>
        </w:tc>
      </w:tr>
    </w:tbl>
    <w:bookmarkEnd w:id="4"/>
    <w:p w14:paraId="5EDAE97A" w14:textId="53EAE84B" w:rsidR="00F54D5A" w:rsidRPr="00F54D5A" w:rsidRDefault="00F54D5A" w:rsidP="00F54D5A">
      <w:pPr>
        <w:spacing w:before="100" w:beforeAutospacing="1" w:after="100" w:afterAutospacing="1"/>
        <w:ind w:left="284"/>
        <w:jc w:val="both"/>
        <w:outlineLvl w:val="3"/>
        <w:rPr>
          <w:rStyle w:val="Textoennegrita"/>
          <w:rFonts w:ascii="Verdana" w:hAnsi="Verdana"/>
          <w:sz w:val="18"/>
          <w:szCs w:val="18"/>
        </w:rPr>
      </w:pPr>
      <w:r>
        <w:rPr>
          <w:rStyle w:val="Textoennegrita"/>
          <w:rFonts w:ascii="Verdana" w:hAnsi="Verdana"/>
          <w:sz w:val="18"/>
          <w:szCs w:val="18"/>
        </w:rPr>
        <w:t xml:space="preserve">Analizamos la resolución del </w:t>
      </w:r>
      <w:r w:rsidRPr="00F54D5A">
        <w:rPr>
          <w:rStyle w:val="Textoennegrita"/>
          <w:rFonts w:ascii="Verdana" w:hAnsi="Verdana"/>
          <w:sz w:val="18"/>
          <w:szCs w:val="18"/>
        </w:rPr>
        <w:t>TEAC RG 5884/2023, de 24 de junio de 2025</w:t>
      </w:r>
    </w:p>
    <w:p w14:paraId="25867240" w14:textId="19B8BA97" w:rsidR="00F54D5A" w:rsidRPr="00F54D5A" w:rsidRDefault="00F54D5A" w:rsidP="00F54D5A">
      <w:pPr>
        <w:spacing w:before="100" w:beforeAutospacing="1" w:after="100" w:afterAutospacing="1"/>
        <w:ind w:left="284"/>
        <w:jc w:val="both"/>
        <w:outlineLvl w:val="3"/>
        <w:rPr>
          <w:rFonts w:ascii="Verdana" w:hAnsi="Verdana"/>
          <w:b/>
          <w:bCs/>
          <w:sz w:val="18"/>
          <w:szCs w:val="18"/>
        </w:rPr>
      </w:pPr>
      <w:r w:rsidRPr="00F54D5A">
        <w:rPr>
          <w:rFonts w:ascii="Verdana" w:hAnsi="Verdana"/>
          <w:b/>
          <w:bCs/>
          <w:sz w:val="18"/>
          <w:szCs w:val="18"/>
        </w:rPr>
        <w:t>1. Antecedentes del caso</w:t>
      </w:r>
    </w:p>
    <w:p w14:paraId="6B6B61F5" w14:textId="77777777" w:rsidR="003505DA" w:rsidRDefault="00F54D5A" w:rsidP="003505DA">
      <w:pPr>
        <w:spacing w:before="100" w:beforeAutospacing="1" w:after="100" w:afterAutospacing="1"/>
        <w:ind w:left="284"/>
        <w:jc w:val="both"/>
        <w:rPr>
          <w:rFonts w:ascii="Verdana" w:hAnsi="Verdana"/>
          <w:sz w:val="18"/>
          <w:szCs w:val="18"/>
        </w:rPr>
      </w:pPr>
      <w:r w:rsidRPr="00F54D5A">
        <w:rPr>
          <w:rFonts w:ascii="Verdana" w:hAnsi="Verdana"/>
          <w:sz w:val="18"/>
          <w:szCs w:val="18"/>
        </w:rPr>
        <w:t xml:space="preserve">Un contribuyente solicitó la </w:t>
      </w:r>
      <w:r w:rsidRPr="00F54D5A">
        <w:rPr>
          <w:rFonts w:ascii="Verdana" w:hAnsi="Verdana"/>
          <w:b/>
          <w:bCs/>
          <w:sz w:val="18"/>
          <w:szCs w:val="18"/>
        </w:rPr>
        <w:t>rectificación de su autoliquidación del IRPF 2018</w:t>
      </w:r>
      <w:r w:rsidRPr="00F54D5A">
        <w:rPr>
          <w:rFonts w:ascii="Verdana" w:hAnsi="Verdana"/>
          <w:sz w:val="18"/>
          <w:szCs w:val="18"/>
        </w:rPr>
        <w:t xml:space="preserve">, reclamando la aplicación de la </w:t>
      </w:r>
      <w:r w:rsidRPr="00F54D5A">
        <w:rPr>
          <w:rFonts w:ascii="Verdana" w:hAnsi="Verdana"/>
          <w:b/>
          <w:bCs/>
          <w:sz w:val="18"/>
          <w:szCs w:val="18"/>
        </w:rPr>
        <w:t>reducción del artículo 55 de la Ley 35/2006 (Ley del IRPF)</w:t>
      </w:r>
      <w:r w:rsidRPr="00F54D5A">
        <w:rPr>
          <w:rFonts w:ascii="Verdana" w:hAnsi="Verdana"/>
          <w:sz w:val="18"/>
          <w:szCs w:val="18"/>
        </w:rPr>
        <w:t xml:space="preserve"> por las cantidades abonadas a su expareja de hecho como pensión compensatoria tras la disolución de la unión estable.</w:t>
      </w:r>
    </w:p>
    <w:p w14:paraId="31D9D7B8" w14:textId="1199F017" w:rsidR="00F54D5A" w:rsidRPr="00F54D5A" w:rsidRDefault="00F54D5A" w:rsidP="003505DA">
      <w:pPr>
        <w:spacing w:before="100" w:beforeAutospacing="1" w:after="100" w:afterAutospacing="1"/>
        <w:ind w:left="284"/>
        <w:jc w:val="both"/>
        <w:rPr>
          <w:rFonts w:ascii="Verdana" w:hAnsi="Verdana"/>
          <w:sz w:val="18"/>
          <w:szCs w:val="18"/>
        </w:rPr>
      </w:pPr>
      <w:r w:rsidRPr="00F54D5A">
        <w:rPr>
          <w:rFonts w:ascii="Verdana" w:hAnsi="Verdana"/>
          <w:sz w:val="18"/>
          <w:szCs w:val="18"/>
        </w:rPr>
        <w:t xml:space="preserve">El </w:t>
      </w:r>
      <w:r w:rsidRPr="00F54D5A">
        <w:rPr>
          <w:rFonts w:ascii="Verdana" w:hAnsi="Verdana"/>
          <w:b/>
          <w:bCs/>
          <w:sz w:val="18"/>
          <w:szCs w:val="18"/>
        </w:rPr>
        <w:t>TEAR de Cataluña</w:t>
      </w:r>
      <w:r w:rsidRPr="00F54D5A">
        <w:rPr>
          <w:rFonts w:ascii="Verdana" w:hAnsi="Verdana"/>
          <w:sz w:val="18"/>
          <w:szCs w:val="18"/>
        </w:rPr>
        <w:t xml:space="preserve"> denegó la reducción, lo que motivó la reclamación económico-administrativa ante el </w:t>
      </w:r>
      <w:r w:rsidRPr="00F54D5A">
        <w:rPr>
          <w:rFonts w:ascii="Verdana" w:hAnsi="Verdana"/>
          <w:b/>
          <w:bCs/>
          <w:sz w:val="18"/>
          <w:szCs w:val="18"/>
        </w:rPr>
        <w:t>TEAC</w:t>
      </w:r>
      <w:r w:rsidRPr="00F54D5A">
        <w:rPr>
          <w:rFonts w:ascii="Verdana" w:hAnsi="Verdana"/>
          <w:sz w:val="18"/>
          <w:szCs w:val="18"/>
        </w:rPr>
        <w:t>.</w:t>
      </w:r>
    </w:p>
    <w:p w14:paraId="5769EFDA" w14:textId="77777777" w:rsidR="00F54D5A" w:rsidRPr="00F54D5A" w:rsidRDefault="00F54D5A" w:rsidP="00F54D5A">
      <w:pPr>
        <w:spacing w:before="100" w:beforeAutospacing="1" w:after="100" w:afterAutospacing="1"/>
        <w:ind w:left="284"/>
        <w:jc w:val="both"/>
        <w:outlineLvl w:val="3"/>
        <w:rPr>
          <w:rFonts w:ascii="Verdana" w:hAnsi="Verdana"/>
          <w:b/>
          <w:bCs/>
          <w:sz w:val="18"/>
          <w:szCs w:val="18"/>
        </w:rPr>
      </w:pPr>
      <w:r w:rsidRPr="00F54D5A">
        <w:rPr>
          <w:rFonts w:ascii="Verdana" w:hAnsi="Verdana"/>
          <w:b/>
          <w:bCs/>
          <w:sz w:val="18"/>
          <w:szCs w:val="18"/>
        </w:rPr>
        <w:t>2. Argumentos del reclamante</w:t>
      </w:r>
    </w:p>
    <w:p w14:paraId="162361EE" w14:textId="77777777" w:rsidR="00F54D5A" w:rsidRPr="00F54D5A" w:rsidRDefault="00F54D5A" w:rsidP="00F54D5A">
      <w:pPr>
        <w:spacing w:before="100" w:beforeAutospacing="1" w:after="100" w:afterAutospacing="1"/>
        <w:ind w:left="284"/>
        <w:jc w:val="both"/>
        <w:rPr>
          <w:rFonts w:ascii="Verdana" w:hAnsi="Verdana"/>
          <w:sz w:val="18"/>
          <w:szCs w:val="18"/>
        </w:rPr>
      </w:pPr>
      <w:r w:rsidRPr="00F54D5A">
        <w:rPr>
          <w:rFonts w:ascii="Verdana" w:hAnsi="Verdana"/>
          <w:sz w:val="18"/>
          <w:szCs w:val="18"/>
        </w:rPr>
        <w:t>El interesado alegó:</w:t>
      </w:r>
    </w:p>
    <w:p w14:paraId="667091DE" w14:textId="77777777" w:rsidR="00F54D5A" w:rsidRPr="00F54D5A" w:rsidRDefault="00F54D5A" w:rsidP="008C5028">
      <w:pPr>
        <w:numPr>
          <w:ilvl w:val="0"/>
          <w:numId w:val="39"/>
        </w:numPr>
        <w:spacing w:before="100" w:beforeAutospacing="1" w:after="100" w:afterAutospacing="1"/>
        <w:ind w:left="567" w:hanging="283"/>
        <w:jc w:val="both"/>
        <w:rPr>
          <w:rFonts w:ascii="Verdana" w:hAnsi="Verdana"/>
          <w:sz w:val="18"/>
          <w:szCs w:val="18"/>
        </w:rPr>
      </w:pPr>
      <w:r w:rsidRPr="00F54D5A">
        <w:rPr>
          <w:rFonts w:ascii="Verdana" w:hAnsi="Verdana"/>
          <w:sz w:val="18"/>
          <w:szCs w:val="18"/>
        </w:rPr>
        <w:t xml:space="preserve">Que la </w:t>
      </w:r>
      <w:r w:rsidRPr="00F54D5A">
        <w:rPr>
          <w:rFonts w:ascii="Verdana" w:hAnsi="Verdana"/>
          <w:b/>
          <w:bCs/>
          <w:sz w:val="18"/>
          <w:szCs w:val="18"/>
        </w:rPr>
        <w:t>finalidad del art. 55 LIRPF</w:t>
      </w:r>
      <w:r w:rsidRPr="00F54D5A">
        <w:rPr>
          <w:rFonts w:ascii="Verdana" w:hAnsi="Verdana"/>
          <w:sz w:val="18"/>
          <w:szCs w:val="18"/>
        </w:rPr>
        <w:t xml:space="preserve"> es ajustar la tributación a la capacidad económica real, ya que la pensión compensatoria no permanece en el patrimonio del pagador.</w:t>
      </w:r>
    </w:p>
    <w:p w14:paraId="0798EA83" w14:textId="77777777" w:rsidR="00F54D5A" w:rsidRPr="00F54D5A" w:rsidRDefault="00F54D5A" w:rsidP="008C5028">
      <w:pPr>
        <w:numPr>
          <w:ilvl w:val="0"/>
          <w:numId w:val="39"/>
        </w:numPr>
        <w:spacing w:before="100" w:beforeAutospacing="1" w:after="100" w:afterAutospacing="1"/>
        <w:ind w:left="567" w:hanging="283"/>
        <w:jc w:val="both"/>
        <w:rPr>
          <w:rFonts w:ascii="Verdana" w:hAnsi="Verdana"/>
          <w:sz w:val="18"/>
          <w:szCs w:val="18"/>
        </w:rPr>
      </w:pPr>
      <w:r w:rsidRPr="00F54D5A">
        <w:rPr>
          <w:rFonts w:ascii="Verdana" w:hAnsi="Verdana"/>
          <w:sz w:val="18"/>
          <w:szCs w:val="18"/>
        </w:rPr>
        <w:t xml:space="preserve">Que </w:t>
      </w:r>
      <w:r w:rsidRPr="00F54D5A">
        <w:rPr>
          <w:rFonts w:ascii="Verdana" w:hAnsi="Verdana"/>
          <w:b/>
          <w:bCs/>
          <w:sz w:val="18"/>
          <w:szCs w:val="18"/>
        </w:rPr>
        <w:t>excluir a las parejas de hecho</w:t>
      </w:r>
      <w:r w:rsidRPr="00F54D5A">
        <w:rPr>
          <w:rFonts w:ascii="Verdana" w:hAnsi="Verdana"/>
          <w:sz w:val="18"/>
          <w:szCs w:val="18"/>
        </w:rPr>
        <w:t xml:space="preserve"> produce una </w:t>
      </w:r>
      <w:r w:rsidRPr="00F54D5A">
        <w:rPr>
          <w:rFonts w:ascii="Verdana" w:hAnsi="Verdana"/>
          <w:b/>
          <w:bCs/>
          <w:sz w:val="18"/>
          <w:szCs w:val="18"/>
        </w:rPr>
        <w:t>doble imposición</w:t>
      </w:r>
      <w:r w:rsidRPr="00F54D5A">
        <w:rPr>
          <w:rFonts w:ascii="Verdana" w:hAnsi="Verdana"/>
          <w:sz w:val="18"/>
          <w:szCs w:val="18"/>
        </w:rPr>
        <w:t>: la pensión se integra como rendimiento del trabajo en el IRPF del perceptor, mientras el pagador no puede reducirla.</w:t>
      </w:r>
    </w:p>
    <w:p w14:paraId="1069568B" w14:textId="77777777" w:rsidR="00F54D5A" w:rsidRPr="00F54D5A" w:rsidRDefault="00F54D5A" w:rsidP="008C5028">
      <w:pPr>
        <w:numPr>
          <w:ilvl w:val="0"/>
          <w:numId w:val="39"/>
        </w:numPr>
        <w:spacing w:before="100" w:beforeAutospacing="1" w:after="100" w:afterAutospacing="1"/>
        <w:ind w:left="567" w:hanging="283"/>
        <w:jc w:val="both"/>
        <w:rPr>
          <w:rFonts w:ascii="Verdana" w:hAnsi="Verdana"/>
          <w:sz w:val="18"/>
          <w:szCs w:val="18"/>
        </w:rPr>
      </w:pPr>
      <w:r w:rsidRPr="00F54D5A">
        <w:rPr>
          <w:rFonts w:ascii="Verdana" w:hAnsi="Verdana"/>
          <w:sz w:val="18"/>
          <w:szCs w:val="18"/>
        </w:rPr>
        <w:t xml:space="preserve">Que la </w:t>
      </w:r>
      <w:r w:rsidRPr="00F54D5A">
        <w:rPr>
          <w:rFonts w:ascii="Verdana" w:hAnsi="Verdana"/>
          <w:b/>
          <w:bCs/>
          <w:sz w:val="18"/>
          <w:szCs w:val="18"/>
        </w:rPr>
        <w:t>distinción entre matrimonios y uniones estables</w:t>
      </w:r>
      <w:r w:rsidRPr="00F54D5A">
        <w:rPr>
          <w:rFonts w:ascii="Verdana" w:hAnsi="Verdana"/>
          <w:sz w:val="18"/>
          <w:szCs w:val="18"/>
        </w:rPr>
        <w:t xml:space="preserve"> vulnera el </w:t>
      </w:r>
      <w:r w:rsidRPr="00F54D5A">
        <w:rPr>
          <w:rFonts w:ascii="Verdana" w:hAnsi="Verdana"/>
          <w:b/>
          <w:bCs/>
          <w:sz w:val="18"/>
          <w:szCs w:val="18"/>
        </w:rPr>
        <w:t>principio de igualdad del art. 14 CE</w:t>
      </w:r>
      <w:r w:rsidRPr="00F54D5A">
        <w:rPr>
          <w:rFonts w:ascii="Verdana" w:hAnsi="Verdana"/>
          <w:sz w:val="18"/>
          <w:szCs w:val="18"/>
        </w:rPr>
        <w:t xml:space="preserve"> y el </w:t>
      </w:r>
      <w:r w:rsidRPr="00F54D5A">
        <w:rPr>
          <w:rFonts w:ascii="Verdana" w:hAnsi="Verdana"/>
          <w:b/>
          <w:bCs/>
          <w:sz w:val="18"/>
          <w:szCs w:val="18"/>
        </w:rPr>
        <w:t>principio de capacidad económica del art. 31 CE</w:t>
      </w:r>
      <w:r w:rsidRPr="00F54D5A">
        <w:rPr>
          <w:rFonts w:ascii="Verdana" w:hAnsi="Verdana"/>
          <w:sz w:val="18"/>
          <w:szCs w:val="18"/>
        </w:rPr>
        <w:t>.</w:t>
      </w:r>
    </w:p>
    <w:p w14:paraId="3429D9C1" w14:textId="77777777" w:rsidR="00F54D5A" w:rsidRPr="00F54D5A" w:rsidRDefault="00F54D5A" w:rsidP="008C5028">
      <w:pPr>
        <w:numPr>
          <w:ilvl w:val="0"/>
          <w:numId w:val="39"/>
        </w:numPr>
        <w:spacing w:before="100" w:beforeAutospacing="1" w:after="100" w:afterAutospacing="1"/>
        <w:ind w:left="567" w:hanging="283"/>
        <w:jc w:val="both"/>
        <w:rPr>
          <w:rFonts w:ascii="Verdana" w:hAnsi="Verdana"/>
          <w:sz w:val="18"/>
          <w:szCs w:val="18"/>
        </w:rPr>
      </w:pPr>
      <w:r w:rsidRPr="00F54D5A">
        <w:rPr>
          <w:rFonts w:ascii="Verdana" w:hAnsi="Verdana"/>
          <w:sz w:val="18"/>
          <w:szCs w:val="18"/>
        </w:rPr>
        <w:t xml:space="preserve">Que, conforme al </w:t>
      </w:r>
      <w:r w:rsidRPr="00F54D5A">
        <w:rPr>
          <w:rFonts w:ascii="Verdana" w:hAnsi="Verdana"/>
          <w:b/>
          <w:bCs/>
          <w:sz w:val="18"/>
          <w:szCs w:val="18"/>
        </w:rPr>
        <w:t>Derecho civil catalán</w:t>
      </w:r>
      <w:r w:rsidRPr="00F54D5A">
        <w:rPr>
          <w:rFonts w:ascii="Verdana" w:hAnsi="Verdana"/>
          <w:sz w:val="18"/>
          <w:szCs w:val="18"/>
        </w:rPr>
        <w:t xml:space="preserve">, las parejas de hecho pueden pactar válidamente una pensión compensatoria ante notario, por lo que la </w:t>
      </w:r>
      <w:r w:rsidRPr="00F54D5A">
        <w:rPr>
          <w:rFonts w:ascii="Verdana" w:hAnsi="Verdana"/>
          <w:b/>
          <w:bCs/>
          <w:sz w:val="18"/>
          <w:szCs w:val="18"/>
        </w:rPr>
        <w:t>equiparación civil debería extenderse al ámbito fiscal</w:t>
      </w:r>
      <w:r w:rsidRPr="00F54D5A">
        <w:rPr>
          <w:rFonts w:ascii="Verdana" w:hAnsi="Verdana"/>
          <w:sz w:val="18"/>
          <w:szCs w:val="18"/>
        </w:rPr>
        <w:t>.</w:t>
      </w:r>
    </w:p>
    <w:p w14:paraId="449390FD" w14:textId="77777777" w:rsidR="00F54D5A" w:rsidRPr="00F54D5A" w:rsidRDefault="00F54D5A" w:rsidP="008C5028">
      <w:pPr>
        <w:numPr>
          <w:ilvl w:val="0"/>
          <w:numId w:val="39"/>
        </w:numPr>
        <w:spacing w:before="100" w:beforeAutospacing="1" w:after="100" w:afterAutospacing="1"/>
        <w:ind w:left="567" w:hanging="283"/>
        <w:jc w:val="both"/>
        <w:rPr>
          <w:rFonts w:ascii="Verdana" w:hAnsi="Verdana"/>
          <w:sz w:val="18"/>
          <w:szCs w:val="18"/>
        </w:rPr>
      </w:pPr>
      <w:r w:rsidRPr="00F54D5A">
        <w:rPr>
          <w:rFonts w:ascii="Verdana" w:hAnsi="Verdana"/>
          <w:sz w:val="18"/>
          <w:szCs w:val="18"/>
        </w:rPr>
        <w:t xml:space="preserve">Que, de acuerdo con la </w:t>
      </w:r>
      <w:r w:rsidRPr="00F54D5A">
        <w:rPr>
          <w:rFonts w:ascii="Verdana" w:hAnsi="Verdana"/>
          <w:b/>
          <w:bCs/>
          <w:sz w:val="18"/>
          <w:szCs w:val="18"/>
        </w:rPr>
        <w:t>STS de 25 de marzo de 2021</w:t>
      </w:r>
      <w:r w:rsidRPr="00F54D5A">
        <w:rPr>
          <w:rFonts w:ascii="Verdana" w:hAnsi="Verdana"/>
          <w:sz w:val="18"/>
          <w:szCs w:val="18"/>
        </w:rPr>
        <w:t>, el art. 55 debe interpretarse de forma finalista y conforme a la realidad social, admitiendo reducciones en supuestos no expresamente contemplados cuando se cumple su razón de ser.</w:t>
      </w:r>
    </w:p>
    <w:p w14:paraId="3C9656FF" w14:textId="77777777" w:rsidR="00F54D5A" w:rsidRPr="00F54D5A" w:rsidRDefault="00F54D5A" w:rsidP="00F54D5A">
      <w:pPr>
        <w:spacing w:before="100" w:beforeAutospacing="1" w:after="100" w:afterAutospacing="1"/>
        <w:ind w:left="284"/>
        <w:jc w:val="both"/>
        <w:outlineLvl w:val="3"/>
        <w:rPr>
          <w:rFonts w:ascii="Verdana" w:hAnsi="Verdana"/>
          <w:b/>
          <w:bCs/>
          <w:sz w:val="18"/>
          <w:szCs w:val="18"/>
        </w:rPr>
      </w:pPr>
      <w:r w:rsidRPr="00F54D5A">
        <w:rPr>
          <w:rFonts w:ascii="Verdana" w:hAnsi="Verdana"/>
          <w:b/>
          <w:bCs/>
          <w:sz w:val="18"/>
          <w:szCs w:val="18"/>
        </w:rPr>
        <w:t>3. Argumentos del TEAR y del TEAC</w:t>
      </w:r>
    </w:p>
    <w:p w14:paraId="6E943765" w14:textId="77777777" w:rsidR="00F54D5A" w:rsidRPr="00F54D5A" w:rsidRDefault="00F54D5A" w:rsidP="00F54D5A">
      <w:pPr>
        <w:spacing w:before="100" w:beforeAutospacing="1" w:after="100" w:afterAutospacing="1"/>
        <w:ind w:left="284"/>
        <w:jc w:val="both"/>
        <w:rPr>
          <w:rFonts w:ascii="Verdana" w:hAnsi="Verdana"/>
          <w:sz w:val="18"/>
          <w:szCs w:val="18"/>
        </w:rPr>
      </w:pPr>
      <w:r w:rsidRPr="00F54D5A">
        <w:rPr>
          <w:rFonts w:ascii="Verdana" w:hAnsi="Verdana"/>
          <w:sz w:val="18"/>
          <w:szCs w:val="18"/>
        </w:rPr>
        <w:t xml:space="preserve">El </w:t>
      </w:r>
      <w:r w:rsidRPr="00F54D5A">
        <w:rPr>
          <w:rFonts w:ascii="Verdana" w:hAnsi="Verdana"/>
          <w:b/>
          <w:bCs/>
          <w:sz w:val="18"/>
          <w:szCs w:val="18"/>
        </w:rPr>
        <w:t>TEAR de Cataluña</w:t>
      </w:r>
      <w:r w:rsidRPr="00F54D5A">
        <w:rPr>
          <w:rFonts w:ascii="Verdana" w:hAnsi="Verdana"/>
          <w:sz w:val="18"/>
          <w:szCs w:val="18"/>
        </w:rPr>
        <w:t xml:space="preserve"> y posteriormente el </w:t>
      </w:r>
      <w:r w:rsidRPr="00F54D5A">
        <w:rPr>
          <w:rFonts w:ascii="Verdana" w:hAnsi="Verdana"/>
          <w:b/>
          <w:bCs/>
          <w:sz w:val="18"/>
          <w:szCs w:val="18"/>
        </w:rPr>
        <w:t>TEAC</w:t>
      </w:r>
      <w:r w:rsidRPr="00F54D5A">
        <w:rPr>
          <w:rFonts w:ascii="Verdana" w:hAnsi="Verdana"/>
          <w:sz w:val="18"/>
          <w:szCs w:val="18"/>
        </w:rPr>
        <w:t xml:space="preserve"> desestimaron la reclamación con base en:</w:t>
      </w:r>
    </w:p>
    <w:p w14:paraId="06C0F516" w14:textId="77777777" w:rsidR="003505DA" w:rsidRPr="003505DA" w:rsidRDefault="00F54D5A" w:rsidP="008C5028">
      <w:pPr>
        <w:numPr>
          <w:ilvl w:val="0"/>
          <w:numId w:val="40"/>
        </w:numPr>
        <w:tabs>
          <w:tab w:val="clear" w:pos="720"/>
          <w:tab w:val="num" w:pos="567"/>
        </w:tabs>
        <w:spacing w:before="100" w:beforeAutospacing="1" w:after="100" w:afterAutospacing="1"/>
        <w:ind w:left="284" w:firstLine="0"/>
        <w:contextualSpacing/>
        <w:jc w:val="both"/>
        <w:rPr>
          <w:rFonts w:ascii="Verdana" w:hAnsi="Verdana"/>
          <w:sz w:val="18"/>
          <w:szCs w:val="18"/>
        </w:rPr>
      </w:pPr>
      <w:r w:rsidRPr="00F54D5A">
        <w:rPr>
          <w:rFonts w:ascii="Verdana" w:hAnsi="Verdana"/>
          <w:b/>
          <w:bCs/>
          <w:sz w:val="18"/>
          <w:szCs w:val="18"/>
        </w:rPr>
        <w:t>Literalidad del art. 55 LIRPF:</w:t>
      </w:r>
    </w:p>
    <w:p w14:paraId="471E17D3" w14:textId="005471A5" w:rsidR="00F54D5A" w:rsidRDefault="003505DA" w:rsidP="003C75DE">
      <w:pPr>
        <w:spacing w:before="100" w:beforeAutospacing="1" w:after="100" w:afterAutospacing="1"/>
        <w:ind w:left="567"/>
        <w:contextualSpacing/>
        <w:jc w:val="both"/>
        <w:rPr>
          <w:rFonts w:ascii="Verdana" w:hAnsi="Verdana"/>
          <w:sz w:val="18"/>
          <w:szCs w:val="18"/>
        </w:rPr>
      </w:pPr>
      <w:r>
        <w:rPr>
          <w:rFonts w:ascii="Verdana" w:hAnsi="Verdana"/>
          <w:sz w:val="18"/>
          <w:szCs w:val="18"/>
        </w:rPr>
        <w:t>L</w:t>
      </w:r>
      <w:r w:rsidR="00F54D5A" w:rsidRPr="00F54D5A">
        <w:rPr>
          <w:rFonts w:ascii="Verdana" w:hAnsi="Verdana"/>
          <w:sz w:val="18"/>
          <w:szCs w:val="18"/>
        </w:rPr>
        <w:t xml:space="preserve">a norma se refiere expresamente a las </w:t>
      </w:r>
      <w:r w:rsidR="00F54D5A" w:rsidRPr="00F54D5A">
        <w:rPr>
          <w:rFonts w:ascii="Verdana" w:hAnsi="Verdana"/>
          <w:i/>
          <w:iCs/>
          <w:sz w:val="18"/>
          <w:szCs w:val="18"/>
        </w:rPr>
        <w:t>pensiones compensatorias entre cónyuges</w:t>
      </w:r>
      <w:r w:rsidR="00F54D5A" w:rsidRPr="00F54D5A">
        <w:rPr>
          <w:rFonts w:ascii="Verdana" w:hAnsi="Verdana"/>
          <w:sz w:val="18"/>
          <w:szCs w:val="18"/>
        </w:rPr>
        <w:t xml:space="preserve"> fijadas en virtud de la </w:t>
      </w:r>
      <w:r w:rsidR="00F54D5A" w:rsidRPr="00F54D5A">
        <w:rPr>
          <w:rFonts w:ascii="Verdana" w:hAnsi="Verdana"/>
          <w:b/>
          <w:bCs/>
          <w:sz w:val="18"/>
          <w:szCs w:val="18"/>
        </w:rPr>
        <w:t>disolución matrimonial</w:t>
      </w:r>
      <w:r w:rsidR="00F54D5A" w:rsidRPr="00F54D5A">
        <w:rPr>
          <w:rFonts w:ascii="Verdana" w:hAnsi="Verdana"/>
          <w:sz w:val="18"/>
          <w:szCs w:val="18"/>
        </w:rPr>
        <w:t xml:space="preserve">, por lo que </w:t>
      </w:r>
      <w:r w:rsidR="00F54D5A" w:rsidRPr="00F54D5A">
        <w:rPr>
          <w:rFonts w:ascii="Verdana" w:hAnsi="Verdana"/>
          <w:b/>
          <w:bCs/>
          <w:sz w:val="18"/>
          <w:szCs w:val="18"/>
        </w:rPr>
        <w:t>no incluye</w:t>
      </w:r>
      <w:r w:rsidR="00F54D5A" w:rsidRPr="00F54D5A">
        <w:rPr>
          <w:rFonts w:ascii="Verdana" w:hAnsi="Verdana"/>
          <w:sz w:val="18"/>
          <w:szCs w:val="18"/>
        </w:rPr>
        <w:t xml:space="preserve"> a las parejas de hecho.</w:t>
      </w:r>
    </w:p>
    <w:p w14:paraId="4D78F2E2" w14:textId="77777777" w:rsidR="003C75DE" w:rsidRPr="00F54D5A" w:rsidRDefault="003C75DE" w:rsidP="003C75DE">
      <w:pPr>
        <w:spacing w:before="100" w:beforeAutospacing="1" w:after="100" w:afterAutospacing="1"/>
        <w:ind w:left="567"/>
        <w:contextualSpacing/>
        <w:jc w:val="both"/>
        <w:rPr>
          <w:rFonts w:ascii="Verdana" w:hAnsi="Verdana"/>
          <w:sz w:val="18"/>
          <w:szCs w:val="18"/>
        </w:rPr>
      </w:pPr>
    </w:p>
    <w:p w14:paraId="6884D67D" w14:textId="77777777" w:rsidR="00F54D5A" w:rsidRDefault="00F54D5A" w:rsidP="008C5028">
      <w:pPr>
        <w:numPr>
          <w:ilvl w:val="0"/>
          <w:numId w:val="40"/>
        </w:numPr>
        <w:spacing w:before="100" w:beforeAutospacing="1" w:after="100" w:afterAutospacing="1"/>
        <w:ind w:left="567" w:hanging="283"/>
        <w:contextualSpacing/>
        <w:jc w:val="both"/>
        <w:rPr>
          <w:rFonts w:ascii="Verdana" w:hAnsi="Verdana"/>
          <w:sz w:val="18"/>
          <w:szCs w:val="18"/>
        </w:rPr>
      </w:pPr>
      <w:r w:rsidRPr="00F54D5A">
        <w:rPr>
          <w:rFonts w:ascii="Verdana" w:hAnsi="Verdana"/>
          <w:b/>
          <w:bCs/>
          <w:sz w:val="18"/>
          <w:szCs w:val="18"/>
        </w:rPr>
        <w:t>Prohibición de la analogía en materia tributaria (art. 14 LGT):</w:t>
      </w:r>
      <w:r w:rsidRPr="00F54D5A">
        <w:rPr>
          <w:rFonts w:ascii="Verdana" w:hAnsi="Verdana"/>
          <w:sz w:val="18"/>
          <w:szCs w:val="18"/>
        </w:rPr>
        <w:br/>
        <w:t xml:space="preserve">Extender el beneficio fiscal a las uniones estables sería una aplicación analógica </w:t>
      </w:r>
      <w:r w:rsidRPr="00F54D5A">
        <w:rPr>
          <w:rFonts w:ascii="Verdana" w:hAnsi="Verdana"/>
          <w:b/>
          <w:bCs/>
          <w:sz w:val="18"/>
          <w:szCs w:val="18"/>
        </w:rPr>
        <w:t>no permitida</w:t>
      </w:r>
      <w:r w:rsidRPr="00F54D5A">
        <w:rPr>
          <w:rFonts w:ascii="Verdana" w:hAnsi="Verdana"/>
          <w:sz w:val="18"/>
          <w:szCs w:val="18"/>
        </w:rPr>
        <w:t xml:space="preserve">, al tratarse de un </w:t>
      </w:r>
      <w:r w:rsidRPr="00F54D5A">
        <w:rPr>
          <w:rFonts w:ascii="Verdana" w:hAnsi="Verdana"/>
          <w:b/>
          <w:bCs/>
          <w:sz w:val="18"/>
          <w:szCs w:val="18"/>
        </w:rPr>
        <w:t>beneficio fiscal</w:t>
      </w:r>
      <w:r w:rsidRPr="00F54D5A">
        <w:rPr>
          <w:rFonts w:ascii="Verdana" w:hAnsi="Verdana"/>
          <w:sz w:val="18"/>
          <w:szCs w:val="18"/>
        </w:rPr>
        <w:t xml:space="preserve"> y no de una carga.</w:t>
      </w:r>
    </w:p>
    <w:p w14:paraId="68FDA5C7" w14:textId="77777777" w:rsidR="0045033C" w:rsidRPr="00F54D5A" w:rsidRDefault="0045033C" w:rsidP="0045033C">
      <w:pPr>
        <w:spacing w:before="100" w:beforeAutospacing="1" w:after="100" w:afterAutospacing="1"/>
        <w:ind w:left="284"/>
        <w:contextualSpacing/>
        <w:jc w:val="both"/>
        <w:rPr>
          <w:rFonts w:ascii="Verdana" w:hAnsi="Verdana"/>
          <w:sz w:val="18"/>
          <w:szCs w:val="18"/>
        </w:rPr>
      </w:pPr>
    </w:p>
    <w:p w14:paraId="6C97C3D2" w14:textId="0CA35759" w:rsidR="003505DA" w:rsidRPr="003505DA" w:rsidRDefault="00F54D5A" w:rsidP="008C5028">
      <w:pPr>
        <w:numPr>
          <w:ilvl w:val="0"/>
          <w:numId w:val="40"/>
        </w:numPr>
        <w:tabs>
          <w:tab w:val="clear" w:pos="720"/>
          <w:tab w:val="num" w:pos="567"/>
        </w:tabs>
        <w:spacing w:before="100" w:beforeAutospacing="1" w:after="100" w:afterAutospacing="1"/>
        <w:ind w:left="284" w:firstLine="0"/>
        <w:contextualSpacing/>
        <w:jc w:val="both"/>
        <w:rPr>
          <w:rFonts w:ascii="Verdana" w:hAnsi="Verdana"/>
          <w:sz w:val="18"/>
          <w:szCs w:val="18"/>
        </w:rPr>
      </w:pPr>
      <w:r w:rsidRPr="00F54D5A">
        <w:rPr>
          <w:rFonts w:ascii="Verdana" w:hAnsi="Verdana"/>
          <w:b/>
          <w:bCs/>
          <w:sz w:val="18"/>
          <w:szCs w:val="18"/>
        </w:rPr>
        <w:t>Inaplicabilidad de la jurisprudencia invocada:</w:t>
      </w:r>
    </w:p>
    <w:p w14:paraId="4B255546" w14:textId="154043F5" w:rsidR="00F54D5A" w:rsidRDefault="00F54D5A" w:rsidP="0045033C">
      <w:pPr>
        <w:spacing w:before="100" w:beforeAutospacing="1" w:after="100" w:afterAutospacing="1"/>
        <w:ind w:left="567"/>
        <w:contextualSpacing/>
        <w:jc w:val="both"/>
        <w:rPr>
          <w:rFonts w:ascii="Verdana" w:hAnsi="Verdana"/>
          <w:sz w:val="18"/>
          <w:szCs w:val="18"/>
        </w:rPr>
      </w:pPr>
      <w:r w:rsidRPr="00F54D5A">
        <w:rPr>
          <w:rFonts w:ascii="Verdana" w:hAnsi="Verdana"/>
          <w:sz w:val="18"/>
          <w:szCs w:val="18"/>
        </w:rPr>
        <w:t xml:space="preserve">La </w:t>
      </w:r>
      <w:r w:rsidRPr="00F54D5A">
        <w:rPr>
          <w:rFonts w:ascii="Verdana" w:hAnsi="Verdana"/>
          <w:b/>
          <w:bCs/>
          <w:sz w:val="18"/>
          <w:szCs w:val="18"/>
        </w:rPr>
        <w:t>STS de 25 de marzo de 2021</w:t>
      </w:r>
      <w:r w:rsidRPr="00F54D5A">
        <w:rPr>
          <w:rFonts w:ascii="Verdana" w:hAnsi="Verdana"/>
          <w:sz w:val="18"/>
          <w:szCs w:val="18"/>
        </w:rPr>
        <w:t xml:space="preserve"> trataba sobre matrimonios y sobre la validez de los convenios notariales de separación, pero </w:t>
      </w:r>
      <w:r w:rsidRPr="00F54D5A">
        <w:rPr>
          <w:rFonts w:ascii="Verdana" w:hAnsi="Verdana"/>
          <w:b/>
          <w:bCs/>
          <w:sz w:val="18"/>
          <w:szCs w:val="18"/>
        </w:rPr>
        <w:t>no sobre uniones de hecho</w:t>
      </w:r>
      <w:r w:rsidRPr="00F54D5A">
        <w:rPr>
          <w:rFonts w:ascii="Verdana" w:hAnsi="Verdana"/>
          <w:sz w:val="18"/>
          <w:szCs w:val="18"/>
        </w:rPr>
        <w:t>.</w:t>
      </w:r>
      <w:r w:rsidRPr="00F54D5A">
        <w:rPr>
          <w:rFonts w:ascii="Verdana" w:hAnsi="Verdana"/>
          <w:sz w:val="18"/>
          <w:szCs w:val="18"/>
        </w:rPr>
        <w:br/>
        <w:t xml:space="preserve">No existe, en el IRPF, </w:t>
      </w:r>
      <w:r w:rsidRPr="00F54D5A">
        <w:rPr>
          <w:rFonts w:ascii="Verdana" w:hAnsi="Verdana"/>
          <w:b/>
          <w:bCs/>
          <w:sz w:val="18"/>
          <w:szCs w:val="18"/>
        </w:rPr>
        <w:t>reconocimiento legal de la pensión compensatoria entre convivientes no casados</w:t>
      </w:r>
      <w:r w:rsidRPr="00F54D5A">
        <w:rPr>
          <w:rFonts w:ascii="Verdana" w:hAnsi="Verdana"/>
          <w:sz w:val="18"/>
          <w:szCs w:val="18"/>
        </w:rPr>
        <w:t>.</w:t>
      </w:r>
    </w:p>
    <w:p w14:paraId="5F906CE2" w14:textId="77777777" w:rsidR="0045033C" w:rsidRPr="00F54D5A" w:rsidRDefault="0045033C" w:rsidP="0045033C">
      <w:pPr>
        <w:spacing w:before="100" w:beforeAutospacing="1" w:after="100" w:afterAutospacing="1"/>
        <w:ind w:left="567"/>
        <w:contextualSpacing/>
        <w:jc w:val="both"/>
        <w:rPr>
          <w:rFonts w:ascii="Verdana" w:hAnsi="Verdana"/>
          <w:sz w:val="18"/>
          <w:szCs w:val="18"/>
        </w:rPr>
      </w:pPr>
    </w:p>
    <w:p w14:paraId="6EAC2982" w14:textId="77777777" w:rsidR="003505DA" w:rsidRPr="003505DA" w:rsidRDefault="00F54D5A" w:rsidP="008C5028">
      <w:pPr>
        <w:numPr>
          <w:ilvl w:val="0"/>
          <w:numId w:val="40"/>
        </w:numPr>
        <w:tabs>
          <w:tab w:val="clear" w:pos="720"/>
          <w:tab w:val="num" w:pos="567"/>
        </w:tabs>
        <w:spacing w:before="100" w:beforeAutospacing="1" w:after="100" w:afterAutospacing="1"/>
        <w:ind w:left="284" w:firstLine="0"/>
        <w:contextualSpacing/>
        <w:jc w:val="both"/>
        <w:rPr>
          <w:rFonts w:ascii="Verdana" w:hAnsi="Verdana"/>
          <w:sz w:val="18"/>
          <w:szCs w:val="18"/>
        </w:rPr>
      </w:pPr>
      <w:r w:rsidRPr="00F54D5A">
        <w:rPr>
          <w:rFonts w:ascii="Verdana" w:hAnsi="Verdana"/>
          <w:b/>
          <w:bCs/>
          <w:sz w:val="18"/>
          <w:szCs w:val="18"/>
        </w:rPr>
        <w:t>No concurrencia de doble imposición:</w:t>
      </w:r>
    </w:p>
    <w:p w14:paraId="72452C6D" w14:textId="5DC163B9" w:rsidR="00F54D5A" w:rsidRDefault="00F54D5A" w:rsidP="003C75DE">
      <w:pPr>
        <w:spacing w:before="100" w:beforeAutospacing="1" w:after="100" w:afterAutospacing="1"/>
        <w:ind w:left="567"/>
        <w:contextualSpacing/>
        <w:jc w:val="both"/>
        <w:rPr>
          <w:rFonts w:ascii="Verdana" w:hAnsi="Verdana"/>
          <w:sz w:val="18"/>
          <w:szCs w:val="18"/>
        </w:rPr>
      </w:pPr>
      <w:r w:rsidRPr="00F54D5A">
        <w:rPr>
          <w:rFonts w:ascii="Verdana" w:hAnsi="Verdana"/>
          <w:sz w:val="18"/>
          <w:szCs w:val="18"/>
        </w:rPr>
        <w:t xml:space="preserve">El hecho de que una renta se grave en dos sujetos distintos (pagador y perceptor) </w:t>
      </w:r>
      <w:r w:rsidRPr="00F54D5A">
        <w:rPr>
          <w:rFonts w:ascii="Verdana" w:hAnsi="Verdana"/>
          <w:b/>
          <w:bCs/>
          <w:sz w:val="18"/>
          <w:szCs w:val="18"/>
        </w:rPr>
        <w:t>no constituye doble imposición prohibida</w:t>
      </w:r>
      <w:r w:rsidRPr="00F54D5A">
        <w:rPr>
          <w:rFonts w:ascii="Verdana" w:hAnsi="Verdana"/>
          <w:sz w:val="18"/>
          <w:szCs w:val="18"/>
        </w:rPr>
        <w:t>, sino una consecuencia estructural del IRPF.</w:t>
      </w:r>
    </w:p>
    <w:p w14:paraId="17AFE3DF" w14:textId="77777777" w:rsidR="003C75DE" w:rsidRPr="00F54D5A" w:rsidRDefault="003C75DE" w:rsidP="003C75DE">
      <w:pPr>
        <w:spacing w:before="100" w:beforeAutospacing="1" w:after="100" w:afterAutospacing="1"/>
        <w:ind w:left="567"/>
        <w:contextualSpacing/>
        <w:jc w:val="both"/>
        <w:rPr>
          <w:rFonts w:ascii="Verdana" w:hAnsi="Verdana"/>
          <w:sz w:val="18"/>
          <w:szCs w:val="18"/>
        </w:rPr>
      </w:pPr>
    </w:p>
    <w:p w14:paraId="6DBE5153" w14:textId="77777777" w:rsidR="00F54D5A" w:rsidRPr="00F54D5A" w:rsidRDefault="00F54D5A" w:rsidP="00F54D5A">
      <w:pPr>
        <w:spacing w:before="100" w:beforeAutospacing="1" w:after="100" w:afterAutospacing="1"/>
        <w:ind w:left="284"/>
        <w:jc w:val="both"/>
        <w:outlineLvl w:val="3"/>
        <w:rPr>
          <w:rFonts w:ascii="Verdana" w:hAnsi="Verdana"/>
          <w:b/>
          <w:bCs/>
          <w:sz w:val="18"/>
          <w:szCs w:val="18"/>
        </w:rPr>
      </w:pPr>
      <w:r w:rsidRPr="00F54D5A">
        <w:rPr>
          <w:rFonts w:ascii="Verdana" w:hAnsi="Verdana"/>
          <w:b/>
          <w:bCs/>
          <w:sz w:val="18"/>
          <w:szCs w:val="18"/>
        </w:rPr>
        <w:t>4. Fallo</w:t>
      </w:r>
    </w:p>
    <w:p w14:paraId="3942BCE9" w14:textId="77777777" w:rsidR="00F54D5A" w:rsidRPr="00F54D5A" w:rsidRDefault="00F54D5A" w:rsidP="00F54D5A">
      <w:pPr>
        <w:spacing w:before="100" w:beforeAutospacing="1" w:after="100" w:afterAutospacing="1"/>
        <w:ind w:left="284"/>
        <w:jc w:val="both"/>
        <w:rPr>
          <w:rFonts w:ascii="Verdana" w:hAnsi="Verdana"/>
          <w:sz w:val="18"/>
          <w:szCs w:val="18"/>
        </w:rPr>
      </w:pPr>
      <w:r w:rsidRPr="00F54D5A">
        <w:rPr>
          <w:rFonts w:ascii="Verdana" w:hAnsi="Verdana"/>
          <w:sz w:val="18"/>
          <w:szCs w:val="18"/>
        </w:rPr>
        <w:t xml:space="preserve">El </w:t>
      </w:r>
      <w:r w:rsidRPr="00F54D5A">
        <w:rPr>
          <w:rFonts w:ascii="Verdana" w:hAnsi="Verdana"/>
          <w:b/>
          <w:bCs/>
          <w:sz w:val="18"/>
          <w:szCs w:val="18"/>
        </w:rPr>
        <w:t>TEAC desestima la reclamación</w:t>
      </w:r>
      <w:r w:rsidRPr="00F54D5A">
        <w:rPr>
          <w:rFonts w:ascii="Verdana" w:hAnsi="Verdana"/>
          <w:sz w:val="18"/>
          <w:szCs w:val="18"/>
        </w:rPr>
        <w:t xml:space="preserve"> y </w:t>
      </w:r>
      <w:r w:rsidRPr="00F54D5A">
        <w:rPr>
          <w:rFonts w:ascii="Verdana" w:hAnsi="Verdana"/>
          <w:b/>
          <w:bCs/>
          <w:sz w:val="18"/>
          <w:szCs w:val="18"/>
        </w:rPr>
        <w:t>confirma la resolución del TEAR de Cataluña</w:t>
      </w:r>
      <w:r w:rsidRPr="00F54D5A">
        <w:rPr>
          <w:rFonts w:ascii="Verdana" w:hAnsi="Verdana"/>
          <w:sz w:val="18"/>
          <w:szCs w:val="18"/>
        </w:rPr>
        <w:t>, estableciendo que:</w:t>
      </w:r>
    </w:p>
    <w:p w14:paraId="505615E1" w14:textId="77777777" w:rsidR="00F54D5A" w:rsidRPr="00F54D5A" w:rsidRDefault="00F54D5A" w:rsidP="00F54D5A">
      <w:pPr>
        <w:spacing w:before="100" w:beforeAutospacing="1" w:after="100" w:afterAutospacing="1"/>
        <w:ind w:left="284"/>
        <w:jc w:val="both"/>
        <w:rPr>
          <w:rFonts w:ascii="Verdana" w:hAnsi="Verdana"/>
          <w:sz w:val="18"/>
          <w:szCs w:val="18"/>
        </w:rPr>
      </w:pPr>
      <w:r w:rsidRPr="00F54D5A">
        <w:rPr>
          <w:rFonts w:ascii="Verdana" w:hAnsi="Verdana"/>
          <w:sz w:val="18"/>
          <w:szCs w:val="18"/>
        </w:rPr>
        <w:t>La reducción prevista en el artículo 55 de la Ley del IRPF solo es aplicable a las pensiones compensatorias derivadas de la disolución matrimonial, no siendo posible su extensión a las uniones de hecho, aun cuando existan similitudes civiles o sociales.</w:t>
      </w:r>
    </w:p>
    <w:p w14:paraId="2FE4D25D" w14:textId="77777777" w:rsidR="00F54D5A" w:rsidRPr="00F54D5A" w:rsidRDefault="00F54D5A" w:rsidP="00F54D5A">
      <w:pPr>
        <w:spacing w:before="100" w:beforeAutospacing="1" w:after="100" w:afterAutospacing="1"/>
        <w:ind w:left="284"/>
        <w:jc w:val="both"/>
        <w:outlineLvl w:val="3"/>
        <w:rPr>
          <w:rFonts w:ascii="Verdana" w:hAnsi="Verdana"/>
          <w:b/>
          <w:bCs/>
          <w:sz w:val="18"/>
          <w:szCs w:val="18"/>
        </w:rPr>
      </w:pPr>
      <w:r w:rsidRPr="00F54D5A">
        <w:rPr>
          <w:rFonts w:ascii="Verdana" w:hAnsi="Verdana"/>
          <w:b/>
          <w:bCs/>
          <w:sz w:val="18"/>
          <w:szCs w:val="18"/>
        </w:rPr>
        <w:t>5. Valoración jurídica</w:t>
      </w:r>
    </w:p>
    <w:p w14:paraId="7866FC9E" w14:textId="77777777" w:rsidR="00F54D5A" w:rsidRPr="00F54D5A" w:rsidRDefault="00F54D5A" w:rsidP="008C5028">
      <w:pPr>
        <w:numPr>
          <w:ilvl w:val="0"/>
          <w:numId w:val="41"/>
        </w:numPr>
        <w:spacing w:before="100" w:beforeAutospacing="1" w:after="100" w:afterAutospacing="1"/>
        <w:ind w:left="567" w:hanging="283"/>
        <w:jc w:val="both"/>
        <w:rPr>
          <w:rFonts w:ascii="Verdana" w:hAnsi="Verdana"/>
          <w:sz w:val="18"/>
          <w:szCs w:val="18"/>
        </w:rPr>
      </w:pPr>
      <w:r w:rsidRPr="00F54D5A">
        <w:rPr>
          <w:rFonts w:ascii="Verdana" w:hAnsi="Verdana"/>
          <w:sz w:val="18"/>
          <w:szCs w:val="18"/>
        </w:rPr>
        <w:t xml:space="preserve">El TEAC mantiene una </w:t>
      </w:r>
      <w:r w:rsidRPr="00F54D5A">
        <w:rPr>
          <w:rFonts w:ascii="Verdana" w:hAnsi="Verdana"/>
          <w:b/>
          <w:bCs/>
          <w:sz w:val="18"/>
          <w:szCs w:val="18"/>
        </w:rPr>
        <w:t xml:space="preserve">interpretación estricta y </w:t>
      </w:r>
      <w:proofErr w:type="spellStart"/>
      <w:r w:rsidRPr="00F54D5A">
        <w:rPr>
          <w:rFonts w:ascii="Verdana" w:hAnsi="Verdana"/>
          <w:b/>
          <w:bCs/>
          <w:sz w:val="18"/>
          <w:szCs w:val="18"/>
        </w:rPr>
        <w:t>literalista</w:t>
      </w:r>
      <w:proofErr w:type="spellEnd"/>
      <w:r w:rsidRPr="00F54D5A">
        <w:rPr>
          <w:rFonts w:ascii="Verdana" w:hAnsi="Verdana"/>
          <w:sz w:val="18"/>
          <w:szCs w:val="18"/>
        </w:rPr>
        <w:t xml:space="preserve"> del art. 55 LIRPF, priorizando la seguridad jurídica y el principio de reserva de ley tributaria frente a la interpretación finalista o evolutiva.</w:t>
      </w:r>
    </w:p>
    <w:p w14:paraId="21F63A81" w14:textId="77777777" w:rsidR="00F54D5A" w:rsidRDefault="00F54D5A" w:rsidP="00BD77F5">
      <w:pPr>
        <w:numPr>
          <w:ilvl w:val="0"/>
          <w:numId w:val="41"/>
        </w:numPr>
        <w:spacing w:before="100" w:beforeAutospacing="1" w:after="100" w:afterAutospacing="1"/>
        <w:ind w:left="567" w:hanging="283"/>
        <w:contextualSpacing/>
        <w:jc w:val="both"/>
        <w:rPr>
          <w:rFonts w:ascii="Verdana" w:hAnsi="Verdana"/>
          <w:sz w:val="18"/>
          <w:szCs w:val="18"/>
        </w:rPr>
      </w:pPr>
      <w:r w:rsidRPr="00F54D5A">
        <w:rPr>
          <w:rFonts w:ascii="Verdana" w:hAnsi="Verdana"/>
          <w:sz w:val="18"/>
          <w:szCs w:val="18"/>
        </w:rPr>
        <w:t xml:space="preserve">Aunque el reclamante invoca principios constitucionales (igualdad, capacidad económica), el TEAC entiende que </w:t>
      </w:r>
      <w:r w:rsidRPr="00F54D5A">
        <w:rPr>
          <w:rFonts w:ascii="Verdana" w:hAnsi="Verdana"/>
          <w:b/>
          <w:bCs/>
          <w:sz w:val="18"/>
          <w:szCs w:val="18"/>
        </w:rPr>
        <w:t>no corresponde a la vía económico-administrativa</w:t>
      </w:r>
      <w:r w:rsidRPr="00F54D5A">
        <w:rPr>
          <w:rFonts w:ascii="Verdana" w:hAnsi="Verdana"/>
          <w:sz w:val="18"/>
          <w:szCs w:val="18"/>
        </w:rPr>
        <w:t xml:space="preserve"> entrar a valorar la constitucionalidad de la norma, sino </w:t>
      </w:r>
      <w:r w:rsidRPr="00F54D5A">
        <w:rPr>
          <w:rFonts w:ascii="Verdana" w:hAnsi="Verdana"/>
          <w:b/>
          <w:bCs/>
          <w:sz w:val="18"/>
          <w:szCs w:val="18"/>
        </w:rPr>
        <w:t>aplicarla en sus estrictos términos</w:t>
      </w:r>
      <w:r w:rsidRPr="00F54D5A">
        <w:rPr>
          <w:rFonts w:ascii="Verdana" w:hAnsi="Verdana"/>
          <w:sz w:val="18"/>
          <w:szCs w:val="18"/>
        </w:rPr>
        <w:t>.</w:t>
      </w:r>
    </w:p>
    <w:p w14:paraId="0FFEAD99" w14:textId="77777777" w:rsidR="00BD77F5" w:rsidRPr="00F54D5A" w:rsidRDefault="00BD77F5" w:rsidP="00BD77F5">
      <w:pPr>
        <w:spacing w:before="100" w:beforeAutospacing="1" w:after="100" w:afterAutospacing="1"/>
        <w:ind w:left="284"/>
        <w:contextualSpacing/>
        <w:jc w:val="both"/>
        <w:rPr>
          <w:rFonts w:ascii="Verdana" w:hAnsi="Verdana"/>
          <w:sz w:val="18"/>
          <w:szCs w:val="18"/>
        </w:rPr>
      </w:pPr>
    </w:p>
    <w:p w14:paraId="7E2F1923" w14:textId="6E558133" w:rsidR="00F54D5A" w:rsidRPr="00BD77F5" w:rsidRDefault="00F54D5A" w:rsidP="00BD77F5">
      <w:pPr>
        <w:numPr>
          <w:ilvl w:val="0"/>
          <w:numId w:val="41"/>
        </w:numPr>
        <w:spacing w:before="100" w:beforeAutospacing="1" w:after="100" w:afterAutospacing="1"/>
        <w:ind w:left="567" w:hanging="283"/>
        <w:contextualSpacing/>
        <w:jc w:val="both"/>
        <w:rPr>
          <w:rFonts w:ascii="Verdana" w:hAnsi="Verdana"/>
          <w:sz w:val="18"/>
          <w:szCs w:val="18"/>
        </w:rPr>
      </w:pPr>
      <w:r w:rsidRPr="00F54D5A">
        <w:rPr>
          <w:rFonts w:ascii="Verdana" w:hAnsi="Verdana"/>
          <w:sz w:val="18"/>
          <w:szCs w:val="18"/>
        </w:rPr>
        <w:t xml:space="preserve">El criterio reafirma una </w:t>
      </w:r>
      <w:r w:rsidRPr="00F54D5A">
        <w:rPr>
          <w:rFonts w:ascii="Verdana" w:hAnsi="Verdana"/>
          <w:b/>
          <w:bCs/>
          <w:sz w:val="18"/>
          <w:szCs w:val="18"/>
        </w:rPr>
        <w:t>diferenciación entre matrimonio y unión de hecho</w:t>
      </w:r>
      <w:r w:rsidRPr="00F54D5A">
        <w:rPr>
          <w:rFonts w:ascii="Verdana" w:hAnsi="Verdana"/>
          <w:sz w:val="18"/>
          <w:szCs w:val="18"/>
        </w:rPr>
        <w:t xml:space="preserve"> en el ámbito tributario, coherente con la posición tradicional de la Administración y los</w:t>
      </w:r>
      <w:r w:rsidRPr="00F54D5A">
        <w:rPr>
          <w:sz w:val="24"/>
          <w:szCs w:val="24"/>
        </w:rPr>
        <w:t xml:space="preserve"> </w:t>
      </w:r>
      <w:r w:rsidR="003505DA" w:rsidRPr="00BD77F5">
        <w:rPr>
          <w:rFonts w:ascii="Verdana" w:hAnsi="Verdana"/>
          <w:sz w:val="18"/>
          <w:szCs w:val="18"/>
        </w:rPr>
        <w:t>Tr</w:t>
      </w:r>
      <w:r w:rsidRPr="00BD77F5">
        <w:rPr>
          <w:rFonts w:ascii="Verdana" w:hAnsi="Verdana"/>
          <w:sz w:val="18"/>
          <w:szCs w:val="18"/>
        </w:rPr>
        <w:t xml:space="preserve">ibunales </w:t>
      </w:r>
      <w:r w:rsidR="003505DA" w:rsidRPr="00BD77F5">
        <w:rPr>
          <w:rFonts w:ascii="Verdana" w:hAnsi="Verdana"/>
          <w:sz w:val="18"/>
          <w:szCs w:val="18"/>
        </w:rPr>
        <w:t>E</w:t>
      </w:r>
      <w:r w:rsidRPr="00BD77F5">
        <w:rPr>
          <w:rFonts w:ascii="Verdana" w:hAnsi="Verdana"/>
          <w:sz w:val="18"/>
          <w:szCs w:val="18"/>
        </w:rPr>
        <w:t>conómico-</w:t>
      </w:r>
      <w:r w:rsidR="003505DA" w:rsidRPr="00BD77F5">
        <w:rPr>
          <w:rFonts w:ascii="Verdana" w:hAnsi="Verdana"/>
          <w:sz w:val="18"/>
          <w:szCs w:val="18"/>
        </w:rPr>
        <w:t>A</w:t>
      </w:r>
      <w:r w:rsidRPr="00BD77F5">
        <w:rPr>
          <w:rFonts w:ascii="Verdana" w:hAnsi="Verdana"/>
          <w:sz w:val="18"/>
          <w:szCs w:val="18"/>
        </w:rPr>
        <w:t>dministrativos.</w:t>
      </w:r>
    </w:p>
    <w:p w14:paraId="5046047A" w14:textId="77777777" w:rsidR="007A4878" w:rsidRDefault="007A4878" w:rsidP="00767FE6">
      <w:pPr>
        <w:ind w:left="284"/>
        <w:jc w:val="both"/>
        <w:rPr>
          <w:rFonts w:ascii="Verdana" w:hAnsi="Verdana" w:cs="Open Sans"/>
          <w:color w:val="222222"/>
          <w:sz w:val="18"/>
          <w:szCs w:val="18"/>
          <w:shd w:val="clear" w:color="auto" w:fill="FFFFFF"/>
        </w:rPr>
      </w:pPr>
    </w:p>
    <w:p w14:paraId="39248445" w14:textId="77777777" w:rsidR="00B362F2" w:rsidRDefault="00B362F2" w:rsidP="00767FE6">
      <w:pPr>
        <w:ind w:left="284"/>
        <w:jc w:val="both"/>
        <w:rPr>
          <w:rFonts w:ascii="Verdana" w:hAnsi="Verdana" w:cs="Open Sans"/>
          <w:color w:val="222222"/>
          <w:sz w:val="18"/>
          <w:szCs w:val="18"/>
          <w:shd w:val="clear" w:color="auto" w:fill="FFFFFF"/>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7A4878" w:rsidRPr="00D47DEE" w14:paraId="0F924E40" w14:textId="77777777" w:rsidTr="004D0BD0">
        <w:tc>
          <w:tcPr>
            <w:tcW w:w="180" w:type="dxa"/>
            <w:shd w:val="clear" w:color="auto" w:fill="FF6600"/>
          </w:tcPr>
          <w:p w14:paraId="7652B499" w14:textId="77777777" w:rsidR="007A4878" w:rsidRPr="00D47DEE" w:rsidRDefault="007A4878" w:rsidP="004D0BD0">
            <w:pPr>
              <w:rPr>
                <w:rFonts w:ascii="Verdana" w:hAnsi="Verdana"/>
                <w:b/>
                <w:bCs/>
                <w:iCs/>
                <w:color w:val="800000"/>
                <w:sz w:val="18"/>
                <w:szCs w:val="18"/>
              </w:rPr>
            </w:pPr>
          </w:p>
        </w:tc>
        <w:tc>
          <w:tcPr>
            <w:tcW w:w="8460" w:type="dxa"/>
          </w:tcPr>
          <w:p w14:paraId="5DE75AC6" w14:textId="4A361BCD" w:rsidR="007A4878" w:rsidRPr="00D47DEE" w:rsidRDefault="007A4878" w:rsidP="008C5028">
            <w:pPr>
              <w:numPr>
                <w:ilvl w:val="0"/>
                <w:numId w:val="44"/>
              </w:numPr>
              <w:tabs>
                <w:tab w:val="clear" w:pos="928"/>
                <w:tab w:val="num" w:pos="526"/>
              </w:tabs>
              <w:ind w:left="387" w:hanging="387"/>
              <w:jc w:val="both"/>
              <w:rPr>
                <w:rFonts w:ascii="Verdana" w:hAnsi="Verdana"/>
                <w:b/>
                <w:bCs/>
                <w:iCs/>
                <w:color w:val="800000"/>
                <w:sz w:val="18"/>
                <w:szCs w:val="18"/>
              </w:rPr>
            </w:pPr>
            <w:r w:rsidRPr="00D47DEE">
              <w:rPr>
                <w:rFonts w:ascii="Verdana" w:hAnsi="Verdana"/>
                <w:b/>
                <w:bCs/>
                <w:iCs/>
                <w:color w:val="800000"/>
                <w:sz w:val="18"/>
                <w:szCs w:val="18"/>
              </w:rPr>
              <w:t xml:space="preserve"> </w:t>
            </w:r>
            <w:r w:rsidR="00A06EB8" w:rsidRPr="005901EC">
              <w:rPr>
                <w:rFonts w:ascii="Verdana" w:hAnsi="Verdana"/>
                <w:b/>
                <w:bCs/>
                <w:color w:val="800000"/>
                <w:sz w:val="18"/>
                <w:szCs w:val="18"/>
              </w:rPr>
              <w:t>LA EXCEPCIÓN DE LA PRESUNCIÓN DE USO PRIVATIVO PARA LOS VEHÍCULOS MIXTOS DESTINADOS AL TRANSPORTE DE MERCANCÍAS SE PUEDE APLICAR A OTROS PROFESIONALES QUE USEN LOS VEHÍCULOS PARA TRANSPORTAR</w:t>
            </w:r>
            <w:r w:rsidR="00A06EB8">
              <w:rPr>
                <w:rFonts w:ascii="Verdana" w:hAnsi="Verdana"/>
                <w:b/>
                <w:bCs/>
                <w:color w:val="800000"/>
                <w:sz w:val="18"/>
                <w:szCs w:val="18"/>
              </w:rPr>
              <w:t xml:space="preserve"> MATERIALES PROPIAS DE SU OFICIO</w:t>
            </w:r>
          </w:p>
        </w:tc>
      </w:tr>
    </w:tbl>
    <w:p w14:paraId="452411B4" w14:textId="77777777" w:rsidR="005901EC" w:rsidRDefault="005901EC" w:rsidP="00767FE6">
      <w:pPr>
        <w:ind w:left="284"/>
        <w:jc w:val="both"/>
        <w:rPr>
          <w:rFonts w:ascii="Verdana" w:hAnsi="Verdana" w:cs="Open Sans"/>
          <w:color w:val="222222"/>
          <w:sz w:val="18"/>
          <w:szCs w:val="18"/>
          <w:shd w:val="clear" w:color="auto" w:fill="FFFFFF"/>
        </w:rPr>
      </w:pPr>
    </w:p>
    <w:p w14:paraId="476BBAA6" w14:textId="70D7B491" w:rsidR="003505DA" w:rsidRDefault="005901EC" w:rsidP="00767FE6">
      <w:pPr>
        <w:ind w:left="284"/>
        <w:jc w:val="both"/>
        <w:rPr>
          <w:rFonts w:ascii="Verdana" w:hAnsi="Verdana" w:cs="Open Sans"/>
          <w:color w:val="222222"/>
          <w:sz w:val="18"/>
          <w:szCs w:val="18"/>
          <w:shd w:val="clear" w:color="auto" w:fill="FFFFFF"/>
        </w:rPr>
      </w:pPr>
      <w:r>
        <w:rPr>
          <w:rFonts w:ascii="Verdana" w:hAnsi="Verdana" w:cs="Open Sans"/>
          <w:color w:val="222222"/>
          <w:sz w:val="18"/>
          <w:szCs w:val="18"/>
          <w:shd w:val="clear" w:color="auto" w:fill="FFFFFF"/>
        </w:rPr>
        <w:t>El</w:t>
      </w:r>
      <w:r w:rsidRPr="005901EC">
        <w:rPr>
          <w:rFonts w:ascii="Verdana" w:hAnsi="Verdana" w:cs="Open Sans"/>
          <w:color w:val="222222"/>
          <w:sz w:val="18"/>
          <w:szCs w:val="18"/>
          <w:shd w:val="clear" w:color="auto" w:fill="FFFFFF"/>
        </w:rPr>
        <w:t xml:space="preserve"> TEAC </w:t>
      </w:r>
      <w:r w:rsidR="003505DA" w:rsidRPr="003505DA">
        <w:rPr>
          <w:rFonts w:ascii="Verdana" w:hAnsi="Verdana" w:cs="Open Sans"/>
          <w:color w:val="222222"/>
          <w:sz w:val="18"/>
          <w:szCs w:val="18"/>
          <w:shd w:val="clear" w:color="auto" w:fill="FFFFFF"/>
        </w:rPr>
        <w:t>en su resolución de 24 de junio de 2025</w:t>
      </w:r>
      <w:r w:rsidR="003505DA">
        <w:rPr>
          <w:rFonts w:ascii="Verdana" w:hAnsi="Verdana" w:cs="Open Sans"/>
          <w:color w:val="222222"/>
          <w:sz w:val="18"/>
          <w:szCs w:val="18"/>
          <w:shd w:val="clear" w:color="auto" w:fill="FFFFFF"/>
        </w:rPr>
        <w:t>,</w:t>
      </w:r>
      <w:r w:rsidR="003505DA">
        <w:rPr>
          <w:rFonts w:ascii="Verdana" w:hAnsi="Verdana"/>
          <w:b/>
          <w:bCs/>
          <w:i/>
          <w:iCs/>
          <w:color w:val="800000"/>
          <w:sz w:val="18"/>
          <w:szCs w:val="18"/>
        </w:rPr>
        <w:t xml:space="preserve"> </w:t>
      </w:r>
      <w:r w:rsidRPr="005901EC">
        <w:rPr>
          <w:rFonts w:ascii="Verdana" w:hAnsi="Verdana" w:cs="Open Sans"/>
          <w:color w:val="222222"/>
          <w:sz w:val="18"/>
          <w:szCs w:val="18"/>
          <w:shd w:val="clear" w:color="auto" w:fill="FFFFFF"/>
        </w:rPr>
        <w:t xml:space="preserve">concluye que la excepción de la consideración de uso privativo para los vehículos mixtos destinados al transporte de mercancías a efectos de determinar si están afectos a una actividad económica (art. 22.4.a) del Reglamento del IRPF </w:t>
      </w:r>
      <w:r w:rsidRPr="003505DA">
        <w:rPr>
          <w:rFonts w:ascii="Verdana" w:hAnsi="Verdana" w:cs="Open Sans"/>
          <w:b/>
          <w:bCs/>
          <w:color w:val="222222"/>
          <w:sz w:val="18"/>
          <w:szCs w:val="18"/>
          <w:shd w:val="clear" w:color="auto" w:fill="FFFFFF"/>
        </w:rPr>
        <w:t>no es aplicable solo a quienes tienen como actividad el transporte de mercancías</w:t>
      </w:r>
      <w:r w:rsidRPr="005901EC">
        <w:rPr>
          <w:rFonts w:ascii="Verdana" w:hAnsi="Verdana" w:cs="Open Sans"/>
          <w:color w:val="222222"/>
          <w:sz w:val="18"/>
          <w:szCs w:val="18"/>
          <w:shd w:val="clear" w:color="auto" w:fill="FFFFFF"/>
        </w:rPr>
        <w:t xml:space="preserve">. Esta excepción se debe interpretar de acuerdo con su finalidad, que es </w:t>
      </w:r>
      <w:r w:rsidRPr="003505DA">
        <w:rPr>
          <w:rFonts w:ascii="Verdana" w:hAnsi="Verdana" w:cs="Open Sans"/>
          <w:b/>
          <w:bCs/>
          <w:color w:val="222222"/>
          <w:sz w:val="18"/>
          <w:szCs w:val="18"/>
          <w:shd w:val="clear" w:color="auto" w:fill="FFFFFF"/>
        </w:rPr>
        <w:t>impedir que las personas físicas con actividades económicas deduzcan gastos de vehículos que puedan usar y usen para actividades particulares y no empresariales</w:t>
      </w:r>
      <w:r w:rsidRPr="005901EC">
        <w:rPr>
          <w:rFonts w:ascii="Verdana" w:hAnsi="Verdana" w:cs="Open Sans"/>
          <w:color w:val="222222"/>
          <w:sz w:val="18"/>
          <w:szCs w:val="18"/>
          <w:shd w:val="clear" w:color="auto" w:fill="FFFFFF"/>
        </w:rPr>
        <w:t xml:space="preserve">. </w:t>
      </w:r>
    </w:p>
    <w:p w14:paraId="72F69CDC" w14:textId="77777777" w:rsidR="003505DA" w:rsidRDefault="003505DA" w:rsidP="00767FE6">
      <w:pPr>
        <w:ind w:left="284"/>
        <w:jc w:val="both"/>
        <w:rPr>
          <w:rFonts w:ascii="Verdana" w:hAnsi="Verdana" w:cs="Open Sans"/>
          <w:color w:val="222222"/>
          <w:sz w:val="18"/>
          <w:szCs w:val="18"/>
          <w:shd w:val="clear" w:color="auto" w:fill="FFFFFF"/>
        </w:rPr>
      </w:pPr>
    </w:p>
    <w:p w14:paraId="06F98A72" w14:textId="77777777" w:rsidR="003505DA" w:rsidRDefault="005901EC" w:rsidP="00767FE6">
      <w:pPr>
        <w:ind w:left="284"/>
        <w:jc w:val="both"/>
        <w:rPr>
          <w:rFonts w:ascii="Verdana" w:hAnsi="Verdana" w:cs="Open Sans"/>
          <w:color w:val="222222"/>
          <w:sz w:val="18"/>
          <w:szCs w:val="18"/>
          <w:shd w:val="clear" w:color="auto" w:fill="FFFFFF"/>
        </w:rPr>
      </w:pPr>
      <w:r w:rsidRPr="005901EC">
        <w:rPr>
          <w:rFonts w:ascii="Verdana" w:hAnsi="Verdana" w:cs="Open Sans"/>
          <w:color w:val="222222"/>
          <w:sz w:val="18"/>
          <w:szCs w:val="18"/>
          <w:shd w:val="clear" w:color="auto" w:fill="FFFFFF"/>
        </w:rPr>
        <w:t xml:space="preserve">Conforme a ello, </w:t>
      </w:r>
    </w:p>
    <w:p w14:paraId="0ED2E98E" w14:textId="77777777" w:rsidR="0045033C" w:rsidRDefault="0045033C" w:rsidP="00767FE6">
      <w:pPr>
        <w:ind w:left="284"/>
        <w:jc w:val="both"/>
        <w:rPr>
          <w:rFonts w:ascii="Verdana" w:hAnsi="Verdana" w:cs="Open Sans"/>
          <w:color w:val="222222"/>
          <w:sz w:val="18"/>
          <w:szCs w:val="18"/>
          <w:shd w:val="clear" w:color="auto" w:fill="FFFFFF"/>
        </w:rPr>
      </w:pPr>
    </w:p>
    <w:p w14:paraId="0D34EAD9" w14:textId="42222D45" w:rsidR="003505DA" w:rsidRPr="003505DA" w:rsidRDefault="005901EC" w:rsidP="008C5028">
      <w:pPr>
        <w:pStyle w:val="Prrafodelista"/>
        <w:numPr>
          <w:ilvl w:val="0"/>
          <w:numId w:val="42"/>
        </w:numPr>
        <w:ind w:left="567" w:hanging="283"/>
        <w:jc w:val="both"/>
        <w:rPr>
          <w:rFonts w:ascii="Verdana" w:hAnsi="Verdana" w:cs="Open Sans"/>
          <w:color w:val="222222"/>
          <w:sz w:val="18"/>
          <w:szCs w:val="18"/>
          <w:shd w:val="clear" w:color="auto" w:fill="FFFFFF"/>
        </w:rPr>
      </w:pPr>
      <w:r w:rsidRPr="003505DA">
        <w:rPr>
          <w:rFonts w:ascii="Verdana" w:hAnsi="Verdana" w:cs="Open Sans"/>
          <w:color w:val="222222"/>
          <w:sz w:val="18"/>
          <w:szCs w:val="18"/>
          <w:shd w:val="clear" w:color="auto" w:fill="FFFFFF"/>
        </w:rPr>
        <w:t xml:space="preserve">si el vehículo, por su carrocería, rotulación, aspecto y por la actividad del titular, apunta a un uso profesional, </w:t>
      </w:r>
      <w:r w:rsidRPr="003505DA">
        <w:rPr>
          <w:rFonts w:ascii="Verdana" w:hAnsi="Verdana" w:cs="Open Sans"/>
          <w:b/>
          <w:bCs/>
          <w:color w:val="222222"/>
          <w:sz w:val="18"/>
          <w:szCs w:val="18"/>
          <w:shd w:val="clear" w:color="auto" w:fill="FFFFFF"/>
        </w:rPr>
        <w:t>se presumirá afecto a la actividad, en cuyo caso</w:t>
      </w:r>
      <w:r w:rsidRPr="003505DA">
        <w:rPr>
          <w:rFonts w:ascii="Verdana" w:hAnsi="Verdana" w:cs="Open Sans"/>
          <w:color w:val="222222"/>
          <w:sz w:val="18"/>
          <w:szCs w:val="18"/>
          <w:shd w:val="clear" w:color="auto" w:fill="FFFFFF"/>
        </w:rPr>
        <w:t>, si la Administración quiere negar esa afectación, deberá probar que el uso es privado; por el contrario,</w:t>
      </w:r>
    </w:p>
    <w:p w14:paraId="64AC3B13" w14:textId="2DA1AE9E" w:rsidR="005901EC" w:rsidRPr="003505DA" w:rsidRDefault="005901EC" w:rsidP="008C5028">
      <w:pPr>
        <w:pStyle w:val="Prrafodelista"/>
        <w:numPr>
          <w:ilvl w:val="0"/>
          <w:numId w:val="42"/>
        </w:numPr>
        <w:ind w:left="567" w:hanging="283"/>
        <w:jc w:val="both"/>
        <w:rPr>
          <w:rFonts w:ascii="Verdana" w:hAnsi="Verdana" w:cs="Open Sans"/>
          <w:color w:val="222222"/>
          <w:sz w:val="18"/>
          <w:szCs w:val="18"/>
          <w:shd w:val="clear" w:color="auto" w:fill="FFFFFF"/>
        </w:rPr>
      </w:pPr>
      <w:proofErr w:type="spellStart"/>
      <w:r w:rsidRPr="003505DA">
        <w:rPr>
          <w:rFonts w:ascii="Verdana" w:hAnsi="Verdana" w:cs="Open Sans"/>
          <w:color w:val="222222"/>
          <w:sz w:val="18"/>
          <w:szCs w:val="18"/>
          <w:shd w:val="clear" w:color="auto" w:fill="FFFFFF"/>
        </w:rPr>
        <w:t>si</w:t>
      </w:r>
      <w:proofErr w:type="spellEnd"/>
      <w:r w:rsidRPr="003505DA">
        <w:rPr>
          <w:rFonts w:ascii="Verdana" w:hAnsi="Verdana" w:cs="Open Sans"/>
          <w:color w:val="222222"/>
          <w:sz w:val="18"/>
          <w:szCs w:val="18"/>
          <w:shd w:val="clear" w:color="auto" w:fill="FFFFFF"/>
        </w:rPr>
        <w:t xml:space="preserve">, por esas mismas señales, parece destinado principalmente a uso particular, se presumirá no afecto, </w:t>
      </w:r>
      <w:r w:rsidRPr="003505DA">
        <w:rPr>
          <w:rFonts w:ascii="Verdana" w:hAnsi="Verdana" w:cs="Open Sans"/>
          <w:b/>
          <w:bCs/>
          <w:color w:val="222222"/>
          <w:sz w:val="18"/>
          <w:szCs w:val="18"/>
          <w:shd w:val="clear" w:color="auto" w:fill="FFFFFF"/>
        </w:rPr>
        <w:t>salvo que el contribuyente pruebe que el vehículo se dedica exclusivamente en su actividad</w:t>
      </w:r>
      <w:r w:rsidRPr="003505DA">
        <w:rPr>
          <w:rFonts w:ascii="Verdana" w:hAnsi="Verdana" w:cs="Open Sans"/>
          <w:color w:val="222222"/>
          <w:sz w:val="18"/>
          <w:szCs w:val="18"/>
          <w:shd w:val="clear" w:color="auto" w:fill="FFFFFF"/>
        </w:rPr>
        <w:t>.</w:t>
      </w:r>
    </w:p>
    <w:p w14:paraId="4E83A13F" w14:textId="77777777" w:rsidR="00B97965" w:rsidRDefault="00B97965" w:rsidP="000D7A27">
      <w:pPr>
        <w:jc w:val="both"/>
        <w:rPr>
          <w:rFonts w:ascii="Verdana" w:hAnsi="Verdana" w:cs="Open Sans"/>
          <w:b/>
          <w:bCs/>
          <w:color w:val="222222"/>
          <w:sz w:val="18"/>
          <w:szCs w:val="18"/>
          <w:shd w:val="clear" w:color="auto" w:fill="FFFFFF"/>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B6654F" w:rsidRPr="003505DA" w14:paraId="62C11695" w14:textId="77777777" w:rsidTr="004D0BD0">
        <w:tc>
          <w:tcPr>
            <w:tcW w:w="180" w:type="dxa"/>
            <w:shd w:val="clear" w:color="auto" w:fill="FF6600"/>
          </w:tcPr>
          <w:p w14:paraId="4F2FB410" w14:textId="77777777" w:rsidR="00B6654F" w:rsidRPr="003505DA" w:rsidRDefault="00B6654F" w:rsidP="004D0BD0">
            <w:pPr>
              <w:rPr>
                <w:rFonts w:ascii="Verdana" w:hAnsi="Verdana"/>
                <w:b/>
                <w:bCs/>
                <w:color w:val="800000"/>
                <w:sz w:val="18"/>
                <w:szCs w:val="18"/>
              </w:rPr>
            </w:pPr>
            <w:bookmarkStart w:id="5" w:name="_Hlk212115529"/>
          </w:p>
        </w:tc>
        <w:tc>
          <w:tcPr>
            <w:tcW w:w="8460" w:type="dxa"/>
          </w:tcPr>
          <w:p w14:paraId="741B9F74" w14:textId="1D6593A5" w:rsidR="00B6654F" w:rsidRPr="003505DA" w:rsidRDefault="003505DA" w:rsidP="006E4B17">
            <w:pPr>
              <w:numPr>
                <w:ilvl w:val="0"/>
                <w:numId w:val="44"/>
              </w:numPr>
              <w:ind w:left="394" w:hanging="394"/>
              <w:jc w:val="both"/>
              <w:rPr>
                <w:rFonts w:ascii="Verdana" w:hAnsi="Verdana"/>
                <w:b/>
                <w:bCs/>
                <w:color w:val="800000"/>
                <w:sz w:val="18"/>
                <w:szCs w:val="18"/>
              </w:rPr>
            </w:pPr>
            <w:r w:rsidRPr="003505DA">
              <w:rPr>
                <w:rFonts w:ascii="Verdana" w:hAnsi="Verdana"/>
                <w:b/>
                <w:bCs/>
                <w:color w:val="800000"/>
                <w:sz w:val="18"/>
                <w:szCs w:val="18"/>
              </w:rPr>
              <w:t>EL AHORRO DE COSTES TRIBUTARIOS FUTUROS PUEDE SER UN MOTIVO ECONÓMICO EN UNA FUSIÓN POR ABSORCIÓN</w:t>
            </w:r>
          </w:p>
        </w:tc>
      </w:tr>
      <w:bookmarkEnd w:id="5"/>
    </w:tbl>
    <w:p w14:paraId="3293C655" w14:textId="77777777" w:rsidR="00B97965" w:rsidRPr="00B6654F" w:rsidRDefault="00B97965" w:rsidP="000D7A27">
      <w:pPr>
        <w:jc w:val="both"/>
        <w:rPr>
          <w:rFonts w:ascii="Verdana" w:hAnsi="Verdana" w:cs="Open Sans"/>
          <w:color w:val="222222"/>
          <w:sz w:val="18"/>
          <w:szCs w:val="18"/>
          <w:shd w:val="clear" w:color="auto" w:fill="FFFFFF"/>
        </w:rPr>
      </w:pPr>
    </w:p>
    <w:p w14:paraId="03AC1A44" w14:textId="4A2C8278" w:rsidR="003505DA" w:rsidRDefault="00B6654F" w:rsidP="00ED2031">
      <w:pPr>
        <w:ind w:left="284"/>
        <w:jc w:val="both"/>
        <w:rPr>
          <w:rFonts w:ascii="Verdana" w:hAnsi="Verdana" w:cs="Open Sans"/>
          <w:color w:val="222222"/>
          <w:sz w:val="18"/>
          <w:szCs w:val="18"/>
          <w:shd w:val="clear" w:color="auto" w:fill="FFFFFF"/>
        </w:rPr>
      </w:pPr>
      <w:r w:rsidRPr="00B6654F">
        <w:rPr>
          <w:rFonts w:ascii="Verdana" w:hAnsi="Verdana" w:cs="Open Sans"/>
          <w:color w:val="222222"/>
          <w:sz w:val="18"/>
          <w:szCs w:val="18"/>
          <w:shd w:val="clear" w:color="auto" w:fill="FFFFFF"/>
        </w:rPr>
        <w:t xml:space="preserve">En relación con una operación de fusión, la DGT </w:t>
      </w:r>
      <w:r w:rsidR="00EB655C" w:rsidRPr="00EB655C">
        <w:rPr>
          <w:rFonts w:ascii="Verdana" w:hAnsi="Verdana" w:cs="Open Sans"/>
          <w:b/>
          <w:bCs/>
          <w:color w:val="222222"/>
          <w:sz w:val="18"/>
          <w:szCs w:val="18"/>
          <w:shd w:val="clear" w:color="auto" w:fill="FFFFFF"/>
        </w:rPr>
        <w:t>en su resolución V1503-25, de 18 de agosto de 2025</w:t>
      </w:r>
      <w:r w:rsidR="00BD77F5">
        <w:rPr>
          <w:rFonts w:ascii="Verdana" w:hAnsi="Verdana" w:cs="Open Sans"/>
          <w:b/>
          <w:bCs/>
          <w:i/>
          <w:iCs/>
          <w:color w:val="222222"/>
          <w:sz w:val="18"/>
          <w:szCs w:val="18"/>
          <w:shd w:val="clear" w:color="auto" w:fill="FFFFFF"/>
        </w:rPr>
        <w:t>,</w:t>
      </w:r>
      <w:r w:rsidR="00EB655C">
        <w:rPr>
          <w:rFonts w:ascii="Verdana" w:hAnsi="Verdana" w:cs="Open Sans"/>
          <w:b/>
          <w:bCs/>
          <w:i/>
          <w:iCs/>
          <w:color w:val="222222"/>
          <w:sz w:val="18"/>
          <w:szCs w:val="18"/>
          <w:shd w:val="clear" w:color="auto" w:fill="FFFFFF"/>
        </w:rPr>
        <w:t xml:space="preserve"> </w:t>
      </w:r>
      <w:r w:rsidRPr="00B6654F">
        <w:rPr>
          <w:rFonts w:ascii="Verdana" w:hAnsi="Verdana" w:cs="Open Sans"/>
          <w:color w:val="222222"/>
          <w:sz w:val="18"/>
          <w:szCs w:val="18"/>
          <w:shd w:val="clear" w:color="auto" w:fill="FFFFFF"/>
        </w:rPr>
        <w:t>considera que los motivos alegados (simplificación de la estructura societaria, reducción de obligaciones administrativas, mercantiles y fiscales y el consiguiente ahorro de costes) constituyen motivos económicos válidos.</w:t>
      </w:r>
    </w:p>
    <w:p w14:paraId="313E20FC" w14:textId="77777777" w:rsidR="003505DA" w:rsidRDefault="003505DA" w:rsidP="00ED2031">
      <w:pPr>
        <w:ind w:left="284"/>
        <w:jc w:val="both"/>
        <w:rPr>
          <w:rFonts w:ascii="Verdana" w:hAnsi="Verdana" w:cs="Open Sans"/>
          <w:color w:val="222222"/>
          <w:sz w:val="18"/>
          <w:szCs w:val="18"/>
          <w:shd w:val="clear" w:color="auto" w:fill="FFFFFF"/>
        </w:rPr>
      </w:pPr>
    </w:p>
    <w:p w14:paraId="4549026B" w14:textId="018DCC66" w:rsidR="00B97965" w:rsidRDefault="00B6654F" w:rsidP="00ED2031">
      <w:pPr>
        <w:ind w:left="284"/>
        <w:jc w:val="both"/>
        <w:rPr>
          <w:rFonts w:ascii="Verdana" w:hAnsi="Verdana" w:cs="Open Sans"/>
          <w:color w:val="222222"/>
          <w:sz w:val="18"/>
          <w:szCs w:val="18"/>
          <w:shd w:val="clear" w:color="auto" w:fill="FFFFFF"/>
        </w:rPr>
      </w:pPr>
      <w:r w:rsidRPr="00B6654F">
        <w:rPr>
          <w:rFonts w:ascii="Verdana" w:hAnsi="Verdana" w:cs="Open Sans"/>
          <w:color w:val="222222"/>
          <w:sz w:val="18"/>
          <w:szCs w:val="18"/>
          <w:shd w:val="clear" w:color="auto" w:fill="FFFFFF"/>
        </w:rPr>
        <w:t xml:space="preserve">En particular, se destaca que la reducción de costes fiscales derivados de la nueva estructura, junto con la mejora en la gestión de los activos, </w:t>
      </w:r>
      <w:r w:rsidRPr="00EB655C">
        <w:rPr>
          <w:rFonts w:ascii="Verdana" w:hAnsi="Verdana" w:cs="Open Sans"/>
          <w:b/>
          <w:bCs/>
          <w:color w:val="222222"/>
          <w:sz w:val="18"/>
          <w:szCs w:val="18"/>
          <w:shd w:val="clear" w:color="auto" w:fill="FFFFFF"/>
        </w:rPr>
        <w:t>responden a una lógica empresarial legítima</w:t>
      </w:r>
      <w:r w:rsidRPr="00B6654F">
        <w:rPr>
          <w:rFonts w:ascii="Verdana" w:hAnsi="Verdana" w:cs="Open Sans"/>
          <w:color w:val="222222"/>
          <w:sz w:val="18"/>
          <w:szCs w:val="18"/>
          <w:shd w:val="clear" w:color="auto" w:fill="FFFFFF"/>
        </w:rPr>
        <w:t xml:space="preserve">. Esta interpretación se apoya en jurisprudencia del Tribunal Supremo, que reconoce como válidas las reorganizaciones </w:t>
      </w:r>
      <w:r w:rsidRPr="00EB655C">
        <w:rPr>
          <w:rFonts w:ascii="Verdana" w:hAnsi="Verdana" w:cs="Open Sans"/>
          <w:b/>
          <w:bCs/>
          <w:color w:val="222222"/>
          <w:sz w:val="18"/>
          <w:szCs w:val="18"/>
          <w:shd w:val="clear" w:color="auto" w:fill="FFFFFF"/>
        </w:rPr>
        <w:t>orientadas a optimizar la eficiencia operativa y fiscal de las sociedades</w:t>
      </w:r>
      <w:r w:rsidRPr="00B6654F">
        <w:rPr>
          <w:rFonts w:ascii="Verdana" w:hAnsi="Verdana" w:cs="Open Sans"/>
          <w:color w:val="222222"/>
          <w:sz w:val="18"/>
          <w:szCs w:val="18"/>
          <w:shd w:val="clear" w:color="auto" w:fill="FFFFFF"/>
        </w:rPr>
        <w:t xml:space="preserve">, siempre que no persigan como objetivo principal una ventaja fiscal </w:t>
      </w:r>
      <w:r w:rsidR="00455110">
        <w:rPr>
          <w:rFonts w:ascii="Verdana" w:hAnsi="Verdana" w:cs="Open Sans"/>
          <w:color w:val="222222"/>
          <w:sz w:val="18"/>
          <w:szCs w:val="18"/>
          <w:shd w:val="clear" w:color="auto" w:fill="FFFFFF"/>
        </w:rPr>
        <w:t>ilegitima</w:t>
      </w:r>
      <w:r w:rsidRPr="00B6654F">
        <w:rPr>
          <w:rFonts w:ascii="Verdana" w:hAnsi="Verdana" w:cs="Open Sans"/>
          <w:color w:val="222222"/>
          <w:sz w:val="18"/>
          <w:szCs w:val="18"/>
          <w:shd w:val="clear" w:color="auto" w:fill="FFFFFF"/>
        </w:rPr>
        <w:t xml:space="preserve">. </w:t>
      </w:r>
    </w:p>
    <w:p w14:paraId="47BBFE78" w14:textId="77777777" w:rsidR="00A86E93" w:rsidRDefault="00A86E93" w:rsidP="00463CB5">
      <w:pPr>
        <w:ind w:left="142"/>
        <w:jc w:val="both"/>
        <w:rPr>
          <w:rFonts w:ascii="Verdana" w:hAnsi="Verdana" w:cs="Open Sans"/>
          <w:color w:val="222222"/>
          <w:sz w:val="18"/>
          <w:szCs w:val="18"/>
          <w:shd w:val="clear" w:color="auto" w:fill="FFFFFF"/>
        </w:rPr>
      </w:pPr>
    </w:p>
    <w:p w14:paraId="7E72A5A4" w14:textId="77777777" w:rsidR="0055002D" w:rsidRDefault="0055002D" w:rsidP="00463CB5">
      <w:pPr>
        <w:ind w:left="142"/>
        <w:jc w:val="both"/>
        <w:rPr>
          <w:rFonts w:ascii="Verdana" w:hAnsi="Verdana" w:cs="Open Sans"/>
          <w:color w:val="222222"/>
          <w:sz w:val="18"/>
          <w:szCs w:val="18"/>
          <w:shd w:val="clear" w:color="auto" w:fill="FFFFFF"/>
        </w:rPr>
      </w:pPr>
    </w:p>
    <w:p w14:paraId="331AE71C" w14:textId="77777777" w:rsidR="00B362F2" w:rsidRDefault="00B362F2" w:rsidP="00463CB5">
      <w:pPr>
        <w:ind w:left="142"/>
        <w:jc w:val="both"/>
        <w:rPr>
          <w:rFonts w:ascii="Verdana" w:hAnsi="Verdana" w:cs="Open Sans"/>
          <w:color w:val="222222"/>
          <w:sz w:val="18"/>
          <w:szCs w:val="18"/>
          <w:shd w:val="clear" w:color="auto" w:fill="FFFFFF"/>
        </w:rPr>
      </w:pPr>
    </w:p>
    <w:p w14:paraId="4B891898" w14:textId="77777777" w:rsidR="00B362F2" w:rsidRDefault="00B362F2" w:rsidP="00463CB5">
      <w:pPr>
        <w:ind w:left="142"/>
        <w:jc w:val="both"/>
        <w:rPr>
          <w:rFonts w:ascii="Verdana" w:hAnsi="Verdana" w:cs="Open Sans"/>
          <w:color w:val="222222"/>
          <w:sz w:val="18"/>
          <w:szCs w:val="18"/>
          <w:shd w:val="clear" w:color="auto" w:fill="FFFFFF"/>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455110" w:rsidRPr="00455110" w14:paraId="4A630D8A" w14:textId="77777777" w:rsidTr="00D7755C">
        <w:tc>
          <w:tcPr>
            <w:tcW w:w="180" w:type="dxa"/>
            <w:shd w:val="clear" w:color="auto" w:fill="FF6600"/>
          </w:tcPr>
          <w:p w14:paraId="14AD6031" w14:textId="77777777" w:rsidR="00455110" w:rsidRPr="00455110" w:rsidRDefault="00455110" w:rsidP="00D7755C">
            <w:pPr>
              <w:rPr>
                <w:rFonts w:ascii="Verdana" w:hAnsi="Verdana"/>
                <w:b/>
                <w:bCs/>
                <w:color w:val="800000"/>
                <w:sz w:val="18"/>
                <w:szCs w:val="18"/>
              </w:rPr>
            </w:pPr>
          </w:p>
        </w:tc>
        <w:tc>
          <w:tcPr>
            <w:tcW w:w="8460" w:type="dxa"/>
          </w:tcPr>
          <w:p w14:paraId="5A5001D4" w14:textId="525CBAA5" w:rsidR="00455110" w:rsidRPr="00455110" w:rsidRDefault="00455110" w:rsidP="008C5028">
            <w:pPr>
              <w:numPr>
                <w:ilvl w:val="0"/>
                <w:numId w:val="44"/>
              </w:numPr>
              <w:ind w:left="245" w:hanging="245"/>
              <w:jc w:val="both"/>
              <w:rPr>
                <w:rFonts w:ascii="Verdana" w:hAnsi="Verdana"/>
                <w:b/>
                <w:bCs/>
                <w:color w:val="800000"/>
                <w:sz w:val="18"/>
                <w:szCs w:val="18"/>
              </w:rPr>
            </w:pPr>
            <w:r w:rsidRPr="00455110">
              <w:rPr>
                <w:rFonts w:ascii="Verdana" w:hAnsi="Verdana"/>
                <w:b/>
                <w:bCs/>
                <w:color w:val="800000"/>
                <w:sz w:val="18"/>
                <w:szCs w:val="18"/>
              </w:rPr>
              <w:t>CRITERIO UNIFICADO DEL TEAC SOBRE EL USO GRATUITO DE BIENES SOCIALES POR SOCIOS</w:t>
            </w:r>
          </w:p>
        </w:tc>
      </w:tr>
    </w:tbl>
    <w:p w14:paraId="29D28EB2" w14:textId="77777777" w:rsidR="00A86E93" w:rsidRDefault="00A86E93" w:rsidP="00463CB5">
      <w:pPr>
        <w:ind w:left="142"/>
        <w:jc w:val="both"/>
        <w:rPr>
          <w:rFonts w:ascii="Verdana" w:hAnsi="Verdana" w:cs="Open Sans"/>
          <w:color w:val="222222"/>
          <w:sz w:val="18"/>
          <w:szCs w:val="18"/>
          <w:shd w:val="clear" w:color="auto" w:fill="FFFFFF"/>
        </w:rPr>
      </w:pPr>
    </w:p>
    <w:p w14:paraId="649136A8" w14:textId="67F245A4" w:rsidR="00A86E93" w:rsidRDefault="00A86E93" w:rsidP="00455110">
      <w:pPr>
        <w:ind w:left="284"/>
        <w:jc w:val="both"/>
        <w:rPr>
          <w:rFonts w:ascii="Verdana" w:hAnsi="Verdana" w:cs="Open Sans"/>
          <w:color w:val="222222"/>
          <w:sz w:val="18"/>
          <w:szCs w:val="18"/>
          <w:shd w:val="clear" w:color="auto" w:fill="FFFFFF"/>
        </w:rPr>
      </w:pPr>
      <w:bookmarkStart w:id="6" w:name="_Hlk212115485"/>
      <w:bookmarkStart w:id="7" w:name="_Hlk212118081"/>
      <w:r w:rsidRPr="00A86E93">
        <w:rPr>
          <w:rFonts w:ascii="Verdana" w:hAnsi="Verdana" w:cs="Open Sans"/>
          <w:color w:val="222222"/>
          <w:sz w:val="18"/>
          <w:szCs w:val="18"/>
          <w:shd w:val="clear" w:color="auto" w:fill="FFFFFF"/>
        </w:rPr>
        <w:t xml:space="preserve">El Tribunal Económico-Administrativo Central (TEAC) </w:t>
      </w:r>
      <w:r w:rsidR="00455110">
        <w:rPr>
          <w:rFonts w:ascii="Verdana" w:hAnsi="Verdana" w:cs="Open Sans"/>
          <w:color w:val="222222"/>
          <w:sz w:val="18"/>
          <w:szCs w:val="18"/>
          <w:shd w:val="clear" w:color="auto" w:fill="FFFFFF"/>
        </w:rPr>
        <w:t xml:space="preserve">en su </w:t>
      </w:r>
      <w:r w:rsidR="00455110">
        <w:rPr>
          <w:rFonts w:ascii="Verdana" w:hAnsi="Verdana" w:cs="Open Sans"/>
          <w:b/>
          <w:bCs/>
          <w:color w:val="222222"/>
          <w:sz w:val="18"/>
          <w:szCs w:val="18"/>
          <w:shd w:val="clear" w:color="auto" w:fill="FFFFFF"/>
        </w:rPr>
        <w:t>r</w:t>
      </w:r>
      <w:r w:rsidR="00455110" w:rsidRPr="00A86E93">
        <w:rPr>
          <w:rFonts w:ascii="Verdana" w:hAnsi="Verdana" w:cs="Open Sans"/>
          <w:b/>
          <w:bCs/>
          <w:color w:val="222222"/>
          <w:sz w:val="18"/>
          <w:szCs w:val="18"/>
          <w:shd w:val="clear" w:color="auto" w:fill="FFFFFF"/>
        </w:rPr>
        <w:t>esolución TEAC de 24 de septiembre de 2025 (recurso 00-07312-2024-00)</w:t>
      </w:r>
      <w:r w:rsidR="00455110">
        <w:rPr>
          <w:rFonts w:ascii="Verdana" w:hAnsi="Verdana" w:cs="Open Sans"/>
          <w:color w:val="222222"/>
          <w:sz w:val="18"/>
          <w:szCs w:val="18"/>
          <w:shd w:val="clear" w:color="auto" w:fill="FFFFFF"/>
        </w:rPr>
        <w:t xml:space="preserve"> </w:t>
      </w:r>
      <w:r w:rsidRPr="00A86E93">
        <w:rPr>
          <w:rFonts w:ascii="Verdana" w:hAnsi="Verdana" w:cs="Open Sans"/>
          <w:color w:val="222222"/>
          <w:sz w:val="18"/>
          <w:szCs w:val="18"/>
          <w:shd w:val="clear" w:color="auto" w:fill="FFFFFF"/>
        </w:rPr>
        <w:t xml:space="preserve">ha unificado criterio respecto al tratamiento fiscal en el IRPF del </w:t>
      </w:r>
      <w:r w:rsidRPr="00A86E93">
        <w:rPr>
          <w:rFonts w:ascii="Verdana" w:hAnsi="Verdana" w:cs="Open Sans"/>
          <w:b/>
          <w:bCs/>
          <w:color w:val="222222"/>
          <w:sz w:val="18"/>
          <w:szCs w:val="18"/>
          <w:shd w:val="clear" w:color="auto" w:fill="FFFFFF"/>
        </w:rPr>
        <w:t>uso gratuito por un socio de bienes pertenecientes a su sociedad</w:t>
      </w:r>
      <w:bookmarkEnd w:id="6"/>
      <w:r w:rsidRPr="00A86E93">
        <w:rPr>
          <w:rFonts w:ascii="Verdana" w:hAnsi="Verdana" w:cs="Open Sans"/>
          <w:color w:val="222222"/>
          <w:sz w:val="18"/>
          <w:szCs w:val="18"/>
          <w:shd w:val="clear" w:color="auto" w:fill="FFFFFF"/>
        </w:rPr>
        <w:t>.</w:t>
      </w:r>
    </w:p>
    <w:p w14:paraId="7F39F06E" w14:textId="77777777" w:rsidR="00455110" w:rsidRPr="00A86E93" w:rsidRDefault="00455110" w:rsidP="00455110">
      <w:pPr>
        <w:ind w:left="284"/>
        <w:jc w:val="both"/>
        <w:rPr>
          <w:rFonts w:ascii="Verdana" w:hAnsi="Verdana" w:cs="Open Sans"/>
          <w:color w:val="222222"/>
          <w:sz w:val="18"/>
          <w:szCs w:val="18"/>
          <w:shd w:val="clear" w:color="auto" w:fill="FFFFFF"/>
        </w:rPr>
      </w:pPr>
    </w:p>
    <w:p w14:paraId="31EABDE6" w14:textId="77777777" w:rsidR="00A86E93" w:rsidRDefault="00A86E93" w:rsidP="00455110">
      <w:pPr>
        <w:ind w:left="284"/>
        <w:jc w:val="both"/>
        <w:rPr>
          <w:rFonts w:ascii="Verdana" w:hAnsi="Verdana" w:cs="Open Sans"/>
          <w:color w:val="222222"/>
          <w:sz w:val="18"/>
          <w:szCs w:val="18"/>
          <w:shd w:val="clear" w:color="auto" w:fill="FFFFFF"/>
        </w:rPr>
      </w:pPr>
      <w:r w:rsidRPr="00A86E93">
        <w:rPr>
          <w:rFonts w:ascii="Verdana" w:hAnsi="Verdana" w:cs="Open Sans"/>
          <w:color w:val="222222"/>
          <w:sz w:val="18"/>
          <w:szCs w:val="18"/>
          <w:shd w:val="clear" w:color="auto" w:fill="FFFFFF"/>
        </w:rPr>
        <w:t xml:space="preserve">El caso se originó por la utilización de embarcaciones de recreo de una sociedad por parte de su socio mayoritario, que la Inspección calificó como </w:t>
      </w:r>
      <w:r w:rsidRPr="00A86E93">
        <w:rPr>
          <w:rFonts w:ascii="Verdana" w:hAnsi="Verdana" w:cs="Open Sans"/>
          <w:b/>
          <w:bCs/>
          <w:color w:val="222222"/>
          <w:sz w:val="18"/>
          <w:szCs w:val="18"/>
          <w:shd w:val="clear" w:color="auto" w:fill="FFFFFF"/>
        </w:rPr>
        <w:t>rendimiento del capital mobiliario en especie</w:t>
      </w:r>
      <w:r w:rsidRPr="00A86E93">
        <w:rPr>
          <w:rFonts w:ascii="Verdana" w:hAnsi="Verdana" w:cs="Open Sans"/>
          <w:color w:val="222222"/>
          <w:sz w:val="18"/>
          <w:szCs w:val="18"/>
          <w:shd w:val="clear" w:color="auto" w:fill="FFFFFF"/>
        </w:rPr>
        <w:t xml:space="preserve">. El TEAR de Galicia anuló la liquidación aplicando la normativa de </w:t>
      </w:r>
      <w:r w:rsidRPr="00A86E93">
        <w:rPr>
          <w:rFonts w:ascii="Verdana" w:hAnsi="Verdana" w:cs="Open Sans"/>
          <w:b/>
          <w:bCs/>
          <w:color w:val="222222"/>
          <w:sz w:val="18"/>
          <w:szCs w:val="18"/>
          <w:shd w:val="clear" w:color="auto" w:fill="FFFFFF"/>
        </w:rPr>
        <w:t>operaciones vinculadas</w:t>
      </w:r>
      <w:r w:rsidRPr="00A86E93">
        <w:rPr>
          <w:rFonts w:ascii="Verdana" w:hAnsi="Verdana" w:cs="Open Sans"/>
          <w:color w:val="222222"/>
          <w:sz w:val="18"/>
          <w:szCs w:val="18"/>
          <w:shd w:val="clear" w:color="auto" w:fill="FFFFFF"/>
        </w:rPr>
        <w:t>, pero la AEAT interpuso recurso extraordinario para unificación de criterio.</w:t>
      </w:r>
    </w:p>
    <w:p w14:paraId="1006D733" w14:textId="77777777" w:rsidR="00455110" w:rsidRPr="00A86E93" w:rsidRDefault="00455110" w:rsidP="00455110">
      <w:pPr>
        <w:ind w:left="284"/>
        <w:jc w:val="both"/>
        <w:rPr>
          <w:rFonts w:ascii="Verdana" w:hAnsi="Verdana" w:cs="Open Sans"/>
          <w:color w:val="222222"/>
          <w:sz w:val="18"/>
          <w:szCs w:val="18"/>
          <w:shd w:val="clear" w:color="auto" w:fill="FFFFFF"/>
        </w:rPr>
      </w:pPr>
    </w:p>
    <w:p w14:paraId="1583E57E" w14:textId="77777777" w:rsidR="00A86E93" w:rsidRDefault="00A86E93" w:rsidP="00455110">
      <w:pPr>
        <w:ind w:left="284"/>
        <w:jc w:val="both"/>
        <w:rPr>
          <w:rFonts w:ascii="Verdana" w:hAnsi="Verdana" w:cs="Open Sans"/>
          <w:color w:val="222222"/>
          <w:sz w:val="18"/>
          <w:szCs w:val="18"/>
          <w:shd w:val="clear" w:color="auto" w:fill="FFFFFF"/>
        </w:rPr>
      </w:pPr>
      <w:r w:rsidRPr="00A86E93">
        <w:rPr>
          <w:rFonts w:ascii="Verdana" w:hAnsi="Verdana" w:cs="Open Sans"/>
          <w:color w:val="222222"/>
          <w:sz w:val="18"/>
          <w:szCs w:val="18"/>
          <w:shd w:val="clear" w:color="auto" w:fill="FFFFFF"/>
        </w:rPr>
        <w:t>El TEAC resuelve que:</w:t>
      </w:r>
    </w:p>
    <w:p w14:paraId="062BDFFB" w14:textId="77777777" w:rsidR="0045033C" w:rsidRPr="00A86E93" w:rsidRDefault="0045033C" w:rsidP="00455110">
      <w:pPr>
        <w:ind w:left="284"/>
        <w:jc w:val="both"/>
        <w:rPr>
          <w:rFonts w:ascii="Verdana" w:hAnsi="Verdana" w:cs="Open Sans"/>
          <w:color w:val="222222"/>
          <w:sz w:val="18"/>
          <w:szCs w:val="18"/>
          <w:shd w:val="clear" w:color="auto" w:fill="FFFFFF"/>
        </w:rPr>
      </w:pPr>
    </w:p>
    <w:p w14:paraId="0007CA73" w14:textId="77777777" w:rsidR="00A86E93" w:rsidRPr="00A86E93" w:rsidRDefault="00A86E93" w:rsidP="008C5028">
      <w:pPr>
        <w:numPr>
          <w:ilvl w:val="0"/>
          <w:numId w:val="43"/>
        </w:numPr>
        <w:ind w:left="567" w:hanging="283"/>
        <w:jc w:val="both"/>
        <w:rPr>
          <w:rFonts w:ascii="Verdana" w:hAnsi="Verdana" w:cs="Open Sans"/>
          <w:color w:val="222222"/>
          <w:sz w:val="18"/>
          <w:szCs w:val="18"/>
          <w:shd w:val="clear" w:color="auto" w:fill="FFFFFF"/>
        </w:rPr>
      </w:pPr>
      <w:r w:rsidRPr="00A86E93">
        <w:rPr>
          <w:rFonts w:ascii="Verdana" w:hAnsi="Verdana" w:cs="Open Sans"/>
          <w:b/>
          <w:bCs/>
          <w:color w:val="222222"/>
          <w:sz w:val="18"/>
          <w:szCs w:val="18"/>
          <w:shd w:val="clear" w:color="auto" w:fill="FFFFFF"/>
        </w:rPr>
        <w:t>Cuando el bien se adquiere o destina específicamente para el uso personal del socio</w:t>
      </w:r>
      <w:r w:rsidRPr="00A86E93">
        <w:rPr>
          <w:rFonts w:ascii="Verdana" w:hAnsi="Verdana" w:cs="Open Sans"/>
          <w:color w:val="222222"/>
          <w:sz w:val="18"/>
          <w:szCs w:val="18"/>
          <w:shd w:val="clear" w:color="auto" w:fill="FFFFFF"/>
        </w:rPr>
        <w:t xml:space="preserve">, la renta se califica como </w:t>
      </w:r>
      <w:r w:rsidRPr="00A86E93">
        <w:rPr>
          <w:rFonts w:ascii="Verdana" w:hAnsi="Verdana" w:cs="Open Sans"/>
          <w:b/>
          <w:bCs/>
          <w:color w:val="222222"/>
          <w:sz w:val="18"/>
          <w:szCs w:val="18"/>
          <w:shd w:val="clear" w:color="auto" w:fill="FFFFFF"/>
        </w:rPr>
        <w:t>rendimiento del capital mobiliario en especie</w:t>
      </w:r>
      <w:r w:rsidRPr="00A86E93">
        <w:rPr>
          <w:rFonts w:ascii="Verdana" w:hAnsi="Verdana" w:cs="Open Sans"/>
          <w:color w:val="222222"/>
          <w:sz w:val="18"/>
          <w:szCs w:val="18"/>
          <w:shd w:val="clear" w:color="auto" w:fill="FFFFFF"/>
        </w:rPr>
        <w:t xml:space="preserve">, conforme al </w:t>
      </w:r>
      <w:r w:rsidRPr="00A86E93">
        <w:rPr>
          <w:rFonts w:ascii="Verdana" w:hAnsi="Verdana" w:cs="Open Sans"/>
          <w:b/>
          <w:bCs/>
          <w:color w:val="222222"/>
          <w:sz w:val="18"/>
          <w:szCs w:val="18"/>
          <w:shd w:val="clear" w:color="auto" w:fill="FFFFFF"/>
        </w:rPr>
        <w:t>art. 25.1.d) LIRPF</w:t>
      </w:r>
      <w:r w:rsidRPr="00A86E93">
        <w:rPr>
          <w:rFonts w:ascii="Verdana" w:hAnsi="Verdana" w:cs="Open Sans"/>
          <w:color w:val="222222"/>
          <w:sz w:val="18"/>
          <w:szCs w:val="18"/>
          <w:shd w:val="clear" w:color="auto" w:fill="FFFFFF"/>
        </w:rPr>
        <w:t xml:space="preserve">, y debe valorarse por su </w:t>
      </w:r>
      <w:r w:rsidRPr="00A86E93">
        <w:rPr>
          <w:rFonts w:ascii="Verdana" w:hAnsi="Verdana" w:cs="Open Sans"/>
          <w:b/>
          <w:bCs/>
          <w:color w:val="222222"/>
          <w:sz w:val="18"/>
          <w:szCs w:val="18"/>
          <w:shd w:val="clear" w:color="auto" w:fill="FFFFFF"/>
        </w:rPr>
        <w:t>valor de mercado (art. 43 LIRPF)</w:t>
      </w:r>
      <w:r w:rsidRPr="00A86E93">
        <w:rPr>
          <w:rFonts w:ascii="Verdana" w:hAnsi="Verdana" w:cs="Open Sans"/>
          <w:color w:val="222222"/>
          <w:sz w:val="18"/>
          <w:szCs w:val="18"/>
          <w:shd w:val="clear" w:color="auto" w:fill="FFFFFF"/>
        </w:rPr>
        <w:t>.</w:t>
      </w:r>
    </w:p>
    <w:p w14:paraId="45EE4FAE" w14:textId="77777777" w:rsidR="00A86E93" w:rsidRDefault="00A86E93" w:rsidP="008C5028">
      <w:pPr>
        <w:numPr>
          <w:ilvl w:val="0"/>
          <w:numId w:val="43"/>
        </w:numPr>
        <w:ind w:left="567" w:hanging="283"/>
        <w:jc w:val="both"/>
        <w:rPr>
          <w:rFonts w:ascii="Verdana" w:hAnsi="Verdana" w:cs="Open Sans"/>
          <w:color w:val="222222"/>
          <w:sz w:val="18"/>
          <w:szCs w:val="18"/>
          <w:shd w:val="clear" w:color="auto" w:fill="FFFFFF"/>
        </w:rPr>
      </w:pPr>
      <w:r w:rsidRPr="00A86E93">
        <w:rPr>
          <w:rFonts w:ascii="Verdana" w:hAnsi="Verdana" w:cs="Open Sans"/>
          <w:b/>
          <w:bCs/>
          <w:color w:val="222222"/>
          <w:sz w:val="18"/>
          <w:szCs w:val="18"/>
          <w:shd w:val="clear" w:color="auto" w:fill="FFFFFF"/>
        </w:rPr>
        <w:t>Cuando el bien pertenece al patrimonio afecto a la actividad ordinaria de la sociedad</w:t>
      </w:r>
      <w:r w:rsidRPr="00A86E93">
        <w:rPr>
          <w:rFonts w:ascii="Verdana" w:hAnsi="Verdana" w:cs="Open Sans"/>
          <w:color w:val="222222"/>
          <w:sz w:val="18"/>
          <w:szCs w:val="18"/>
          <w:shd w:val="clear" w:color="auto" w:fill="FFFFFF"/>
        </w:rPr>
        <w:t xml:space="preserve">, la valoración procederá por la vía de </w:t>
      </w:r>
      <w:r w:rsidRPr="00A86E93">
        <w:rPr>
          <w:rFonts w:ascii="Verdana" w:hAnsi="Verdana" w:cs="Open Sans"/>
          <w:b/>
          <w:bCs/>
          <w:color w:val="222222"/>
          <w:sz w:val="18"/>
          <w:szCs w:val="18"/>
          <w:shd w:val="clear" w:color="auto" w:fill="FFFFFF"/>
        </w:rPr>
        <w:t>operaciones vinculadas</w:t>
      </w:r>
      <w:r w:rsidRPr="00A86E93">
        <w:rPr>
          <w:rFonts w:ascii="Verdana" w:hAnsi="Verdana" w:cs="Open Sans"/>
          <w:color w:val="222222"/>
          <w:sz w:val="18"/>
          <w:szCs w:val="18"/>
          <w:shd w:val="clear" w:color="auto" w:fill="FFFFFF"/>
        </w:rPr>
        <w:t xml:space="preserve"> (art. 41 LIRPF).</w:t>
      </w:r>
    </w:p>
    <w:bookmarkEnd w:id="7"/>
    <w:p w14:paraId="5CD66F3E" w14:textId="77777777" w:rsidR="00455110" w:rsidRPr="00A86E93" w:rsidRDefault="00455110" w:rsidP="00455110">
      <w:pPr>
        <w:ind w:left="284"/>
        <w:jc w:val="both"/>
        <w:rPr>
          <w:rFonts w:ascii="Verdana" w:hAnsi="Verdana" w:cs="Open Sans"/>
          <w:color w:val="222222"/>
          <w:sz w:val="18"/>
          <w:szCs w:val="18"/>
          <w:shd w:val="clear" w:color="auto" w:fill="FFFFFF"/>
        </w:rPr>
      </w:pPr>
    </w:p>
    <w:p w14:paraId="62739F00" w14:textId="77777777" w:rsidR="00A86E93" w:rsidRDefault="00A86E93" w:rsidP="003C75DE">
      <w:pPr>
        <w:ind w:left="284"/>
        <w:jc w:val="both"/>
        <w:rPr>
          <w:rFonts w:ascii="Verdana" w:hAnsi="Verdana" w:cs="Open Sans"/>
          <w:color w:val="222222"/>
          <w:sz w:val="18"/>
          <w:szCs w:val="18"/>
          <w:shd w:val="clear" w:color="auto" w:fill="FFFFFF"/>
        </w:rPr>
      </w:pPr>
      <w:r w:rsidRPr="00A86E93">
        <w:rPr>
          <w:rFonts w:ascii="Verdana" w:hAnsi="Verdana" w:cs="Open Sans"/>
          <w:color w:val="222222"/>
          <w:sz w:val="18"/>
          <w:szCs w:val="18"/>
          <w:shd w:val="clear" w:color="auto" w:fill="FFFFFF"/>
        </w:rPr>
        <w:t xml:space="preserve">El Tribunal </w:t>
      </w:r>
      <w:r w:rsidRPr="00A86E93">
        <w:rPr>
          <w:rFonts w:ascii="Verdana" w:hAnsi="Verdana" w:cs="Open Sans"/>
          <w:b/>
          <w:bCs/>
          <w:color w:val="222222"/>
          <w:sz w:val="18"/>
          <w:szCs w:val="18"/>
          <w:shd w:val="clear" w:color="auto" w:fill="FFFFFF"/>
        </w:rPr>
        <w:t>estima el recurso de la AEAT</w:t>
      </w:r>
      <w:r w:rsidRPr="00A86E93">
        <w:rPr>
          <w:rFonts w:ascii="Verdana" w:hAnsi="Verdana" w:cs="Open Sans"/>
          <w:color w:val="222222"/>
          <w:sz w:val="18"/>
          <w:szCs w:val="18"/>
          <w:shd w:val="clear" w:color="auto" w:fill="FFFFFF"/>
        </w:rPr>
        <w:t xml:space="preserve"> y declara que </w:t>
      </w:r>
      <w:r w:rsidRPr="00A86E93">
        <w:rPr>
          <w:rFonts w:ascii="Verdana" w:hAnsi="Verdana" w:cs="Open Sans"/>
          <w:b/>
          <w:bCs/>
          <w:color w:val="222222"/>
          <w:sz w:val="18"/>
          <w:szCs w:val="18"/>
          <w:shd w:val="clear" w:color="auto" w:fill="FFFFFF"/>
        </w:rPr>
        <w:t>no toda vinculación socio-sociedad implica necesariamente una operación vinculada</w:t>
      </w:r>
      <w:r w:rsidRPr="00A86E93">
        <w:rPr>
          <w:rFonts w:ascii="Verdana" w:hAnsi="Verdana" w:cs="Open Sans"/>
          <w:color w:val="222222"/>
          <w:sz w:val="18"/>
          <w:szCs w:val="18"/>
          <w:shd w:val="clear" w:color="auto" w:fill="FFFFFF"/>
        </w:rPr>
        <w:t>, fijando así un criterio interpretativo de aplicación general.</w:t>
      </w:r>
    </w:p>
    <w:p w14:paraId="41F60F23" w14:textId="77777777" w:rsidR="00455110" w:rsidRPr="00A86E93" w:rsidRDefault="00455110" w:rsidP="003C75DE">
      <w:pPr>
        <w:ind w:left="284"/>
        <w:jc w:val="both"/>
        <w:rPr>
          <w:rFonts w:ascii="Verdana" w:hAnsi="Verdana" w:cs="Open Sans"/>
          <w:color w:val="222222"/>
          <w:sz w:val="18"/>
          <w:szCs w:val="18"/>
          <w:shd w:val="clear" w:color="auto" w:fill="FFFFFF"/>
        </w:rPr>
      </w:pPr>
    </w:p>
    <w:p w14:paraId="08A7B3D9" w14:textId="7A69689D" w:rsidR="00A86E93" w:rsidRPr="00A86E93" w:rsidRDefault="00A86E93" w:rsidP="003C75DE">
      <w:pPr>
        <w:ind w:left="284"/>
        <w:rPr>
          <w:rFonts w:ascii="Verdana" w:hAnsi="Verdana" w:cs="Open Sans"/>
          <w:color w:val="222222"/>
          <w:sz w:val="18"/>
          <w:szCs w:val="18"/>
          <w:shd w:val="clear" w:color="auto" w:fill="FFFFFF"/>
        </w:rPr>
      </w:pPr>
      <w:r w:rsidRPr="00A86E93">
        <w:rPr>
          <w:rFonts w:ascii="Verdana" w:hAnsi="Verdana" w:cs="Open Sans"/>
          <w:b/>
          <w:bCs/>
          <w:color w:val="222222"/>
          <w:sz w:val="18"/>
          <w:szCs w:val="18"/>
          <w:shd w:val="clear" w:color="auto" w:fill="FFFFFF"/>
        </w:rPr>
        <w:t>Conclusión:</w:t>
      </w:r>
      <w:r w:rsidRPr="00A86E93">
        <w:rPr>
          <w:rFonts w:ascii="Verdana" w:hAnsi="Verdana" w:cs="Open Sans"/>
          <w:color w:val="222222"/>
          <w:sz w:val="18"/>
          <w:szCs w:val="18"/>
          <w:shd w:val="clear" w:color="auto" w:fill="FFFFFF"/>
        </w:rPr>
        <w:br/>
        <w:t>El uso gratuito de bienes sociales por un socio se calificará como rendimiento del capital mobiliario en especie, salvo que el bien forme parte del giro normal de la actividad de la sociedad.</w:t>
      </w:r>
    </w:p>
    <w:p w14:paraId="7A89E713" w14:textId="77777777" w:rsidR="00A86E93" w:rsidRPr="00B6654F" w:rsidRDefault="00A86E93" w:rsidP="003C75DE">
      <w:pPr>
        <w:ind w:left="284"/>
        <w:jc w:val="both"/>
        <w:rPr>
          <w:rFonts w:ascii="Verdana" w:hAnsi="Verdana" w:cs="Open Sans"/>
          <w:color w:val="222222"/>
          <w:sz w:val="18"/>
          <w:szCs w:val="18"/>
          <w:shd w:val="clear" w:color="auto" w:fill="FFFFFF"/>
        </w:rPr>
      </w:pPr>
    </w:p>
    <w:p w14:paraId="7DF8B700" w14:textId="77777777" w:rsidR="00EF5AE3" w:rsidRDefault="00EF5AE3" w:rsidP="009A0BF8">
      <w:pPr>
        <w:jc w:val="both"/>
        <w:rPr>
          <w:rFonts w:ascii="Verdana" w:hAnsi="Verdana"/>
          <w:b/>
          <w:bCs/>
          <w:color w:val="800000"/>
          <w:w w:val="95"/>
          <w:sz w:val="22"/>
          <w:szCs w:val="22"/>
        </w:rPr>
      </w:pPr>
      <w:r>
        <w:rPr>
          <w:rFonts w:ascii="Verdana" w:hAnsi="Verdana"/>
          <w:b/>
          <w:bCs/>
          <w:color w:val="800000"/>
          <w:w w:val="95"/>
          <w:sz w:val="22"/>
          <w:szCs w:val="22"/>
        </w:rPr>
        <w:br w:type="page"/>
      </w:r>
    </w:p>
    <w:p w14:paraId="0887D310" w14:textId="77777777" w:rsidR="000D7A27" w:rsidRDefault="000D7A27" w:rsidP="009A0BF8">
      <w:pPr>
        <w:jc w:val="both"/>
        <w:rPr>
          <w:rFonts w:ascii="Verdana" w:hAnsi="Verdana"/>
          <w:b/>
          <w:bCs/>
          <w:color w:val="800000"/>
          <w:w w:val="95"/>
          <w:sz w:val="22"/>
          <w:szCs w:val="22"/>
        </w:rPr>
      </w:pPr>
    </w:p>
    <w:p w14:paraId="15733483" w14:textId="77777777" w:rsidR="000D7A27" w:rsidRDefault="000D7A27" w:rsidP="009A0BF8">
      <w:pPr>
        <w:jc w:val="both"/>
        <w:rPr>
          <w:rFonts w:ascii="Verdana" w:hAnsi="Verdana"/>
          <w:b/>
          <w:bCs/>
          <w:color w:val="800000"/>
          <w:w w:val="95"/>
          <w:sz w:val="22"/>
          <w:szCs w:val="22"/>
        </w:rPr>
      </w:pPr>
    </w:p>
    <w:p w14:paraId="5339F35C" w14:textId="5CADC480" w:rsidR="00341BFE" w:rsidRDefault="00341BFE" w:rsidP="00030859">
      <w:pPr>
        <w:tabs>
          <w:tab w:val="left" w:pos="0"/>
        </w:tabs>
        <w:jc w:val="both"/>
        <w:rPr>
          <w:rFonts w:ascii="Verdana" w:hAnsi="Verdana"/>
          <w:b/>
          <w:bCs/>
          <w:color w:val="800000"/>
          <w:w w:val="95"/>
          <w:sz w:val="22"/>
          <w:szCs w:val="22"/>
        </w:rPr>
      </w:pPr>
      <w:r w:rsidRPr="003A71A5">
        <w:rPr>
          <w:rFonts w:ascii="Verdana" w:hAnsi="Verdana"/>
          <w:b/>
          <w:bCs/>
          <w:color w:val="800000"/>
          <w:w w:val="95"/>
          <w:sz w:val="22"/>
          <w:szCs w:val="22"/>
        </w:rPr>
        <w:t xml:space="preserve">DISPOSICIONES PUBLICADAS DURANTE </w:t>
      </w:r>
      <w:r w:rsidR="00153B74">
        <w:rPr>
          <w:rFonts w:ascii="Verdana" w:hAnsi="Verdana"/>
          <w:b/>
          <w:bCs/>
          <w:color w:val="800000"/>
          <w:w w:val="95"/>
          <w:sz w:val="22"/>
          <w:szCs w:val="22"/>
        </w:rPr>
        <w:t>LOS MESES DE SEPTIEMBRE Y</w:t>
      </w:r>
      <w:r w:rsidR="0069112E">
        <w:rPr>
          <w:rFonts w:ascii="Verdana" w:hAnsi="Verdana"/>
          <w:b/>
          <w:bCs/>
          <w:color w:val="800000"/>
          <w:w w:val="95"/>
          <w:sz w:val="22"/>
          <w:szCs w:val="22"/>
        </w:rPr>
        <w:t xml:space="preserve"> </w:t>
      </w:r>
      <w:r w:rsidR="003735A6" w:rsidRPr="003A71A5">
        <w:rPr>
          <w:rFonts w:ascii="Verdana" w:hAnsi="Verdana"/>
          <w:b/>
          <w:bCs/>
          <w:color w:val="800000"/>
          <w:w w:val="95"/>
          <w:sz w:val="22"/>
          <w:szCs w:val="22"/>
        </w:rPr>
        <w:t>OCTUBRE</w:t>
      </w:r>
      <w:r w:rsidRPr="003A71A5">
        <w:rPr>
          <w:rFonts w:ascii="Verdana" w:hAnsi="Verdana"/>
          <w:b/>
          <w:bCs/>
          <w:color w:val="800000"/>
          <w:w w:val="95"/>
          <w:sz w:val="22"/>
          <w:szCs w:val="22"/>
        </w:rPr>
        <w:t xml:space="preserve"> DE </w:t>
      </w:r>
      <w:r w:rsidR="0069112E">
        <w:rPr>
          <w:rFonts w:ascii="Verdana" w:hAnsi="Verdana"/>
          <w:b/>
          <w:bCs/>
          <w:color w:val="800000"/>
          <w:w w:val="95"/>
          <w:sz w:val="22"/>
          <w:szCs w:val="22"/>
        </w:rPr>
        <w:t>202</w:t>
      </w:r>
      <w:r w:rsidR="00152A8A">
        <w:rPr>
          <w:rFonts w:ascii="Verdana" w:hAnsi="Verdana"/>
          <w:b/>
          <w:bCs/>
          <w:color w:val="800000"/>
          <w:w w:val="95"/>
          <w:sz w:val="22"/>
          <w:szCs w:val="22"/>
        </w:rPr>
        <w:t>5</w:t>
      </w:r>
    </w:p>
    <w:p w14:paraId="22A3D8C2" w14:textId="245E212E" w:rsidR="00B775C7" w:rsidRPr="00B775C7" w:rsidRDefault="00B775C7" w:rsidP="00B775C7">
      <w:pPr>
        <w:pStyle w:val="NormalWeb"/>
        <w:pBdr>
          <w:bottom w:val="single" w:sz="6" w:space="10" w:color="F4F4F4"/>
        </w:pBdr>
        <w:shd w:val="clear" w:color="auto" w:fill="FFFFFF"/>
        <w:tabs>
          <w:tab w:val="left" w:pos="0"/>
        </w:tabs>
        <w:contextualSpacing/>
        <w:jc w:val="both"/>
        <w:rPr>
          <w:rFonts w:ascii="Verdana" w:eastAsia="Times New Roman" w:hAnsi="Verdana" w:cs="Times New Roman"/>
          <w:b/>
          <w:bCs/>
          <w:color w:val="800000"/>
          <w:sz w:val="18"/>
          <w:szCs w:val="18"/>
        </w:rPr>
      </w:pPr>
      <w:r w:rsidRPr="00B775C7">
        <w:rPr>
          <w:rFonts w:ascii="Verdana" w:eastAsia="Times New Roman" w:hAnsi="Verdana" w:cs="Times New Roman"/>
          <w:b/>
          <w:bCs/>
          <w:color w:val="800000"/>
          <w:sz w:val="18"/>
          <w:szCs w:val="18"/>
        </w:rPr>
        <w:t>Impuestos</w:t>
      </w:r>
      <w:r>
        <w:rPr>
          <w:rFonts w:ascii="Verdana" w:eastAsia="Times New Roman" w:hAnsi="Verdana" w:cs="Times New Roman"/>
          <w:b/>
          <w:bCs/>
          <w:color w:val="800000"/>
          <w:sz w:val="18"/>
          <w:szCs w:val="18"/>
        </w:rPr>
        <w:t xml:space="preserve">. </w:t>
      </w:r>
      <w:r w:rsidRPr="00B775C7">
        <w:rPr>
          <w:rFonts w:ascii="Verdana" w:eastAsia="Times New Roman" w:hAnsi="Verdana" w:cs="Times New Roman"/>
          <w:b/>
          <w:bCs/>
          <w:color w:val="800000"/>
          <w:sz w:val="18"/>
          <w:szCs w:val="18"/>
        </w:rPr>
        <w:t>Régimen Fiscal especial de las Illes Balears</w:t>
      </w:r>
    </w:p>
    <w:p w14:paraId="4C9339F8" w14:textId="02BF60B9" w:rsidR="00153B74" w:rsidRDefault="00B775C7" w:rsidP="00B775C7">
      <w:pPr>
        <w:pStyle w:val="NormalWeb"/>
        <w:pBdr>
          <w:bottom w:val="single" w:sz="6" w:space="10" w:color="F4F4F4"/>
        </w:pBdr>
        <w:shd w:val="clear" w:color="auto" w:fill="FFFFFF"/>
        <w:tabs>
          <w:tab w:val="left" w:pos="0"/>
        </w:tabs>
        <w:contextualSpacing/>
        <w:jc w:val="both"/>
        <w:rPr>
          <w:rFonts w:ascii="Verdana" w:eastAsia="Times New Roman" w:hAnsi="Verdana" w:cs="Times New Roman"/>
          <w:sz w:val="18"/>
          <w:szCs w:val="18"/>
        </w:rPr>
      </w:pPr>
      <w:r w:rsidRPr="00B775C7">
        <w:rPr>
          <w:rFonts w:ascii="Verdana" w:eastAsia="Times New Roman" w:hAnsi="Verdana" w:cs="Times New Roman"/>
          <w:sz w:val="18"/>
          <w:szCs w:val="18"/>
        </w:rPr>
        <w:t xml:space="preserve">Orden HAC/1031/2024, de 25 de septiembre, por la que se aprueba el modelo 283, «Declaración informativa anual de ayudas recibidas en el marco del </w:t>
      </w:r>
      <w:bookmarkStart w:id="8" w:name="_Hlk179650721"/>
      <w:r w:rsidRPr="00B775C7">
        <w:rPr>
          <w:rFonts w:ascii="Verdana" w:eastAsia="Times New Roman" w:hAnsi="Verdana" w:cs="Times New Roman"/>
          <w:sz w:val="18"/>
          <w:szCs w:val="18"/>
        </w:rPr>
        <w:t>Régimen Fiscal especial de las Illes Balears</w:t>
      </w:r>
      <w:bookmarkEnd w:id="8"/>
      <w:r w:rsidRPr="00B775C7">
        <w:rPr>
          <w:rFonts w:ascii="Verdana" w:eastAsia="Times New Roman" w:hAnsi="Verdana" w:cs="Times New Roman"/>
          <w:sz w:val="18"/>
          <w:szCs w:val="18"/>
        </w:rPr>
        <w:t>» y se determinan las condiciones y procedimiento para su presentación.</w:t>
      </w:r>
    </w:p>
    <w:p w14:paraId="480C9192" w14:textId="38DFD938" w:rsidR="00B775C7" w:rsidRDefault="00B775C7" w:rsidP="00B775C7">
      <w:pPr>
        <w:pStyle w:val="NormalWeb"/>
        <w:pBdr>
          <w:bottom w:val="single" w:sz="6" w:space="10" w:color="F4F4F4"/>
        </w:pBdr>
        <w:shd w:val="clear" w:color="auto" w:fill="FFFFFF"/>
        <w:tabs>
          <w:tab w:val="left" w:pos="0"/>
        </w:tabs>
        <w:contextualSpacing/>
        <w:jc w:val="both"/>
        <w:rPr>
          <w:rFonts w:ascii="Verdana" w:eastAsia="Times New Roman" w:hAnsi="Verdana" w:cs="Times New Roman"/>
          <w:i/>
          <w:iCs/>
          <w:sz w:val="18"/>
          <w:szCs w:val="18"/>
        </w:rPr>
      </w:pPr>
      <w:r w:rsidRPr="00B775C7">
        <w:rPr>
          <w:rFonts w:ascii="Verdana" w:eastAsia="Times New Roman" w:hAnsi="Verdana" w:cs="Times New Roman"/>
          <w:i/>
          <w:iCs/>
          <w:sz w:val="18"/>
          <w:szCs w:val="18"/>
        </w:rPr>
        <w:t>Ministerio de Hacienda. B.O.E. núm. 234 d</w:t>
      </w:r>
      <w:r w:rsidR="00BD77F5">
        <w:rPr>
          <w:rFonts w:ascii="Verdana" w:eastAsia="Times New Roman" w:hAnsi="Verdana" w:cs="Times New Roman"/>
          <w:i/>
          <w:iCs/>
          <w:sz w:val="18"/>
          <w:szCs w:val="18"/>
        </w:rPr>
        <w:t>e</w:t>
      </w:r>
      <w:r w:rsidRPr="00B775C7">
        <w:rPr>
          <w:rFonts w:ascii="Verdana" w:eastAsia="Times New Roman" w:hAnsi="Verdana" w:cs="Times New Roman"/>
          <w:i/>
          <w:iCs/>
          <w:sz w:val="18"/>
          <w:szCs w:val="18"/>
        </w:rPr>
        <w:t xml:space="preserve"> 27 de septiembre de 202</w:t>
      </w:r>
      <w:r w:rsidR="00BD77F5">
        <w:rPr>
          <w:rFonts w:ascii="Verdana" w:eastAsia="Times New Roman" w:hAnsi="Verdana" w:cs="Times New Roman"/>
          <w:i/>
          <w:iCs/>
          <w:sz w:val="18"/>
          <w:szCs w:val="18"/>
        </w:rPr>
        <w:t>5</w:t>
      </w:r>
      <w:r w:rsidRPr="00B775C7">
        <w:rPr>
          <w:rFonts w:ascii="Verdana" w:eastAsia="Times New Roman" w:hAnsi="Verdana" w:cs="Times New Roman"/>
          <w:i/>
          <w:iCs/>
          <w:sz w:val="18"/>
          <w:szCs w:val="18"/>
        </w:rPr>
        <w:t>.</w:t>
      </w:r>
    </w:p>
    <w:p w14:paraId="293FF02F" w14:textId="77777777" w:rsidR="00197946" w:rsidRDefault="00197946" w:rsidP="00B775C7">
      <w:pPr>
        <w:pStyle w:val="NormalWeb"/>
        <w:pBdr>
          <w:bottom w:val="single" w:sz="6" w:space="10" w:color="F4F4F4"/>
        </w:pBdr>
        <w:shd w:val="clear" w:color="auto" w:fill="FFFFFF"/>
        <w:tabs>
          <w:tab w:val="left" w:pos="0"/>
        </w:tabs>
        <w:contextualSpacing/>
        <w:jc w:val="both"/>
        <w:rPr>
          <w:rFonts w:ascii="Verdana" w:eastAsia="Times New Roman" w:hAnsi="Verdana" w:cs="Times New Roman"/>
          <w:i/>
          <w:iCs/>
          <w:sz w:val="18"/>
          <w:szCs w:val="18"/>
        </w:rPr>
      </w:pPr>
    </w:p>
    <w:p w14:paraId="43463A4B" w14:textId="77777777" w:rsidR="00153B74" w:rsidRDefault="00153B74" w:rsidP="0069112E">
      <w:pPr>
        <w:pStyle w:val="NormalWeb"/>
        <w:pBdr>
          <w:bottom w:val="single" w:sz="6" w:space="10" w:color="F4F4F4"/>
        </w:pBdr>
        <w:shd w:val="clear" w:color="auto" w:fill="FFFFFF"/>
        <w:tabs>
          <w:tab w:val="left" w:pos="0"/>
        </w:tabs>
        <w:contextualSpacing/>
        <w:jc w:val="both"/>
        <w:rPr>
          <w:rFonts w:ascii="Verdana" w:eastAsia="Times New Roman" w:hAnsi="Verdana" w:cs="Times New Roman"/>
          <w:b/>
          <w:bCs/>
          <w:color w:val="800000"/>
          <w:sz w:val="18"/>
          <w:szCs w:val="18"/>
        </w:rPr>
      </w:pPr>
    </w:p>
    <w:p w14:paraId="2CB38607" w14:textId="77777777" w:rsidR="00153B74" w:rsidRDefault="00153B74" w:rsidP="0069112E">
      <w:pPr>
        <w:pStyle w:val="NormalWeb"/>
        <w:pBdr>
          <w:bottom w:val="single" w:sz="6" w:space="10" w:color="F4F4F4"/>
        </w:pBdr>
        <w:shd w:val="clear" w:color="auto" w:fill="FFFFFF"/>
        <w:tabs>
          <w:tab w:val="left" w:pos="0"/>
        </w:tabs>
        <w:contextualSpacing/>
        <w:jc w:val="both"/>
        <w:rPr>
          <w:rFonts w:ascii="Verdana" w:eastAsia="Times New Roman" w:hAnsi="Verdana" w:cs="Times New Roman"/>
          <w:b/>
          <w:bCs/>
          <w:color w:val="800000"/>
          <w:sz w:val="18"/>
          <w:szCs w:val="18"/>
        </w:rPr>
      </w:pPr>
    </w:p>
    <w:p w14:paraId="49C36276" w14:textId="557B539D" w:rsidR="003A177A" w:rsidRPr="003A177A" w:rsidRDefault="003A177A" w:rsidP="00A71E7C">
      <w:pPr>
        <w:pStyle w:val="NormalWeb"/>
        <w:pBdr>
          <w:bottom w:val="single" w:sz="6" w:space="10" w:color="F4F4F4"/>
        </w:pBdr>
        <w:shd w:val="clear" w:color="auto" w:fill="FFFFFF"/>
        <w:tabs>
          <w:tab w:val="left" w:pos="0"/>
        </w:tabs>
        <w:contextualSpacing/>
        <w:jc w:val="both"/>
        <w:rPr>
          <w:rFonts w:ascii="Verdana" w:eastAsia="Times New Roman" w:hAnsi="Verdana" w:cs="Times New Roman"/>
          <w:i/>
          <w:iCs/>
          <w:sz w:val="18"/>
          <w:szCs w:val="18"/>
        </w:rPr>
      </w:pPr>
      <w:r w:rsidRPr="003A177A">
        <w:rPr>
          <w:rFonts w:ascii="Verdana" w:eastAsia="Times New Roman" w:hAnsi="Verdana" w:cs="Times New Roman"/>
          <w:sz w:val="18"/>
          <w:szCs w:val="18"/>
        </w:rPr>
        <w:t xml:space="preserve"> </w:t>
      </w:r>
    </w:p>
    <w:p w14:paraId="1D919B47" w14:textId="77777777" w:rsidR="003A177A" w:rsidRPr="003A177A" w:rsidRDefault="003A177A" w:rsidP="003A177A">
      <w:pPr>
        <w:pStyle w:val="NormalWeb"/>
        <w:pBdr>
          <w:bottom w:val="single" w:sz="6" w:space="10" w:color="F4F4F4"/>
        </w:pBdr>
        <w:shd w:val="clear" w:color="auto" w:fill="FFFFFF"/>
        <w:tabs>
          <w:tab w:val="left" w:pos="0"/>
        </w:tabs>
        <w:contextualSpacing/>
        <w:jc w:val="both"/>
        <w:rPr>
          <w:rFonts w:ascii="Verdana" w:eastAsia="Times New Roman" w:hAnsi="Verdana" w:cs="Times New Roman"/>
          <w:sz w:val="18"/>
          <w:szCs w:val="18"/>
        </w:rPr>
      </w:pPr>
    </w:p>
    <w:p w14:paraId="107C2265" w14:textId="77777777" w:rsidR="00FC6ED7" w:rsidRDefault="00FC6ED7">
      <w:pPr>
        <w:rPr>
          <w:rFonts w:ascii="Verdana" w:eastAsia="Arial Unicode MS" w:hAnsi="Verdana" w:cs="Arial Unicode MS"/>
          <w:b/>
          <w:bCs/>
          <w:color w:val="800000"/>
          <w:sz w:val="22"/>
          <w:szCs w:val="22"/>
        </w:rPr>
      </w:pPr>
      <w:r>
        <w:rPr>
          <w:rFonts w:ascii="Verdana" w:hAnsi="Verdana"/>
          <w:b/>
          <w:bCs/>
          <w:color w:val="800000"/>
          <w:sz w:val="22"/>
          <w:szCs w:val="22"/>
        </w:rPr>
        <w:br w:type="page"/>
      </w:r>
    </w:p>
    <w:p w14:paraId="25D1B851" w14:textId="7F624899" w:rsidR="00A71E7C" w:rsidRDefault="00A71E7C" w:rsidP="00B97F4A">
      <w:pPr>
        <w:pStyle w:val="NormalWeb"/>
        <w:pBdr>
          <w:bottom w:val="single" w:sz="6" w:space="12" w:color="F4F4F4"/>
        </w:pBdr>
        <w:shd w:val="clear" w:color="auto" w:fill="FFFFFF"/>
        <w:tabs>
          <w:tab w:val="left" w:pos="0"/>
        </w:tabs>
        <w:contextualSpacing/>
        <w:jc w:val="both"/>
        <w:rPr>
          <w:rFonts w:ascii="Verdana" w:hAnsi="Verdana"/>
          <w:b/>
          <w:bCs/>
          <w:color w:val="800000"/>
          <w:sz w:val="22"/>
          <w:szCs w:val="22"/>
        </w:rPr>
      </w:pPr>
      <w:r>
        <w:rPr>
          <w:rFonts w:ascii="Verdana" w:hAnsi="Verdana"/>
          <w:b/>
          <w:bCs/>
          <w:color w:val="800000"/>
          <w:sz w:val="22"/>
          <w:szCs w:val="22"/>
        </w:rPr>
        <w:t>CALENDARIO FISCAL PARA EL MES DE NOVIEMBRE DE 2025</w:t>
      </w:r>
    </w:p>
    <w:p w14:paraId="7D3B5A6A" w14:textId="77777777" w:rsidR="00A71E7C" w:rsidRDefault="00A71E7C" w:rsidP="00B97F4A">
      <w:pPr>
        <w:pStyle w:val="NormalWeb"/>
        <w:pBdr>
          <w:bottom w:val="single" w:sz="6" w:space="12" w:color="F4F4F4"/>
        </w:pBdr>
        <w:shd w:val="clear" w:color="auto" w:fill="FFFFFF"/>
        <w:tabs>
          <w:tab w:val="left" w:pos="0"/>
        </w:tabs>
        <w:contextualSpacing/>
        <w:jc w:val="both"/>
        <w:rPr>
          <w:rFonts w:ascii="Verdana" w:hAnsi="Verdana"/>
          <w:b/>
          <w:bCs/>
          <w:color w:val="800000"/>
          <w:sz w:val="22"/>
          <w:szCs w:val="22"/>
        </w:rPr>
      </w:pPr>
    </w:p>
    <w:p w14:paraId="0AC394A7" w14:textId="59060F9D" w:rsidR="00A71E7C" w:rsidRPr="00E50BD3" w:rsidRDefault="00A64B4F" w:rsidP="00A71E7C">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HASTA EL 5 DE NOVIEMBRE</w:t>
      </w:r>
    </w:p>
    <w:p w14:paraId="0C2A900E" w14:textId="77777777" w:rsidR="00A71E7C" w:rsidRPr="00E50BD3" w:rsidRDefault="00A71E7C" w:rsidP="00A71E7C">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Renta</w:t>
      </w:r>
    </w:p>
    <w:p w14:paraId="57E52434" w14:textId="66550337" w:rsidR="00A71E7C" w:rsidRPr="00E50BD3" w:rsidRDefault="00A71E7C">
      <w:pPr>
        <w:pStyle w:val="NormalWeb"/>
        <w:numPr>
          <w:ilvl w:val="0"/>
          <w:numId w:val="3"/>
        </w:numPr>
        <w:pBdr>
          <w:bottom w:val="single" w:sz="6" w:space="12" w:color="F4F4F4"/>
        </w:pBdr>
        <w:tabs>
          <w:tab w:val="clear" w:pos="720"/>
          <w:tab w:val="left" w:pos="0"/>
          <w:tab w:val="num" w:pos="426"/>
        </w:tabs>
        <w:ind w:left="567" w:hanging="425"/>
        <w:contextualSpacing/>
        <w:jc w:val="both"/>
        <w:rPr>
          <w:rFonts w:ascii="Verdana" w:hAnsi="Verdana"/>
          <w:sz w:val="18"/>
          <w:szCs w:val="18"/>
        </w:rPr>
      </w:pPr>
      <w:r w:rsidRPr="00E50BD3">
        <w:rPr>
          <w:rFonts w:ascii="Verdana" w:hAnsi="Verdana"/>
          <w:sz w:val="18"/>
          <w:szCs w:val="18"/>
        </w:rPr>
        <w:t>Ingreso del segundo plazo de la declaración anual de 2024, si se fraccionó el pago: 102.</w:t>
      </w:r>
    </w:p>
    <w:p w14:paraId="7362492F" w14:textId="6D23CDED" w:rsidR="00A71E7C" w:rsidRPr="00E50BD3" w:rsidRDefault="00A64B4F"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HASTA EL 12 DE NOVIEMBRE</w:t>
      </w:r>
    </w:p>
    <w:p w14:paraId="1C9E905B" w14:textId="77777777" w:rsidR="00A71E7C" w:rsidRPr="00E50BD3" w:rsidRDefault="00A71E7C"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INTRASTAT - Estadística Comercio Intracomunitario</w:t>
      </w:r>
    </w:p>
    <w:p w14:paraId="0A14A557" w14:textId="3C2FA1C6" w:rsidR="00A71E7C" w:rsidRPr="00E50BD3" w:rsidRDefault="00A71E7C">
      <w:pPr>
        <w:pStyle w:val="NormalWeb"/>
        <w:numPr>
          <w:ilvl w:val="0"/>
          <w:numId w:val="4"/>
        </w:numPr>
        <w:shd w:val="clear" w:color="auto" w:fill="FFFFFF"/>
        <w:spacing w:before="0" w:beforeAutospacing="0"/>
        <w:rPr>
          <w:rFonts w:ascii="Verdana" w:hAnsi="Verdana" w:cs="Arial"/>
          <w:color w:val="000000"/>
          <w:sz w:val="18"/>
          <w:szCs w:val="18"/>
        </w:rPr>
      </w:pPr>
      <w:r w:rsidRPr="00E50BD3">
        <w:rPr>
          <w:rFonts w:ascii="Verdana" w:hAnsi="Verdana" w:cs="Arial"/>
          <w:color w:val="000000"/>
          <w:sz w:val="18"/>
          <w:szCs w:val="18"/>
        </w:rPr>
        <w:t>Octubre 2025. Obligados a suministrar información estadística.</w:t>
      </w:r>
    </w:p>
    <w:p w14:paraId="3DC3A023" w14:textId="3D3BF8F8" w:rsidR="00A71E7C" w:rsidRPr="00E50BD3" w:rsidRDefault="00A64B4F"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HASTA EL 20 DE NOVIEMBRE</w:t>
      </w:r>
    </w:p>
    <w:p w14:paraId="14E3272C" w14:textId="77777777" w:rsidR="00A71E7C" w:rsidRPr="00E50BD3" w:rsidRDefault="00A71E7C"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Renta y Sociedades</w:t>
      </w:r>
    </w:p>
    <w:p w14:paraId="69628F42" w14:textId="77777777" w:rsidR="00A71E7C" w:rsidRPr="00E50BD3" w:rsidRDefault="00A71E7C" w:rsidP="00A71E7C">
      <w:pPr>
        <w:pStyle w:val="NormalWeb"/>
        <w:rPr>
          <w:rFonts w:ascii="Verdana" w:hAnsi="Verdana" w:cs="Arial"/>
          <w:color w:val="000000"/>
          <w:sz w:val="18"/>
          <w:szCs w:val="18"/>
        </w:rPr>
      </w:pPr>
      <w:r w:rsidRPr="00E50BD3">
        <w:rPr>
          <w:rFonts w:ascii="Verdana" w:hAnsi="Verdana" w:cs="Arial"/>
          <w:color w:val="000000"/>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051ED3BC" w14:textId="77777777" w:rsidR="00A71E7C" w:rsidRPr="00E50BD3" w:rsidRDefault="00A71E7C">
      <w:pPr>
        <w:pStyle w:val="NormalWeb"/>
        <w:numPr>
          <w:ilvl w:val="0"/>
          <w:numId w:val="5"/>
        </w:numPr>
        <w:spacing w:before="0" w:beforeAutospacing="0"/>
        <w:rPr>
          <w:rFonts w:ascii="Verdana" w:hAnsi="Verdana" w:cs="Arial"/>
          <w:color w:val="000000"/>
          <w:sz w:val="18"/>
          <w:szCs w:val="18"/>
        </w:rPr>
      </w:pPr>
      <w:r w:rsidRPr="00E50BD3">
        <w:rPr>
          <w:rFonts w:ascii="Verdana" w:hAnsi="Verdana" w:cs="Arial"/>
          <w:color w:val="000000"/>
          <w:sz w:val="18"/>
          <w:szCs w:val="18"/>
        </w:rPr>
        <w:t>Octubre 2025. Grandes empresas: 111, 115, 117, 123, 124, 126, 128, 216, 230 </w:t>
      </w:r>
    </w:p>
    <w:p w14:paraId="0AAD9756" w14:textId="77777777" w:rsidR="00A71E7C" w:rsidRPr="00E50BD3" w:rsidRDefault="00A71E7C"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IVA</w:t>
      </w:r>
    </w:p>
    <w:p w14:paraId="40936F05" w14:textId="77777777" w:rsidR="00A71E7C" w:rsidRPr="00E50BD3" w:rsidRDefault="00A71E7C">
      <w:pPr>
        <w:pStyle w:val="NormalWeb"/>
        <w:numPr>
          <w:ilvl w:val="0"/>
          <w:numId w:val="6"/>
        </w:numPr>
        <w:rPr>
          <w:rFonts w:ascii="Verdana" w:hAnsi="Verdana" w:cs="Arial"/>
          <w:color w:val="000000"/>
          <w:sz w:val="18"/>
          <w:szCs w:val="18"/>
        </w:rPr>
      </w:pPr>
      <w:r w:rsidRPr="00E50BD3">
        <w:rPr>
          <w:rFonts w:ascii="Verdana" w:hAnsi="Verdana" w:cs="Arial"/>
          <w:color w:val="000000"/>
          <w:sz w:val="18"/>
          <w:szCs w:val="18"/>
        </w:rPr>
        <w:t>Octubre 2025. Declaración recapitulativa de operaciones intracomunitarias: 349 </w:t>
      </w:r>
    </w:p>
    <w:p w14:paraId="7316F62B" w14:textId="77777777" w:rsidR="00A71E7C" w:rsidRPr="00E50BD3" w:rsidRDefault="00A71E7C">
      <w:pPr>
        <w:pStyle w:val="NormalWeb"/>
        <w:numPr>
          <w:ilvl w:val="0"/>
          <w:numId w:val="6"/>
        </w:numPr>
        <w:rPr>
          <w:rFonts w:ascii="Verdana" w:hAnsi="Verdana" w:cs="Arial"/>
          <w:color w:val="000000"/>
          <w:sz w:val="18"/>
          <w:szCs w:val="18"/>
        </w:rPr>
      </w:pPr>
      <w:r w:rsidRPr="00E50BD3">
        <w:rPr>
          <w:rFonts w:ascii="Verdana" w:hAnsi="Verdana" w:cs="Arial"/>
          <w:color w:val="000000"/>
          <w:sz w:val="18"/>
          <w:szCs w:val="18"/>
        </w:rPr>
        <w:t>Solicitud de devolución por sujetos pasivos en el régimen simplificado del IVA y que ejerzan la actividad de transporte de viajeros o de mercancías por carretera, por adquirir determinados medios de transporte: 308</w:t>
      </w:r>
    </w:p>
    <w:p w14:paraId="52EECA47" w14:textId="77777777" w:rsidR="00A71E7C" w:rsidRPr="00E50BD3" w:rsidRDefault="00A71E7C"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Impuesto sobre las Primas de Seguros</w:t>
      </w:r>
    </w:p>
    <w:p w14:paraId="2DD2ECF8" w14:textId="77777777" w:rsidR="00A71E7C" w:rsidRPr="00E50BD3" w:rsidRDefault="00A71E7C">
      <w:pPr>
        <w:pStyle w:val="NormalWeb"/>
        <w:numPr>
          <w:ilvl w:val="0"/>
          <w:numId w:val="7"/>
        </w:numPr>
        <w:spacing w:before="0" w:beforeAutospacing="0"/>
        <w:rPr>
          <w:rFonts w:ascii="Verdana" w:hAnsi="Verdana" w:cs="Arial"/>
          <w:color w:val="000000"/>
          <w:sz w:val="18"/>
          <w:szCs w:val="18"/>
        </w:rPr>
      </w:pPr>
      <w:r w:rsidRPr="00E50BD3">
        <w:rPr>
          <w:rFonts w:ascii="Verdana" w:hAnsi="Verdana" w:cs="Arial"/>
          <w:color w:val="000000"/>
          <w:sz w:val="18"/>
          <w:szCs w:val="18"/>
        </w:rPr>
        <w:t>Octubre 2025: 430 </w:t>
      </w:r>
    </w:p>
    <w:p w14:paraId="0FD9C482" w14:textId="77777777" w:rsidR="00A71E7C" w:rsidRPr="00E50BD3" w:rsidRDefault="00A71E7C"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Impuestos Especiales de Fabricación</w:t>
      </w:r>
    </w:p>
    <w:p w14:paraId="30545D9C" w14:textId="77777777" w:rsidR="00A71E7C" w:rsidRPr="00E50BD3" w:rsidRDefault="00A71E7C">
      <w:pPr>
        <w:pStyle w:val="NormalWeb"/>
        <w:numPr>
          <w:ilvl w:val="0"/>
          <w:numId w:val="8"/>
        </w:numPr>
        <w:rPr>
          <w:rFonts w:ascii="Verdana" w:hAnsi="Verdana" w:cs="Arial"/>
          <w:color w:val="000000"/>
          <w:sz w:val="18"/>
          <w:szCs w:val="18"/>
        </w:rPr>
      </w:pPr>
      <w:r w:rsidRPr="00E50BD3">
        <w:rPr>
          <w:rFonts w:ascii="Verdana" w:hAnsi="Verdana" w:cs="Arial"/>
          <w:color w:val="000000"/>
          <w:sz w:val="18"/>
          <w:szCs w:val="18"/>
        </w:rPr>
        <w:t>Agosto 2025. Grandes empresas: 561, 562, 563</w:t>
      </w:r>
    </w:p>
    <w:p w14:paraId="2F97EDDC" w14:textId="77777777" w:rsidR="00A71E7C" w:rsidRPr="00E50BD3" w:rsidRDefault="00A71E7C">
      <w:pPr>
        <w:pStyle w:val="NormalWeb"/>
        <w:numPr>
          <w:ilvl w:val="0"/>
          <w:numId w:val="8"/>
        </w:numPr>
        <w:rPr>
          <w:rFonts w:ascii="Verdana" w:hAnsi="Verdana" w:cs="Arial"/>
          <w:color w:val="000000"/>
          <w:sz w:val="18"/>
          <w:szCs w:val="18"/>
        </w:rPr>
      </w:pPr>
      <w:r w:rsidRPr="00E50BD3">
        <w:rPr>
          <w:rFonts w:ascii="Verdana" w:hAnsi="Verdana" w:cs="Arial"/>
          <w:color w:val="000000"/>
          <w:sz w:val="18"/>
          <w:szCs w:val="18"/>
        </w:rPr>
        <w:t>Octubre 2025: 548, 566, 581</w:t>
      </w:r>
    </w:p>
    <w:p w14:paraId="728CCFA2" w14:textId="77777777" w:rsidR="00A71E7C" w:rsidRPr="00E50BD3" w:rsidRDefault="00A71E7C">
      <w:pPr>
        <w:pStyle w:val="NormalWeb"/>
        <w:numPr>
          <w:ilvl w:val="0"/>
          <w:numId w:val="8"/>
        </w:numPr>
        <w:rPr>
          <w:rFonts w:ascii="Verdana" w:hAnsi="Verdana" w:cs="Arial"/>
          <w:color w:val="000000"/>
          <w:sz w:val="18"/>
          <w:szCs w:val="18"/>
        </w:rPr>
      </w:pPr>
      <w:r w:rsidRPr="00E50BD3">
        <w:rPr>
          <w:rFonts w:ascii="Verdana" w:hAnsi="Verdana" w:cs="Arial"/>
          <w:color w:val="000000"/>
          <w:sz w:val="18"/>
          <w:szCs w:val="18"/>
        </w:rPr>
        <w:t>Octubre 2025: 573 (Autoliquidación), A24 (Solicitud de devolución)</w:t>
      </w:r>
    </w:p>
    <w:p w14:paraId="1F067B54" w14:textId="77777777" w:rsidR="00A71E7C" w:rsidRPr="00E50BD3" w:rsidRDefault="00A71E7C">
      <w:pPr>
        <w:pStyle w:val="NormalWeb"/>
        <w:numPr>
          <w:ilvl w:val="0"/>
          <w:numId w:val="8"/>
        </w:numPr>
        <w:rPr>
          <w:rFonts w:ascii="Verdana" w:hAnsi="Verdana" w:cs="Arial"/>
          <w:color w:val="000000"/>
          <w:sz w:val="18"/>
          <w:szCs w:val="18"/>
        </w:rPr>
      </w:pPr>
      <w:r w:rsidRPr="00E50BD3">
        <w:rPr>
          <w:rFonts w:ascii="Verdana" w:hAnsi="Verdana" w:cs="Arial"/>
          <w:color w:val="000000"/>
          <w:sz w:val="18"/>
          <w:szCs w:val="18"/>
        </w:rPr>
        <w:t>Tercer trimestre 2025. Excepto grandes empresas: 561, 562, 563</w:t>
      </w:r>
    </w:p>
    <w:p w14:paraId="56B61A8F" w14:textId="77777777" w:rsidR="00A71E7C" w:rsidRPr="00E50BD3" w:rsidRDefault="00A71E7C">
      <w:pPr>
        <w:pStyle w:val="NormalWeb"/>
        <w:numPr>
          <w:ilvl w:val="0"/>
          <w:numId w:val="8"/>
        </w:numPr>
        <w:rPr>
          <w:rFonts w:ascii="Verdana" w:hAnsi="Verdana" w:cs="Arial"/>
          <w:color w:val="000000"/>
          <w:sz w:val="18"/>
          <w:szCs w:val="18"/>
        </w:rPr>
      </w:pPr>
      <w:r w:rsidRPr="00E50BD3">
        <w:rPr>
          <w:rFonts w:ascii="Verdana" w:hAnsi="Verdana" w:cs="Arial"/>
          <w:color w:val="000000"/>
          <w:sz w:val="18"/>
          <w:szCs w:val="18"/>
        </w:rPr>
        <w:t>Declaración de operaciones por los destinatarios registrados y representantes fiscales: 510</w:t>
      </w:r>
    </w:p>
    <w:p w14:paraId="2325C002" w14:textId="77777777" w:rsidR="00A71E7C" w:rsidRPr="00E50BD3" w:rsidRDefault="00A71E7C"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Impuesto Especial sobre la Electricidad</w:t>
      </w:r>
    </w:p>
    <w:p w14:paraId="7A43E151" w14:textId="77777777" w:rsidR="00A71E7C" w:rsidRPr="00E50BD3" w:rsidRDefault="00A71E7C">
      <w:pPr>
        <w:pStyle w:val="NormalWeb"/>
        <w:numPr>
          <w:ilvl w:val="0"/>
          <w:numId w:val="9"/>
        </w:numPr>
        <w:spacing w:before="0" w:beforeAutospacing="0"/>
        <w:rPr>
          <w:rFonts w:ascii="Verdana" w:hAnsi="Verdana" w:cs="Arial"/>
          <w:color w:val="000000"/>
          <w:sz w:val="18"/>
          <w:szCs w:val="18"/>
        </w:rPr>
      </w:pPr>
      <w:r w:rsidRPr="00E50BD3">
        <w:rPr>
          <w:rFonts w:ascii="Verdana" w:hAnsi="Verdana" w:cs="Arial"/>
          <w:color w:val="000000"/>
          <w:sz w:val="18"/>
          <w:szCs w:val="18"/>
        </w:rPr>
        <w:t>Octubre 2025. Grandes empresas: 560</w:t>
      </w:r>
    </w:p>
    <w:p w14:paraId="1927E367" w14:textId="77777777" w:rsidR="00A71E7C" w:rsidRPr="00E50BD3" w:rsidRDefault="00A71E7C"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Impuestos Medioambientales</w:t>
      </w:r>
    </w:p>
    <w:p w14:paraId="2A4BAD60" w14:textId="77777777" w:rsidR="00A71E7C" w:rsidRPr="00E50BD3" w:rsidRDefault="00A71E7C">
      <w:pPr>
        <w:pStyle w:val="NormalWeb"/>
        <w:numPr>
          <w:ilvl w:val="0"/>
          <w:numId w:val="10"/>
        </w:numPr>
        <w:rPr>
          <w:rFonts w:ascii="Verdana" w:hAnsi="Verdana" w:cs="Arial"/>
          <w:color w:val="000000"/>
          <w:sz w:val="18"/>
          <w:szCs w:val="18"/>
        </w:rPr>
      </w:pPr>
      <w:r w:rsidRPr="00E50BD3">
        <w:rPr>
          <w:rFonts w:ascii="Verdana" w:hAnsi="Verdana" w:cs="Arial"/>
          <w:color w:val="000000"/>
          <w:sz w:val="18"/>
          <w:szCs w:val="18"/>
        </w:rPr>
        <w:t>Octubre 2025. Impuesto especial sobre los envases de plástico no reutilizables. Autoliquidación: 592</w:t>
      </w:r>
    </w:p>
    <w:p w14:paraId="3447163D" w14:textId="77777777" w:rsidR="00A71E7C" w:rsidRPr="00E50BD3" w:rsidRDefault="00A71E7C">
      <w:pPr>
        <w:pStyle w:val="NormalWeb"/>
        <w:numPr>
          <w:ilvl w:val="0"/>
          <w:numId w:val="10"/>
        </w:numPr>
        <w:rPr>
          <w:rFonts w:ascii="Verdana" w:hAnsi="Verdana" w:cs="Arial"/>
          <w:color w:val="000000"/>
          <w:sz w:val="18"/>
          <w:szCs w:val="18"/>
        </w:rPr>
      </w:pPr>
      <w:r w:rsidRPr="00E50BD3">
        <w:rPr>
          <w:rFonts w:ascii="Verdana" w:hAnsi="Verdana" w:cs="Arial"/>
          <w:color w:val="000000"/>
          <w:sz w:val="18"/>
          <w:szCs w:val="18"/>
        </w:rPr>
        <w:t>Año 2025. Impuesto sobre el valor de la producción de la energía eléctrica. Tercer pago fraccionado: 583</w:t>
      </w:r>
    </w:p>
    <w:p w14:paraId="262CFE40" w14:textId="77777777" w:rsidR="00A71E7C" w:rsidRPr="00E50BD3" w:rsidRDefault="00A71E7C"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Impuesto sobre las Transacciones Financieras</w:t>
      </w:r>
    </w:p>
    <w:p w14:paraId="272299CB" w14:textId="77777777" w:rsidR="00A71E7C" w:rsidRPr="00E50BD3" w:rsidRDefault="00A71E7C">
      <w:pPr>
        <w:pStyle w:val="NormalWeb"/>
        <w:numPr>
          <w:ilvl w:val="0"/>
          <w:numId w:val="11"/>
        </w:numPr>
        <w:spacing w:before="0" w:beforeAutospacing="0"/>
        <w:rPr>
          <w:rFonts w:ascii="Verdana" w:hAnsi="Verdana" w:cs="Arial"/>
          <w:color w:val="000000"/>
          <w:sz w:val="18"/>
          <w:szCs w:val="18"/>
        </w:rPr>
      </w:pPr>
      <w:r w:rsidRPr="00E50BD3">
        <w:rPr>
          <w:rFonts w:ascii="Verdana" w:hAnsi="Verdana" w:cs="Arial"/>
          <w:color w:val="000000"/>
          <w:sz w:val="18"/>
          <w:szCs w:val="18"/>
        </w:rPr>
        <w:t>Octubre 2025: 604</w:t>
      </w:r>
    </w:p>
    <w:p w14:paraId="7B590B88" w14:textId="48802E14" w:rsidR="00A71E7C" w:rsidRPr="00E50BD3" w:rsidRDefault="00A64B4F"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HASTA EL 30 DE NOVIEMBRE</w:t>
      </w:r>
    </w:p>
    <w:p w14:paraId="221C54C6" w14:textId="77777777" w:rsidR="00A71E7C" w:rsidRPr="00E50BD3" w:rsidRDefault="00A71E7C"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IVA</w:t>
      </w:r>
    </w:p>
    <w:p w14:paraId="33ECE6DA" w14:textId="78B7DD2E" w:rsidR="00A71E7C" w:rsidRPr="00E50BD3" w:rsidRDefault="00A71E7C">
      <w:pPr>
        <w:pStyle w:val="NormalWeb"/>
        <w:numPr>
          <w:ilvl w:val="0"/>
          <w:numId w:val="12"/>
        </w:numPr>
        <w:shd w:val="clear" w:color="auto" w:fill="FFFFFF"/>
        <w:spacing w:before="0" w:beforeAutospacing="0"/>
        <w:rPr>
          <w:rFonts w:ascii="Verdana" w:hAnsi="Verdana" w:cs="Arial"/>
          <w:color w:val="000000"/>
          <w:sz w:val="18"/>
          <w:szCs w:val="18"/>
        </w:rPr>
      </w:pPr>
      <w:r w:rsidRPr="00E50BD3">
        <w:rPr>
          <w:rFonts w:ascii="Verdana" w:hAnsi="Verdana" w:cs="Arial"/>
          <w:color w:val="000000"/>
          <w:sz w:val="18"/>
          <w:szCs w:val="18"/>
        </w:rPr>
        <w:t>Octubre 2025.</w:t>
      </w:r>
      <w:r w:rsidR="006E4B17">
        <w:rPr>
          <w:rFonts w:ascii="Verdana" w:hAnsi="Verdana" w:cs="Arial"/>
          <w:color w:val="000000"/>
          <w:sz w:val="18"/>
          <w:szCs w:val="18"/>
        </w:rPr>
        <w:t xml:space="preserve"> </w:t>
      </w:r>
      <w:r w:rsidRPr="00E50BD3">
        <w:rPr>
          <w:rFonts w:ascii="Verdana" w:hAnsi="Verdana" w:cs="Arial"/>
          <w:color w:val="000000"/>
          <w:sz w:val="18"/>
          <w:szCs w:val="18"/>
        </w:rPr>
        <w:t>Ventanilla única - Régimen de importación: 369</w:t>
      </w:r>
    </w:p>
    <w:p w14:paraId="7414E7F1" w14:textId="29134275" w:rsidR="00A71E7C" w:rsidRPr="00E50BD3" w:rsidRDefault="00A64B4F"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HASTA EL 1 DE DICIEMBRE</w:t>
      </w:r>
    </w:p>
    <w:p w14:paraId="6112FBF0" w14:textId="77777777" w:rsidR="00A71E7C" w:rsidRPr="00E50BD3" w:rsidRDefault="00A71E7C"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IVA</w:t>
      </w:r>
    </w:p>
    <w:p w14:paraId="30581BE7" w14:textId="77777777" w:rsidR="00A71E7C" w:rsidRPr="00E50BD3" w:rsidRDefault="00A71E7C">
      <w:pPr>
        <w:pStyle w:val="NormalWeb"/>
        <w:numPr>
          <w:ilvl w:val="0"/>
          <w:numId w:val="13"/>
        </w:numPr>
        <w:rPr>
          <w:rFonts w:ascii="Verdana" w:hAnsi="Verdana" w:cs="Arial"/>
          <w:color w:val="000000"/>
          <w:sz w:val="18"/>
          <w:szCs w:val="18"/>
        </w:rPr>
      </w:pPr>
      <w:r w:rsidRPr="00E50BD3">
        <w:rPr>
          <w:rFonts w:ascii="Verdana" w:hAnsi="Verdana" w:cs="Arial"/>
          <w:color w:val="000000"/>
          <w:sz w:val="18"/>
          <w:szCs w:val="18"/>
        </w:rPr>
        <w:t>Octubre 2025. Autoliquidación: 303</w:t>
      </w:r>
    </w:p>
    <w:p w14:paraId="3F332E1B" w14:textId="77777777" w:rsidR="00A71E7C" w:rsidRPr="00E50BD3" w:rsidRDefault="00A71E7C">
      <w:pPr>
        <w:pStyle w:val="NormalWeb"/>
        <w:numPr>
          <w:ilvl w:val="0"/>
          <w:numId w:val="13"/>
        </w:numPr>
        <w:rPr>
          <w:rFonts w:ascii="Verdana" w:hAnsi="Verdana" w:cs="Arial"/>
          <w:color w:val="000000"/>
          <w:sz w:val="18"/>
          <w:szCs w:val="18"/>
        </w:rPr>
      </w:pPr>
      <w:r w:rsidRPr="00E50BD3">
        <w:rPr>
          <w:rFonts w:ascii="Verdana" w:hAnsi="Verdana" w:cs="Arial"/>
          <w:color w:val="000000"/>
          <w:sz w:val="18"/>
          <w:szCs w:val="18"/>
        </w:rPr>
        <w:t>Octubre 2025. Grupo de entidades, modelo individual: 322</w:t>
      </w:r>
    </w:p>
    <w:p w14:paraId="297C9CB3" w14:textId="77777777" w:rsidR="00A71E7C" w:rsidRPr="00E50BD3" w:rsidRDefault="00A71E7C">
      <w:pPr>
        <w:pStyle w:val="NormalWeb"/>
        <w:numPr>
          <w:ilvl w:val="0"/>
          <w:numId w:val="13"/>
        </w:numPr>
        <w:rPr>
          <w:rFonts w:ascii="Verdana" w:hAnsi="Verdana" w:cs="Arial"/>
          <w:color w:val="000000"/>
          <w:sz w:val="18"/>
          <w:szCs w:val="18"/>
        </w:rPr>
      </w:pPr>
      <w:r w:rsidRPr="00E50BD3">
        <w:rPr>
          <w:rFonts w:ascii="Verdana" w:hAnsi="Verdana" w:cs="Arial"/>
          <w:color w:val="000000"/>
          <w:sz w:val="18"/>
          <w:szCs w:val="18"/>
        </w:rPr>
        <w:t>Octubre 2025. Grupo de entidades, modelo agregado: 353</w:t>
      </w:r>
    </w:p>
    <w:p w14:paraId="2C943F2B" w14:textId="77777777" w:rsidR="00A71E7C" w:rsidRPr="00E50BD3" w:rsidRDefault="00A71E7C">
      <w:pPr>
        <w:pStyle w:val="NormalWeb"/>
        <w:numPr>
          <w:ilvl w:val="0"/>
          <w:numId w:val="13"/>
        </w:numPr>
        <w:rPr>
          <w:rFonts w:ascii="Verdana" w:hAnsi="Verdana" w:cs="Arial"/>
          <w:color w:val="000000"/>
          <w:sz w:val="18"/>
          <w:szCs w:val="18"/>
        </w:rPr>
      </w:pPr>
      <w:r w:rsidRPr="00E50BD3">
        <w:rPr>
          <w:rFonts w:ascii="Verdana" w:hAnsi="Verdana" w:cs="Arial"/>
          <w:color w:val="000000"/>
          <w:sz w:val="18"/>
          <w:szCs w:val="18"/>
        </w:rPr>
        <w:t>Octubre 2025. Operaciones asimiladas a las importaciones: 380</w:t>
      </w:r>
    </w:p>
    <w:p w14:paraId="4E481AAE" w14:textId="77777777" w:rsidR="00A71E7C" w:rsidRPr="00E50BD3" w:rsidRDefault="00A71E7C" w:rsidP="00E50BD3">
      <w:pPr>
        <w:pStyle w:val="NormalWeb"/>
        <w:pBdr>
          <w:bottom w:val="single" w:sz="6" w:space="12" w:color="F4F4F4"/>
        </w:pBdr>
        <w:tabs>
          <w:tab w:val="left" w:pos="0"/>
        </w:tabs>
        <w:contextualSpacing/>
        <w:jc w:val="both"/>
        <w:rPr>
          <w:rFonts w:ascii="Verdana" w:hAnsi="Verdana" w:cs="Arial"/>
          <w:color w:val="000000"/>
          <w:sz w:val="18"/>
          <w:szCs w:val="18"/>
        </w:rPr>
      </w:pPr>
      <w:r w:rsidRPr="00E50BD3">
        <w:rPr>
          <w:rFonts w:ascii="Verdana" w:hAnsi="Verdana" w:cs="Arial"/>
          <w:color w:val="000000"/>
          <w:sz w:val="18"/>
          <w:szCs w:val="18"/>
        </w:rPr>
        <w:t xml:space="preserve">Solicitud de inscripción/baja. </w:t>
      </w:r>
      <w:r w:rsidRPr="00E50BD3">
        <w:rPr>
          <w:rFonts w:ascii="Verdana" w:hAnsi="Verdana"/>
          <w:sz w:val="18"/>
          <w:szCs w:val="18"/>
        </w:rPr>
        <w:t>Registro</w:t>
      </w:r>
      <w:r w:rsidRPr="00E50BD3">
        <w:rPr>
          <w:rFonts w:ascii="Verdana" w:hAnsi="Verdana" w:cs="Arial"/>
          <w:sz w:val="18"/>
          <w:szCs w:val="18"/>
        </w:rPr>
        <w:t xml:space="preserve"> </w:t>
      </w:r>
      <w:r w:rsidRPr="00E50BD3">
        <w:rPr>
          <w:rFonts w:ascii="Verdana" w:hAnsi="Verdana" w:cs="Arial"/>
          <w:color w:val="000000"/>
          <w:sz w:val="18"/>
          <w:szCs w:val="18"/>
        </w:rPr>
        <w:t>de devolución mensual: 036</w:t>
      </w:r>
    </w:p>
    <w:p w14:paraId="3F3458AE" w14:textId="77777777" w:rsidR="00A71E7C" w:rsidRPr="00E50BD3" w:rsidRDefault="00A71E7C">
      <w:pPr>
        <w:pStyle w:val="NormalWeb"/>
        <w:numPr>
          <w:ilvl w:val="0"/>
          <w:numId w:val="13"/>
        </w:numPr>
        <w:rPr>
          <w:rFonts w:ascii="Verdana" w:hAnsi="Verdana" w:cs="Arial"/>
          <w:color w:val="000000"/>
          <w:sz w:val="18"/>
          <w:szCs w:val="18"/>
        </w:rPr>
      </w:pPr>
      <w:r w:rsidRPr="00E50BD3">
        <w:rPr>
          <w:rFonts w:ascii="Verdana" w:hAnsi="Verdana" w:cs="Arial"/>
          <w:color w:val="000000"/>
          <w:sz w:val="18"/>
          <w:szCs w:val="18"/>
        </w:rPr>
        <w:t>Solicitud aplicación régimen de deducción común para sectores diferenciados para 2026: sin modelo</w:t>
      </w:r>
    </w:p>
    <w:p w14:paraId="563AF263" w14:textId="77777777" w:rsidR="00A71E7C" w:rsidRPr="00E50BD3" w:rsidRDefault="00A71E7C">
      <w:pPr>
        <w:pStyle w:val="NormalWeb"/>
        <w:numPr>
          <w:ilvl w:val="0"/>
          <w:numId w:val="13"/>
        </w:numPr>
        <w:rPr>
          <w:rFonts w:ascii="Verdana" w:hAnsi="Verdana" w:cs="Arial"/>
          <w:color w:val="000000"/>
          <w:sz w:val="18"/>
          <w:szCs w:val="18"/>
        </w:rPr>
      </w:pPr>
      <w:r w:rsidRPr="00E50BD3">
        <w:rPr>
          <w:rFonts w:ascii="Verdana" w:hAnsi="Verdana" w:cs="Arial"/>
          <w:color w:val="000000"/>
          <w:sz w:val="18"/>
          <w:szCs w:val="18"/>
        </w:rPr>
        <w:t>SII. Renuncia a la llevanza electrónica de los libros registro: 036</w:t>
      </w:r>
    </w:p>
    <w:p w14:paraId="2E719E60" w14:textId="77777777" w:rsidR="00A71E7C" w:rsidRPr="00E50BD3" w:rsidRDefault="00A71E7C"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Impuestos Medioambientales</w:t>
      </w:r>
    </w:p>
    <w:p w14:paraId="57D59D9E" w14:textId="77777777" w:rsidR="00A71E7C" w:rsidRPr="00E50BD3" w:rsidRDefault="00A71E7C">
      <w:pPr>
        <w:pStyle w:val="NormalWeb"/>
        <w:numPr>
          <w:ilvl w:val="0"/>
          <w:numId w:val="14"/>
        </w:numPr>
        <w:rPr>
          <w:rFonts w:ascii="Verdana" w:hAnsi="Verdana" w:cs="Arial"/>
          <w:color w:val="000000"/>
          <w:sz w:val="18"/>
          <w:szCs w:val="18"/>
        </w:rPr>
      </w:pPr>
      <w:r w:rsidRPr="00E50BD3">
        <w:rPr>
          <w:rFonts w:ascii="Verdana" w:hAnsi="Verdana" w:cs="Arial"/>
          <w:color w:val="000000"/>
          <w:sz w:val="18"/>
          <w:szCs w:val="18"/>
        </w:rPr>
        <w:t>Octubre 2025. Impuesto especial sobre los envases de plástico no reutilizables. Presentación contabilidad y libro registro de existencias</w:t>
      </w:r>
    </w:p>
    <w:p w14:paraId="390CA0F2" w14:textId="77777777" w:rsidR="00A71E7C" w:rsidRPr="00E50BD3" w:rsidRDefault="00A71E7C">
      <w:pPr>
        <w:pStyle w:val="NormalWeb"/>
        <w:numPr>
          <w:ilvl w:val="0"/>
          <w:numId w:val="14"/>
        </w:numPr>
        <w:rPr>
          <w:rFonts w:ascii="Verdana" w:hAnsi="Verdana" w:cs="Arial"/>
          <w:color w:val="000000"/>
          <w:sz w:val="18"/>
          <w:szCs w:val="18"/>
        </w:rPr>
      </w:pPr>
      <w:r w:rsidRPr="00E50BD3">
        <w:rPr>
          <w:rFonts w:ascii="Verdana" w:hAnsi="Verdana" w:cs="Arial"/>
          <w:color w:val="000000"/>
          <w:sz w:val="18"/>
          <w:szCs w:val="18"/>
        </w:rPr>
        <w:t>Año 2024. Impuesto sobre el valor de la producción de la energía eléctrica. Autoliquidación anual: 583</w:t>
      </w:r>
    </w:p>
    <w:p w14:paraId="348748FE" w14:textId="77777777" w:rsidR="00A71E7C" w:rsidRPr="00E50BD3" w:rsidRDefault="00A71E7C">
      <w:pPr>
        <w:pStyle w:val="NormalWeb"/>
        <w:numPr>
          <w:ilvl w:val="0"/>
          <w:numId w:val="14"/>
        </w:numPr>
        <w:rPr>
          <w:rFonts w:ascii="Verdana" w:hAnsi="Verdana" w:cs="Arial"/>
          <w:color w:val="000000"/>
          <w:sz w:val="18"/>
          <w:szCs w:val="18"/>
        </w:rPr>
      </w:pPr>
      <w:r w:rsidRPr="00E50BD3">
        <w:rPr>
          <w:rFonts w:ascii="Verdana" w:hAnsi="Verdana" w:cs="Arial"/>
          <w:color w:val="000000"/>
          <w:sz w:val="18"/>
          <w:szCs w:val="18"/>
        </w:rPr>
        <w:t>Año 2025: Impuesto sobre el valor de la producción de la energía eléctrica. Autoliquidación anual por cese de actividad de enero a octubre de 2024: 588</w:t>
      </w:r>
    </w:p>
    <w:p w14:paraId="45081363" w14:textId="77777777" w:rsidR="00A71E7C" w:rsidRPr="00E50BD3" w:rsidRDefault="00A71E7C" w:rsidP="00E50BD3">
      <w:pPr>
        <w:pStyle w:val="NormalWeb"/>
        <w:pBdr>
          <w:bottom w:val="single" w:sz="6" w:space="12" w:color="F4F4F4"/>
        </w:pBdr>
        <w:tabs>
          <w:tab w:val="left" w:pos="0"/>
        </w:tabs>
        <w:contextualSpacing/>
        <w:jc w:val="both"/>
        <w:rPr>
          <w:rFonts w:ascii="Verdana" w:hAnsi="Verdana"/>
          <w:b/>
          <w:bCs/>
          <w:color w:val="800000"/>
          <w:sz w:val="18"/>
          <w:szCs w:val="18"/>
        </w:rPr>
      </w:pPr>
      <w:r w:rsidRPr="00E50BD3">
        <w:rPr>
          <w:rFonts w:ascii="Verdana" w:hAnsi="Verdana"/>
          <w:b/>
          <w:bCs/>
          <w:color w:val="800000"/>
          <w:sz w:val="18"/>
          <w:szCs w:val="18"/>
        </w:rPr>
        <w:t>Declaración informativa de operaciones vinculadas y de operaciones y situaciones relacionadas con países o territorios calificados como paraísos fiscales</w:t>
      </w:r>
    </w:p>
    <w:p w14:paraId="61DC9202" w14:textId="77777777" w:rsidR="00A71E7C" w:rsidRPr="00E50BD3" w:rsidRDefault="00A71E7C">
      <w:pPr>
        <w:pStyle w:val="NormalWeb"/>
        <w:numPr>
          <w:ilvl w:val="0"/>
          <w:numId w:val="15"/>
        </w:numPr>
        <w:rPr>
          <w:rFonts w:ascii="Verdana" w:hAnsi="Verdana" w:cs="Arial"/>
          <w:color w:val="000000"/>
          <w:sz w:val="18"/>
          <w:szCs w:val="18"/>
        </w:rPr>
      </w:pPr>
      <w:r w:rsidRPr="00E50BD3">
        <w:rPr>
          <w:rFonts w:ascii="Verdana" w:hAnsi="Verdana" w:cs="Arial"/>
          <w:color w:val="000000"/>
          <w:sz w:val="18"/>
          <w:szCs w:val="18"/>
        </w:rPr>
        <w:t>Año 2024: Entidades cuyo período impositivo coincida con el año natural: 232</w:t>
      </w:r>
    </w:p>
    <w:p w14:paraId="65DA36C8" w14:textId="77777777" w:rsidR="00A71E7C" w:rsidRPr="00A71E7C" w:rsidRDefault="00A71E7C" w:rsidP="00A71E7C">
      <w:pPr>
        <w:pStyle w:val="NormalWeb"/>
        <w:rPr>
          <w:rFonts w:ascii="Arial" w:hAnsi="Arial" w:cs="Arial"/>
          <w:color w:val="000000"/>
        </w:rPr>
      </w:pPr>
      <w:r w:rsidRPr="00E50BD3">
        <w:rPr>
          <w:rFonts w:ascii="Verdana" w:hAnsi="Verdana" w:cs="Arial"/>
          <w:color w:val="000000"/>
          <w:sz w:val="18"/>
          <w:szCs w:val="18"/>
        </w:rPr>
        <w:t>Resto de entidades: en el mes siguiente a los diez meses posteriores al fin del período impositivo</w:t>
      </w:r>
      <w:r w:rsidRPr="00A71E7C">
        <w:rPr>
          <w:rFonts w:ascii="Arial" w:hAnsi="Arial" w:cs="Arial"/>
          <w:color w:val="000000"/>
        </w:rPr>
        <w:t>.</w:t>
      </w:r>
    </w:p>
    <w:p w14:paraId="52F9389C" w14:textId="77777777" w:rsidR="00A71E7C" w:rsidRDefault="00A71E7C" w:rsidP="00A71E7C">
      <w:pPr>
        <w:pStyle w:val="NormalWeb"/>
        <w:shd w:val="clear" w:color="auto" w:fill="FFFFFF"/>
        <w:spacing w:before="0" w:beforeAutospacing="0"/>
        <w:rPr>
          <w:rFonts w:ascii="Arial" w:hAnsi="Arial" w:cs="Arial"/>
          <w:color w:val="000000"/>
        </w:rPr>
      </w:pPr>
    </w:p>
    <w:p w14:paraId="1A513C42" w14:textId="77777777" w:rsidR="00BF6E04" w:rsidRPr="00777772" w:rsidRDefault="00BF6E04" w:rsidP="00BF6E04">
      <w:pPr>
        <w:jc w:val="both"/>
        <w:rPr>
          <w:rFonts w:ascii="Verdana" w:hAnsi="Verdana"/>
          <w:color w:val="000000"/>
          <w:sz w:val="16"/>
          <w:szCs w:val="16"/>
        </w:rPr>
      </w:pPr>
    </w:p>
    <w:sectPr w:rsidR="00BF6E04" w:rsidRPr="00777772" w:rsidSect="00F54D5A">
      <w:pgSz w:w="11906" w:h="16838"/>
      <w:pgMar w:top="2977" w:right="1701" w:bottom="1843"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1001" w14:textId="77777777" w:rsidR="005C1996" w:rsidRDefault="005C1996">
      <w:r>
        <w:separator/>
      </w:r>
    </w:p>
  </w:endnote>
  <w:endnote w:type="continuationSeparator" w:id="0">
    <w:p w14:paraId="488DBDB1" w14:textId="77777777" w:rsidR="005C1996" w:rsidRDefault="005C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9F81" w14:textId="77777777" w:rsidR="005C1996" w:rsidRDefault="005C1996">
      <w:r>
        <w:separator/>
      </w:r>
    </w:p>
  </w:footnote>
  <w:footnote w:type="continuationSeparator" w:id="0">
    <w:p w14:paraId="5115994C" w14:textId="77777777" w:rsidR="005C1996" w:rsidRDefault="005C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3E216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7F5972"/>
    <w:multiLevelType w:val="multilevel"/>
    <w:tmpl w:val="6878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7426F"/>
    <w:multiLevelType w:val="multilevel"/>
    <w:tmpl w:val="CAEE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35731"/>
    <w:multiLevelType w:val="hybridMultilevel"/>
    <w:tmpl w:val="97C25DCC"/>
    <w:lvl w:ilvl="0" w:tplc="B51A2026">
      <w:start w:val="2"/>
      <w:numFmt w:val="decimal"/>
      <w:lvlText w:val="%1."/>
      <w:lvlJc w:val="left"/>
      <w:pPr>
        <w:tabs>
          <w:tab w:val="num" w:pos="928"/>
        </w:tabs>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6C2D88"/>
    <w:multiLevelType w:val="multilevel"/>
    <w:tmpl w:val="0256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22C54"/>
    <w:multiLevelType w:val="multilevel"/>
    <w:tmpl w:val="A138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E4D9B"/>
    <w:multiLevelType w:val="hybridMultilevel"/>
    <w:tmpl w:val="DACAFFA2"/>
    <w:lvl w:ilvl="0" w:tplc="7E18E0F8">
      <w:start w:val="1"/>
      <w:numFmt w:val="decimal"/>
      <w:lvlText w:val="%1."/>
      <w:lvlJc w:val="left"/>
      <w:pPr>
        <w:tabs>
          <w:tab w:val="num" w:pos="928"/>
        </w:tabs>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4C3138"/>
    <w:multiLevelType w:val="multilevel"/>
    <w:tmpl w:val="BE94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86E8F"/>
    <w:multiLevelType w:val="multilevel"/>
    <w:tmpl w:val="67C0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D12AD"/>
    <w:multiLevelType w:val="multilevel"/>
    <w:tmpl w:val="75D0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D5023"/>
    <w:multiLevelType w:val="multilevel"/>
    <w:tmpl w:val="2584A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B2A38"/>
    <w:multiLevelType w:val="multilevel"/>
    <w:tmpl w:val="9FDA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63998"/>
    <w:multiLevelType w:val="multilevel"/>
    <w:tmpl w:val="6B96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D0001"/>
    <w:multiLevelType w:val="multilevel"/>
    <w:tmpl w:val="AFD8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11250"/>
    <w:multiLevelType w:val="multilevel"/>
    <w:tmpl w:val="8FB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243BF"/>
    <w:multiLevelType w:val="multilevel"/>
    <w:tmpl w:val="773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C68BC"/>
    <w:multiLevelType w:val="multilevel"/>
    <w:tmpl w:val="947A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B088A"/>
    <w:multiLevelType w:val="hybridMultilevel"/>
    <w:tmpl w:val="7788391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 w15:restartNumberingAfterBreak="0">
    <w:nsid w:val="454E77F7"/>
    <w:multiLevelType w:val="multilevel"/>
    <w:tmpl w:val="1CCC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F5817"/>
    <w:multiLevelType w:val="multilevel"/>
    <w:tmpl w:val="8B7E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20BC6"/>
    <w:multiLevelType w:val="multilevel"/>
    <w:tmpl w:val="A28C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05F66"/>
    <w:multiLevelType w:val="multilevel"/>
    <w:tmpl w:val="52D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53CE3"/>
    <w:multiLevelType w:val="multilevel"/>
    <w:tmpl w:val="033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04F1D"/>
    <w:multiLevelType w:val="multilevel"/>
    <w:tmpl w:val="7E9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974C93"/>
    <w:multiLevelType w:val="multilevel"/>
    <w:tmpl w:val="C23A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10CC6"/>
    <w:multiLevelType w:val="multilevel"/>
    <w:tmpl w:val="5924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A2929"/>
    <w:multiLevelType w:val="hybridMultilevel"/>
    <w:tmpl w:val="96F4B39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7" w15:restartNumberingAfterBreak="0">
    <w:nsid w:val="50627F5A"/>
    <w:multiLevelType w:val="multilevel"/>
    <w:tmpl w:val="ED3C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A090A"/>
    <w:multiLevelType w:val="multilevel"/>
    <w:tmpl w:val="D02C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C63FD"/>
    <w:multiLevelType w:val="multilevel"/>
    <w:tmpl w:val="705C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91536"/>
    <w:multiLevelType w:val="multilevel"/>
    <w:tmpl w:val="BA5E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1329B5"/>
    <w:multiLevelType w:val="multilevel"/>
    <w:tmpl w:val="9B48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172902"/>
    <w:multiLevelType w:val="multilevel"/>
    <w:tmpl w:val="C3C6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982D74"/>
    <w:multiLevelType w:val="multilevel"/>
    <w:tmpl w:val="0090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254770"/>
    <w:multiLevelType w:val="multilevel"/>
    <w:tmpl w:val="963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FF7F5B"/>
    <w:multiLevelType w:val="multilevel"/>
    <w:tmpl w:val="1700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33158"/>
    <w:multiLevelType w:val="multilevel"/>
    <w:tmpl w:val="9656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A54D7"/>
    <w:multiLevelType w:val="multilevel"/>
    <w:tmpl w:val="E9EA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B14CD9"/>
    <w:multiLevelType w:val="multilevel"/>
    <w:tmpl w:val="EE4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355800"/>
    <w:multiLevelType w:val="multilevel"/>
    <w:tmpl w:val="5C86F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A36167"/>
    <w:multiLevelType w:val="multilevel"/>
    <w:tmpl w:val="08D4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5184C"/>
    <w:multiLevelType w:val="multilevel"/>
    <w:tmpl w:val="AB86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6F64D3"/>
    <w:multiLevelType w:val="multilevel"/>
    <w:tmpl w:val="8AFE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016D3"/>
    <w:multiLevelType w:val="multilevel"/>
    <w:tmpl w:val="A928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063601">
    <w:abstractNumId w:val="6"/>
  </w:num>
  <w:num w:numId="2" w16cid:durableId="1853716592">
    <w:abstractNumId w:val="0"/>
  </w:num>
  <w:num w:numId="3" w16cid:durableId="1909530777">
    <w:abstractNumId w:val="32"/>
  </w:num>
  <w:num w:numId="4" w16cid:durableId="709840591">
    <w:abstractNumId w:val="40"/>
  </w:num>
  <w:num w:numId="5" w16cid:durableId="1179928829">
    <w:abstractNumId w:val="13"/>
  </w:num>
  <w:num w:numId="6" w16cid:durableId="725687407">
    <w:abstractNumId w:val="25"/>
  </w:num>
  <w:num w:numId="7" w16cid:durableId="1148478969">
    <w:abstractNumId w:val="5"/>
  </w:num>
  <w:num w:numId="8" w16cid:durableId="1849783911">
    <w:abstractNumId w:val="30"/>
  </w:num>
  <w:num w:numId="9" w16cid:durableId="404425389">
    <w:abstractNumId w:val="14"/>
  </w:num>
  <w:num w:numId="10" w16cid:durableId="1348950231">
    <w:abstractNumId w:val="16"/>
  </w:num>
  <w:num w:numId="11" w16cid:durableId="1545677210">
    <w:abstractNumId w:val="36"/>
  </w:num>
  <w:num w:numId="12" w16cid:durableId="1453750161">
    <w:abstractNumId w:val="22"/>
  </w:num>
  <w:num w:numId="13" w16cid:durableId="307132662">
    <w:abstractNumId w:val="15"/>
  </w:num>
  <w:num w:numId="14" w16cid:durableId="495388454">
    <w:abstractNumId w:val="18"/>
  </w:num>
  <w:num w:numId="15" w16cid:durableId="567766502">
    <w:abstractNumId w:val="35"/>
  </w:num>
  <w:num w:numId="16" w16cid:durableId="1738431949">
    <w:abstractNumId w:val="17"/>
  </w:num>
  <w:num w:numId="17" w16cid:durableId="581985469">
    <w:abstractNumId w:val="21"/>
  </w:num>
  <w:num w:numId="18" w16cid:durableId="716706197">
    <w:abstractNumId w:val="1"/>
  </w:num>
  <w:num w:numId="19" w16cid:durableId="828861483">
    <w:abstractNumId w:val="11"/>
  </w:num>
  <w:num w:numId="20" w16cid:durableId="1496145140">
    <w:abstractNumId w:val="43"/>
  </w:num>
  <w:num w:numId="21" w16cid:durableId="1352145627">
    <w:abstractNumId w:val="23"/>
  </w:num>
  <w:num w:numId="22" w16cid:durableId="2087727329">
    <w:abstractNumId w:val="38"/>
  </w:num>
  <w:num w:numId="23" w16cid:durableId="578103653">
    <w:abstractNumId w:val="29"/>
  </w:num>
  <w:num w:numId="24" w16cid:durableId="224999342">
    <w:abstractNumId w:val="19"/>
  </w:num>
  <w:num w:numId="25" w16cid:durableId="1587958796">
    <w:abstractNumId w:val="9"/>
  </w:num>
  <w:num w:numId="26" w16cid:durableId="1494680349">
    <w:abstractNumId w:val="10"/>
  </w:num>
  <w:num w:numId="27" w16cid:durableId="1914311069">
    <w:abstractNumId w:val="4"/>
  </w:num>
  <w:num w:numId="28" w16cid:durableId="1010985684">
    <w:abstractNumId w:val="34"/>
  </w:num>
  <w:num w:numId="29" w16cid:durableId="1530533729">
    <w:abstractNumId w:val="8"/>
  </w:num>
  <w:num w:numId="30" w16cid:durableId="1822313084">
    <w:abstractNumId w:val="2"/>
  </w:num>
  <w:num w:numId="31" w16cid:durableId="1348484489">
    <w:abstractNumId w:val="12"/>
  </w:num>
  <w:num w:numId="32" w16cid:durableId="1341855566">
    <w:abstractNumId w:val="33"/>
  </w:num>
  <w:num w:numId="33" w16cid:durableId="582566732">
    <w:abstractNumId w:val="28"/>
  </w:num>
  <w:num w:numId="34" w16cid:durableId="1072889919">
    <w:abstractNumId w:val="39"/>
  </w:num>
  <w:num w:numId="35" w16cid:durableId="885876127">
    <w:abstractNumId w:val="7"/>
  </w:num>
  <w:num w:numId="36" w16cid:durableId="514809056">
    <w:abstractNumId w:val="27"/>
  </w:num>
  <w:num w:numId="37" w16cid:durableId="1148404411">
    <w:abstractNumId w:val="31"/>
  </w:num>
  <w:num w:numId="38" w16cid:durableId="1686320224">
    <w:abstractNumId w:val="24"/>
  </w:num>
  <w:num w:numId="39" w16cid:durableId="1626231749">
    <w:abstractNumId w:val="42"/>
  </w:num>
  <w:num w:numId="40" w16cid:durableId="357464300">
    <w:abstractNumId w:val="37"/>
  </w:num>
  <w:num w:numId="41" w16cid:durableId="1535994220">
    <w:abstractNumId w:val="20"/>
  </w:num>
  <w:num w:numId="42" w16cid:durableId="148862165">
    <w:abstractNumId w:val="26"/>
  </w:num>
  <w:num w:numId="43" w16cid:durableId="459035526">
    <w:abstractNumId w:val="41"/>
  </w:num>
  <w:num w:numId="44" w16cid:durableId="1534073297">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1"/>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F8"/>
    <w:rsid w:val="00000A25"/>
    <w:rsid w:val="00000AF8"/>
    <w:rsid w:val="00000E72"/>
    <w:rsid w:val="00000EBB"/>
    <w:rsid w:val="00003318"/>
    <w:rsid w:val="00005712"/>
    <w:rsid w:val="0000580B"/>
    <w:rsid w:val="00005E13"/>
    <w:rsid w:val="00005E28"/>
    <w:rsid w:val="00005F73"/>
    <w:rsid w:val="00006E40"/>
    <w:rsid w:val="00010092"/>
    <w:rsid w:val="000129A2"/>
    <w:rsid w:val="000137A5"/>
    <w:rsid w:val="00014205"/>
    <w:rsid w:val="00014484"/>
    <w:rsid w:val="00022802"/>
    <w:rsid w:val="00022BC0"/>
    <w:rsid w:val="00022E08"/>
    <w:rsid w:val="00025C54"/>
    <w:rsid w:val="00030859"/>
    <w:rsid w:val="000321A5"/>
    <w:rsid w:val="00033292"/>
    <w:rsid w:val="00034A5A"/>
    <w:rsid w:val="00034AD5"/>
    <w:rsid w:val="00036E9B"/>
    <w:rsid w:val="00040CD9"/>
    <w:rsid w:val="000437B4"/>
    <w:rsid w:val="00044F39"/>
    <w:rsid w:val="00046939"/>
    <w:rsid w:val="00046CBC"/>
    <w:rsid w:val="000546E6"/>
    <w:rsid w:val="0005547A"/>
    <w:rsid w:val="00055B8D"/>
    <w:rsid w:val="000602B5"/>
    <w:rsid w:val="00063360"/>
    <w:rsid w:val="00064469"/>
    <w:rsid w:val="00065295"/>
    <w:rsid w:val="000663E7"/>
    <w:rsid w:val="00066C80"/>
    <w:rsid w:val="00071705"/>
    <w:rsid w:val="0007239F"/>
    <w:rsid w:val="00074E82"/>
    <w:rsid w:val="000761E7"/>
    <w:rsid w:val="00081D99"/>
    <w:rsid w:val="0009705C"/>
    <w:rsid w:val="0009740D"/>
    <w:rsid w:val="000A0A5B"/>
    <w:rsid w:val="000A1D9E"/>
    <w:rsid w:val="000A564E"/>
    <w:rsid w:val="000B08BB"/>
    <w:rsid w:val="000B12A6"/>
    <w:rsid w:val="000B19AD"/>
    <w:rsid w:val="000B1D26"/>
    <w:rsid w:val="000B211B"/>
    <w:rsid w:val="000C474A"/>
    <w:rsid w:val="000C56F5"/>
    <w:rsid w:val="000D5371"/>
    <w:rsid w:val="000D698A"/>
    <w:rsid w:val="000D7A27"/>
    <w:rsid w:val="000E2F0D"/>
    <w:rsid w:val="000E5123"/>
    <w:rsid w:val="000E6B65"/>
    <w:rsid w:val="000F3033"/>
    <w:rsid w:val="000F4561"/>
    <w:rsid w:val="000F5C09"/>
    <w:rsid w:val="001006F0"/>
    <w:rsid w:val="0010185D"/>
    <w:rsid w:val="00101F86"/>
    <w:rsid w:val="00103319"/>
    <w:rsid w:val="0010394C"/>
    <w:rsid w:val="001043F7"/>
    <w:rsid w:val="001055A3"/>
    <w:rsid w:val="00114690"/>
    <w:rsid w:val="00115D6D"/>
    <w:rsid w:val="00115E09"/>
    <w:rsid w:val="00115F80"/>
    <w:rsid w:val="00120098"/>
    <w:rsid w:val="00121DE5"/>
    <w:rsid w:val="00123E93"/>
    <w:rsid w:val="00124706"/>
    <w:rsid w:val="00125310"/>
    <w:rsid w:val="001264DC"/>
    <w:rsid w:val="0012650E"/>
    <w:rsid w:val="00127183"/>
    <w:rsid w:val="0013272A"/>
    <w:rsid w:val="001328A4"/>
    <w:rsid w:val="001328C2"/>
    <w:rsid w:val="0013563C"/>
    <w:rsid w:val="00135FE2"/>
    <w:rsid w:val="00136200"/>
    <w:rsid w:val="001402FF"/>
    <w:rsid w:val="0014291B"/>
    <w:rsid w:val="001460EE"/>
    <w:rsid w:val="001464A1"/>
    <w:rsid w:val="00152A8A"/>
    <w:rsid w:val="0015365F"/>
    <w:rsid w:val="00153B74"/>
    <w:rsid w:val="00157737"/>
    <w:rsid w:val="00160540"/>
    <w:rsid w:val="0017155B"/>
    <w:rsid w:val="0017493F"/>
    <w:rsid w:val="00175C21"/>
    <w:rsid w:val="00176B37"/>
    <w:rsid w:val="00177181"/>
    <w:rsid w:val="001779BF"/>
    <w:rsid w:val="00177DD7"/>
    <w:rsid w:val="0018387F"/>
    <w:rsid w:val="001877BD"/>
    <w:rsid w:val="0019753E"/>
    <w:rsid w:val="00197946"/>
    <w:rsid w:val="001A014D"/>
    <w:rsid w:val="001A06FA"/>
    <w:rsid w:val="001A2308"/>
    <w:rsid w:val="001A3AB5"/>
    <w:rsid w:val="001A47E3"/>
    <w:rsid w:val="001A504A"/>
    <w:rsid w:val="001A6AA9"/>
    <w:rsid w:val="001A6E3B"/>
    <w:rsid w:val="001B262E"/>
    <w:rsid w:val="001B26CF"/>
    <w:rsid w:val="001B4BC9"/>
    <w:rsid w:val="001B5322"/>
    <w:rsid w:val="001B6535"/>
    <w:rsid w:val="001C1944"/>
    <w:rsid w:val="001C47E1"/>
    <w:rsid w:val="001C5060"/>
    <w:rsid w:val="001C6267"/>
    <w:rsid w:val="001C6442"/>
    <w:rsid w:val="001D187B"/>
    <w:rsid w:val="001D2C33"/>
    <w:rsid w:val="001D5E4F"/>
    <w:rsid w:val="001D5E9D"/>
    <w:rsid w:val="001D6335"/>
    <w:rsid w:val="001E09EF"/>
    <w:rsid w:val="001E391B"/>
    <w:rsid w:val="001E3D11"/>
    <w:rsid w:val="001F05F9"/>
    <w:rsid w:val="001F0E96"/>
    <w:rsid w:val="001F11F8"/>
    <w:rsid w:val="001F219C"/>
    <w:rsid w:val="001F254E"/>
    <w:rsid w:val="00200894"/>
    <w:rsid w:val="00202B3B"/>
    <w:rsid w:val="00205E9F"/>
    <w:rsid w:val="00207644"/>
    <w:rsid w:val="0021101B"/>
    <w:rsid w:val="00211429"/>
    <w:rsid w:val="00212788"/>
    <w:rsid w:val="00212CAD"/>
    <w:rsid w:val="00213B58"/>
    <w:rsid w:val="00213F29"/>
    <w:rsid w:val="00214397"/>
    <w:rsid w:val="00215D3D"/>
    <w:rsid w:val="00216119"/>
    <w:rsid w:val="00221E78"/>
    <w:rsid w:val="00224206"/>
    <w:rsid w:val="00225966"/>
    <w:rsid w:val="00225A7C"/>
    <w:rsid w:val="0022697A"/>
    <w:rsid w:val="00226E79"/>
    <w:rsid w:val="00232067"/>
    <w:rsid w:val="002320FB"/>
    <w:rsid w:val="002334FB"/>
    <w:rsid w:val="00234703"/>
    <w:rsid w:val="00235959"/>
    <w:rsid w:val="00241557"/>
    <w:rsid w:val="00241B38"/>
    <w:rsid w:val="0024622A"/>
    <w:rsid w:val="00246E7D"/>
    <w:rsid w:val="00250209"/>
    <w:rsid w:val="0025083E"/>
    <w:rsid w:val="00250C38"/>
    <w:rsid w:val="00253C3D"/>
    <w:rsid w:val="002577C1"/>
    <w:rsid w:val="002618E1"/>
    <w:rsid w:val="00264F91"/>
    <w:rsid w:val="002702DB"/>
    <w:rsid w:val="0027144D"/>
    <w:rsid w:val="002733E2"/>
    <w:rsid w:val="0027365B"/>
    <w:rsid w:val="00275C74"/>
    <w:rsid w:val="0027783B"/>
    <w:rsid w:val="00277C64"/>
    <w:rsid w:val="00281812"/>
    <w:rsid w:val="00290D5E"/>
    <w:rsid w:val="00291F23"/>
    <w:rsid w:val="00293771"/>
    <w:rsid w:val="002938F3"/>
    <w:rsid w:val="00293E8E"/>
    <w:rsid w:val="00294030"/>
    <w:rsid w:val="002947FB"/>
    <w:rsid w:val="00294E9F"/>
    <w:rsid w:val="002952A2"/>
    <w:rsid w:val="002A1AA3"/>
    <w:rsid w:val="002A23ED"/>
    <w:rsid w:val="002A3F68"/>
    <w:rsid w:val="002A6BDF"/>
    <w:rsid w:val="002A7C46"/>
    <w:rsid w:val="002B096B"/>
    <w:rsid w:val="002B1356"/>
    <w:rsid w:val="002B2773"/>
    <w:rsid w:val="002B4566"/>
    <w:rsid w:val="002C3DFF"/>
    <w:rsid w:val="002D059C"/>
    <w:rsid w:val="002D3997"/>
    <w:rsid w:val="002D40AF"/>
    <w:rsid w:val="002D5051"/>
    <w:rsid w:val="002E238B"/>
    <w:rsid w:val="002E2D4E"/>
    <w:rsid w:val="002E5200"/>
    <w:rsid w:val="002E75B1"/>
    <w:rsid w:val="002E774B"/>
    <w:rsid w:val="002E77A4"/>
    <w:rsid w:val="002F0AD8"/>
    <w:rsid w:val="002F1EB4"/>
    <w:rsid w:val="002F2BBC"/>
    <w:rsid w:val="002F2C5E"/>
    <w:rsid w:val="002F36D0"/>
    <w:rsid w:val="002F4B10"/>
    <w:rsid w:val="003008E9"/>
    <w:rsid w:val="00301982"/>
    <w:rsid w:val="00302AE3"/>
    <w:rsid w:val="00302B24"/>
    <w:rsid w:val="00302EB0"/>
    <w:rsid w:val="00302FBC"/>
    <w:rsid w:val="0030386B"/>
    <w:rsid w:val="00303E53"/>
    <w:rsid w:val="00307633"/>
    <w:rsid w:val="003107AD"/>
    <w:rsid w:val="00311828"/>
    <w:rsid w:val="00322191"/>
    <w:rsid w:val="00322F95"/>
    <w:rsid w:val="003261B9"/>
    <w:rsid w:val="003263E5"/>
    <w:rsid w:val="00326C73"/>
    <w:rsid w:val="003300AB"/>
    <w:rsid w:val="0033175B"/>
    <w:rsid w:val="003347C9"/>
    <w:rsid w:val="00335D9C"/>
    <w:rsid w:val="00340700"/>
    <w:rsid w:val="00341BFE"/>
    <w:rsid w:val="00341D4C"/>
    <w:rsid w:val="00343D81"/>
    <w:rsid w:val="003505DA"/>
    <w:rsid w:val="00350D6D"/>
    <w:rsid w:val="003542EB"/>
    <w:rsid w:val="00363AFE"/>
    <w:rsid w:val="00367B63"/>
    <w:rsid w:val="00367C1C"/>
    <w:rsid w:val="00371CCE"/>
    <w:rsid w:val="003735A6"/>
    <w:rsid w:val="00373D70"/>
    <w:rsid w:val="0037482D"/>
    <w:rsid w:val="00374B59"/>
    <w:rsid w:val="00374FD4"/>
    <w:rsid w:val="00377C53"/>
    <w:rsid w:val="00383A1B"/>
    <w:rsid w:val="0038424A"/>
    <w:rsid w:val="00384866"/>
    <w:rsid w:val="00386046"/>
    <w:rsid w:val="0038641D"/>
    <w:rsid w:val="00387CF0"/>
    <w:rsid w:val="00390D7D"/>
    <w:rsid w:val="0039172D"/>
    <w:rsid w:val="0039410B"/>
    <w:rsid w:val="00394BBB"/>
    <w:rsid w:val="003A177A"/>
    <w:rsid w:val="003A69FE"/>
    <w:rsid w:val="003A71A5"/>
    <w:rsid w:val="003B0CA4"/>
    <w:rsid w:val="003B2C6C"/>
    <w:rsid w:val="003B33E0"/>
    <w:rsid w:val="003B3710"/>
    <w:rsid w:val="003B490E"/>
    <w:rsid w:val="003B5A87"/>
    <w:rsid w:val="003B61A2"/>
    <w:rsid w:val="003C0AD6"/>
    <w:rsid w:val="003C1AA7"/>
    <w:rsid w:val="003C6B06"/>
    <w:rsid w:val="003C75DE"/>
    <w:rsid w:val="003D7150"/>
    <w:rsid w:val="003D7482"/>
    <w:rsid w:val="003D76CB"/>
    <w:rsid w:val="003E16E7"/>
    <w:rsid w:val="003E1C2A"/>
    <w:rsid w:val="003E3963"/>
    <w:rsid w:val="003E685D"/>
    <w:rsid w:val="003E68D7"/>
    <w:rsid w:val="003F1049"/>
    <w:rsid w:val="003F1456"/>
    <w:rsid w:val="003F31E4"/>
    <w:rsid w:val="003F3813"/>
    <w:rsid w:val="003F4F5F"/>
    <w:rsid w:val="003F5E5F"/>
    <w:rsid w:val="00401F82"/>
    <w:rsid w:val="00403E8B"/>
    <w:rsid w:val="00405B4A"/>
    <w:rsid w:val="00405C86"/>
    <w:rsid w:val="004069DA"/>
    <w:rsid w:val="00417434"/>
    <w:rsid w:val="00417EFE"/>
    <w:rsid w:val="00422626"/>
    <w:rsid w:val="00423254"/>
    <w:rsid w:val="00423E2C"/>
    <w:rsid w:val="00427036"/>
    <w:rsid w:val="00430A27"/>
    <w:rsid w:val="00430B79"/>
    <w:rsid w:val="0043189C"/>
    <w:rsid w:val="004318E2"/>
    <w:rsid w:val="00433B4F"/>
    <w:rsid w:val="004356FD"/>
    <w:rsid w:val="00443EF4"/>
    <w:rsid w:val="00444077"/>
    <w:rsid w:val="0045033C"/>
    <w:rsid w:val="004518EE"/>
    <w:rsid w:val="00451B9A"/>
    <w:rsid w:val="00452C76"/>
    <w:rsid w:val="00454CAE"/>
    <w:rsid w:val="00454CD8"/>
    <w:rsid w:val="00455110"/>
    <w:rsid w:val="004623D4"/>
    <w:rsid w:val="00463CB5"/>
    <w:rsid w:val="00464C6C"/>
    <w:rsid w:val="00465B48"/>
    <w:rsid w:val="00465EFC"/>
    <w:rsid w:val="00467EA4"/>
    <w:rsid w:val="00472310"/>
    <w:rsid w:val="0047249C"/>
    <w:rsid w:val="0048003D"/>
    <w:rsid w:val="00481784"/>
    <w:rsid w:val="00481F19"/>
    <w:rsid w:val="00481F5C"/>
    <w:rsid w:val="00483A90"/>
    <w:rsid w:val="00485016"/>
    <w:rsid w:val="00485C7A"/>
    <w:rsid w:val="004861BB"/>
    <w:rsid w:val="00493A93"/>
    <w:rsid w:val="00495837"/>
    <w:rsid w:val="00496284"/>
    <w:rsid w:val="00496CEF"/>
    <w:rsid w:val="00497DDD"/>
    <w:rsid w:val="004A05DE"/>
    <w:rsid w:val="004A099E"/>
    <w:rsid w:val="004A2B12"/>
    <w:rsid w:val="004A34A6"/>
    <w:rsid w:val="004A3761"/>
    <w:rsid w:val="004A4295"/>
    <w:rsid w:val="004A5CD0"/>
    <w:rsid w:val="004A7FE0"/>
    <w:rsid w:val="004B3EFF"/>
    <w:rsid w:val="004B62F5"/>
    <w:rsid w:val="004C2306"/>
    <w:rsid w:val="004C2BD0"/>
    <w:rsid w:val="004C72C1"/>
    <w:rsid w:val="004D07A3"/>
    <w:rsid w:val="004D1A26"/>
    <w:rsid w:val="004D2B8A"/>
    <w:rsid w:val="004D3466"/>
    <w:rsid w:val="004D4238"/>
    <w:rsid w:val="004E4B4C"/>
    <w:rsid w:val="004E6DB2"/>
    <w:rsid w:val="004F04E1"/>
    <w:rsid w:val="004F1FA3"/>
    <w:rsid w:val="004F365F"/>
    <w:rsid w:val="004F4565"/>
    <w:rsid w:val="004F6248"/>
    <w:rsid w:val="004F6966"/>
    <w:rsid w:val="005001B1"/>
    <w:rsid w:val="00501383"/>
    <w:rsid w:val="00503DB2"/>
    <w:rsid w:val="00504347"/>
    <w:rsid w:val="005045EF"/>
    <w:rsid w:val="0050526C"/>
    <w:rsid w:val="00505CB7"/>
    <w:rsid w:val="00514A4B"/>
    <w:rsid w:val="00514FDD"/>
    <w:rsid w:val="00516F80"/>
    <w:rsid w:val="00523335"/>
    <w:rsid w:val="00523853"/>
    <w:rsid w:val="005246BF"/>
    <w:rsid w:val="005262CA"/>
    <w:rsid w:val="005263E2"/>
    <w:rsid w:val="00526B5F"/>
    <w:rsid w:val="0052722B"/>
    <w:rsid w:val="00533C29"/>
    <w:rsid w:val="00536236"/>
    <w:rsid w:val="0054076B"/>
    <w:rsid w:val="0054164C"/>
    <w:rsid w:val="00541F2F"/>
    <w:rsid w:val="005449FC"/>
    <w:rsid w:val="00544AFC"/>
    <w:rsid w:val="00544CBD"/>
    <w:rsid w:val="00547C3E"/>
    <w:rsid w:val="0055002D"/>
    <w:rsid w:val="005502FB"/>
    <w:rsid w:val="00553C6B"/>
    <w:rsid w:val="00557213"/>
    <w:rsid w:val="00557FB0"/>
    <w:rsid w:val="0056273C"/>
    <w:rsid w:val="00565E67"/>
    <w:rsid w:val="00566AC0"/>
    <w:rsid w:val="00566F37"/>
    <w:rsid w:val="00567BAE"/>
    <w:rsid w:val="00572318"/>
    <w:rsid w:val="00584B80"/>
    <w:rsid w:val="00584EFE"/>
    <w:rsid w:val="005856C4"/>
    <w:rsid w:val="00585C20"/>
    <w:rsid w:val="005901EC"/>
    <w:rsid w:val="00592354"/>
    <w:rsid w:val="005A2F98"/>
    <w:rsid w:val="005A4A6D"/>
    <w:rsid w:val="005A743F"/>
    <w:rsid w:val="005B03B6"/>
    <w:rsid w:val="005B4502"/>
    <w:rsid w:val="005B5A76"/>
    <w:rsid w:val="005B5EED"/>
    <w:rsid w:val="005B675B"/>
    <w:rsid w:val="005B7FD2"/>
    <w:rsid w:val="005C0FBF"/>
    <w:rsid w:val="005C1996"/>
    <w:rsid w:val="005C1A3D"/>
    <w:rsid w:val="005C3F9C"/>
    <w:rsid w:val="005C5A17"/>
    <w:rsid w:val="005C7766"/>
    <w:rsid w:val="005D0726"/>
    <w:rsid w:val="005D12F3"/>
    <w:rsid w:val="005D30C7"/>
    <w:rsid w:val="005D3D34"/>
    <w:rsid w:val="005D4B8B"/>
    <w:rsid w:val="005D6274"/>
    <w:rsid w:val="005D6950"/>
    <w:rsid w:val="005D70AA"/>
    <w:rsid w:val="005E730A"/>
    <w:rsid w:val="005F40B0"/>
    <w:rsid w:val="005F5DCD"/>
    <w:rsid w:val="00600DE1"/>
    <w:rsid w:val="00603093"/>
    <w:rsid w:val="00603DF4"/>
    <w:rsid w:val="00603EB2"/>
    <w:rsid w:val="0060634E"/>
    <w:rsid w:val="00610E39"/>
    <w:rsid w:val="0061145F"/>
    <w:rsid w:val="00611C17"/>
    <w:rsid w:val="00616547"/>
    <w:rsid w:val="00617727"/>
    <w:rsid w:val="00621B6A"/>
    <w:rsid w:val="00626B4C"/>
    <w:rsid w:val="00627BBB"/>
    <w:rsid w:val="00627EDC"/>
    <w:rsid w:val="00630067"/>
    <w:rsid w:val="006308E4"/>
    <w:rsid w:val="006327AC"/>
    <w:rsid w:val="00635978"/>
    <w:rsid w:val="00636F9A"/>
    <w:rsid w:val="00640BB8"/>
    <w:rsid w:val="00642056"/>
    <w:rsid w:val="006466EF"/>
    <w:rsid w:val="00656E2D"/>
    <w:rsid w:val="0065790C"/>
    <w:rsid w:val="00664894"/>
    <w:rsid w:val="00664E18"/>
    <w:rsid w:val="0066759C"/>
    <w:rsid w:val="0067061C"/>
    <w:rsid w:val="00677237"/>
    <w:rsid w:val="006801B4"/>
    <w:rsid w:val="00681E22"/>
    <w:rsid w:val="006822EB"/>
    <w:rsid w:val="00683B3A"/>
    <w:rsid w:val="00684254"/>
    <w:rsid w:val="006878F0"/>
    <w:rsid w:val="0069112E"/>
    <w:rsid w:val="0069434E"/>
    <w:rsid w:val="006972F4"/>
    <w:rsid w:val="006A02C3"/>
    <w:rsid w:val="006A1A97"/>
    <w:rsid w:val="006A2833"/>
    <w:rsid w:val="006A3BA8"/>
    <w:rsid w:val="006A6B7D"/>
    <w:rsid w:val="006A6CD0"/>
    <w:rsid w:val="006A7BD3"/>
    <w:rsid w:val="006B0CB6"/>
    <w:rsid w:val="006B372A"/>
    <w:rsid w:val="006B3BCE"/>
    <w:rsid w:val="006B57BC"/>
    <w:rsid w:val="006B65B2"/>
    <w:rsid w:val="006C3495"/>
    <w:rsid w:val="006C3F10"/>
    <w:rsid w:val="006D3CBC"/>
    <w:rsid w:val="006D4CA4"/>
    <w:rsid w:val="006D6B8E"/>
    <w:rsid w:val="006D78F0"/>
    <w:rsid w:val="006D7E05"/>
    <w:rsid w:val="006E3664"/>
    <w:rsid w:val="006E4B17"/>
    <w:rsid w:val="006F0C05"/>
    <w:rsid w:val="006F0FE9"/>
    <w:rsid w:val="006F4BD4"/>
    <w:rsid w:val="006F6C94"/>
    <w:rsid w:val="0070135F"/>
    <w:rsid w:val="00701815"/>
    <w:rsid w:val="0070257C"/>
    <w:rsid w:val="00702F13"/>
    <w:rsid w:val="00704D8A"/>
    <w:rsid w:val="00704E04"/>
    <w:rsid w:val="00707F9C"/>
    <w:rsid w:val="0071322B"/>
    <w:rsid w:val="00715ED3"/>
    <w:rsid w:val="00716258"/>
    <w:rsid w:val="0072387B"/>
    <w:rsid w:val="0072750F"/>
    <w:rsid w:val="00727CC6"/>
    <w:rsid w:val="00730F01"/>
    <w:rsid w:val="00734A6E"/>
    <w:rsid w:val="00736081"/>
    <w:rsid w:val="007423A8"/>
    <w:rsid w:val="00743066"/>
    <w:rsid w:val="007434A5"/>
    <w:rsid w:val="0074393D"/>
    <w:rsid w:val="00744224"/>
    <w:rsid w:val="00746AB6"/>
    <w:rsid w:val="007524A9"/>
    <w:rsid w:val="007532D0"/>
    <w:rsid w:val="00756F71"/>
    <w:rsid w:val="00756F8D"/>
    <w:rsid w:val="00757C75"/>
    <w:rsid w:val="007617C2"/>
    <w:rsid w:val="00763D1A"/>
    <w:rsid w:val="00764EB9"/>
    <w:rsid w:val="00767FE6"/>
    <w:rsid w:val="00771A90"/>
    <w:rsid w:val="0077487C"/>
    <w:rsid w:val="0077572A"/>
    <w:rsid w:val="007757F0"/>
    <w:rsid w:val="007761B7"/>
    <w:rsid w:val="00777772"/>
    <w:rsid w:val="00780841"/>
    <w:rsid w:val="00780D5C"/>
    <w:rsid w:val="00781769"/>
    <w:rsid w:val="0078220B"/>
    <w:rsid w:val="00782683"/>
    <w:rsid w:val="007865AE"/>
    <w:rsid w:val="00786E01"/>
    <w:rsid w:val="00787221"/>
    <w:rsid w:val="00794B84"/>
    <w:rsid w:val="007961C0"/>
    <w:rsid w:val="0079634D"/>
    <w:rsid w:val="00797C79"/>
    <w:rsid w:val="007A4878"/>
    <w:rsid w:val="007A4BEA"/>
    <w:rsid w:val="007A4D71"/>
    <w:rsid w:val="007A5014"/>
    <w:rsid w:val="007A6C1C"/>
    <w:rsid w:val="007B146D"/>
    <w:rsid w:val="007B1A24"/>
    <w:rsid w:val="007B573D"/>
    <w:rsid w:val="007C2792"/>
    <w:rsid w:val="007C35A1"/>
    <w:rsid w:val="007C3CBB"/>
    <w:rsid w:val="007C66D2"/>
    <w:rsid w:val="007C67D6"/>
    <w:rsid w:val="007D1A8E"/>
    <w:rsid w:val="007D58DE"/>
    <w:rsid w:val="007D5F4A"/>
    <w:rsid w:val="007E0095"/>
    <w:rsid w:val="007E020D"/>
    <w:rsid w:val="007E1535"/>
    <w:rsid w:val="007E58B1"/>
    <w:rsid w:val="007E6C2E"/>
    <w:rsid w:val="007F03EC"/>
    <w:rsid w:val="007F5586"/>
    <w:rsid w:val="007F62FE"/>
    <w:rsid w:val="007F6B2F"/>
    <w:rsid w:val="007F7002"/>
    <w:rsid w:val="00800523"/>
    <w:rsid w:val="0080246B"/>
    <w:rsid w:val="0080635A"/>
    <w:rsid w:val="00813EE6"/>
    <w:rsid w:val="00815775"/>
    <w:rsid w:val="0081634C"/>
    <w:rsid w:val="0081758A"/>
    <w:rsid w:val="008206F4"/>
    <w:rsid w:val="008217B0"/>
    <w:rsid w:val="00822246"/>
    <w:rsid w:val="008235B7"/>
    <w:rsid w:val="008245CA"/>
    <w:rsid w:val="00826758"/>
    <w:rsid w:val="00830593"/>
    <w:rsid w:val="008305C4"/>
    <w:rsid w:val="00830722"/>
    <w:rsid w:val="008332B0"/>
    <w:rsid w:val="00836C5D"/>
    <w:rsid w:val="0083701A"/>
    <w:rsid w:val="0084055B"/>
    <w:rsid w:val="00840E0B"/>
    <w:rsid w:val="00841DF6"/>
    <w:rsid w:val="00846A03"/>
    <w:rsid w:val="00846C1F"/>
    <w:rsid w:val="00850A4F"/>
    <w:rsid w:val="00850C71"/>
    <w:rsid w:val="0085175E"/>
    <w:rsid w:val="008528FA"/>
    <w:rsid w:val="008539CB"/>
    <w:rsid w:val="00854057"/>
    <w:rsid w:val="008556E3"/>
    <w:rsid w:val="0085640F"/>
    <w:rsid w:val="00857C4F"/>
    <w:rsid w:val="00860A91"/>
    <w:rsid w:val="0086184D"/>
    <w:rsid w:val="00861D1D"/>
    <w:rsid w:val="008665AB"/>
    <w:rsid w:val="008709E7"/>
    <w:rsid w:val="00870C1B"/>
    <w:rsid w:val="00871604"/>
    <w:rsid w:val="008725DD"/>
    <w:rsid w:val="00875241"/>
    <w:rsid w:val="00875399"/>
    <w:rsid w:val="008834F9"/>
    <w:rsid w:val="00886FF3"/>
    <w:rsid w:val="00887CCA"/>
    <w:rsid w:val="00892048"/>
    <w:rsid w:val="00895DBB"/>
    <w:rsid w:val="008A0277"/>
    <w:rsid w:val="008A0B1F"/>
    <w:rsid w:val="008A35C8"/>
    <w:rsid w:val="008A4569"/>
    <w:rsid w:val="008A7643"/>
    <w:rsid w:val="008A771E"/>
    <w:rsid w:val="008A7C98"/>
    <w:rsid w:val="008B0DE1"/>
    <w:rsid w:val="008B456A"/>
    <w:rsid w:val="008C1696"/>
    <w:rsid w:val="008C5028"/>
    <w:rsid w:val="008D2E99"/>
    <w:rsid w:val="008D3577"/>
    <w:rsid w:val="008D382F"/>
    <w:rsid w:val="008D7BF5"/>
    <w:rsid w:val="008E0008"/>
    <w:rsid w:val="008E0FBD"/>
    <w:rsid w:val="008E1405"/>
    <w:rsid w:val="008E4AB1"/>
    <w:rsid w:val="008E6177"/>
    <w:rsid w:val="008E6D66"/>
    <w:rsid w:val="008E7422"/>
    <w:rsid w:val="008E747E"/>
    <w:rsid w:val="008E78AB"/>
    <w:rsid w:val="008F4B1E"/>
    <w:rsid w:val="008F621D"/>
    <w:rsid w:val="008F6C58"/>
    <w:rsid w:val="0090006B"/>
    <w:rsid w:val="00900714"/>
    <w:rsid w:val="00900E8B"/>
    <w:rsid w:val="009011B2"/>
    <w:rsid w:val="00903C66"/>
    <w:rsid w:val="00903CAC"/>
    <w:rsid w:val="00905FF0"/>
    <w:rsid w:val="00907292"/>
    <w:rsid w:val="00911472"/>
    <w:rsid w:val="009154AE"/>
    <w:rsid w:val="00916B9C"/>
    <w:rsid w:val="0092147D"/>
    <w:rsid w:val="00921CB0"/>
    <w:rsid w:val="00922A83"/>
    <w:rsid w:val="00923A47"/>
    <w:rsid w:val="00924118"/>
    <w:rsid w:val="009251C9"/>
    <w:rsid w:val="009257D4"/>
    <w:rsid w:val="00926785"/>
    <w:rsid w:val="00927A42"/>
    <w:rsid w:val="0093074B"/>
    <w:rsid w:val="009334B5"/>
    <w:rsid w:val="00933D5E"/>
    <w:rsid w:val="009346B0"/>
    <w:rsid w:val="00934D37"/>
    <w:rsid w:val="00934D9E"/>
    <w:rsid w:val="009362D2"/>
    <w:rsid w:val="00936839"/>
    <w:rsid w:val="00940530"/>
    <w:rsid w:val="0094063F"/>
    <w:rsid w:val="00943A03"/>
    <w:rsid w:val="0094744C"/>
    <w:rsid w:val="00947ADB"/>
    <w:rsid w:val="00954D6C"/>
    <w:rsid w:val="00956AF1"/>
    <w:rsid w:val="00963542"/>
    <w:rsid w:val="00963606"/>
    <w:rsid w:val="00963E9A"/>
    <w:rsid w:val="009644A4"/>
    <w:rsid w:val="009647B1"/>
    <w:rsid w:val="00964BE1"/>
    <w:rsid w:val="009676A5"/>
    <w:rsid w:val="009721A7"/>
    <w:rsid w:val="009722A9"/>
    <w:rsid w:val="009734B1"/>
    <w:rsid w:val="0097421B"/>
    <w:rsid w:val="009766AE"/>
    <w:rsid w:val="009767C6"/>
    <w:rsid w:val="00976FCE"/>
    <w:rsid w:val="00977DAA"/>
    <w:rsid w:val="00982519"/>
    <w:rsid w:val="009830F4"/>
    <w:rsid w:val="0098405A"/>
    <w:rsid w:val="00985FCD"/>
    <w:rsid w:val="009863DB"/>
    <w:rsid w:val="00990D54"/>
    <w:rsid w:val="009941A7"/>
    <w:rsid w:val="009942FD"/>
    <w:rsid w:val="009948D2"/>
    <w:rsid w:val="00995156"/>
    <w:rsid w:val="00997007"/>
    <w:rsid w:val="009A028D"/>
    <w:rsid w:val="009A0BF8"/>
    <w:rsid w:val="009A4411"/>
    <w:rsid w:val="009A4793"/>
    <w:rsid w:val="009A4FA5"/>
    <w:rsid w:val="009A5414"/>
    <w:rsid w:val="009A630A"/>
    <w:rsid w:val="009A6780"/>
    <w:rsid w:val="009A758B"/>
    <w:rsid w:val="009A7CE9"/>
    <w:rsid w:val="009B1644"/>
    <w:rsid w:val="009B16F2"/>
    <w:rsid w:val="009B2037"/>
    <w:rsid w:val="009B2752"/>
    <w:rsid w:val="009B282B"/>
    <w:rsid w:val="009B34E5"/>
    <w:rsid w:val="009B3C8C"/>
    <w:rsid w:val="009B45A9"/>
    <w:rsid w:val="009B50E7"/>
    <w:rsid w:val="009C0893"/>
    <w:rsid w:val="009C322F"/>
    <w:rsid w:val="009D04D3"/>
    <w:rsid w:val="009E051C"/>
    <w:rsid w:val="009E2702"/>
    <w:rsid w:val="009E739F"/>
    <w:rsid w:val="009E7A21"/>
    <w:rsid w:val="009F064A"/>
    <w:rsid w:val="009F24E0"/>
    <w:rsid w:val="009F5209"/>
    <w:rsid w:val="009F5B42"/>
    <w:rsid w:val="00A0010E"/>
    <w:rsid w:val="00A01811"/>
    <w:rsid w:val="00A01E8F"/>
    <w:rsid w:val="00A05A65"/>
    <w:rsid w:val="00A05C27"/>
    <w:rsid w:val="00A06EB8"/>
    <w:rsid w:val="00A0719E"/>
    <w:rsid w:val="00A07792"/>
    <w:rsid w:val="00A14C0B"/>
    <w:rsid w:val="00A14F37"/>
    <w:rsid w:val="00A16A05"/>
    <w:rsid w:val="00A23FA1"/>
    <w:rsid w:val="00A323A7"/>
    <w:rsid w:val="00A34399"/>
    <w:rsid w:val="00A3704E"/>
    <w:rsid w:val="00A37991"/>
    <w:rsid w:val="00A40923"/>
    <w:rsid w:val="00A43773"/>
    <w:rsid w:val="00A5103F"/>
    <w:rsid w:val="00A5239B"/>
    <w:rsid w:val="00A5577B"/>
    <w:rsid w:val="00A6069E"/>
    <w:rsid w:val="00A62FCF"/>
    <w:rsid w:val="00A643EF"/>
    <w:rsid w:val="00A64B4F"/>
    <w:rsid w:val="00A661AF"/>
    <w:rsid w:val="00A66956"/>
    <w:rsid w:val="00A677C8"/>
    <w:rsid w:val="00A71E7C"/>
    <w:rsid w:val="00A72080"/>
    <w:rsid w:val="00A724BB"/>
    <w:rsid w:val="00A7396A"/>
    <w:rsid w:val="00A74FF9"/>
    <w:rsid w:val="00A778FA"/>
    <w:rsid w:val="00A77A30"/>
    <w:rsid w:val="00A81022"/>
    <w:rsid w:val="00A811F8"/>
    <w:rsid w:val="00A8173D"/>
    <w:rsid w:val="00A82C0A"/>
    <w:rsid w:val="00A843A5"/>
    <w:rsid w:val="00A84591"/>
    <w:rsid w:val="00A84DE8"/>
    <w:rsid w:val="00A8536D"/>
    <w:rsid w:val="00A86E93"/>
    <w:rsid w:val="00A87F04"/>
    <w:rsid w:val="00A9003B"/>
    <w:rsid w:val="00A919CE"/>
    <w:rsid w:val="00A92B48"/>
    <w:rsid w:val="00A94587"/>
    <w:rsid w:val="00AA2617"/>
    <w:rsid w:val="00AA2654"/>
    <w:rsid w:val="00AA4DFA"/>
    <w:rsid w:val="00AB093F"/>
    <w:rsid w:val="00AB0E63"/>
    <w:rsid w:val="00AB17A0"/>
    <w:rsid w:val="00AB2142"/>
    <w:rsid w:val="00AB4271"/>
    <w:rsid w:val="00AB5121"/>
    <w:rsid w:val="00AB752B"/>
    <w:rsid w:val="00AC39D6"/>
    <w:rsid w:val="00AC45A6"/>
    <w:rsid w:val="00AC4641"/>
    <w:rsid w:val="00AC6F47"/>
    <w:rsid w:val="00AD0BB1"/>
    <w:rsid w:val="00AD660A"/>
    <w:rsid w:val="00AD6C65"/>
    <w:rsid w:val="00AE0358"/>
    <w:rsid w:val="00AE0EC4"/>
    <w:rsid w:val="00AE0F93"/>
    <w:rsid w:val="00AE2433"/>
    <w:rsid w:val="00AE435E"/>
    <w:rsid w:val="00AF117E"/>
    <w:rsid w:val="00AF209D"/>
    <w:rsid w:val="00AF3B41"/>
    <w:rsid w:val="00AF53AF"/>
    <w:rsid w:val="00AF6D4A"/>
    <w:rsid w:val="00B02F8C"/>
    <w:rsid w:val="00B04FDA"/>
    <w:rsid w:val="00B103B4"/>
    <w:rsid w:val="00B11640"/>
    <w:rsid w:val="00B11AA7"/>
    <w:rsid w:val="00B11ED0"/>
    <w:rsid w:val="00B15268"/>
    <w:rsid w:val="00B15909"/>
    <w:rsid w:val="00B1684F"/>
    <w:rsid w:val="00B24F26"/>
    <w:rsid w:val="00B25283"/>
    <w:rsid w:val="00B27890"/>
    <w:rsid w:val="00B324B2"/>
    <w:rsid w:val="00B32C8C"/>
    <w:rsid w:val="00B3386F"/>
    <w:rsid w:val="00B34264"/>
    <w:rsid w:val="00B362F2"/>
    <w:rsid w:val="00B36446"/>
    <w:rsid w:val="00B40C70"/>
    <w:rsid w:val="00B44BCD"/>
    <w:rsid w:val="00B46155"/>
    <w:rsid w:val="00B47262"/>
    <w:rsid w:val="00B513D4"/>
    <w:rsid w:val="00B52829"/>
    <w:rsid w:val="00B53B07"/>
    <w:rsid w:val="00B56E29"/>
    <w:rsid w:val="00B57CF3"/>
    <w:rsid w:val="00B6396D"/>
    <w:rsid w:val="00B6654F"/>
    <w:rsid w:val="00B7029E"/>
    <w:rsid w:val="00B71DC7"/>
    <w:rsid w:val="00B71E72"/>
    <w:rsid w:val="00B75337"/>
    <w:rsid w:val="00B75988"/>
    <w:rsid w:val="00B75D18"/>
    <w:rsid w:val="00B76DF1"/>
    <w:rsid w:val="00B775C7"/>
    <w:rsid w:val="00B811B0"/>
    <w:rsid w:val="00B83417"/>
    <w:rsid w:val="00B92762"/>
    <w:rsid w:val="00B92B67"/>
    <w:rsid w:val="00B97965"/>
    <w:rsid w:val="00B97F4A"/>
    <w:rsid w:val="00BA2E00"/>
    <w:rsid w:val="00BA3B26"/>
    <w:rsid w:val="00BA7333"/>
    <w:rsid w:val="00BA7BDA"/>
    <w:rsid w:val="00BB21BC"/>
    <w:rsid w:val="00BB2980"/>
    <w:rsid w:val="00BB38CE"/>
    <w:rsid w:val="00BB3B1C"/>
    <w:rsid w:val="00BB409B"/>
    <w:rsid w:val="00BB60A9"/>
    <w:rsid w:val="00BC4862"/>
    <w:rsid w:val="00BC62E3"/>
    <w:rsid w:val="00BC7CB0"/>
    <w:rsid w:val="00BD2F87"/>
    <w:rsid w:val="00BD3694"/>
    <w:rsid w:val="00BD56AA"/>
    <w:rsid w:val="00BD5F77"/>
    <w:rsid w:val="00BD6E37"/>
    <w:rsid w:val="00BD77F5"/>
    <w:rsid w:val="00BE1656"/>
    <w:rsid w:val="00BE3EBB"/>
    <w:rsid w:val="00BE5E63"/>
    <w:rsid w:val="00BF0D7E"/>
    <w:rsid w:val="00BF0EE6"/>
    <w:rsid w:val="00BF41C3"/>
    <w:rsid w:val="00BF5894"/>
    <w:rsid w:val="00BF6E04"/>
    <w:rsid w:val="00BF6EA4"/>
    <w:rsid w:val="00C00B8D"/>
    <w:rsid w:val="00C075DD"/>
    <w:rsid w:val="00C07D45"/>
    <w:rsid w:val="00C10B43"/>
    <w:rsid w:val="00C12079"/>
    <w:rsid w:val="00C12977"/>
    <w:rsid w:val="00C132A9"/>
    <w:rsid w:val="00C149E7"/>
    <w:rsid w:val="00C16B1A"/>
    <w:rsid w:val="00C17D04"/>
    <w:rsid w:val="00C2060B"/>
    <w:rsid w:val="00C27D0A"/>
    <w:rsid w:val="00C32716"/>
    <w:rsid w:val="00C327DB"/>
    <w:rsid w:val="00C33A08"/>
    <w:rsid w:val="00C37664"/>
    <w:rsid w:val="00C413AD"/>
    <w:rsid w:val="00C41CF3"/>
    <w:rsid w:val="00C50D00"/>
    <w:rsid w:val="00C5291A"/>
    <w:rsid w:val="00C53C2C"/>
    <w:rsid w:val="00C57D6A"/>
    <w:rsid w:val="00C623B1"/>
    <w:rsid w:val="00C635A4"/>
    <w:rsid w:val="00C636B4"/>
    <w:rsid w:val="00C643FB"/>
    <w:rsid w:val="00C64CD6"/>
    <w:rsid w:val="00C655F7"/>
    <w:rsid w:val="00C65EEC"/>
    <w:rsid w:val="00C73EE0"/>
    <w:rsid w:val="00C74E3F"/>
    <w:rsid w:val="00C7501D"/>
    <w:rsid w:val="00C80C73"/>
    <w:rsid w:val="00C80E43"/>
    <w:rsid w:val="00C82C28"/>
    <w:rsid w:val="00C8387E"/>
    <w:rsid w:val="00C84591"/>
    <w:rsid w:val="00C84B32"/>
    <w:rsid w:val="00C914D1"/>
    <w:rsid w:val="00C91E77"/>
    <w:rsid w:val="00C93B8F"/>
    <w:rsid w:val="00C96076"/>
    <w:rsid w:val="00C96DF7"/>
    <w:rsid w:val="00C97225"/>
    <w:rsid w:val="00CA079B"/>
    <w:rsid w:val="00CA0AA0"/>
    <w:rsid w:val="00CA24DA"/>
    <w:rsid w:val="00CA2A4C"/>
    <w:rsid w:val="00CA599A"/>
    <w:rsid w:val="00CA5A8B"/>
    <w:rsid w:val="00CA7B93"/>
    <w:rsid w:val="00CB5A4F"/>
    <w:rsid w:val="00CC123C"/>
    <w:rsid w:val="00CC17DC"/>
    <w:rsid w:val="00CC28A6"/>
    <w:rsid w:val="00CC3D30"/>
    <w:rsid w:val="00CC4647"/>
    <w:rsid w:val="00CC6E6A"/>
    <w:rsid w:val="00CC7836"/>
    <w:rsid w:val="00CD0D0D"/>
    <w:rsid w:val="00CD3B4C"/>
    <w:rsid w:val="00CD3BAB"/>
    <w:rsid w:val="00CD675F"/>
    <w:rsid w:val="00CE17F2"/>
    <w:rsid w:val="00CE1D08"/>
    <w:rsid w:val="00CE23A2"/>
    <w:rsid w:val="00CE28DA"/>
    <w:rsid w:val="00CE2E09"/>
    <w:rsid w:val="00CF1A32"/>
    <w:rsid w:val="00CF1D93"/>
    <w:rsid w:val="00CF2E5F"/>
    <w:rsid w:val="00CF426A"/>
    <w:rsid w:val="00CF44DC"/>
    <w:rsid w:val="00D01F71"/>
    <w:rsid w:val="00D03232"/>
    <w:rsid w:val="00D0381A"/>
    <w:rsid w:val="00D040C3"/>
    <w:rsid w:val="00D04FA5"/>
    <w:rsid w:val="00D05364"/>
    <w:rsid w:val="00D06B12"/>
    <w:rsid w:val="00D102CD"/>
    <w:rsid w:val="00D1031A"/>
    <w:rsid w:val="00D10759"/>
    <w:rsid w:val="00D116B3"/>
    <w:rsid w:val="00D13FF7"/>
    <w:rsid w:val="00D1657F"/>
    <w:rsid w:val="00D20B51"/>
    <w:rsid w:val="00D238A9"/>
    <w:rsid w:val="00D24B3B"/>
    <w:rsid w:val="00D30EB1"/>
    <w:rsid w:val="00D32923"/>
    <w:rsid w:val="00D33952"/>
    <w:rsid w:val="00D43CCC"/>
    <w:rsid w:val="00D43DB7"/>
    <w:rsid w:val="00D449ED"/>
    <w:rsid w:val="00D47412"/>
    <w:rsid w:val="00D47DEE"/>
    <w:rsid w:val="00D50260"/>
    <w:rsid w:val="00D50859"/>
    <w:rsid w:val="00D513CB"/>
    <w:rsid w:val="00D518A2"/>
    <w:rsid w:val="00D52511"/>
    <w:rsid w:val="00D52874"/>
    <w:rsid w:val="00D54930"/>
    <w:rsid w:val="00D54E28"/>
    <w:rsid w:val="00D602E0"/>
    <w:rsid w:val="00D6343C"/>
    <w:rsid w:val="00D70511"/>
    <w:rsid w:val="00D70C12"/>
    <w:rsid w:val="00D70F35"/>
    <w:rsid w:val="00D746FF"/>
    <w:rsid w:val="00D75AB2"/>
    <w:rsid w:val="00D75E83"/>
    <w:rsid w:val="00D77BF7"/>
    <w:rsid w:val="00D82814"/>
    <w:rsid w:val="00D82D24"/>
    <w:rsid w:val="00D875F3"/>
    <w:rsid w:val="00D922D4"/>
    <w:rsid w:val="00D964D8"/>
    <w:rsid w:val="00D9673A"/>
    <w:rsid w:val="00D97093"/>
    <w:rsid w:val="00D97853"/>
    <w:rsid w:val="00DA0887"/>
    <w:rsid w:val="00DA0AFF"/>
    <w:rsid w:val="00DA0DD7"/>
    <w:rsid w:val="00DA3227"/>
    <w:rsid w:val="00DA4F4E"/>
    <w:rsid w:val="00DA609D"/>
    <w:rsid w:val="00DA66EA"/>
    <w:rsid w:val="00DA79FA"/>
    <w:rsid w:val="00DB155C"/>
    <w:rsid w:val="00DB1FCE"/>
    <w:rsid w:val="00DB5205"/>
    <w:rsid w:val="00DB602D"/>
    <w:rsid w:val="00DB66E2"/>
    <w:rsid w:val="00DB7C77"/>
    <w:rsid w:val="00DB7E49"/>
    <w:rsid w:val="00DC0D20"/>
    <w:rsid w:val="00DC0DE4"/>
    <w:rsid w:val="00DC1A74"/>
    <w:rsid w:val="00DC2A09"/>
    <w:rsid w:val="00DC2BC0"/>
    <w:rsid w:val="00DC79D0"/>
    <w:rsid w:val="00DC7B1F"/>
    <w:rsid w:val="00DD0A59"/>
    <w:rsid w:val="00DD1B1F"/>
    <w:rsid w:val="00DD5A9D"/>
    <w:rsid w:val="00DD757D"/>
    <w:rsid w:val="00DE2486"/>
    <w:rsid w:val="00DE2DAC"/>
    <w:rsid w:val="00DE3A28"/>
    <w:rsid w:val="00DE4B73"/>
    <w:rsid w:val="00DE719C"/>
    <w:rsid w:val="00DE77CE"/>
    <w:rsid w:val="00DF18C4"/>
    <w:rsid w:val="00DF1A2A"/>
    <w:rsid w:val="00DF405C"/>
    <w:rsid w:val="00DF4C86"/>
    <w:rsid w:val="00DF4EDE"/>
    <w:rsid w:val="00DF675B"/>
    <w:rsid w:val="00DF757F"/>
    <w:rsid w:val="00E07CB2"/>
    <w:rsid w:val="00E07CDB"/>
    <w:rsid w:val="00E109A7"/>
    <w:rsid w:val="00E10ECA"/>
    <w:rsid w:val="00E119AF"/>
    <w:rsid w:val="00E1211A"/>
    <w:rsid w:val="00E139FA"/>
    <w:rsid w:val="00E15EFA"/>
    <w:rsid w:val="00E168B1"/>
    <w:rsid w:val="00E17399"/>
    <w:rsid w:val="00E173D0"/>
    <w:rsid w:val="00E17B38"/>
    <w:rsid w:val="00E2052B"/>
    <w:rsid w:val="00E21299"/>
    <w:rsid w:val="00E23AA2"/>
    <w:rsid w:val="00E23D1C"/>
    <w:rsid w:val="00E315EC"/>
    <w:rsid w:val="00E32A0C"/>
    <w:rsid w:val="00E32C57"/>
    <w:rsid w:val="00E34DFE"/>
    <w:rsid w:val="00E351DD"/>
    <w:rsid w:val="00E36B3D"/>
    <w:rsid w:val="00E4611B"/>
    <w:rsid w:val="00E46AFD"/>
    <w:rsid w:val="00E4724D"/>
    <w:rsid w:val="00E50BD3"/>
    <w:rsid w:val="00E5567A"/>
    <w:rsid w:val="00E55D1A"/>
    <w:rsid w:val="00E55DCD"/>
    <w:rsid w:val="00E56EAF"/>
    <w:rsid w:val="00E574AF"/>
    <w:rsid w:val="00E65ECA"/>
    <w:rsid w:val="00E6704A"/>
    <w:rsid w:val="00E703EA"/>
    <w:rsid w:val="00E73D81"/>
    <w:rsid w:val="00E748E2"/>
    <w:rsid w:val="00E7574D"/>
    <w:rsid w:val="00E75986"/>
    <w:rsid w:val="00E80DDD"/>
    <w:rsid w:val="00E816B9"/>
    <w:rsid w:val="00E8787B"/>
    <w:rsid w:val="00E904EE"/>
    <w:rsid w:val="00E90DB6"/>
    <w:rsid w:val="00E91ABB"/>
    <w:rsid w:val="00E92B0A"/>
    <w:rsid w:val="00E92E86"/>
    <w:rsid w:val="00E939A7"/>
    <w:rsid w:val="00E95346"/>
    <w:rsid w:val="00E96EAC"/>
    <w:rsid w:val="00EA083E"/>
    <w:rsid w:val="00EA595F"/>
    <w:rsid w:val="00EA6EBA"/>
    <w:rsid w:val="00EB34A5"/>
    <w:rsid w:val="00EB39A2"/>
    <w:rsid w:val="00EB4B3C"/>
    <w:rsid w:val="00EB5F0A"/>
    <w:rsid w:val="00EB655C"/>
    <w:rsid w:val="00EB7267"/>
    <w:rsid w:val="00EB7DC3"/>
    <w:rsid w:val="00EC22E1"/>
    <w:rsid w:val="00EC25C1"/>
    <w:rsid w:val="00EC28E1"/>
    <w:rsid w:val="00EC5583"/>
    <w:rsid w:val="00EC5F1F"/>
    <w:rsid w:val="00EC7553"/>
    <w:rsid w:val="00ED2031"/>
    <w:rsid w:val="00ED3B81"/>
    <w:rsid w:val="00ED52D4"/>
    <w:rsid w:val="00ED5E03"/>
    <w:rsid w:val="00ED79E2"/>
    <w:rsid w:val="00EE03E8"/>
    <w:rsid w:val="00EE235E"/>
    <w:rsid w:val="00EE2F3E"/>
    <w:rsid w:val="00EE3F54"/>
    <w:rsid w:val="00EE4B73"/>
    <w:rsid w:val="00EE4BA1"/>
    <w:rsid w:val="00EF4811"/>
    <w:rsid w:val="00EF5AE3"/>
    <w:rsid w:val="00EF6F40"/>
    <w:rsid w:val="00F0007E"/>
    <w:rsid w:val="00F0074A"/>
    <w:rsid w:val="00F009A3"/>
    <w:rsid w:val="00F00F29"/>
    <w:rsid w:val="00F01FF7"/>
    <w:rsid w:val="00F0302C"/>
    <w:rsid w:val="00F052A3"/>
    <w:rsid w:val="00F07595"/>
    <w:rsid w:val="00F100ED"/>
    <w:rsid w:val="00F137AB"/>
    <w:rsid w:val="00F22CCA"/>
    <w:rsid w:val="00F25BD8"/>
    <w:rsid w:val="00F2744B"/>
    <w:rsid w:val="00F311D1"/>
    <w:rsid w:val="00F337B8"/>
    <w:rsid w:val="00F33A77"/>
    <w:rsid w:val="00F34BBE"/>
    <w:rsid w:val="00F37AF3"/>
    <w:rsid w:val="00F436F6"/>
    <w:rsid w:val="00F44A4A"/>
    <w:rsid w:val="00F454FB"/>
    <w:rsid w:val="00F461E3"/>
    <w:rsid w:val="00F47858"/>
    <w:rsid w:val="00F50232"/>
    <w:rsid w:val="00F50F96"/>
    <w:rsid w:val="00F5365B"/>
    <w:rsid w:val="00F53676"/>
    <w:rsid w:val="00F538EC"/>
    <w:rsid w:val="00F54D5A"/>
    <w:rsid w:val="00F554CC"/>
    <w:rsid w:val="00F63F58"/>
    <w:rsid w:val="00F76854"/>
    <w:rsid w:val="00F769DA"/>
    <w:rsid w:val="00F80069"/>
    <w:rsid w:val="00F836BE"/>
    <w:rsid w:val="00F8498A"/>
    <w:rsid w:val="00F87635"/>
    <w:rsid w:val="00F91479"/>
    <w:rsid w:val="00F91C8E"/>
    <w:rsid w:val="00F925B5"/>
    <w:rsid w:val="00F94587"/>
    <w:rsid w:val="00F95481"/>
    <w:rsid w:val="00FA05D8"/>
    <w:rsid w:val="00FA12A5"/>
    <w:rsid w:val="00FA2E60"/>
    <w:rsid w:val="00FA33C3"/>
    <w:rsid w:val="00FA3CC1"/>
    <w:rsid w:val="00FA42F8"/>
    <w:rsid w:val="00FA4A4D"/>
    <w:rsid w:val="00FA5430"/>
    <w:rsid w:val="00FB18FC"/>
    <w:rsid w:val="00FB19CD"/>
    <w:rsid w:val="00FC02C9"/>
    <w:rsid w:val="00FC53C2"/>
    <w:rsid w:val="00FC5E15"/>
    <w:rsid w:val="00FC5EDE"/>
    <w:rsid w:val="00FC6ED7"/>
    <w:rsid w:val="00FD0B11"/>
    <w:rsid w:val="00FD5319"/>
    <w:rsid w:val="00FD5B25"/>
    <w:rsid w:val="00FD6748"/>
    <w:rsid w:val="00FD7D3E"/>
    <w:rsid w:val="00FE2E0E"/>
    <w:rsid w:val="00FE4493"/>
    <w:rsid w:val="00FE47CC"/>
    <w:rsid w:val="00FE6742"/>
    <w:rsid w:val="00FE6977"/>
    <w:rsid w:val="00FE6B14"/>
    <w:rsid w:val="00FF0602"/>
    <w:rsid w:val="00FF0E3C"/>
    <w:rsid w:val="00FF31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BE8B9"/>
  <w15:docId w15:val="{3F4D50C8-D970-43D7-9076-C8EFC87D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356"/>
  </w:style>
  <w:style w:type="paragraph" w:styleId="Ttulo1">
    <w:name w:val="heading 1"/>
    <w:basedOn w:val="Normal"/>
    <w:next w:val="Normal"/>
    <w:qFormat/>
    <w:pPr>
      <w:keepNext/>
      <w:outlineLvl w:val="0"/>
    </w:pPr>
    <w:rPr>
      <w:rFonts w:ascii="Verdana" w:hAnsi="Verdana"/>
      <w:b/>
      <w:bCs/>
      <w:color w:val="800000"/>
      <w:sz w:val="22"/>
      <w:szCs w:val="22"/>
    </w:rPr>
  </w:style>
  <w:style w:type="paragraph" w:styleId="Ttulo2">
    <w:name w:val="heading 2"/>
    <w:basedOn w:val="Normal"/>
    <w:next w:val="Normal"/>
    <w:qFormat/>
    <w:pPr>
      <w:keepNext/>
      <w:outlineLvl w:val="1"/>
    </w:pPr>
    <w:rPr>
      <w:i/>
      <w:iCs/>
    </w:rPr>
  </w:style>
  <w:style w:type="paragraph" w:styleId="Ttulo3">
    <w:name w:val="heading 3"/>
    <w:basedOn w:val="Normal"/>
    <w:next w:val="Normal"/>
    <w:qFormat/>
    <w:pPr>
      <w:keepNext/>
      <w:jc w:val="both"/>
      <w:outlineLvl w:val="2"/>
    </w:pPr>
    <w:rPr>
      <w:rFonts w:ascii="Verdana" w:hAnsi="Verdana"/>
      <w:b/>
      <w:bCs/>
      <w:color w:val="800000"/>
      <w:sz w:val="22"/>
      <w:szCs w:val="22"/>
    </w:rPr>
  </w:style>
  <w:style w:type="paragraph" w:styleId="Ttulo4">
    <w:name w:val="heading 4"/>
    <w:basedOn w:val="Normal"/>
    <w:next w:val="Normal"/>
    <w:qFormat/>
    <w:pPr>
      <w:keepNext/>
      <w:jc w:val="both"/>
      <w:outlineLvl w:val="3"/>
    </w:pPr>
    <w:rPr>
      <w:rFonts w:ascii="Verdana" w:hAnsi="Verdana"/>
      <w:b/>
      <w:bCs/>
      <w:color w:val="800000"/>
      <w:spacing w:val="-20"/>
      <w:szCs w:val="22"/>
    </w:rPr>
  </w:style>
  <w:style w:type="paragraph" w:styleId="Ttulo5">
    <w:name w:val="heading 5"/>
    <w:basedOn w:val="Normal"/>
    <w:qFormat/>
    <w:pPr>
      <w:spacing w:before="100" w:beforeAutospacing="1" w:after="100" w:afterAutospacing="1"/>
      <w:outlineLvl w:val="4"/>
    </w:pPr>
    <w:rPr>
      <w:rFonts w:ascii="Arial Unicode MS" w:eastAsia="Arial Unicode MS" w:hAnsi="Arial Unicode MS" w:cs="Arial Unicode MS"/>
      <w:b/>
      <w:bCs/>
      <w:sz w:val="24"/>
      <w:szCs w:val="24"/>
    </w:rPr>
  </w:style>
  <w:style w:type="paragraph" w:styleId="Ttulo6">
    <w:name w:val="heading 6"/>
    <w:basedOn w:val="Normal"/>
    <w:next w:val="Normal"/>
    <w:link w:val="Ttulo6Car"/>
    <w:qFormat/>
    <w:rsid w:val="00BA7BDA"/>
    <w:pPr>
      <w:spacing w:before="240" w:after="60"/>
      <w:outlineLvl w:val="5"/>
    </w:pPr>
    <w:rPr>
      <w:rFonts w:ascii="Calibri" w:hAnsi="Calibri"/>
      <w:b/>
      <w:bCs/>
      <w:sz w:val="22"/>
      <w:szCs w:val="22"/>
      <w:lang w:val="x-none" w:eastAsia="x-none"/>
    </w:rPr>
  </w:style>
  <w:style w:type="paragraph" w:styleId="Ttulo9">
    <w:name w:val="heading 9"/>
    <w:basedOn w:val="Normal"/>
    <w:next w:val="Normal"/>
    <w:qFormat/>
    <w:pPr>
      <w:keepNext/>
      <w:jc w:val="center"/>
      <w:outlineLvl w:val="8"/>
    </w:pPr>
    <w:rPr>
      <w:b/>
      <w:bCs/>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b/>
      <w:sz w:val="28"/>
      <w:lang w:val="es-ES_tradnl"/>
    </w:rPr>
  </w:style>
  <w:style w:type="paragraph" w:styleId="Textoindependiente3">
    <w:name w:val="Body Text 3"/>
    <w:basedOn w:val="Normal"/>
    <w:pPr>
      <w:jc w:val="both"/>
    </w:pPr>
    <w:rPr>
      <w:i/>
      <w:iCs/>
      <w:sz w:val="22"/>
    </w:rPr>
  </w:style>
  <w:style w:type="paragraph" w:styleId="Sangra3detindependiente">
    <w:name w:val="Body Text Indent 3"/>
    <w:basedOn w:val="Normal"/>
    <w:pPr>
      <w:autoSpaceDE w:val="0"/>
      <w:autoSpaceDN w:val="0"/>
      <w:adjustRightInd w:val="0"/>
      <w:ind w:left="567"/>
      <w:jc w:val="both"/>
    </w:pPr>
    <w:rPr>
      <w:bCs/>
      <w:i/>
      <w:iCs/>
      <w:sz w:val="24"/>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Prrafodelista">
    <w:name w:val="List Paragraph"/>
    <w:basedOn w:val="Normal"/>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Helvetica 55 Roman" w:hAnsi="Helvetica 55 Roman" w:cs="Helvetica 55 Roman"/>
      <w:color w:val="000000"/>
      <w:sz w:val="24"/>
      <w:szCs w:val="24"/>
    </w:rPr>
  </w:style>
  <w:style w:type="paragraph" w:customStyle="1" w:styleId="CM2">
    <w:name w:val="CM2"/>
    <w:basedOn w:val="Default"/>
    <w:next w:val="Default"/>
    <w:pPr>
      <w:spacing w:line="176" w:lineRule="atLeast"/>
    </w:pPr>
    <w:rPr>
      <w:rFonts w:cs="Times New Roman"/>
      <w:color w:val="auto"/>
    </w:rPr>
  </w:style>
  <w:style w:type="paragraph" w:styleId="Sangradetextonormal">
    <w:name w:val="Body Text Indent"/>
    <w:basedOn w:val="Normal"/>
    <w:link w:val="SangradetextonormalCar"/>
    <w:pPr>
      <w:ind w:left="360"/>
      <w:jc w:val="both"/>
    </w:pPr>
    <w:rPr>
      <w:b/>
      <w:bCs/>
      <w:i/>
      <w:iCs/>
      <w:color w:val="800000"/>
      <w:sz w:val="24"/>
      <w:szCs w:val="22"/>
    </w:rPr>
  </w:style>
  <w:style w:type="character" w:styleId="Hipervnculo">
    <w:name w:val="Hyperlink"/>
    <w:rPr>
      <w:color w:val="333333"/>
      <w:u w:val="single"/>
    </w:rPr>
  </w:style>
  <w:style w:type="paragraph" w:styleId="Sangra2detindependiente">
    <w:name w:val="Body Text Indent 2"/>
    <w:basedOn w:val="Normal"/>
    <w:pPr>
      <w:ind w:left="284"/>
      <w:jc w:val="both"/>
    </w:pPr>
    <w:rPr>
      <w:bCs/>
      <w:sz w:val="24"/>
    </w:rPr>
  </w:style>
  <w:style w:type="paragraph" w:styleId="Textodebloque">
    <w:name w:val="Block Text"/>
    <w:basedOn w:val="Normal"/>
    <w:pPr>
      <w:ind w:left="180" w:right="-1"/>
      <w:jc w:val="both"/>
    </w:pPr>
    <w:rPr>
      <w:bCs/>
      <w:sz w:val="24"/>
    </w:rPr>
  </w:style>
  <w:style w:type="character" w:styleId="Refdecomentario">
    <w:name w:val="annotation reference"/>
    <w:semiHidden/>
    <w:rPr>
      <w:sz w:val="16"/>
      <w:szCs w:val="16"/>
    </w:rPr>
  </w:style>
  <w:style w:type="paragraph" w:styleId="Textocomentario">
    <w:name w:val="annotation text"/>
    <w:basedOn w:val="Normal"/>
    <w:semiHidden/>
  </w:style>
  <w:style w:type="character" w:customStyle="1" w:styleId="CarCar2">
    <w:name w:val="Car Car2"/>
    <w:basedOn w:val="Fuentedeprrafopredeter"/>
  </w:style>
  <w:style w:type="paragraph" w:styleId="Asuntodelcomentario">
    <w:name w:val="annotation subject"/>
    <w:basedOn w:val="Textocomentario"/>
    <w:next w:val="Textocomentario"/>
    <w:rPr>
      <w:b/>
      <w:bCs/>
    </w:rPr>
  </w:style>
  <w:style w:type="character" w:customStyle="1" w:styleId="CarCar1">
    <w:name w:val="Car Car1"/>
    <w:rPr>
      <w:b/>
      <w:bCs/>
    </w:rPr>
  </w:style>
  <w:style w:type="paragraph" w:styleId="Textodeglobo">
    <w:name w:val="Balloon Text"/>
    <w:basedOn w:val="Normal"/>
    <w:rPr>
      <w:rFonts w:ascii="Tahoma" w:hAnsi="Tahoma" w:cs="Tahoma"/>
      <w:sz w:val="16"/>
      <w:szCs w:val="16"/>
    </w:rPr>
  </w:style>
  <w:style w:type="character" w:customStyle="1" w:styleId="CarCar">
    <w:name w:val="Car Car"/>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paragraph" w:styleId="Textoindependiente">
    <w:name w:val="Body Text"/>
    <w:basedOn w:val="Normal"/>
    <w:pPr>
      <w:jc w:val="both"/>
    </w:pPr>
    <w:rPr>
      <w:rFonts w:ascii="Verdana" w:hAnsi="Verdana"/>
      <w:sz w:val="22"/>
      <w:szCs w:val="24"/>
    </w:rPr>
  </w:style>
  <w:style w:type="character" w:customStyle="1" w:styleId="PiedepginaCar">
    <w:name w:val="Pie de página Car"/>
    <w:link w:val="Piedepgina"/>
    <w:uiPriority w:val="99"/>
    <w:rsid w:val="003735A6"/>
  </w:style>
  <w:style w:type="character" w:customStyle="1" w:styleId="Ttulo6Car">
    <w:name w:val="Título 6 Car"/>
    <w:link w:val="Ttulo6"/>
    <w:semiHidden/>
    <w:rsid w:val="00BA7BDA"/>
    <w:rPr>
      <w:rFonts w:ascii="Calibri" w:eastAsia="Times New Roman" w:hAnsi="Calibri" w:cs="Times New Roman"/>
      <w:b/>
      <w:bCs/>
      <w:sz w:val="22"/>
      <w:szCs w:val="22"/>
    </w:rPr>
  </w:style>
  <w:style w:type="paragraph" w:customStyle="1" w:styleId="Textoindependiente22">
    <w:name w:val="Texto independiente 22"/>
    <w:basedOn w:val="Normal"/>
    <w:rsid w:val="005C1A3D"/>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b/>
      <w:sz w:val="28"/>
      <w:lang w:val="es-ES_tradnl"/>
    </w:rPr>
  </w:style>
  <w:style w:type="paragraph" w:styleId="Subttulo">
    <w:name w:val="Subtitle"/>
    <w:basedOn w:val="Normal"/>
    <w:next w:val="Normal"/>
    <w:link w:val="SubttuloCar"/>
    <w:qFormat/>
    <w:rsid w:val="00F554CC"/>
    <w:pPr>
      <w:spacing w:after="60"/>
      <w:jc w:val="center"/>
      <w:outlineLvl w:val="1"/>
    </w:pPr>
    <w:rPr>
      <w:rFonts w:ascii="Calibri Light" w:hAnsi="Calibri Light"/>
      <w:sz w:val="24"/>
      <w:szCs w:val="24"/>
    </w:rPr>
  </w:style>
  <w:style w:type="character" w:customStyle="1" w:styleId="SubttuloCar">
    <w:name w:val="Subtítulo Car"/>
    <w:link w:val="Subttulo"/>
    <w:rsid w:val="00F554CC"/>
    <w:rPr>
      <w:rFonts w:ascii="Calibri Light" w:eastAsia="Times New Roman" w:hAnsi="Calibri Light" w:cs="Times New Roman"/>
      <w:sz w:val="24"/>
      <w:szCs w:val="24"/>
    </w:rPr>
  </w:style>
  <w:style w:type="table" w:styleId="Tablaconcuadrcula">
    <w:name w:val="Table Grid"/>
    <w:basedOn w:val="Tablanormal"/>
    <w:rsid w:val="0028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EB5F0A"/>
    <w:pPr>
      <w:ind w:left="283" w:hanging="283"/>
      <w:contextualSpacing/>
    </w:pPr>
  </w:style>
  <w:style w:type="paragraph" w:styleId="Saludo">
    <w:name w:val="Salutation"/>
    <w:basedOn w:val="Normal"/>
    <w:next w:val="Normal"/>
    <w:link w:val="SaludoCar"/>
    <w:rsid w:val="00EB5F0A"/>
  </w:style>
  <w:style w:type="character" w:customStyle="1" w:styleId="SaludoCar">
    <w:name w:val="Saludo Car"/>
    <w:basedOn w:val="Fuentedeprrafopredeter"/>
    <w:link w:val="Saludo"/>
    <w:rsid w:val="00EB5F0A"/>
  </w:style>
  <w:style w:type="paragraph" w:styleId="Listaconvietas">
    <w:name w:val="List Bullet"/>
    <w:basedOn w:val="Normal"/>
    <w:rsid w:val="00EB5F0A"/>
    <w:pPr>
      <w:numPr>
        <w:numId w:val="2"/>
      </w:numPr>
      <w:contextualSpacing/>
    </w:pPr>
  </w:style>
  <w:style w:type="paragraph" w:styleId="Ttulo">
    <w:name w:val="Title"/>
    <w:basedOn w:val="Normal"/>
    <w:next w:val="Normal"/>
    <w:link w:val="TtuloCar"/>
    <w:qFormat/>
    <w:rsid w:val="00EB5F0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rsid w:val="00EB5F0A"/>
    <w:rPr>
      <w:rFonts w:asciiTheme="majorHAnsi" w:eastAsiaTheme="majorEastAsia" w:hAnsiTheme="majorHAnsi" w:cstheme="majorBidi"/>
      <w:color w:val="323E4F" w:themeColor="text2" w:themeShade="BF"/>
      <w:spacing w:val="5"/>
      <w:kern w:val="28"/>
      <w:sz w:val="52"/>
      <w:szCs w:val="52"/>
    </w:rPr>
  </w:style>
  <w:style w:type="paragraph" w:customStyle="1" w:styleId="Lneadeasunto">
    <w:name w:val="Línea de asunto"/>
    <w:basedOn w:val="Normal"/>
    <w:rsid w:val="00EB5F0A"/>
  </w:style>
  <w:style w:type="paragraph" w:styleId="Textoindependienteprimerasangra2">
    <w:name w:val="Body Text First Indent 2"/>
    <w:basedOn w:val="Sangradetextonormal"/>
    <w:link w:val="Textoindependienteprimerasangra2Car"/>
    <w:rsid w:val="00EB5F0A"/>
    <w:pPr>
      <w:ind w:firstLine="360"/>
      <w:jc w:val="left"/>
    </w:pPr>
    <w:rPr>
      <w:b w:val="0"/>
      <w:bCs w:val="0"/>
      <w:i w:val="0"/>
      <w:iCs w:val="0"/>
      <w:color w:val="auto"/>
      <w:sz w:val="20"/>
      <w:szCs w:val="20"/>
    </w:rPr>
  </w:style>
  <w:style w:type="character" w:customStyle="1" w:styleId="SangradetextonormalCar">
    <w:name w:val="Sangría de texto normal Car"/>
    <w:basedOn w:val="Fuentedeprrafopredeter"/>
    <w:link w:val="Sangradetextonormal"/>
    <w:rsid w:val="00EB5F0A"/>
    <w:rPr>
      <w:b/>
      <w:bCs/>
      <w:i/>
      <w:iCs/>
      <w:color w:val="800000"/>
      <w:sz w:val="24"/>
      <w:szCs w:val="22"/>
    </w:rPr>
  </w:style>
  <w:style w:type="character" w:customStyle="1" w:styleId="Textoindependienteprimerasangra2Car">
    <w:name w:val="Texto independiente primera sangría 2 Car"/>
    <w:basedOn w:val="SangradetextonormalCar"/>
    <w:link w:val="Textoindependienteprimerasangra2"/>
    <w:rsid w:val="00EB5F0A"/>
    <w:rPr>
      <w:b w:val="0"/>
      <w:bCs w:val="0"/>
      <w:i w:val="0"/>
      <w:iCs w:val="0"/>
      <w:color w:val="800000"/>
      <w:sz w:val="24"/>
      <w:szCs w:val="22"/>
    </w:rPr>
  </w:style>
  <w:style w:type="paragraph" w:styleId="Revisin">
    <w:name w:val="Revision"/>
    <w:hidden/>
    <w:uiPriority w:val="99"/>
    <w:semiHidden/>
    <w:rsid w:val="002B4566"/>
  </w:style>
  <w:style w:type="character" w:styleId="Mencinsinresolver">
    <w:name w:val="Unresolved Mention"/>
    <w:basedOn w:val="Fuentedeprrafopredeter"/>
    <w:uiPriority w:val="99"/>
    <w:semiHidden/>
    <w:unhideWhenUsed/>
    <w:rsid w:val="004A7FE0"/>
    <w:rPr>
      <w:color w:val="605E5C"/>
      <w:shd w:val="clear" w:color="auto" w:fill="E1DFDD"/>
    </w:rPr>
  </w:style>
  <w:style w:type="character" w:styleId="nfasis">
    <w:name w:val="Emphasis"/>
    <w:basedOn w:val="Fuentedeprrafopredeter"/>
    <w:uiPriority w:val="20"/>
    <w:qFormat/>
    <w:rsid w:val="009A5414"/>
    <w:rPr>
      <w:i/>
      <w:iCs/>
    </w:rPr>
  </w:style>
  <w:style w:type="character" w:styleId="Textoennegrita">
    <w:name w:val="Strong"/>
    <w:basedOn w:val="Fuentedeprrafopredeter"/>
    <w:uiPriority w:val="22"/>
    <w:qFormat/>
    <w:rsid w:val="00F54D5A"/>
    <w:rPr>
      <w:b/>
      <w:bCs/>
    </w:rPr>
  </w:style>
  <w:style w:type="character" w:styleId="Hipervnculovisitado">
    <w:name w:val="FollowedHyperlink"/>
    <w:basedOn w:val="Fuentedeprrafopredeter"/>
    <w:semiHidden/>
    <w:unhideWhenUsed/>
    <w:rsid w:val="008C50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2040">
      <w:bodyDiv w:val="1"/>
      <w:marLeft w:val="0"/>
      <w:marRight w:val="0"/>
      <w:marTop w:val="0"/>
      <w:marBottom w:val="0"/>
      <w:divBdr>
        <w:top w:val="single" w:sz="2" w:space="0" w:color="CC3640"/>
        <w:left w:val="none" w:sz="0" w:space="0" w:color="auto"/>
        <w:bottom w:val="none" w:sz="0" w:space="0" w:color="auto"/>
        <w:right w:val="none" w:sz="0" w:space="0" w:color="auto"/>
      </w:divBdr>
      <w:divsChild>
        <w:div w:id="1438138402">
          <w:marLeft w:val="0"/>
          <w:marRight w:val="0"/>
          <w:marTop w:val="0"/>
          <w:marBottom w:val="0"/>
          <w:divBdr>
            <w:top w:val="single" w:sz="2" w:space="0" w:color="FF0000"/>
            <w:left w:val="single" w:sz="2" w:space="0" w:color="FF0000"/>
            <w:bottom w:val="single" w:sz="2" w:space="0" w:color="FF0000"/>
            <w:right w:val="single" w:sz="2" w:space="0" w:color="FF0000"/>
          </w:divBdr>
          <w:divsChild>
            <w:div w:id="1817066799">
              <w:marLeft w:val="0"/>
              <w:marRight w:val="0"/>
              <w:marTop w:val="0"/>
              <w:marBottom w:val="0"/>
              <w:divBdr>
                <w:top w:val="none" w:sz="0" w:space="0" w:color="auto"/>
                <w:left w:val="single" w:sz="6" w:space="0" w:color="DDDDDD"/>
                <w:bottom w:val="none" w:sz="0" w:space="0" w:color="auto"/>
                <w:right w:val="none" w:sz="0" w:space="0" w:color="auto"/>
              </w:divBdr>
              <w:divsChild>
                <w:div w:id="603264568">
                  <w:marLeft w:val="0"/>
                  <w:marRight w:val="0"/>
                  <w:marTop w:val="0"/>
                  <w:marBottom w:val="0"/>
                  <w:divBdr>
                    <w:top w:val="single" w:sz="2" w:space="0" w:color="008000"/>
                    <w:left w:val="single" w:sz="2" w:space="0" w:color="008000"/>
                    <w:bottom w:val="single" w:sz="2" w:space="0" w:color="008000"/>
                    <w:right w:val="single" w:sz="2" w:space="0" w:color="008000"/>
                  </w:divBdr>
                  <w:divsChild>
                    <w:div w:id="1812477817">
                      <w:marLeft w:val="0"/>
                      <w:marRight w:val="0"/>
                      <w:marTop w:val="0"/>
                      <w:marBottom w:val="0"/>
                      <w:divBdr>
                        <w:top w:val="none" w:sz="0" w:space="0" w:color="auto"/>
                        <w:left w:val="none" w:sz="0" w:space="0" w:color="auto"/>
                        <w:bottom w:val="none" w:sz="0" w:space="0" w:color="auto"/>
                        <w:right w:val="none" w:sz="0" w:space="0" w:color="auto"/>
                      </w:divBdr>
                      <w:divsChild>
                        <w:div w:id="1188181832">
                          <w:marLeft w:val="0"/>
                          <w:marRight w:val="0"/>
                          <w:marTop w:val="0"/>
                          <w:marBottom w:val="0"/>
                          <w:divBdr>
                            <w:top w:val="none" w:sz="0" w:space="0" w:color="auto"/>
                            <w:left w:val="none" w:sz="0" w:space="0" w:color="auto"/>
                            <w:bottom w:val="none" w:sz="0" w:space="0" w:color="auto"/>
                            <w:right w:val="none" w:sz="0" w:space="0" w:color="auto"/>
                          </w:divBdr>
                          <w:divsChild>
                            <w:div w:id="149476086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60313268">
      <w:bodyDiv w:val="1"/>
      <w:marLeft w:val="0"/>
      <w:marRight w:val="0"/>
      <w:marTop w:val="0"/>
      <w:marBottom w:val="0"/>
      <w:divBdr>
        <w:top w:val="none" w:sz="0" w:space="0" w:color="auto"/>
        <w:left w:val="none" w:sz="0" w:space="0" w:color="auto"/>
        <w:bottom w:val="none" w:sz="0" w:space="0" w:color="auto"/>
        <w:right w:val="none" w:sz="0" w:space="0" w:color="auto"/>
      </w:divBdr>
    </w:div>
    <w:div w:id="259604202">
      <w:bodyDiv w:val="1"/>
      <w:marLeft w:val="0"/>
      <w:marRight w:val="0"/>
      <w:marTop w:val="0"/>
      <w:marBottom w:val="0"/>
      <w:divBdr>
        <w:top w:val="none" w:sz="0" w:space="0" w:color="auto"/>
        <w:left w:val="none" w:sz="0" w:space="0" w:color="auto"/>
        <w:bottom w:val="none" w:sz="0" w:space="0" w:color="auto"/>
        <w:right w:val="none" w:sz="0" w:space="0" w:color="auto"/>
      </w:divBdr>
    </w:div>
    <w:div w:id="288125558">
      <w:bodyDiv w:val="1"/>
      <w:marLeft w:val="0"/>
      <w:marRight w:val="0"/>
      <w:marTop w:val="0"/>
      <w:marBottom w:val="0"/>
      <w:divBdr>
        <w:top w:val="none" w:sz="0" w:space="0" w:color="auto"/>
        <w:left w:val="none" w:sz="0" w:space="0" w:color="auto"/>
        <w:bottom w:val="none" w:sz="0" w:space="0" w:color="auto"/>
        <w:right w:val="none" w:sz="0" w:space="0" w:color="auto"/>
      </w:divBdr>
      <w:divsChild>
        <w:div w:id="1083377438">
          <w:marLeft w:val="0"/>
          <w:marRight w:val="0"/>
          <w:marTop w:val="0"/>
          <w:marBottom w:val="0"/>
          <w:divBdr>
            <w:top w:val="none" w:sz="0" w:space="0" w:color="auto"/>
            <w:left w:val="none" w:sz="0" w:space="0" w:color="auto"/>
            <w:bottom w:val="none" w:sz="0" w:space="0" w:color="auto"/>
            <w:right w:val="none" w:sz="0" w:space="0" w:color="auto"/>
          </w:divBdr>
          <w:divsChild>
            <w:div w:id="598605979">
              <w:marLeft w:val="0"/>
              <w:marRight w:val="0"/>
              <w:marTop w:val="0"/>
              <w:marBottom w:val="0"/>
              <w:divBdr>
                <w:top w:val="none" w:sz="0" w:space="0" w:color="auto"/>
                <w:left w:val="none" w:sz="0" w:space="0" w:color="auto"/>
                <w:bottom w:val="none" w:sz="0" w:space="0" w:color="auto"/>
                <w:right w:val="none" w:sz="0" w:space="0" w:color="auto"/>
              </w:divBdr>
              <w:divsChild>
                <w:div w:id="9678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79241">
      <w:bodyDiv w:val="1"/>
      <w:marLeft w:val="0"/>
      <w:marRight w:val="0"/>
      <w:marTop w:val="0"/>
      <w:marBottom w:val="0"/>
      <w:divBdr>
        <w:top w:val="none" w:sz="0" w:space="0" w:color="auto"/>
        <w:left w:val="none" w:sz="0" w:space="0" w:color="auto"/>
        <w:bottom w:val="none" w:sz="0" w:space="0" w:color="auto"/>
        <w:right w:val="none" w:sz="0" w:space="0" w:color="auto"/>
      </w:divBdr>
    </w:div>
    <w:div w:id="427654978">
      <w:bodyDiv w:val="1"/>
      <w:marLeft w:val="0"/>
      <w:marRight w:val="0"/>
      <w:marTop w:val="0"/>
      <w:marBottom w:val="0"/>
      <w:divBdr>
        <w:top w:val="none" w:sz="0" w:space="0" w:color="auto"/>
        <w:left w:val="none" w:sz="0" w:space="0" w:color="auto"/>
        <w:bottom w:val="none" w:sz="0" w:space="0" w:color="auto"/>
        <w:right w:val="none" w:sz="0" w:space="0" w:color="auto"/>
      </w:divBdr>
      <w:divsChild>
        <w:div w:id="1793353933">
          <w:marLeft w:val="0"/>
          <w:marRight w:val="0"/>
          <w:marTop w:val="0"/>
          <w:marBottom w:val="0"/>
          <w:divBdr>
            <w:top w:val="none" w:sz="0" w:space="0" w:color="auto"/>
            <w:left w:val="none" w:sz="0" w:space="0" w:color="auto"/>
            <w:bottom w:val="none" w:sz="0" w:space="0" w:color="auto"/>
            <w:right w:val="none" w:sz="0" w:space="0" w:color="auto"/>
          </w:divBdr>
          <w:divsChild>
            <w:div w:id="976449450">
              <w:marLeft w:val="0"/>
              <w:marRight w:val="0"/>
              <w:marTop w:val="0"/>
              <w:marBottom w:val="0"/>
              <w:divBdr>
                <w:top w:val="none" w:sz="0" w:space="0" w:color="auto"/>
                <w:left w:val="none" w:sz="0" w:space="0" w:color="auto"/>
                <w:bottom w:val="none" w:sz="0" w:space="0" w:color="auto"/>
                <w:right w:val="none" w:sz="0" w:space="0" w:color="auto"/>
              </w:divBdr>
              <w:divsChild>
                <w:div w:id="7453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1642">
      <w:bodyDiv w:val="1"/>
      <w:marLeft w:val="0"/>
      <w:marRight w:val="0"/>
      <w:marTop w:val="0"/>
      <w:marBottom w:val="0"/>
      <w:divBdr>
        <w:top w:val="none" w:sz="0" w:space="0" w:color="auto"/>
        <w:left w:val="none" w:sz="0" w:space="0" w:color="auto"/>
        <w:bottom w:val="none" w:sz="0" w:space="0" w:color="auto"/>
        <w:right w:val="none" w:sz="0" w:space="0" w:color="auto"/>
      </w:divBdr>
      <w:divsChild>
        <w:div w:id="267006058">
          <w:marLeft w:val="0"/>
          <w:marRight w:val="0"/>
          <w:marTop w:val="0"/>
          <w:marBottom w:val="0"/>
          <w:divBdr>
            <w:top w:val="none" w:sz="0" w:space="0" w:color="auto"/>
            <w:left w:val="none" w:sz="0" w:space="0" w:color="auto"/>
            <w:bottom w:val="none" w:sz="0" w:space="0" w:color="auto"/>
            <w:right w:val="none" w:sz="0" w:space="0" w:color="auto"/>
          </w:divBdr>
          <w:divsChild>
            <w:div w:id="1723671748">
              <w:marLeft w:val="212"/>
              <w:marRight w:val="0"/>
              <w:marTop w:val="0"/>
              <w:marBottom w:val="0"/>
              <w:divBdr>
                <w:top w:val="none" w:sz="0" w:space="0" w:color="auto"/>
                <w:left w:val="none" w:sz="0" w:space="0" w:color="auto"/>
                <w:bottom w:val="none" w:sz="0" w:space="0" w:color="auto"/>
                <w:right w:val="none" w:sz="0" w:space="0" w:color="auto"/>
              </w:divBdr>
              <w:divsChild>
                <w:div w:id="117381619">
                  <w:marLeft w:val="0"/>
                  <w:marRight w:val="0"/>
                  <w:marTop w:val="0"/>
                  <w:marBottom w:val="225"/>
                  <w:divBdr>
                    <w:top w:val="none" w:sz="0" w:space="0" w:color="auto"/>
                    <w:left w:val="none" w:sz="0" w:space="0" w:color="auto"/>
                    <w:bottom w:val="none" w:sz="0" w:space="0" w:color="auto"/>
                    <w:right w:val="none" w:sz="0" w:space="0" w:color="auto"/>
                  </w:divBdr>
                </w:div>
                <w:div w:id="371728919">
                  <w:marLeft w:val="0"/>
                  <w:marRight w:val="0"/>
                  <w:marTop w:val="0"/>
                  <w:marBottom w:val="0"/>
                  <w:divBdr>
                    <w:top w:val="none" w:sz="0" w:space="0" w:color="auto"/>
                    <w:left w:val="none" w:sz="0" w:space="0" w:color="auto"/>
                    <w:bottom w:val="none" w:sz="0" w:space="0" w:color="auto"/>
                    <w:right w:val="none" w:sz="0" w:space="0" w:color="auto"/>
                  </w:divBdr>
                </w:div>
                <w:div w:id="1983582512">
                  <w:marLeft w:val="0"/>
                  <w:marRight w:val="0"/>
                  <w:marTop w:val="225"/>
                  <w:marBottom w:val="0"/>
                  <w:divBdr>
                    <w:top w:val="none" w:sz="0" w:space="0" w:color="auto"/>
                    <w:left w:val="none" w:sz="0" w:space="0" w:color="auto"/>
                    <w:bottom w:val="none" w:sz="0" w:space="0" w:color="auto"/>
                    <w:right w:val="none" w:sz="0" w:space="0" w:color="auto"/>
                  </w:divBdr>
                  <w:divsChild>
                    <w:div w:id="1505588989">
                      <w:marLeft w:val="0"/>
                      <w:marRight w:val="0"/>
                      <w:marTop w:val="0"/>
                      <w:marBottom w:val="0"/>
                      <w:divBdr>
                        <w:top w:val="none" w:sz="0" w:space="0" w:color="auto"/>
                        <w:left w:val="none" w:sz="0" w:space="0" w:color="auto"/>
                        <w:bottom w:val="none" w:sz="0" w:space="0" w:color="auto"/>
                        <w:right w:val="none" w:sz="0" w:space="0" w:color="auto"/>
                      </w:divBdr>
                    </w:div>
                    <w:div w:id="16319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62247">
          <w:marLeft w:val="0"/>
          <w:marRight w:val="0"/>
          <w:marTop w:val="0"/>
          <w:marBottom w:val="300"/>
          <w:divBdr>
            <w:top w:val="none" w:sz="0" w:space="0" w:color="auto"/>
            <w:left w:val="none" w:sz="0" w:space="0" w:color="auto"/>
            <w:bottom w:val="none" w:sz="0" w:space="0" w:color="auto"/>
            <w:right w:val="none" w:sz="0" w:space="0" w:color="auto"/>
          </w:divBdr>
        </w:div>
      </w:divsChild>
    </w:div>
    <w:div w:id="455101620">
      <w:bodyDiv w:val="1"/>
      <w:marLeft w:val="0"/>
      <w:marRight w:val="0"/>
      <w:marTop w:val="0"/>
      <w:marBottom w:val="0"/>
      <w:divBdr>
        <w:top w:val="none" w:sz="0" w:space="0" w:color="auto"/>
        <w:left w:val="none" w:sz="0" w:space="0" w:color="auto"/>
        <w:bottom w:val="none" w:sz="0" w:space="0" w:color="auto"/>
        <w:right w:val="none" w:sz="0" w:space="0" w:color="auto"/>
      </w:divBdr>
    </w:div>
    <w:div w:id="514808269">
      <w:bodyDiv w:val="1"/>
      <w:marLeft w:val="0"/>
      <w:marRight w:val="0"/>
      <w:marTop w:val="0"/>
      <w:marBottom w:val="0"/>
      <w:divBdr>
        <w:top w:val="none" w:sz="0" w:space="0" w:color="auto"/>
        <w:left w:val="none" w:sz="0" w:space="0" w:color="auto"/>
        <w:bottom w:val="none" w:sz="0" w:space="0" w:color="auto"/>
        <w:right w:val="none" w:sz="0" w:space="0" w:color="auto"/>
      </w:divBdr>
    </w:div>
    <w:div w:id="612052137">
      <w:bodyDiv w:val="1"/>
      <w:marLeft w:val="0"/>
      <w:marRight w:val="0"/>
      <w:marTop w:val="0"/>
      <w:marBottom w:val="0"/>
      <w:divBdr>
        <w:top w:val="none" w:sz="0" w:space="0" w:color="auto"/>
        <w:left w:val="none" w:sz="0" w:space="0" w:color="auto"/>
        <w:bottom w:val="none" w:sz="0" w:space="0" w:color="auto"/>
        <w:right w:val="none" w:sz="0" w:space="0" w:color="auto"/>
      </w:divBdr>
    </w:div>
    <w:div w:id="719984605">
      <w:bodyDiv w:val="1"/>
      <w:marLeft w:val="0"/>
      <w:marRight w:val="0"/>
      <w:marTop w:val="0"/>
      <w:marBottom w:val="0"/>
      <w:divBdr>
        <w:top w:val="single" w:sz="2" w:space="0" w:color="CC3640"/>
        <w:left w:val="none" w:sz="0" w:space="0" w:color="auto"/>
        <w:bottom w:val="none" w:sz="0" w:space="0" w:color="auto"/>
        <w:right w:val="none" w:sz="0" w:space="0" w:color="auto"/>
      </w:divBdr>
      <w:divsChild>
        <w:div w:id="2015374774">
          <w:marLeft w:val="0"/>
          <w:marRight w:val="0"/>
          <w:marTop w:val="0"/>
          <w:marBottom w:val="0"/>
          <w:divBdr>
            <w:top w:val="single" w:sz="2" w:space="0" w:color="FF0000"/>
            <w:left w:val="single" w:sz="2" w:space="0" w:color="FF0000"/>
            <w:bottom w:val="single" w:sz="2" w:space="0" w:color="FF0000"/>
            <w:right w:val="single" w:sz="2" w:space="0" w:color="FF0000"/>
          </w:divBdr>
          <w:divsChild>
            <w:div w:id="1689214525">
              <w:marLeft w:val="0"/>
              <w:marRight w:val="0"/>
              <w:marTop w:val="0"/>
              <w:marBottom w:val="0"/>
              <w:divBdr>
                <w:top w:val="none" w:sz="0" w:space="0" w:color="auto"/>
                <w:left w:val="single" w:sz="6" w:space="0" w:color="DDDDDD"/>
                <w:bottom w:val="none" w:sz="0" w:space="0" w:color="auto"/>
                <w:right w:val="none" w:sz="0" w:space="0" w:color="auto"/>
              </w:divBdr>
              <w:divsChild>
                <w:div w:id="712844937">
                  <w:marLeft w:val="0"/>
                  <w:marRight w:val="0"/>
                  <w:marTop w:val="0"/>
                  <w:marBottom w:val="0"/>
                  <w:divBdr>
                    <w:top w:val="single" w:sz="2" w:space="0" w:color="008000"/>
                    <w:left w:val="single" w:sz="2" w:space="0" w:color="008000"/>
                    <w:bottom w:val="single" w:sz="2" w:space="0" w:color="008000"/>
                    <w:right w:val="single" w:sz="2" w:space="0" w:color="008000"/>
                  </w:divBdr>
                  <w:divsChild>
                    <w:div w:id="1357272261">
                      <w:marLeft w:val="0"/>
                      <w:marRight w:val="0"/>
                      <w:marTop w:val="0"/>
                      <w:marBottom w:val="0"/>
                      <w:divBdr>
                        <w:top w:val="none" w:sz="0" w:space="0" w:color="auto"/>
                        <w:left w:val="none" w:sz="0" w:space="0" w:color="auto"/>
                        <w:bottom w:val="none" w:sz="0" w:space="0" w:color="auto"/>
                        <w:right w:val="none" w:sz="0" w:space="0" w:color="auto"/>
                      </w:divBdr>
                      <w:divsChild>
                        <w:div w:id="487478296">
                          <w:marLeft w:val="0"/>
                          <w:marRight w:val="0"/>
                          <w:marTop w:val="0"/>
                          <w:marBottom w:val="0"/>
                          <w:divBdr>
                            <w:top w:val="none" w:sz="0" w:space="0" w:color="auto"/>
                            <w:left w:val="none" w:sz="0" w:space="0" w:color="auto"/>
                            <w:bottom w:val="none" w:sz="0" w:space="0" w:color="auto"/>
                            <w:right w:val="none" w:sz="0" w:space="0" w:color="auto"/>
                          </w:divBdr>
                          <w:divsChild>
                            <w:div w:id="150119295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62147046">
      <w:bodyDiv w:val="1"/>
      <w:marLeft w:val="0"/>
      <w:marRight w:val="0"/>
      <w:marTop w:val="0"/>
      <w:marBottom w:val="0"/>
      <w:divBdr>
        <w:top w:val="none" w:sz="0" w:space="0" w:color="auto"/>
        <w:left w:val="none" w:sz="0" w:space="0" w:color="auto"/>
        <w:bottom w:val="none" w:sz="0" w:space="0" w:color="auto"/>
        <w:right w:val="none" w:sz="0" w:space="0" w:color="auto"/>
      </w:divBdr>
    </w:div>
    <w:div w:id="863204377">
      <w:bodyDiv w:val="1"/>
      <w:marLeft w:val="0"/>
      <w:marRight w:val="0"/>
      <w:marTop w:val="0"/>
      <w:marBottom w:val="0"/>
      <w:divBdr>
        <w:top w:val="none" w:sz="0" w:space="0" w:color="auto"/>
        <w:left w:val="none" w:sz="0" w:space="0" w:color="auto"/>
        <w:bottom w:val="none" w:sz="0" w:space="0" w:color="auto"/>
        <w:right w:val="none" w:sz="0" w:space="0" w:color="auto"/>
      </w:divBdr>
    </w:div>
    <w:div w:id="863641549">
      <w:bodyDiv w:val="1"/>
      <w:marLeft w:val="0"/>
      <w:marRight w:val="0"/>
      <w:marTop w:val="0"/>
      <w:marBottom w:val="0"/>
      <w:divBdr>
        <w:top w:val="none" w:sz="0" w:space="0" w:color="auto"/>
        <w:left w:val="none" w:sz="0" w:space="0" w:color="auto"/>
        <w:bottom w:val="none" w:sz="0" w:space="0" w:color="auto"/>
        <w:right w:val="none" w:sz="0" w:space="0" w:color="auto"/>
      </w:divBdr>
    </w:div>
    <w:div w:id="1027871664">
      <w:bodyDiv w:val="1"/>
      <w:marLeft w:val="0"/>
      <w:marRight w:val="0"/>
      <w:marTop w:val="0"/>
      <w:marBottom w:val="0"/>
      <w:divBdr>
        <w:top w:val="none" w:sz="0" w:space="0" w:color="auto"/>
        <w:left w:val="none" w:sz="0" w:space="0" w:color="auto"/>
        <w:bottom w:val="none" w:sz="0" w:space="0" w:color="auto"/>
        <w:right w:val="none" w:sz="0" w:space="0" w:color="auto"/>
      </w:divBdr>
    </w:div>
    <w:div w:id="1421025656">
      <w:bodyDiv w:val="1"/>
      <w:marLeft w:val="0"/>
      <w:marRight w:val="0"/>
      <w:marTop w:val="0"/>
      <w:marBottom w:val="0"/>
      <w:divBdr>
        <w:top w:val="none" w:sz="0" w:space="0" w:color="auto"/>
        <w:left w:val="none" w:sz="0" w:space="0" w:color="auto"/>
        <w:bottom w:val="none" w:sz="0" w:space="0" w:color="auto"/>
        <w:right w:val="none" w:sz="0" w:space="0" w:color="auto"/>
      </w:divBdr>
    </w:div>
    <w:div w:id="1421758333">
      <w:bodyDiv w:val="1"/>
      <w:marLeft w:val="0"/>
      <w:marRight w:val="0"/>
      <w:marTop w:val="0"/>
      <w:marBottom w:val="0"/>
      <w:divBdr>
        <w:top w:val="none" w:sz="0" w:space="0" w:color="auto"/>
        <w:left w:val="none" w:sz="0" w:space="0" w:color="auto"/>
        <w:bottom w:val="none" w:sz="0" w:space="0" w:color="auto"/>
        <w:right w:val="none" w:sz="0" w:space="0" w:color="auto"/>
      </w:divBdr>
    </w:div>
    <w:div w:id="1508789665">
      <w:bodyDiv w:val="1"/>
      <w:marLeft w:val="0"/>
      <w:marRight w:val="0"/>
      <w:marTop w:val="0"/>
      <w:marBottom w:val="0"/>
      <w:divBdr>
        <w:top w:val="none" w:sz="0" w:space="0" w:color="auto"/>
        <w:left w:val="none" w:sz="0" w:space="0" w:color="auto"/>
        <w:bottom w:val="none" w:sz="0" w:space="0" w:color="auto"/>
        <w:right w:val="none" w:sz="0" w:space="0" w:color="auto"/>
      </w:divBdr>
    </w:div>
    <w:div w:id="1532063018">
      <w:bodyDiv w:val="1"/>
      <w:marLeft w:val="0"/>
      <w:marRight w:val="0"/>
      <w:marTop w:val="0"/>
      <w:marBottom w:val="0"/>
      <w:divBdr>
        <w:top w:val="none" w:sz="0" w:space="0" w:color="auto"/>
        <w:left w:val="none" w:sz="0" w:space="0" w:color="auto"/>
        <w:bottom w:val="none" w:sz="0" w:space="0" w:color="auto"/>
        <w:right w:val="none" w:sz="0" w:space="0" w:color="auto"/>
      </w:divBdr>
    </w:div>
    <w:div w:id="1619140252">
      <w:bodyDiv w:val="1"/>
      <w:marLeft w:val="0"/>
      <w:marRight w:val="0"/>
      <w:marTop w:val="0"/>
      <w:marBottom w:val="0"/>
      <w:divBdr>
        <w:top w:val="none" w:sz="0" w:space="0" w:color="auto"/>
        <w:left w:val="none" w:sz="0" w:space="0" w:color="auto"/>
        <w:bottom w:val="none" w:sz="0" w:space="0" w:color="auto"/>
        <w:right w:val="none" w:sz="0" w:space="0" w:color="auto"/>
      </w:divBdr>
    </w:div>
    <w:div w:id="1744449734">
      <w:bodyDiv w:val="1"/>
      <w:marLeft w:val="0"/>
      <w:marRight w:val="0"/>
      <w:marTop w:val="0"/>
      <w:marBottom w:val="0"/>
      <w:divBdr>
        <w:top w:val="none" w:sz="0" w:space="0" w:color="auto"/>
        <w:left w:val="none" w:sz="0" w:space="0" w:color="auto"/>
        <w:bottom w:val="none" w:sz="0" w:space="0" w:color="auto"/>
        <w:right w:val="none" w:sz="0" w:space="0" w:color="auto"/>
      </w:divBdr>
    </w:div>
    <w:div w:id="1746151239">
      <w:bodyDiv w:val="1"/>
      <w:marLeft w:val="0"/>
      <w:marRight w:val="0"/>
      <w:marTop w:val="0"/>
      <w:marBottom w:val="0"/>
      <w:divBdr>
        <w:top w:val="single" w:sz="2" w:space="0" w:color="CC3640"/>
        <w:left w:val="none" w:sz="0" w:space="0" w:color="auto"/>
        <w:bottom w:val="none" w:sz="0" w:space="0" w:color="auto"/>
        <w:right w:val="none" w:sz="0" w:space="0" w:color="auto"/>
      </w:divBdr>
      <w:divsChild>
        <w:div w:id="1263418999">
          <w:marLeft w:val="0"/>
          <w:marRight w:val="0"/>
          <w:marTop w:val="0"/>
          <w:marBottom w:val="0"/>
          <w:divBdr>
            <w:top w:val="single" w:sz="2" w:space="0" w:color="FF0000"/>
            <w:left w:val="single" w:sz="2" w:space="0" w:color="FF0000"/>
            <w:bottom w:val="single" w:sz="2" w:space="0" w:color="FF0000"/>
            <w:right w:val="single" w:sz="2" w:space="0" w:color="FF0000"/>
          </w:divBdr>
          <w:divsChild>
            <w:div w:id="43452492">
              <w:marLeft w:val="0"/>
              <w:marRight w:val="0"/>
              <w:marTop w:val="0"/>
              <w:marBottom w:val="0"/>
              <w:divBdr>
                <w:top w:val="none" w:sz="0" w:space="0" w:color="auto"/>
                <w:left w:val="single" w:sz="6" w:space="0" w:color="DDDDDD"/>
                <w:bottom w:val="none" w:sz="0" w:space="0" w:color="auto"/>
                <w:right w:val="none" w:sz="0" w:space="0" w:color="auto"/>
              </w:divBdr>
              <w:divsChild>
                <w:div w:id="795296239">
                  <w:marLeft w:val="0"/>
                  <w:marRight w:val="0"/>
                  <w:marTop w:val="0"/>
                  <w:marBottom w:val="0"/>
                  <w:divBdr>
                    <w:top w:val="single" w:sz="2" w:space="0" w:color="008000"/>
                    <w:left w:val="single" w:sz="2" w:space="0" w:color="008000"/>
                    <w:bottom w:val="single" w:sz="2" w:space="0" w:color="008000"/>
                    <w:right w:val="single" w:sz="2" w:space="0" w:color="008000"/>
                  </w:divBdr>
                  <w:divsChild>
                    <w:div w:id="547182613">
                      <w:marLeft w:val="0"/>
                      <w:marRight w:val="0"/>
                      <w:marTop w:val="0"/>
                      <w:marBottom w:val="0"/>
                      <w:divBdr>
                        <w:top w:val="none" w:sz="0" w:space="0" w:color="auto"/>
                        <w:left w:val="none" w:sz="0" w:space="0" w:color="auto"/>
                        <w:bottom w:val="none" w:sz="0" w:space="0" w:color="auto"/>
                        <w:right w:val="none" w:sz="0" w:space="0" w:color="auto"/>
                      </w:divBdr>
                      <w:divsChild>
                        <w:div w:id="1466503467">
                          <w:marLeft w:val="0"/>
                          <w:marRight w:val="0"/>
                          <w:marTop w:val="0"/>
                          <w:marBottom w:val="0"/>
                          <w:divBdr>
                            <w:top w:val="none" w:sz="0" w:space="0" w:color="auto"/>
                            <w:left w:val="none" w:sz="0" w:space="0" w:color="auto"/>
                            <w:bottom w:val="none" w:sz="0" w:space="0" w:color="auto"/>
                            <w:right w:val="none" w:sz="0" w:space="0" w:color="auto"/>
                          </w:divBdr>
                          <w:divsChild>
                            <w:div w:id="144245474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849128168">
      <w:bodyDiv w:val="1"/>
      <w:marLeft w:val="0"/>
      <w:marRight w:val="0"/>
      <w:marTop w:val="0"/>
      <w:marBottom w:val="0"/>
      <w:divBdr>
        <w:top w:val="none" w:sz="0" w:space="0" w:color="auto"/>
        <w:left w:val="none" w:sz="0" w:space="0" w:color="auto"/>
        <w:bottom w:val="none" w:sz="0" w:space="0" w:color="auto"/>
        <w:right w:val="none" w:sz="0" w:space="0" w:color="auto"/>
      </w:divBdr>
    </w:div>
    <w:div w:id="2088108856">
      <w:bodyDiv w:val="1"/>
      <w:marLeft w:val="0"/>
      <w:marRight w:val="0"/>
      <w:marTop w:val="0"/>
      <w:marBottom w:val="0"/>
      <w:divBdr>
        <w:top w:val="none" w:sz="0" w:space="0" w:color="auto"/>
        <w:left w:val="none" w:sz="0" w:space="0" w:color="auto"/>
        <w:bottom w:val="none" w:sz="0" w:space="0" w:color="auto"/>
        <w:right w:val="none" w:sz="0" w:space="0" w:color="auto"/>
      </w:divBdr>
    </w:div>
    <w:div w:id="210032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24-221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e.es/buscar/act.php?id=BOE-A-2024-221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95735-D8C6-4DCB-B44C-0D6DECFF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3289</Words>
  <Characters>18804</Characters>
  <Application>Microsoft Office Word</Application>
  <DocSecurity>0</DocSecurity>
  <Lines>482</Lines>
  <Paragraphs>272</Paragraphs>
  <ScaleCrop>false</ScaleCrop>
  <HeadingPairs>
    <vt:vector size="2" baseType="variant">
      <vt:variant>
        <vt:lpstr>Título</vt:lpstr>
      </vt:variant>
      <vt:variant>
        <vt:i4>1</vt:i4>
      </vt:variant>
    </vt:vector>
  </HeadingPairs>
  <TitlesOfParts>
    <vt:vector size="1" baseType="lpstr">
      <vt:lpstr>OCTUBRE</vt:lpstr>
    </vt:vector>
  </TitlesOfParts>
  <Company>Atlantis Hotels</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OCTUBRE</dc:title>
  <dc:subject/>
  <dc:creator>Juan Lorente</dc:creator>
  <cp:keywords/>
  <cp:lastModifiedBy>Jose Luis Chico Bersabe</cp:lastModifiedBy>
  <cp:revision>4</cp:revision>
  <dcterms:created xsi:type="dcterms:W3CDTF">2025-10-27T17:40:00Z</dcterms:created>
  <dcterms:modified xsi:type="dcterms:W3CDTF">2025-10-30T17:09:00Z</dcterms:modified>
</cp:coreProperties>
</file>