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150"/>
        <w:gridCol w:w="7494"/>
      </w:tblGrid>
      <w:tr w:rsidR="00FE5FAD" w:rsidRPr="00776E79" w14:paraId="782B3A3E" w14:textId="77777777">
        <w:trPr>
          <w:trHeight w:val="889"/>
        </w:trPr>
        <w:tc>
          <w:tcPr>
            <w:tcW w:w="1150" w:type="dxa"/>
            <w:shd w:val="clear" w:color="auto" w:fill="000000"/>
            <w:vAlign w:val="center"/>
          </w:tcPr>
          <w:p w14:paraId="7D42B3A2" w14:textId="7B6B5810" w:rsidR="00FE5FAD" w:rsidRPr="00776E79" w:rsidRDefault="00FE5FAD">
            <w:pPr>
              <w:jc w:val="center"/>
              <w:rPr>
                <w:rFonts w:ascii="Verdana" w:hAnsi="Verdana"/>
                <w:b/>
                <w:bCs/>
                <w:szCs w:val="20"/>
              </w:rPr>
            </w:pPr>
            <w:r w:rsidRPr="00776E79">
              <w:rPr>
                <w:rFonts w:ascii="Verdana" w:hAnsi="Verdana"/>
                <w:b/>
                <w:bCs/>
                <w:szCs w:val="20"/>
              </w:rPr>
              <w:t>MARZO</w:t>
            </w:r>
          </w:p>
          <w:p w14:paraId="02F25A0C" w14:textId="36FB0273" w:rsidR="00FE5FAD" w:rsidRPr="00776E79" w:rsidRDefault="003A4185" w:rsidP="004B699F">
            <w:pPr>
              <w:jc w:val="center"/>
              <w:rPr>
                <w:rFonts w:ascii="Verdana" w:hAnsi="Verdana"/>
                <w:b/>
                <w:bCs/>
                <w:szCs w:val="20"/>
              </w:rPr>
            </w:pPr>
            <w:r>
              <w:rPr>
                <w:rFonts w:ascii="Verdana" w:hAnsi="Verdana"/>
                <w:b/>
                <w:bCs/>
                <w:szCs w:val="20"/>
              </w:rPr>
              <w:t>202</w:t>
            </w:r>
            <w:r w:rsidR="00155526">
              <w:rPr>
                <w:rFonts w:ascii="Verdana" w:hAnsi="Verdana"/>
                <w:b/>
                <w:bCs/>
                <w:szCs w:val="20"/>
              </w:rPr>
              <w:t>6</w:t>
            </w:r>
          </w:p>
        </w:tc>
        <w:tc>
          <w:tcPr>
            <w:tcW w:w="7494" w:type="dxa"/>
            <w:shd w:val="clear" w:color="auto" w:fill="993300"/>
            <w:vAlign w:val="center"/>
          </w:tcPr>
          <w:p w14:paraId="26752C24" w14:textId="77777777" w:rsidR="00FE5FAD" w:rsidRPr="00776E79" w:rsidRDefault="00FE5FAD">
            <w:pPr>
              <w:jc w:val="center"/>
              <w:rPr>
                <w:rFonts w:ascii="Verdana" w:hAnsi="Verdana"/>
                <w:b/>
                <w:bCs/>
                <w:color w:val="FFFFFF"/>
                <w:sz w:val="24"/>
              </w:rPr>
            </w:pPr>
            <w:r w:rsidRPr="00776E79">
              <w:rPr>
                <w:rFonts w:ascii="Verdana" w:hAnsi="Verdana"/>
                <w:b/>
                <w:bCs/>
                <w:color w:val="FFFFFF"/>
                <w:sz w:val="24"/>
              </w:rPr>
              <w:t>APUNTES SOBRE LA ACTUALIDAD FISCAL</w:t>
            </w:r>
          </w:p>
        </w:tc>
      </w:tr>
    </w:tbl>
    <w:p w14:paraId="2D665336" w14:textId="77777777" w:rsidR="00133047" w:rsidRPr="00776E79" w:rsidRDefault="00133047">
      <w:pPr>
        <w:pStyle w:val="Ttulo3"/>
        <w:widowControl/>
        <w:rPr>
          <w:rFonts w:ascii="Verdana" w:hAnsi="Verdana"/>
          <w:color w:val="800000"/>
          <w:szCs w:val="20"/>
        </w:rPr>
      </w:pPr>
    </w:p>
    <w:p w14:paraId="49930DAB" w14:textId="6E194E79" w:rsidR="00225914" w:rsidRPr="00776E79" w:rsidRDefault="00225914" w:rsidP="00225914">
      <w:pPr>
        <w:rPr>
          <w:rFonts w:ascii="Verdana" w:hAnsi="Verdana"/>
          <w:szCs w:val="20"/>
        </w:rPr>
      </w:pPr>
    </w:p>
    <w:p w14:paraId="298024CD" w14:textId="77777777" w:rsidR="00FE5FAD" w:rsidRPr="00776E79" w:rsidRDefault="00FE5FAD">
      <w:pPr>
        <w:pStyle w:val="Ttulo3"/>
        <w:widowControl/>
        <w:rPr>
          <w:rFonts w:ascii="Verdana" w:hAnsi="Verdana"/>
          <w:color w:val="800000"/>
          <w:sz w:val="18"/>
          <w:szCs w:val="18"/>
        </w:rPr>
      </w:pPr>
      <w:r w:rsidRPr="00776E79">
        <w:rPr>
          <w:rFonts w:ascii="Verdana" w:hAnsi="Verdana"/>
          <w:color w:val="800000"/>
          <w:sz w:val="18"/>
          <w:szCs w:val="18"/>
        </w:rPr>
        <w:t>SUMARIO</w:t>
      </w:r>
    </w:p>
    <w:p w14:paraId="3410917C" w14:textId="77777777" w:rsidR="00FE5FAD" w:rsidRPr="00776E79" w:rsidRDefault="00FE5FAD">
      <w:pPr>
        <w:jc w:val="center"/>
        <w:rPr>
          <w:rFonts w:ascii="Verdana" w:hAnsi="Verdana"/>
          <w:b/>
          <w:bCs/>
          <w:i/>
          <w:iCs/>
          <w:color w:val="800000"/>
          <w:sz w:val="18"/>
          <w:szCs w:val="18"/>
          <w:u w:val="single"/>
        </w:rPr>
      </w:pPr>
    </w:p>
    <w:p w14:paraId="7AAA00AF" w14:textId="77777777" w:rsidR="00605CD8" w:rsidRPr="00776E79" w:rsidRDefault="00605CD8">
      <w:pPr>
        <w:jc w:val="both"/>
        <w:rPr>
          <w:rFonts w:ascii="Verdana" w:hAnsi="Verdana"/>
          <w:b/>
          <w:bCs/>
          <w:i/>
          <w:iCs/>
          <w:color w:val="800000"/>
          <w:w w:val="98"/>
          <w:sz w:val="18"/>
          <w:szCs w:val="18"/>
        </w:rPr>
      </w:pPr>
    </w:p>
    <w:p w14:paraId="4435F45B" w14:textId="1DA22A44" w:rsidR="00CB580D" w:rsidRDefault="009E0884" w:rsidP="00CB580D">
      <w:pPr>
        <w:pStyle w:val="Prrafodelista"/>
        <w:numPr>
          <w:ilvl w:val="0"/>
          <w:numId w:val="29"/>
        </w:numPr>
        <w:tabs>
          <w:tab w:val="left" w:pos="284"/>
        </w:tabs>
        <w:ind w:left="284" w:hanging="284"/>
        <w:jc w:val="both"/>
        <w:rPr>
          <w:rFonts w:ascii="Verdana" w:hAnsi="Verdana"/>
          <w:b/>
          <w:bCs/>
          <w:i/>
          <w:iCs/>
          <w:color w:val="800000"/>
          <w:sz w:val="18"/>
          <w:szCs w:val="18"/>
        </w:rPr>
      </w:pPr>
      <w:r w:rsidRPr="009E0884">
        <w:rPr>
          <w:rFonts w:ascii="Verdana" w:hAnsi="Verdana"/>
          <w:b/>
          <w:bCs/>
          <w:i/>
          <w:iCs/>
          <w:color w:val="800000"/>
          <w:sz w:val="18"/>
          <w:szCs w:val="18"/>
        </w:rPr>
        <w:t>CREACIÓN DE LA BASE ÚNICA DE CONOCIMIENTO (BUC)</w:t>
      </w:r>
      <w:r w:rsidRPr="00CB580D">
        <w:rPr>
          <w:rFonts w:ascii="Verdana" w:hAnsi="Verdana"/>
          <w:b/>
          <w:bCs/>
          <w:i/>
          <w:iCs/>
          <w:color w:val="800000"/>
          <w:sz w:val="18"/>
          <w:szCs w:val="18"/>
        </w:rPr>
        <w:tab/>
      </w:r>
    </w:p>
    <w:p w14:paraId="6DD3B047" w14:textId="5DF06827" w:rsidR="00480949" w:rsidRDefault="009E0884" w:rsidP="009E0884">
      <w:pPr>
        <w:ind w:left="284"/>
        <w:jc w:val="both"/>
        <w:rPr>
          <w:rFonts w:ascii="Verdana" w:hAnsi="Verdana"/>
          <w:b/>
          <w:bCs/>
          <w:i/>
          <w:iCs/>
          <w:color w:val="800000"/>
          <w:sz w:val="18"/>
          <w:szCs w:val="18"/>
        </w:rPr>
      </w:pPr>
      <w:r w:rsidRPr="009E0884">
        <w:rPr>
          <w:rFonts w:ascii="Verdana" w:hAnsi="Verdana"/>
          <w:b/>
          <w:bCs/>
          <w:i/>
          <w:iCs/>
          <w:color w:val="800000"/>
          <w:sz w:val="18"/>
          <w:szCs w:val="18"/>
        </w:rPr>
        <w:t>En el marco del nuevo modelo de gestión informática de los Tribunales Económico-Administrativos (TEA) y de la Dirección General de Tributos (DGT), aprobado por la Resolución de 13 de enero de 2021 de la Secretaría de Estado de Hacienda, se está desarrollando la Base Única de Conocimiento (BUC)</w:t>
      </w:r>
      <w:r w:rsidR="00F7572A">
        <w:rPr>
          <w:rFonts w:ascii="Verdana" w:hAnsi="Verdana"/>
          <w:b/>
          <w:bCs/>
          <w:i/>
          <w:iCs/>
          <w:color w:val="800000"/>
          <w:sz w:val="18"/>
          <w:szCs w:val="18"/>
        </w:rPr>
        <w:t>.</w:t>
      </w:r>
    </w:p>
    <w:p w14:paraId="0E51AA74" w14:textId="77777777" w:rsidR="00F7572A" w:rsidRDefault="00F7572A" w:rsidP="009E0884">
      <w:pPr>
        <w:ind w:left="284"/>
        <w:jc w:val="both"/>
        <w:rPr>
          <w:rFonts w:ascii="Verdana" w:hAnsi="Verdana"/>
          <w:b/>
          <w:bCs/>
          <w:i/>
          <w:iCs/>
          <w:color w:val="800000"/>
          <w:sz w:val="18"/>
          <w:szCs w:val="18"/>
        </w:rPr>
      </w:pPr>
    </w:p>
    <w:p w14:paraId="4B1596F7" w14:textId="040283DD" w:rsidR="00F7572A" w:rsidRPr="00F7572A" w:rsidRDefault="00F7572A" w:rsidP="00F7572A">
      <w:pPr>
        <w:pStyle w:val="Prrafodelista"/>
        <w:numPr>
          <w:ilvl w:val="0"/>
          <w:numId w:val="29"/>
        </w:numPr>
        <w:ind w:left="284" w:hanging="284"/>
        <w:jc w:val="both"/>
        <w:rPr>
          <w:rFonts w:ascii="Verdana" w:hAnsi="Verdana"/>
          <w:b/>
          <w:bCs/>
          <w:i/>
          <w:iCs/>
          <w:color w:val="800000"/>
          <w:sz w:val="18"/>
          <w:szCs w:val="18"/>
        </w:rPr>
      </w:pPr>
      <w:r w:rsidRPr="00F7572A">
        <w:rPr>
          <w:rFonts w:ascii="Verdana" w:hAnsi="Verdana"/>
          <w:b/>
          <w:bCs/>
          <w:i/>
          <w:iCs/>
          <w:color w:val="800000"/>
          <w:sz w:val="18"/>
          <w:szCs w:val="18"/>
        </w:rPr>
        <w:t>IRPF. DEDUCCIÓN POR INVERSIÓN EN VIVIENDA HABITUAL TRAS LA EXTINCIÓN DE CONDOMINIO POR DIVORCIO</w:t>
      </w:r>
    </w:p>
    <w:p w14:paraId="6AE3F338" w14:textId="068D2FA2" w:rsidR="009E0884" w:rsidRDefault="00F7572A" w:rsidP="00F7572A">
      <w:pPr>
        <w:ind w:left="284"/>
        <w:jc w:val="both"/>
        <w:rPr>
          <w:rFonts w:ascii="Verdana" w:hAnsi="Verdana"/>
          <w:b/>
          <w:bCs/>
          <w:i/>
          <w:iCs/>
          <w:color w:val="800000"/>
          <w:sz w:val="18"/>
          <w:szCs w:val="18"/>
        </w:rPr>
      </w:pPr>
      <w:r w:rsidRPr="00F7572A">
        <w:rPr>
          <w:rFonts w:ascii="Verdana" w:hAnsi="Verdana"/>
          <w:b/>
          <w:bCs/>
          <w:i/>
          <w:iCs/>
          <w:color w:val="800000"/>
          <w:sz w:val="18"/>
          <w:szCs w:val="18"/>
        </w:rPr>
        <w:t>La Dirección General de Tributos, en la consulta vinculante V1539-25, de 26 de agosto, analiza el alcance de la deducción por inversión en vivienda habitual en supuestos de extinción de condominio derivada de divorcio, cuando uno de los excónyuges adquiere la plena propiedad del inmueble y asume la totalidad de la deuda hipotecaria</w:t>
      </w:r>
      <w:r>
        <w:rPr>
          <w:rFonts w:ascii="Verdana" w:hAnsi="Verdana"/>
          <w:b/>
          <w:bCs/>
          <w:i/>
          <w:iCs/>
          <w:color w:val="800000"/>
          <w:sz w:val="18"/>
          <w:szCs w:val="18"/>
        </w:rPr>
        <w:t>.</w:t>
      </w:r>
    </w:p>
    <w:p w14:paraId="756ED560" w14:textId="77777777" w:rsidR="00B9750F" w:rsidRDefault="00B9750F" w:rsidP="00F7572A">
      <w:pPr>
        <w:ind w:left="284"/>
        <w:jc w:val="both"/>
        <w:rPr>
          <w:rFonts w:ascii="Verdana" w:hAnsi="Verdana"/>
          <w:b/>
          <w:bCs/>
          <w:i/>
          <w:iCs/>
          <w:color w:val="800000"/>
          <w:sz w:val="18"/>
          <w:szCs w:val="18"/>
        </w:rPr>
      </w:pPr>
    </w:p>
    <w:p w14:paraId="74BC1EE0" w14:textId="5D25C733" w:rsidR="00B9750F" w:rsidRDefault="00B9750F" w:rsidP="00B9750F">
      <w:pPr>
        <w:pStyle w:val="Prrafodelista"/>
        <w:numPr>
          <w:ilvl w:val="0"/>
          <w:numId w:val="29"/>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IRPF. </w:t>
      </w:r>
      <w:r w:rsidRPr="00B9750F">
        <w:rPr>
          <w:rFonts w:ascii="Verdana" w:hAnsi="Verdana"/>
          <w:b/>
          <w:bCs/>
          <w:i/>
          <w:iCs/>
          <w:color w:val="800000"/>
          <w:sz w:val="18"/>
          <w:szCs w:val="18"/>
        </w:rPr>
        <w:t>LAS REFORMAS INTEGRALES EN UNA VIVIENDA CONSTITUYEN UNA MEJORA QUE AUMENTA SU VALOR DE ADQUISICIÓN</w:t>
      </w:r>
    </w:p>
    <w:p w14:paraId="4F18C414" w14:textId="3E6668E1" w:rsidR="00B9750F" w:rsidRDefault="00B9750F" w:rsidP="00B9750F">
      <w:pPr>
        <w:pStyle w:val="Prrafodelista"/>
        <w:ind w:left="284"/>
        <w:jc w:val="both"/>
        <w:rPr>
          <w:rFonts w:ascii="Verdana" w:hAnsi="Verdana"/>
          <w:b/>
          <w:bCs/>
          <w:i/>
          <w:iCs/>
          <w:color w:val="800000"/>
          <w:sz w:val="18"/>
          <w:szCs w:val="18"/>
        </w:rPr>
      </w:pPr>
      <w:r w:rsidRPr="00B9750F">
        <w:rPr>
          <w:rFonts w:ascii="Verdana" w:hAnsi="Verdana"/>
          <w:b/>
          <w:bCs/>
          <w:i/>
          <w:iCs/>
          <w:color w:val="800000"/>
          <w:sz w:val="18"/>
          <w:szCs w:val="18"/>
        </w:rPr>
        <w:t>El TEAR de Madrid clarifica la diferencia entre gastos de mejora y de conservación en inmuebles</w:t>
      </w:r>
      <w:r w:rsidR="00633FF3">
        <w:rPr>
          <w:rFonts w:ascii="Verdana" w:hAnsi="Verdana"/>
          <w:b/>
          <w:bCs/>
          <w:i/>
          <w:iCs/>
          <w:color w:val="800000"/>
          <w:sz w:val="18"/>
          <w:szCs w:val="18"/>
        </w:rPr>
        <w:t>.</w:t>
      </w:r>
    </w:p>
    <w:p w14:paraId="3A28E484" w14:textId="77777777" w:rsidR="00EC4C53" w:rsidRDefault="00EC4C53" w:rsidP="00F7572A">
      <w:pPr>
        <w:ind w:left="284"/>
        <w:jc w:val="both"/>
        <w:rPr>
          <w:rFonts w:ascii="Verdana" w:hAnsi="Verdana"/>
          <w:b/>
          <w:bCs/>
          <w:i/>
          <w:iCs/>
          <w:color w:val="800000"/>
          <w:sz w:val="18"/>
          <w:szCs w:val="18"/>
        </w:rPr>
      </w:pPr>
    </w:p>
    <w:p w14:paraId="2E033B72" w14:textId="3AAF9C50" w:rsidR="00EC4C53" w:rsidRPr="00B9750F" w:rsidRDefault="00B9750F" w:rsidP="00EC4C53">
      <w:pPr>
        <w:pStyle w:val="Prrafodelista"/>
        <w:numPr>
          <w:ilvl w:val="0"/>
          <w:numId w:val="29"/>
        </w:numPr>
        <w:ind w:left="284" w:hanging="284"/>
        <w:jc w:val="both"/>
        <w:rPr>
          <w:rFonts w:ascii="Verdana" w:hAnsi="Verdana"/>
          <w:b/>
          <w:bCs/>
          <w:i/>
          <w:iCs/>
          <w:color w:val="800000"/>
          <w:sz w:val="18"/>
          <w:szCs w:val="18"/>
        </w:rPr>
      </w:pPr>
      <w:r w:rsidRPr="00B9750F">
        <w:rPr>
          <w:rFonts w:ascii="Verdana" w:hAnsi="Verdana"/>
          <w:b/>
          <w:bCs/>
          <w:i/>
          <w:iCs/>
          <w:color w:val="800000"/>
          <w:sz w:val="18"/>
          <w:szCs w:val="18"/>
        </w:rPr>
        <w:t>IS. EL TS ESTABLECE QUE LOS GASTOS CONTABLES ERRÓNEOS DEBEN IMPUTARSE AL EJERCICIO DEL IS EN EL QUE SE PRODUCE LA CONTABILIZACIÓN DEL ERROR, Y NO RETROACTIVAMENTE AL EJERCICIO EN QUE DEBIÓ HABERSE CONTABILIZADO</w:t>
      </w:r>
    </w:p>
    <w:p w14:paraId="76DE7781" w14:textId="523D8106" w:rsidR="00EC4C53" w:rsidRDefault="0072013C" w:rsidP="00EC4C53">
      <w:pPr>
        <w:ind w:left="284"/>
        <w:jc w:val="both"/>
        <w:rPr>
          <w:rFonts w:ascii="Verdana" w:hAnsi="Verdana"/>
          <w:b/>
          <w:bCs/>
          <w:i/>
          <w:iCs/>
          <w:color w:val="800000"/>
          <w:sz w:val="18"/>
          <w:szCs w:val="18"/>
        </w:rPr>
      </w:pPr>
      <w:r w:rsidRPr="0072013C">
        <w:rPr>
          <w:rFonts w:ascii="Verdana" w:hAnsi="Verdana"/>
          <w:b/>
          <w:bCs/>
          <w:i/>
          <w:iCs/>
          <w:color w:val="800000"/>
          <w:sz w:val="18"/>
          <w:szCs w:val="18"/>
        </w:rPr>
        <w:t>Con arreglo a la jurisprudencia del TS, tales gastos contables erróneos deben imputarse al ejercicio en el que se produce la contabilización del error, y no retroactivamente al ejercicio en que debió haberse contabilizado.</w:t>
      </w:r>
      <w:r w:rsidR="003452D6">
        <w:rPr>
          <w:rFonts w:ascii="Verdana" w:hAnsi="Verdana"/>
          <w:b/>
          <w:bCs/>
          <w:i/>
          <w:iCs/>
          <w:color w:val="800000"/>
          <w:sz w:val="18"/>
          <w:szCs w:val="18"/>
        </w:rPr>
        <w:t xml:space="preserve"> </w:t>
      </w:r>
    </w:p>
    <w:p w14:paraId="4DD9C799" w14:textId="77777777" w:rsidR="00975C8A" w:rsidRDefault="00975C8A" w:rsidP="00EC4C53">
      <w:pPr>
        <w:ind w:left="284"/>
        <w:jc w:val="both"/>
        <w:rPr>
          <w:rFonts w:ascii="Verdana" w:hAnsi="Verdana"/>
          <w:b/>
          <w:bCs/>
          <w:i/>
          <w:iCs/>
          <w:color w:val="800000"/>
          <w:sz w:val="18"/>
          <w:szCs w:val="18"/>
        </w:rPr>
      </w:pPr>
    </w:p>
    <w:p w14:paraId="285D8199" w14:textId="3E3D4556" w:rsidR="00975C8A" w:rsidRPr="00975C8A" w:rsidRDefault="00975C8A" w:rsidP="00975C8A">
      <w:pPr>
        <w:pStyle w:val="Prrafodelista"/>
        <w:numPr>
          <w:ilvl w:val="0"/>
          <w:numId w:val="29"/>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IP. </w:t>
      </w:r>
      <w:r w:rsidRPr="00975C8A">
        <w:rPr>
          <w:rFonts w:ascii="Verdana" w:hAnsi="Verdana"/>
          <w:b/>
          <w:bCs/>
          <w:i/>
          <w:iCs/>
          <w:color w:val="800000"/>
          <w:sz w:val="18"/>
          <w:szCs w:val="18"/>
        </w:rPr>
        <w:t>PRÓXIMA SENTENCIA DEL TRIBUNAL CONSTITUCIONAL SOBRE EL IMPUESTO SOBRE EL PATRIMONIO</w:t>
      </w:r>
    </w:p>
    <w:p w14:paraId="213181DA" w14:textId="2E7F1820" w:rsidR="009E0884" w:rsidRDefault="00975C8A" w:rsidP="00975C8A">
      <w:pPr>
        <w:ind w:left="284"/>
        <w:jc w:val="both"/>
        <w:rPr>
          <w:rFonts w:ascii="Verdana" w:hAnsi="Verdana"/>
          <w:b/>
          <w:bCs/>
          <w:i/>
          <w:iCs/>
          <w:color w:val="800000"/>
          <w:sz w:val="18"/>
          <w:szCs w:val="18"/>
        </w:rPr>
      </w:pPr>
      <w:r w:rsidRPr="00975C8A">
        <w:rPr>
          <w:rFonts w:ascii="Verdana" w:hAnsi="Verdana"/>
          <w:b/>
          <w:bCs/>
          <w:i/>
          <w:iCs/>
          <w:color w:val="800000"/>
          <w:sz w:val="18"/>
          <w:szCs w:val="18"/>
        </w:rPr>
        <w:t>El Tribunal Constitucional prevé dictar sentencia en marzo sobre el recurso de inconstitucionalidad interpuesto contra las modificaciones del Impuesto sobre el Patrimonio introducidas por la Ley de Presupuestos Generales del Estado para 2021.</w:t>
      </w:r>
    </w:p>
    <w:p w14:paraId="409C45CC" w14:textId="77777777" w:rsidR="0049025A" w:rsidRDefault="0049025A" w:rsidP="00975C8A">
      <w:pPr>
        <w:ind w:left="284"/>
        <w:jc w:val="both"/>
        <w:rPr>
          <w:rFonts w:ascii="Verdana" w:hAnsi="Verdana"/>
          <w:b/>
          <w:bCs/>
          <w:i/>
          <w:iCs/>
          <w:color w:val="800000"/>
          <w:sz w:val="18"/>
          <w:szCs w:val="18"/>
        </w:rPr>
      </w:pPr>
    </w:p>
    <w:p w14:paraId="015F5DBD" w14:textId="1B5D822F" w:rsidR="0049025A" w:rsidRPr="0049025A" w:rsidRDefault="0049025A" w:rsidP="0049025A">
      <w:pPr>
        <w:pStyle w:val="Prrafodelista"/>
        <w:numPr>
          <w:ilvl w:val="0"/>
          <w:numId w:val="29"/>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IP. </w:t>
      </w:r>
      <w:r w:rsidRPr="0049025A">
        <w:rPr>
          <w:rFonts w:ascii="Verdana" w:hAnsi="Verdana"/>
          <w:b/>
          <w:bCs/>
          <w:i/>
          <w:iCs/>
          <w:color w:val="800000"/>
          <w:sz w:val="18"/>
          <w:szCs w:val="18"/>
        </w:rPr>
        <w:t>EXENCIÓN EN EL IMPUESTO SOBRE EL PATRIMONIO DE PARTICIPACIONES EN EMPRESA FAMILIAR</w:t>
      </w:r>
    </w:p>
    <w:p w14:paraId="3AC46D09" w14:textId="16549BC8" w:rsidR="0049025A" w:rsidRDefault="0049025A" w:rsidP="00975C8A">
      <w:pPr>
        <w:ind w:left="284"/>
        <w:jc w:val="both"/>
        <w:rPr>
          <w:rFonts w:ascii="Verdana" w:hAnsi="Verdana"/>
          <w:b/>
          <w:bCs/>
          <w:i/>
          <w:iCs/>
          <w:color w:val="800000"/>
          <w:sz w:val="18"/>
          <w:szCs w:val="18"/>
        </w:rPr>
      </w:pPr>
      <w:r>
        <w:rPr>
          <w:rFonts w:ascii="Verdana" w:hAnsi="Verdana"/>
          <w:b/>
          <w:bCs/>
          <w:i/>
          <w:iCs/>
          <w:color w:val="800000"/>
          <w:sz w:val="18"/>
          <w:szCs w:val="18"/>
        </w:rPr>
        <w:t>Analizamos la s</w:t>
      </w:r>
      <w:r w:rsidRPr="0049025A">
        <w:rPr>
          <w:rFonts w:ascii="Verdana" w:hAnsi="Verdana"/>
          <w:b/>
          <w:bCs/>
          <w:i/>
          <w:iCs/>
          <w:color w:val="800000"/>
          <w:sz w:val="18"/>
          <w:szCs w:val="18"/>
        </w:rPr>
        <w:t>entencia 3953/2025 del Tribunal Superior de Justicia de Cataluña (12 de noviembre de 2025)</w:t>
      </w:r>
      <w:r w:rsidR="00633FF3">
        <w:rPr>
          <w:rFonts w:ascii="Verdana" w:hAnsi="Verdana"/>
          <w:b/>
          <w:bCs/>
          <w:i/>
          <w:iCs/>
          <w:color w:val="800000"/>
          <w:sz w:val="18"/>
          <w:szCs w:val="18"/>
        </w:rPr>
        <w:t>.</w:t>
      </w:r>
    </w:p>
    <w:p w14:paraId="7361743C" w14:textId="77777777" w:rsidR="00633FF3" w:rsidRDefault="00633FF3" w:rsidP="00975C8A">
      <w:pPr>
        <w:ind w:left="284"/>
        <w:jc w:val="both"/>
        <w:rPr>
          <w:rFonts w:ascii="Verdana" w:hAnsi="Verdana"/>
          <w:b/>
          <w:bCs/>
          <w:i/>
          <w:iCs/>
          <w:color w:val="800000"/>
          <w:sz w:val="18"/>
          <w:szCs w:val="18"/>
        </w:rPr>
      </w:pPr>
    </w:p>
    <w:p w14:paraId="02D50A02" w14:textId="0F863975" w:rsidR="0049025A" w:rsidRDefault="00633FF3" w:rsidP="00633FF3">
      <w:pPr>
        <w:pStyle w:val="Prrafodelista"/>
        <w:numPr>
          <w:ilvl w:val="0"/>
          <w:numId w:val="29"/>
        </w:numPr>
        <w:ind w:left="284" w:hanging="284"/>
        <w:jc w:val="both"/>
        <w:rPr>
          <w:rFonts w:ascii="Verdana" w:hAnsi="Verdana"/>
          <w:b/>
          <w:bCs/>
          <w:i/>
          <w:iCs/>
          <w:color w:val="800000"/>
          <w:sz w:val="18"/>
          <w:szCs w:val="18"/>
        </w:rPr>
      </w:pPr>
      <w:r>
        <w:rPr>
          <w:rFonts w:ascii="Verdana" w:hAnsi="Verdana"/>
          <w:b/>
          <w:bCs/>
          <w:i/>
          <w:iCs/>
          <w:color w:val="800000"/>
          <w:sz w:val="18"/>
          <w:szCs w:val="18"/>
        </w:rPr>
        <w:t xml:space="preserve">ITP. </w:t>
      </w:r>
      <w:r w:rsidRPr="00633FF3">
        <w:rPr>
          <w:rFonts w:ascii="Verdana" w:hAnsi="Verdana"/>
          <w:b/>
          <w:bCs/>
          <w:i/>
          <w:iCs/>
          <w:color w:val="800000"/>
          <w:sz w:val="18"/>
          <w:szCs w:val="18"/>
        </w:rPr>
        <w:t>EL TS DETERMINARÁ SI EL TIPO REDUCIDO DE ITP PARA LAS FAMILIAS NUMEROSAS RESULTA APLICABLE CUANDO EL HIJO DEL SUJETO PASIVO QUE ATRIBUIRÍA TAL CONDICIÓN A LA FAMILIA ESTÁ YA CONCEBIDO “NASCITURUS”</w:t>
      </w:r>
      <w:r w:rsidR="005633EC">
        <w:rPr>
          <w:rFonts w:ascii="Verdana" w:hAnsi="Verdana"/>
          <w:b/>
          <w:bCs/>
          <w:i/>
          <w:iCs/>
          <w:color w:val="800000"/>
          <w:sz w:val="18"/>
          <w:szCs w:val="18"/>
        </w:rPr>
        <w:t xml:space="preserve"> </w:t>
      </w:r>
    </w:p>
    <w:p w14:paraId="720C078B" w14:textId="6BFA6560" w:rsidR="00633FF3" w:rsidRDefault="00633FF3" w:rsidP="00633FF3">
      <w:pPr>
        <w:pStyle w:val="Prrafodelista"/>
        <w:ind w:left="284"/>
        <w:jc w:val="both"/>
        <w:rPr>
          <w:rFonts w:ascii="Verdana" w:hAnsi="Verdana"/>
          <w:b/>
          <w:bCs/>
          <w:i/>
          <w:iCs/>
          <w:color w:val="800000"/>
          <w:sz w:val="18"/>
          <w:szCs w:val="18"/>
        </w:rPr>
      </w:pPr>
      <w:r w:rsidRPr="00633FF3">
        <w:rPr>
          <w:rFonts w:ascii="Verdana" w:hAnsi="Verdana"/>
          <w:b/>
          <w:bCs/>
          <w:i/>
          <w:iCs/>
          <w:color w:val="800000"/>
          <w:sz w:val="18"/>
          <w:szCs w:val="18"/>
        </w:rPr>
        <w:t>El TS debe determinar si un beneficio fiscal previsto para las familias numerosas resulta aplicable cuando el sujeto pasivo, en el momento del devengo del impuesto que grava la operación, no es titular de una familia numerosa, pero el hijo que atribuiría tal condición está ya concebido en ese momento, sobreviviendo tras el nacimiento posterior.</w:t>
      </w:r>
    </w:p>
    <w:p w14:paraId="6DCD10DB" w14:textId="77777777" w:rsidR="001E7873" w:rsidRDefault="001E7873" w:rsidP="00633FF3">
      <w:pPr>
        <w:pStyle w:val="Prrafodelista"/>
        <w:ind w:left="284"/>
        <w:jc w:val="both"/>
        <w:rPr>
          <w:rFonts w:ascii="Verdana" w:hAnsi="Verdana"/>
          <w:b/>
          <w:bCs/>
          <w:i/>
          <w:iCs/>
          <w:color w:val="800000"/>
          <w:sz w:val="18"/>
          <w:szCs w:val="18"/>
        </w:rPr>
      </w:pPr>
    </w:p>
    <w:p w14:paraId="516D35C2" w14:textId="28F44CCF" w:rsidR="001E7873" w:rsidRPr="00633FF3" w:rsidRDefault="001E7873" w:rsidP="001E7873">
      <w:pPr>
        <w:pStyle w:val="Prrafodelista"/>
        <w:numPr>
          <w:ilvl w:val="0"/>
          <w:numId w:val="29"/>
        </w:numPr>
        <w:ind w:left="284" w:hanging="284"/>
        <w:jc w:val="both"/>
        <w:rPr>
          <w:rFonts w:ascii="Verdana" w:hAnsi="Verdana"/>
          <w:b/>
          <w:bCs/>
          <w:i/>
          <w:iCs/>
          <w:color w:val="800000"/>
          <w:sz w:val="18"/>
          <w:szCs w:val="18"/>
        </w:rPr>
      </w:pPr>
      <w:r w:rsidRPr="001E7873">
        <w:rPr>
          <w:rFonts w:ascii="Verdana" w:hAnsi="Verdana"/>
          <w:b/>
          <w:bCs/>
          <w:i/>
          <w:iCs/>
          <w:color w:val="800000"/>
          <w:sz w:val="18"/>
          <w:szCs w:val="18"/>
        </w:rPr>
        <w:t>IAE – CÁLCULO DEL IMPORTE NETO DE LA CIFRA DE NEGOCIOS EN GRUPOS MERCANTILES</w:t>
      </w:r>
    </w:p>
    <w:p w14:paraId="75010257" w14:textId="216D4DFE" w:rsidR="009E0884" w:rsidRDefault="00F84492">
      <w:pPr>
        <w:ind w:left="360"/>
        <w:jc w:val="both"/>
        <w:rPr>
          <w:rFonts w:ascii="Verdana" w:hAnsi="Verdana"/>
          <w:b/>
          <w:bCs/>
          <w:i/>
          <w:iCs/>
          <w:color w:val="800000"/>
          <w:sz w:val="18"/>
          <w:szCs w:val="18"/>
        </w:rPr>
      </w:pPr>
      <w:r w:rsidRPr="00F84492">
        <w:rPr>
          <w:rFonts w:ascii="Verdana" w:hAnsi="Verdana"/>
          <w:b/>
          <w:bCs/>
          <w:i/>
          <w:iCs/>
          <w:color w:val="800000"/>
          <w:sz w:val="18"/>
          <w:szCs w:val="18"/>
        </w:rPr>
        <w:t>Se analizan dos cuestiones por el TEAC: cálculo del importe neto de la cifra de negocios en grupos de sociedades a efectos de la exención en el Impuesto sobre Actividades Económicas y rechazo de la baja retroactiva en el IAE por falta de acreditación de la condición de entidad patrimonial y de la inexistencia de actividad económica.</w:t>
      </w:r>
    </w:p>
    <w:p w14:paraId="37CA3D0C" w14:textId="38BEBF1F" w:rsidR="00A579D4" w:rsidRPr="00A579D4" w:rsidRDefault="000E255E" w:rsidP="00A579D4">
      <w:pPr>
        <w:pStyle w:val="Prrafodelista"/>
        <w:numPr>
          <w:ilvl w:val="0"/>
          <w:numId w:val="29"/>
        </w:numPr>
        <w:ind w:left="284" w:hanging="284"/>
        <w:jc w:val="both"/>
        <w:rPr>
          <w:rFonts w:ascii="Verdana" w:hAnsi="Verdana"/>
          <w:b/>
          <w:bCs/>
          <w:i/>
          <w:iCs/>
          <w:color w:val="800000"/>
          <w:sz w:val="18"/>
          <w:szCs w:val="18"/>
        </w:rPr>
      </w:pPr>
      <w:r>
        <w:rPr>
          <w:rFonts w:ascii="Verdana" w:hAnsi="Verdana"/>
          <w:b/>
          <w:bCs/>
          <w:i/>
          <w:iCs/>
          <w:color w:val="800000"/>
          <w:sz w:val="18"/>
          <w:szCs w:val="18"/>
        </w:rPr>
        <w:lastRenderedPageBreak/>
        <w:t xml:space="preserve">LISD </w:t>
      </w:r>
      <w:r w:rsidR="00A579D4">
        <w:rPr>
          <w:rFonts w:ascii="Verdana" w:hAnsi="Verdana"/>
          <w:b/>
          <w:bCs/>
          <w:i/>
          <w:iCs/>
          <w:color w:val="800000"/>
          <w:sz w:val="18"/>
          <w:szCs w:val="18"/>
        </w:rPr>
        <w:t xml:space="preserve">- </w:t>
      </w:r>
      <w:r w:rsidR="00A579D4" w:rsidRPr="00A579D4">
        <w:rPr>
          <w:rFonts w:ascii="Verdana" w:hAnsi="Verdana"/>
          <w:b/>
          <w:bCs/>
          <w:i/>
          <w:iCs/>
          <w:color w:val="800000"/>
          <w:sz w:val="18"/>
          <w:szCs w:val="18"/>
        </w:rPr>
        <w:t>EL TEAC DETERMINA LOS BIENES INCLUIDOS EN EL CONCEPTO DE AJUAR DOMÉSTICO, QUE NO PUEDE COMPRENDER SIN MÁS UN PORCENTAJE SOBRE LA TOTALIDAD DE LA HERENCIA</w:t>
      </w:r>
    </w:p>
    <w:p w14:paraId="560439D2" w14:textId="436C52DD" w:rsidR="009E0884" w:rsidRDefault="00A579D4" w:rsidP="00A579D4">
      <w:pPr>
        <w:ind w:left="284"/>
        <w:jc w:val="both"/>
        <w:rPr>
          <w:rFonts w:ascii="Verdana" w:hAnsi="Verdana"/>
          <w:b/>
          <w:bCs/>
          <w:i/>
          <w:iCs/>
          <w:color w:val="800000"/>
          <w:sz w:val="18"/>
          <w:szCs w:val="18"/>
        </w:rPr>
      </w:pPr>
      <w:r w:rsidRPr="00A579D4">
        <w:rPr>
          <w:rFonts w:ascii="Verdana" w:hAnsi="Verdana"/>
          <w:b/>
          <w:bCs/>
          <w:i/>
          <w:iCs/>
          <w:color w:val="800000"/>
          <w:sz w:val="18"/>
          <w:szCs w:val="18"/>
        </w:rPr>
        <w:t>En la determinación del ajuar, se debe distinguir entre inmuebles destinados a vivienda habitual o al uso residencial del causante. Por otro lado, no habrían de considerarse afectos al uso personal de la persona causante aquellos inmuebles arrendados ni tampoco los cedidos gratuitamente a familiares o a terceros en el momento del devengo.</w:t>
      </w:r>
    </w:p>
    <w:p w14:paraId="5337883E" w14:textId="77777777" w:rsidR="00A579D4" w:rsidRDefault="00A579D4">
      <w:pPr>
        <w:ind w:left="360"/>
        <w:jc w:val="both"/>
        <w:rPr>
          <w:rFonts w:ascii="Verdana" w:hAnsi="Verdana"/>
          <w:b/>
          <w:bCs/>
          <w:i/>
          <w:iCs/>
          <w:color w:val="800000"/>
          <w:sz w:val="18"/>
          <w:szCs w:val="18"/>
        </w:rPr>
      </w:pPr>
    </w:p>
    <w:p w14:paraId="0A93910C" w14:textId="77777777" w:rsidR="00A579D4" w:rsidRDefault="00A579D4">
      <w:pPr>
        <w:ind w:left="360"/>
        <w:jc w:val="both"/>
        <w:rPr>
          <w:rFonts w:ascii="Verdana" w:hAnsi="Verdana"/>
          <w:b/>
          <w:bCs/>
          <w:i/>
          <w:iCs/>
          <w:color w:val="800000"/>
          <w:sz w:val="18"/>
          <w:szCs w:val="18"/>
        </w:rPr>
      </w:pPr>
    </w:p>
    <w:p w14:paraId="2C555300" w14:textId="77777777" w:rsidR="009E0884" w:rsidRPr="00776E79" w:rsidRDefault="009E0884">
      <w:pPr>
        <w:ind w:left="360"/>
        <w:jc w:val="both"/>
        <w:rPr>
          <w:rFonts w:ascii="Verdana" w:hAnsi="Verdana"/>
          <w:b/>
          <w:bCs/>
          <w:i/>
          <w:iCs/>
          <w:color w:val="800000"/>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FE5FAD" w:rsidRPr="009E0884" w14:paraId="715525BB" w14:textId="77777777" w:rsidTr="009E0884">
        <w:trPr>
          <w:trHeight w:val="272"/>
        </w:trPr>
        <w:tc>
          <w:tcPr>
            <w:tcW w:w="181" w:type="dxa"/>
            <w:shd w:val="clear" w:color="auto" w:fill="FF6600"/>
          </w:tcPr>
          <w:p w14:paraId="4D609780" w14:textId="77777777" w:rsidR="00D95FA3" w:rsidRPr="009E0884" w:rsidRDefault="00D95FA3">
            <w:pPr>
              <w:pStyle w:val="Textoindependiente"/>
              <w:tabs>
                <w:tab w:val="clear" w:pos="360"/>
              </w:tabs>
              <w:jc w:val="left"/>
              <w:rPr>
                <w:rFonts w:ascii="Verdana" w:hAnsi="Verdana" w:cs="Verdana"/>
                <w:color w:val="800000"/>
                <w:sz w:val="18"/>
                <w:szCs w:val="18"/>
                <w:lang w:val="es-ES" w:eastAsia="es-ES"/>
              </w:rPr>
            </w:pPr>
            <w:bookmarkStart w:id="0" w:name="_Hlk96082486"/>
          </w:p>
        </w:tc>
        <w:tc>
          <w:tcPr>
            <w:tcW w:w="8533" w:type="dxa"/>
          </w:tcPr>
          <w:p w14:paraId="0DA0EA9C" w14:textId="44572342" w:rsidR="00FE5FAD" w:rsidRPr="009E0884" w:rsidRDefault="00F7572A" w:rsidP="00725B17">
            <w:pPr>
              <w:numPr>
                <w:ilvl w:val="0"/>
                <w:numId w:val="4"/>
              </w:numPr>
              <w:tabs>
                <w:tab w:val="clear" w:pos="502"/>
                <w:tab w:val="num" w:pos="317"/>
              </w:tabs>
              <w:ind w:left="317" w:hanging="283"/>
              <w:jc w:val="both"/>
              <w:rPr>
                <w:rFonts w:ascii="Verdana" w:hAnsi="Verdana" w:cs="Verdana"/>
                <w:b/>
                <w:bCs/>
                <w:color w:val="800000"/>
                <w:sz w:val="18"/>
                <w:szCs w:val="18"/>
              </w:rPr>
            </w:pPr>
            <w:r>
              <w:rPr>
                <w:rFonts w:ascii="Verdana" w:hAnsi="Verdana" w:cs="Verdana"/>
                <w:b/>
                <w:bCs/>
                <w:color w:val="800000"/>
                <w:sz w:val="18"/>
                <w:szCs w:val="18"/>
              </w:rPr>
              <w:t>CREACIÓN DE LA BASE ÚNICA DE CONOCIMIENTO (BUC)</w:t>
            </w:r>
          </w:p>
        </w:tc>
      </w:tr>
    </w:tbl>
    <w:p w14:paraId="7C054E36" w14:textId="77777777" w:rsidR="00003D87" w:rsidRDefault="009E0884" w:rsidP="00EC4C53">
      <w:pPr>
        <w:spacing w:before="100" w:beforeAutospacing="1" w:after="100" w:afterAutospacing="1"/>
        <w:ind w:left="284"/>
        <w:contextualSpacing/>
        <w:jc w:val="both"/>
        <w:rPr>
          <w:rFonts w:ascii="Verdana" w:hAnsi="Verdana"/>
          <w:b/>
          <w:bCs/>
          <w:sz w:val="18"/>
          <w:szCs w:val="18"/>
        </w:rPr>
      </w:pPr>
      <w:bookmarkStart w:id="1" w:name="_Hlk221810168"/>
      <w:bookmarkEnd w:id="0"/>
      <w:r w:rsidRPr="009E0884">
        <w:rPr>
          <w:rFonts w:ascii="Verdana" w:hAnsi="Verdana"/>
          <w:sz w:val="18"/>
          <w:szCs w:val="18"/>
        </w:rPr>
        <w:t xml:space="preserve">En el marco del nuevo modelo de gestión informática de los Tribunales Económico-Administrativos (TEA) y de la Dirección General de Tributos (DGT), aprobado por la Resolución de 13 de enero de 2021 de la Secretaría de Estado de Hacienda, se está desarrollando la </w:t>
      </w:r>
      <w:r w:rsidRPr="009E0884">
        <w:rPr>
          <w:rFonts w:ascii="Verdana" w:hAnsi="Verdana"/>
          <w:b/>
          <w:bCs/>
          <w:sz w:val="18"/>
          <w:szCs w:val="18"/>
        </w:rPr>
        <w:t>Base Única de Conocimiento (BUC)</w:t>
      </w:r>
      <w:r w:rsidR="00003D87">
        <w:rPr>
          <w:rFonts w:ascii="Verdana" w:hAnsi="Verdana"/>
          <w:b/>
          <w:bCs/>
          <w:sz w:val="18"/>
          <w:szCs w:val="18"/>
        </w:rPr>
        <w:t>.</w:t>
      </w:r>
    </w:p>
    <w:p w14:paraId="33A8CF02" w14:textId="2B79D5A1" w:rsidR="009E0884" w:rsidRPr="009E0884" w:rsidRDefault="009E0884" w:rsidP="00EC4C53">
      <w:pPr>
        <w:spacing w:before="100" w:beforeAutospacing="1" w:after="100" w:afterAutospacing="1"/>
        <w:ind w:left="284"/>
        <w:contextualSpacing/>
        <w:jc w:val="both"/>
        <w:rPr>
          <w:rFonts w:ascii="Verdana" w:hAnsi="Verdana"/>
          <w:sz w:val="18"/>
          <w:szCs w:val="18"/>
        </w:rPr>
      </w:pPr>
      <w:r w:rsidRPr="009E0884">
        <w:rPr>
          <w:rFonts w:ascii="Verdana" w:hAnsi="Verdana"/>
          <w:sz w:val="18"/>
          <w:szCs w:val="18"/>
        </w:rPr>
        <w:t xml:space="preserve"> </w:t>
      </w:r>
    </w:p>
    <w:bookmarkEnd w:id="1"/>
    <w:p w14:paraId="6E1A42EF" w14:textId="77777777" w:rsidR="009E0884" w:rsidRPr="009E0884" w:rsidRDefault="009E0884" w:rsidP="009E0884">
      <w:pPr>
        <w:spacing w:before="100" w:beforeAutospacing="1" w:after="100" w:afterAutospacing="1"/>
        <w:ind w:left="284"/>
        <w:jc w:val="both"/>
        <w:rPr>
          <w:rFonts w:ascii="Verdana" w:hAnsi="Verdana"/>
          <w:sz w:val="18"/>
          <w:szCs w:val="18"/>
        </w:rPr>
      </w:pPr>
      <w:r w:rsidRPr="009E0884">
        <w:rPr>
          <w:rFonts w:ascii="Verdana" w:hAnsi="Verdana"/>
          <w:sz w:val="18"/>
          <w:szCs w:val="18"/>
        </w:rPr>
        <w:t>El proyecto, impulsado conjuntamente por TEA, DGT y la Agencia Estatal de Administración Tributaria (AEAT), con participación de la Dirección General del Catastro (DGC), tiene como finalidad mejorar la atención al ciudadano, reducir los tiempos de tramitación y optimizar recursos mediante una gestión digital integral y el uso de infraestructuras comunes.</w:t>
      </w:r>
    </w:p>
    <w:p w14:paraId="0086C869" w14:textId="77777777" w:rsidR="009E0884" w:rsidRPr="009E0884" w:rsidRDefault="009E0884" w:rsidP="009E0884">
      <w:pPr>
        <w:spacing w:before="100" w:beforeAutospacing="1" w:after="100" w:afterAutospacing="1"/>
        <w:ind w:left="284"/>
        <w:jc w:val="both"/>
        <w:outlineLvl w:val="2"/>
        <w:rPr>
          <w:rFonts w:ascii="Verdana" w:hAnsi="Verdana"/>
          <w:b/>
          <w:bCs/>
          <w:sz w:val="18"/>
          <w:szCs w:val="18"/>
        </w:rPr>
      </w:pPr>
      <w:r w:rsidRPr="009E0884">
        <w:rPr>
          <w:rFonts w:ascii="Verdana" w:hAnsi="Verdana"/>
          <w:b/>
          <w:bCs/>
          <w:sz w:val="18"/>
          <w:szCs w:val="18"/>
        </w:rPr>
        <w:t>Objetivo principal</w:t>
      </w:r>
    </w:p>
    <w:p w14:paraId="28A5AF5B" w14:textId="77777777" w:rsidR="00F7572A" w:rsidRDefault="009E0884" w:rsidP="00F7572A">
      <w:pPr>
        <w:spacing w:before="100" w:beforeAutospacing="1" w:after="100" w:afterAutospacing="1"/>
        <w:ind w:left="284"/>
        <w:jc w:val="both"/>
        <w:rPr>
          <w:rFonts w:ascii="Verdana" w:hAnsi="Verdana"/>
          <w:sz w:val="18"/>
          <w:szCs w:val="18"/>
        </w:rPr>
      </w:pPr>
      <w:r w:rsidRPr="009E0884">
        <w:rPr>
          <w:rFonts w:ascii="Verdana" w:hAnsi="Verdana"/>
          <w:sz w:val="18"/>
          <w:szCs w:val="18"/>
        </w:rPr>
        <w:t xml:space="preserve">La BUC centralizará </w:t>
      </w:r>
      <w:r w:rsidRPr="009E0884">
        <w:rPr>
          <w:rFonts w:ascii="Verdana" w:hAnsi="Verdana"/>
          <w:b/>
          <w:bCs/>
          <w:sz w:val="18"/>
          <w:szCs w:val="18"/>
        </w:rPr>
        <w:t>en una única base de datos los criterios tributarios actualmente dispersos</w:t>
      </w:r>
      <w:r w:rsidRPr="009E0884">
        <w:rPr>
          <w:rFonts w:ascii="Verdana" w:hAnsi="Verdana"/>
          <w:sz w:val="18"/>
          <w:szCs w:val="18"/>
        </w:rPr>
        <w:t xml:space="preserve"> en:</w:t>
      </w:r>
    </w:p>
    <w:p w14:paraId="4D26A633" w14:textId="799A1F0A" w:rsidR="009E0884" w:rsidRPr="00F7572A" w:rsidRDefault="009E0884" w:rsidP="00F7572A">
      <w:pPr>
        <w:pStyle w:val="Prrafodelista"/>
        <w:numPr>
          <w:ilvl w:val="0"/>
          <w:numId w:val="32"/>
        </w:numPr>
        <w:spacing w:before="100" w:beforeAutospacing="1" w:after="100" w:afterAutospacing="1"/>
        <w:jc w:val="both"/>
        <w:rPr>
          <w:rFonts w:ascii="Verdana" w:hAnsi="Verdana"/>
          <w:sz w:val="18"/>
          <w:szCs w:val="18"/>
        </w:rPr>
      </w:pPr>
      <w:r w:rsidRPr="00F7572A">
        <w:rPr>
          <w:rFonts w:ascii="Verdana" w:hAnsi="Verdana"/>
          <w:sz w:val="18"/>
          <w:szCs w:val="18"/>
        </w:rPr>
        <w:t>Resoluciones de los TEA</w:t>
      </w:r>
    </w:p>
    <w:p w14:paraId="5EC2BF1A" w14:textId="77777777" w:rsidR="009E0884" w:rsidRPr="00F7572A" w:rsidRDefault="009E0884" w:rsidP="00F7572A">
      <w:pPr>
        <w:pStyle w:val="Prrafodelista"/>
        <w:numPr>
          <w:ilvl w:val="0"/>
          <w:numId w:val="32"/>
        </w:numPr>
        <w:spacing w:before="100" w:beforeAutospacing="1" w:after="100" w:afterAutospacing="1" w:line="259" w:lineRule="auto"/>
        <w:jc w:val="both"/>
        <w:rPr>
          <w:rFonts w:ascii="Verdana" w:hAnsi="Verdana"/>
          <w:sz w:val="18"/>
          <w:szCs w:val="18"/>
        </w:rPr>
      </w:pPr>
      <w:r w:rsidRPr="00F7572A">
        <w:rPr>
          <w:rFonts w:ascii="Verdana" w:hAnsi="Verdana"/>
          <w:sz w:val="18"/>
          <w:szCs w:val="18"/>
        </w:rPr>
        <w:t>Consultas vinculantes de la DGT</w:t>
      </w:r>
    </w:p>
    <w:p w14:paraId="702A3AB5" w14:textId="77777777" w:rsidR="009E0884" w:rsidRPr="00F7572A" w:rsidRDefault="009E0884" w:rsidP="00F7572A">
      <w:pPr>
        <w:pStyle w:val="Prrafodelista"/>
        <w:numPr>
          <w:ilvl w:val="0"/>
          <w:numId w:val="32"/>
        </w:numPr>
        <w:spacing w:before="100" w:beforeAutospacing="1" w:after="100" w:afterAutospacing="1" w:line="259" w:lineRule="auto"/>
        <w:jc w:val="both"/>
        <w:rPr>
          <w:rFonts w:ascii="Verdana" w:hAnsi="Verdana"/>
          <w:sz w:val="18"/>
          <w:szCs w:val="18"/>
        </w:rPr>
      </w:pPr>
      <w:r w:rsidRPr="00F7572A">
        <w:rPr>
          <w:rFonts w:ascii="Verdana" w:hAnsi="Verdana"/>
          <w:sz w:val="18"/>
          <w:szCs w:val="18"/>
        </w:rPr>
        <w:t>Programa INFORMA de la AEAT</w:t>
      </w:r>
    </w:p>
    <w:p w14:paraId="1F1B3209" w14:textId="77777777" w:rsidR="009E0884" w:rsidRPr="009E0884" w:rsidRDefault="009E0884" w:rsidP="009E0884">
      <w:pPr>
        <w:spacing w:before="100" w:beforeAutospacing="1" w:after="100" w:afterAutospacing="1"/>
        <w:ind w:left="284"/>
        <w:jc w:val="both"/>
        <w:rPr>
          <w:rFonts w:ascii="Verdana" w:hAnsi="Verdana"/>
          <w:sz w:val="18"/>
          <w:szCs w:val="18"/>
        </w:rPr>
      </w:pPr>
      <w:r w:rsidRPr="009E0884">
        <w:rPr>
          <w:rFonts w:ascii="Verdana" w:hAnsi="Verdana"/>
          <w:sz w:val="18"/>
          <w:szCs w:val="18"/>
        </w:rPr>
        <w:t>De este modo, permitirá ofrecer una interpretación unificada y actualizada sobre cada cuestión tributaria, integrando además la jurisprudencia nacional y europea cuando proceda.</w:t>
      </w:r>
    </w:p>
    <w:p w14:paraId="715B358B" w14:textId="77777777" w:rsidR="009E0884" w:rsidRPr="009E0884" w:rsidRDefault="009E0884" w:rsidP="009E0884">
      <w:pPr>
        <w:spacing w:before="100" w:beforeAutospacing="1" w:after="100" w:afterAutospacing="1"/>
        <w:ind w:left="284"/>
        <w:jc w:val="both"/>
        <w:outlineLvl w:val="2"/>
        <w:rPr>
          <w:rFonts w:ascii="Verdana" w:hAnsi="Verdana"/>
          <w:b/>
          <w:bCs/>
          <w:sz w:val="18"/>
          <w:szCs w:val="18"/>
        </w:rPr>
      </w:pPr>
      <w:r w:rsidRPr="009E0884">
        <w:rPr>
          <w:rFonts w:ascii="Verdana" w:hAnsi="Verdana"/>
          <w:b/>
          <w:bCs/>
          <w:sz w:val="18"/>
          <w:szCs w:val="18"/>
        </w:rPr>
        <w:t>Funcionalidades clave</w:t>
      </w:r>
    </w:p>
    <w:p w14:paraId="53221120" w14:textId="77777777" w:rsidR="009E0884" w:rsidRPr="009E0884" w:rsidRDefault="009E0884" w:rsidP="00F7572A">
      <w:pPr>
        <w:numPr>
          <w:ilvl w:val="0"/>
          <w:numId w:val="31"/>
        </w:numPr>
        <w:spacing w:before="100" w:beforeAutospacing="1" w:after="100" w:afterAutospacing="1" w:line="259" w:lineRule="auto"/>
        <w:ind w:left="993" w:hanging="284"/>
        <w:jc w:val="both"/>
        <w:rPr>
          <w:rFonts w:ascii="Verdana" w:hAnsi="Verdana"/>
          <w:sz w:val="18"/>
          <w:szCs w:val="18"/>
        </w:rPr>
      </w:pPr>
      <w:r w:rsidRPr="009E0884">
        <w:rPr>
          <w:rFonts w:ascii="Verdana" w:hAnsi="Verdana"/>
          <w:sz w:val="18"/>
          <w:szCs w:val="18"/>
        </w:rPr>
        <w:t>Almacenamiento y gestión integral de criterios tributarios.</w:t>
      </w:r>
    </w:p>
    <w:p w14:paraId="5CF7EDBD" w14:textId="77777777" w:rsidR="009E0884" w:rsidRPr="009E0884" w:rsidRDefault="009E0884" w:rsidP="00F7572A">
      <w:pPr>
        <w:numPr>
          <w:ilvl w:val="0"/>
          <w:numId w:val="31"/>
        </w:numPr>
        <w:spacing w:before="100" w:beforeAutospacing="1" w:after="100" w:afterAutospacing="1" w:line="259" w:lineRule="auto"/>
        <w:ind w:left="993" w:hanging="284"/>
        <w:jc w:val="both"/>
        <w:rPr>
          <w:rFonts w:ascii="Verdana" w:hAnsi="Verdana"/>
          <w:sz w:val="18"/>
          <w:szCs w:val="18"/>
        </w:rPr>
      </w:pPr>
      <w:r w:rsidRPr="009E0884">
        <w:rPr>
          <w:rFonts w:ascii="Verdana" w:hAnsi="Verdana"/>
          <w:sz w:val="18"/>
          <w:szCs w:val="18"/>
        </w:rPr>
        <w:t>Vinculación de criterios con los preceptos normativos concretos (hasta nivel de fracción de artículo).</w:t>
      </w:r>
    </w:p>
    <w:p w14:paraId="2E6841D4" w14:textId="77777777" w:rsidR="009E0884" w:rsidRPr="009E0884" w:rsidRDefault="009E0884" w:rsidP="00F7572A">
      <w:pPr>
        <w:numPr>
          <w:ilvl w:val="0"/>
          <w:numId w:val="31"/>
        </w:numPr>
        <w:spacing w:before="100" w:beforeAutospacing="1" w:after="100" w:afterAutospacing="1" w:line="259" w:lineRule="auto"/>
        <w:ind w:left="993" w:hanging="284"/>
        <w:jc w:val="both"/>
        <w:rPr>
          <w:rFonts w:ascii="Verdana" w:hAnsi="Verdana"/>
          <w:sz w:val="18"/>
          <w:szCs w:val="18"/>
        </w:rPr>
      </w:pPr>
      <w:r w:rsidRPr="009E0884">
        <w:rPr>
          <w:rFonts w:ascii="Verdana" w:hAnsi="Verdana"/>
          <w:sz w:val="18"/>
          <w:szCs w:val="18"/>
        </w:rPr>
        <w:t>Consulta accesible tanto para ciudadanos (a través de las sedes electrónicas) como para personal interno (intranet).</w:t>
      </w:r>
    </w:p>
    <w:p w14:paraId="70B23782" w14:textId="77777777" w:rsidR="009E0884" w:rsidRPr="009E0884" w:rsidRDefault="009E0884" w:rsidP="00F7572A">
      <w:pPr>
        <w:numPr>
          <w:ilvl w:val="0"/>
          <w:numId w:val="31"/>
        </w:numPr>
        <w:spacing w:before="100" w:beforeAutospacing="1" w:after="100" w:afterAutospacing="1" w:line="259" w:lineRule="auto"/>
        <w:ind w:left="993" w:hanging="284"/>
        <w:jc w:val="both"/>
        <w:rPr>
          <w:rFonts w:ascii="Verdana" w:hAnsi="Verdana"/>
          <w:sz w:val="18"/>
          <w:szCs w:val="18"/>
        </w:rPr>
      </w:pPr>
      <w:r w:rsidRPr="009E0884">
        <w:rPr>
          <w:rFonts w:ascii="Verdana" w:hAnsi="Verdana"/>
          <w:sz w:val="18"/>
          <w:szCs w:val="18"/>
        </w:rPr>
        <w:t>Desarrollo de buscadores avanzados de documentos y criterios.</w:t>
      </w:r>
    </w:p>
    <w:p w14:paraId="000859BC" w14:textId="77777777" w:rsidR="009E0884" w:rsidRPr="009E0884" w:rsidRDefault="009E0884" w:rsidP="00F7572A">
      <w:pPr>
        <w:numPr>
          <w:ilvl w:val="0"/>
          <w:numId w:val="31"/>
        </w:numPr>
        <w:spacing w:before="100" w:beforeAutospacing="1" w:after="100" w:afterAutospacing="1" w:line="259" w:lineRule="auto"/>
        <w:ind w:left="993" w:hanging="284"/>
        <w:jc w:val="both"/>
        <w:rPr>
          <w:rFonts w:ascii="Verdana" w:hAnsi="Verdana"/>
          <w:sz w:val="18"/>
          <w:szCs w:val="18"/>
        </w:rPr>
      </w:pPr>
      <w:r w:rsidRPr="009E0884">
        <w:rPr>
          <w:rFonts w:ascii="Verdana" w:hAnsi="Verdana"/>
          <w:sz w:val="18"/>
          <w:szCs w:val="18"/>
        </w:rPr>
        <w:t>Integración con las nuevas aplicaciones de gestión de TEA y DGT.</w:t>
      </w:r>
    </w:p>
    <w:p w14:paraId="5B673D2A" w14:textId="77777777" w:rsidR="009E0884" w:rsidRPr="009E0884" w:rsidRDefault="009E0884" w:rsidP="009E0884">
      <w:pPr>
        <w:spacing w:before="100" w:beforeAutospacing="1" w:after="100" w:afterAutospacing="1"/>
        <w:ind w:left="284"/>
        <w:jc w:val="both"/>
        <w:rPr>
          <w:rFonts w:ascii="Verdana" w:hAnsi="Verdana"/>
          <w:sz w:val="18"/>
          <w:szCs w:val="18"/>
        </w:rPr>
      </w:pPr>
      <w:r w:rsidRPr="009E0884">
        <w:rPr>
          <w:rFonts w:ascii="Verdana" w:hAnsi="Verdana"/>
          <w:sz w:val="18"/>
          <w:szCs w:val="18"/>
        </w:rPr>
        <w:t>El proyecto cuenta con un Consejo Rector para su gobernanza y con la colaboración del BOE para la descarga automatizada y estructurada de normativa.</w:t>
      </w:r>
    </w:p>
    <w:p w14:paraId="22A2531F" w14:textId="77777777" w:rsidR="009E0884" w:rsidRPr="009E0884" w:rsidRDefault="009E0884" w:rsidP="009E0884">
      <w:pPr>
        <w:spacing w:before="100" w:beforeAutospacing="1" w:after="100" w:afterAutospacing="1"/>
        <w:ind w:left="284"/>
        <w:jc w:val="both"/>
        <w:outlineLvl w:val="2"/>
        <w:rPr>
          <w:rFonts w:ascii="Verdana" w:hAnsi="Verdana"/>
          <w:b/>
          <w:bCs/>
          <w:sz w:val="18"/>
          <w:szCs w:val="18"/>
        </w:rPr>
      </w:pPr>
      <w:r w:rsidRPr="009E0884">
        <w:rPr>
          <w:rFonts w:ascii="Verdana" w:hAnsi="Verdana"/>
          <w:b/>
          <w:bCs/>
          <w:sz w:val="18"/>
          <w:szCs w:val="18"/>
        </w:rPr>
        <w:t>Calendario previsto</w:t>
      </w:r>
    </w:p>
    <w:p w14:paraId="485B8BBA" w14:textId="77777777" w:rsidR="009E0884" w:rsidRPr="009E0884" w:rsidRDefault="009E0884" w:rsidP="009E0884">
      <w:pPr>
        <w:spacing w:before="100" w:beforeAutospacing="1" w:after="100" w:afterAutospacing="1"/>
        <w:ind w:left="284"/>
        <w:jc w:val="both"/>
        <w:rPr>
          <w:rFonts w:ascii="Verdana" w:hAnsi="Verdana"/>
          <w:sz w:val="18"/>
          <w:szCs w:val="18"/>
        </w:rPr>
      </w:pPr>
      <w:r w:rsidRPr="009E0884">
        <w:rPr>
          <w:rFonts w:ascii="Verdana" w:hAnsi="Verdana"/>
          <w:sz w:val="18"/>
          <w:szCs w:val="18"/>
        </w:rPr>
        <w:t xml:space="preserve">Está prevista </w:t>
      </w:r>
      <w:r w:rsidRPr="009E0884">
        <w:rPr>
          <w:rFonts w:ascii="Verdana" w:hAnsi="Verdana"/>
          <w:b/>
          <w:bCs/>
          <w:sz w:val="18"/>
          <w:szCs w:val="18"/>
        </w:rPr>
        <w:t>una versión básica de la BUC a lo largo de 2026</w:t>
      </w:r>
      <w:r w:rsidRPr="009E0884">
        <w:rPr>
          <w:rFonts w:ascii="Verdana" w:hAnsi="Verdana"/>
          <w:sz w:val="18"/>
          <w:szCs w:val="18"/>
        </w:rPr>
        <w:t>, con finalización de desarrollos en el primer semestre e implantación en el segundo. Entre los hitos pendientes destacan la migración y depuración de bases de datos existentes, la actualización automática de cambios normativos y el despliegue en sedes electrónicas.</w:t>
      </w:r>
    </w:p>
    <w:p w14:paraId="0FFFE30A" w14:textId="77777777" w:rsidR="00003D87" w:rsidRDefault="00003D87" w:rsidP="009E0884">
      <w:pPr>
        <w:spacing w:before="100" w:beforeAutospacing="1" w:after="100" w:afterAutospacing="1"/>
        <w:ind w:left="284"/>
        <w:jc w:val="both"/>
        <w:outlineLvl w:val="2"/>
        <w:rPr>
          <w:rFonts w:ascii="Verdana" w:hAnsi="Verdana"/>
          <w:b/>
          <w:bCs/>
          <w:sz w:val="18"/>
          <w:szCs w:val="18"/>
        </w:rPr>
      </w:pPr>
    </w:p>
    <w:p w14:paraId="6348BA76" w14:textId="77777777" w:rsidR="00003D87" w:rsidRDefault="00003D87" w:rsidP="009E0884">
      <w:pPr>
        <w:spacing w:before="100" w:beforeAutospacing="1" w:after="100" w:afterAutospacing="1"/>
        <w:ind w:left="284"/>
        <w:jc w:val="both"/>
        <w:outlineLvl w:val="2"/>
        <w:rPr>
          <w:rFonts w:ascii="Verdana" w:hAnsi="Verdana"/>
          <w:b/>
          <w:bCs/>
          <w:sz w:val="18"/>
          <w:szCs w:val="18"/>
        </w:rPr>
      </w:pPr>
    </w:p>
    <w:p w14:paraId="7B0C32A3" w14:textId="66B5B0B3" w:rsidR="009E0884" w:rsidRPr="009E0884" w:rsidRDefault="009E0884" w:rsidP="009E0884">
      <w:pPr>
        <w:spacing w:before="100" w:beforeAutospacing="1" w:after="100" w:afterAutospacing="1"/>
        <w:ind w:left="284"/>
        <w:jc w:val="both"/>
        <w:outlineLvl w:val="2"/>
        <w:rPr>
          <w:rFonts w:ascii="Verdana" w:hAnsi="Verdana"/>
          <w:b/>
          <w:bCs/>
          <w:sz w:val="18"/>
          <w:szCs w:val="18"/>
        </w:rPr>
      </w:pPr>
      <w:r w:rsidRPr="009E0884">
        <w:rPr>
          <w:rFonts w:ascii="Verdana" w:hAnsi="Verdana"/>
          <w:b/>
          <w:bCs/>
          <w:sz w:val="18"/>
          <w:szCs w:val="18"/>
        </w:rPr>
        <w:lastRenderedPageBreak/>
        <w:t>Evolución futura</w:t>
      </w:r>
    </w:p>
    <w:p w14:paraId="1DFF8FC7" w14:textId="77777777" w:rsidR="009E0884" w:rsidRPr="009E0884" w:rsidRDefault="009E0884" w:rsidP="009E0884">
      <w:pPr>
        <w:spacing w:before="100" w:beforeAutospacing="1" w:after="100" w:afterAutospacing="1"/>
        <w:ind w:left="284"/>
        <w:jc w:val="both"/>
        <w:rPr>
          <w:rFonts w:ascii="Verdana" w:hAnsi="Verdana"/>
          <w:sz w:val="18"/>
          <w:szCs w:val="18"/>
        </w:rPr>
      </w:pPr>
      <w:r w:rsidRPr="009E0884">
        <w:rPr>
          <w:rFonts w:ascii="Verdana" w:hAnsi="Verdana"/>
          <w:sz w:val="18"/>
          <w:szCs w:val="18"/>
        </w:rPr>
        <w:t>Tras su implantación, se contempla la incorporación de herramientas de inteligencia artificial para apoyar la migración de datos, la generación de resúmenes y la elaboración de propuestas de respuesta a contribuyentes, siempre bajo supervisión humana.</w:t>
      </w:r>
    </w:p>
    <w:p w14:paraId="703B82CE" w14:textId="77777777" w:rsidR="009E0884" w:rsidRDefault="009E0884" w:rsidP="00EC4C53">
      <w:pPr>
        <w:spacing w:before="100" w:beforeAutospacing="1" w:after="100" w:afterAutospacing="1"/>
        <w:ind w:left="284"/>
        <w:contextualSpacing/>
        <w:jc w:val="both"/>
        <w:rPr>
          <w:rFonts w:ascii="Verdana" w:hAnsi="Verdana"/>
          <w:sz w:val="18"/>
          <w:szCs w:val="18"/>
        </w:rPr>
      </w:pPr>
      <w:r w:rsidRPr="009E0884">
        <w:rPr>
          <w:rFonts w:ascii="Verdana" w:hAnsi="Verdana"/>
          <w:sz w:val="18"/>
          <w:szCs w:val="18"/>
        </w:rPr>
        <w:t xml:space="preserve">En definitiva, </w:t>
      </w:r>
      <w:r w:rsidRPr="009E0884">
        <w:rPr>
          <w:rFonts w:ascii="Verdana" w:hAnsi="Verdana"/>
          <w:b/>
          <w:bCs/>
          <w:sz w:val="18"/>
          <w:szCs w:val="18"/>
        </w:rPr>
        <w:t>la BUC supondrá un avance significativo en transparencia, seguridad jurídica y reducción de la conflictividad tributaria</w:t>
      </w:r>
      <w:r w:rsidRPr="009E0884">
        <w:rPr>
          <w:rFonts w:ascii="Verdana" w:hAnsi="Verdana"/>
          <w:sz w:val="18"/>
          <w:szCs w:val="18"/>
        </w:rPr>
        <w:t>, facilitando el acceso al criterio vigente sobre cada materia fiscal.</w:t>
      </w:r>
    </w:p>
    <w:p w14:paraId="7979C8C1" w14:textId="77777777" w:rsidR="00776277" w:rsidRPr="009E0884" w:rsidRDefault="00776277" w:rsidP="00EC4C53">
      <w:pPr>
        <w:spacing w:before="100" w:beforeAutospacing="1" w:after="100" w:afterAutospacing="1"/>
        <w:ind w:left="284"/>
        <w:contextualSpacing/>
        <w:jc w:val="both"/>
        <w:rPr>
          <w:rFonts w:ascii="Verdana" w:hAnsi="Verdana"/>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F7572A" w:rsidRPr="00F7572A" w14:paraId="429B8C6E" w14:textId="77777777" w:rsidTr="005F3573">
        <w:trPr>
          <w:trHeight w:val="272"/>
        </w:trPr>
        <w:tc>
          <w:tcPr>
            <w:tcW w:w="181" w:type="dxa"/>
            <w:shd w:val="clear" w:color="auto" w:fill="FF6600"/>
          </w:tcPr>
          <w:p w14:paraId="2A49AE86" w14:textId="77777777" w:rsidR="00F7572A" w:rsidRPr="00F7572A" w:rsidRDefault="00F7572A" w:rsidP="005F3573">
            <w:pPr>
              <w:pStyle w:val="Textoindependiente"/>
              <w:tabs>
                <w:tab w:val="clear" w:pos="360"/>
              </w:tabs>
              <w:jc w:val="left"/>
              <w:rPr>
                <w:rFonts w:ascii="Verdana" w:hAnsi="Verdana" w:cs="Verdana"/>
                <w:color w:val="800000"/>
                <w:sz w:val="18"/>
                <w:szCs w:val="18"/>
                <w:lang w:val="es-ES" w:eastAsia="es-ES"/>
              </w:rPr>
            </w:pPr>
            <w:bookmarkStart w:id="2" w:name="_Hlk221812638"/>
          </w:p>
        </w:tc>
        <w:tc>
          <w:tcPr>
            <w:tcW w:w="8533" w:type="dxa"/>
          </w:tcPr>
          <w:p w14:paraId="67B9165B" w14:textId="4BE33A0B" w:rsidR="00F7572A" w:rsidRPr="00F7572A" w:rsidRDefault="00F7572A" w:rsidP="005F3573">
            <w:pPr>
              <w:numPr>
                <w:ilvl w:val="0"/>
                <w:numId w:val="4"/>
              </w:numPr>
              <w:tabs>
                <w:tab w:val="clear" w:pos="502"/>
                <w:tab w:val="num" w:pos="317"/>
              </w:tabs>
              <w:ind w:left="317" w:hanging="283"/>
              <w:jc w:val="both"/>
              <w:rPr>
                <w:rFonts w:ascii="Verdana" w:hAnsi="Verdana" w:cs="Verdana"/>
                <w:b/>
                <w:bCs/>
                <w:color w:val="800000"/>
                <w:sz w:val="18"/>
                <w:szCs w:val="18"/>
              </w:rPr>
            </w:pPr>
            <w:r w:rsidRPr="00F7572A">
              <w:rPr>
                <w:rFonts w:ascii="Verdana" w:hAnsi="Verdana"/>
                <w:b/>
                <w:bCs/>
                <w:color w:val="800000"/>
                <w:sz w:val="18"/>
                <w:szCs w:val="18"/>
              </w:rPr>
              <w:t>IRPF. DEDUCCIÓN POR INVERSIÓN EN VIVIENDA HABITUAL TRAS LA EXTINCIÓN DE CONDOMINIO POR DIVORCIO</w:t>
            </w:r>
          </w:p>
        </w:tc>
      </w:tr>
      <w:bookmarkEnd w:id="2"/>
    </w:tbl>
    <w:p w14:paraId="32F0C2B2" w14:textId="77777777" w:rsidR="009E0884" w:rsidRDefault="009E0884" w:rsidP="00EC4C53">
      <w:pPr>
        <w:ind w:left="284"/>
        <w:contextualSpacing/>
        <w:jc w:val="both"/>
        <w:rPr>
          <w:rFonts w:ascii="Verdana" w:hAnsi="Verdana"/>
          <w:color w:val="212121"/>
          <w:spacing w:val="5"/>
          <w:sz w:val="18"/>
          <w:szCs w:val="18"/>
        </w:rPr>
      </w:pPr>
    </w:p>
    <w:p w14:paraId="043FD5D1" w14:textId="6BEEFFFD" w:rsidR="00F7572A" w:rsidRDefault="00F7572A" w:rsidP="00EC4C53">
      <w:pPr>
        <w:spacing w:before="100" w:beforeAutospacing="1" w:after="100" w:afterAutospacing="1"/>
        <w:ind w:left="284"/>
        <w:contextualSpacing/>
        <w:jc w:val="both"/>
        <w:rPr>
          <w:rFonts w:ascii="Verdana" w:hAnsi="Verdana"/>
          <w:sz w:val="18"/>
          <w:szCs w:val="18"/>
        </w:rPr>
      </w:pPr>
      <w:r w:rsidRPr="00F7572A">
        <w:rPr>
          <w:rFonts w:ascii="Verdana" w:hAnsi="Verdana"/>
          <w:sz w:val="18"/>
          <w:szCs w:val="18"/>
        </w:rPr>
        <w:t xml:space="preserve">La Dirección General de Tributos, en la </w:t>
      </w:r>
      <w:r w:rsidRPr="00F7572A">
        <w:rPr>
          <w:rFonts w:ascii="Verdana" w:hAnsi="Verdana"/>
          <w:b/>
          <w:bCs/>
          <w:sz w:val="18"/>
          <w:szCs w:val="18"/>
        </w:rPr>
        <w:t>consulta vinculante V1539-25, de 26 de agosto</w:t>
      </w:r>
      <w:r w:rsidRPr="00F7572A">
        <w:rPr>
          <w:rFonts w:ascii="Verdana" w:hAnsi="Verdana"/>
          <w:sz w:val="18"/>
          <w:szCs w:val="18"/>
        </w:rPr>
        <w:t xml:space="preserve">, analiza el alcance de la deducción por inversión en vivienda habitual en supuestos de </w:t>
      </w:r>
      <w:r w:rsidRPr="00F7572A">
        <w:rPr>
          <w:rFonts w:ascii="Verdana" w:hAnsi="Verdana"/>
          <w:b/>
          <w:bCs/>
          <w:sz w:val="18"/>
          <w:szCs w:val="18"/>
        </w:rPr>
        <w:t>extinción de condominio derivada de divorcio</w:t>
      </w:r>
      <w:r w:rsidRPr="00F7572A">
        <w:rPr>
          <w:rFonts w:ascii="Verdana" w:hAnsi="Verdana"/>
          <w:sz w:val="18"/>
          <w:szCs w:val="18"/>
        </w:rPr>
        <w:t>, cuando uno de los excónyuges adquiere la plena propiedad del inmueble y asume la totalidad de la deuda hipotecaria</w:t>
      </w:r>
      <w:r w:rsidR="00003D87">
        <w:rPr>
          <w:rFonts w:ascii="Verdana" w:hAnsi="Verdana"/>
          <w:sz w:val="18"/>
          <w:szCs w:val="18"/>
        </w:rPr>
        <w:t>.</w:t>
      </w:r>
    </w:p>
    <w:p w14:paraId="7AA600C4" w14:textId="77777777" w:rsidR="00003D87" w:rsidRPr="00F7572A" w:rsidRDefault="00003D87" w:rsidP="00EC4C53">
      <w:pPr>
        <w:spacing w:before="100" w:beforeAutospacing="1" w:after="100" w:afterAutospacing="1"/>
        <w:ind w:left="284"/>
        <w:contextualSpacing/>
        <w:jc w:val="both"/>
        <w:rPr>
          <w:rFonts w:ascii="Verdana" w:hAnsi="Verdana"/>
          <w:sz w:val="18"/>
          <w:szCs w:val="18"/>
        </w:rPr>
      </w:pPr>
    </w:p>
    <w:p w14:paraId="36BCE078" w14:textId="2F7A9953" w:rsidR="00F7572A" w:rsidRPr="00F7572A" w:rsidRDefault="00F7572A" w:rsidP="00776277">
      <w:pPr>
        <w:spacing w:before="100" w:beforeAutospacing="1" w:after="100" w:afterAutospacing="1"/>
        <w:ind w:left="284"/>
        <w:jc w:val="both"/>
        <w:rPr>
          <w:rFonts w:ascii="Verdana" w:hAnsi="Verdana"/>
          <w:sz w:val="18"/>
          <w:szCs w:val="18"/>
        </w:rPr>
      </w:pPr>
      <w:r w:rsidRPr="00F7572A">
        <w:rPr>
          <w:rFonts w:ascii="Verdana" w:hAnsi="Verdana"/>
          <w:sz w:val="18"/>
          <w:szCs w:val="18"/>
        </w:rPr>
        <w:t xml:space="preserve">Tributos confirma que el contribuyente podrá </w:t>
      </w:r>
      <w:r w:rsidRPr="00F7572A">
        <w:rPr>
          <w:rFonts w:ascii="Verdana" w:hAnsi="Verdana"/>
          <w:b/>
          <w:bCs/>
          <w:sz w:val="18"/>
          <w:szCs w:val="18"/>
        </w:rPr>
        <w:t>aplicar la deducción en el IRPF por el 100 % de las cantidades satisfechas</w:t>
      </w:r>
      <w:r w:rsidRPr="00F7572A">
        <w:rPr>
          <w:rFonts w:ascii="Verdana" w:hAnsi="Verdana"/>
          <w:sz w:val="18"/>
          <w:szCs w:val="18"/>
        </w:rPr>
        <w:t xml:space="preserve"> en concepto de amortización e intereses del préstamo hipotecario, siempre que la vivienda hubiera sido adquirida con anterioridad al </w:t>
      </w:r>
      <w:r w:rsidRPr="00F7572A">
        <w:rPr>
          <w:rFonts w:ascii="Verdana" w:hAnsi="Verdana"/>
          <w:b/>
          <w:bCs/>
          <w:sz w:val="18"/>
          <w:szCs w:val="18"/>
        </w:rPr>
        <w:t>1 de enero de 2013</w:t>
      </w:r>
      <w:r w:rsidRPr="00F7572A">
        <w:rPr>
          <w:rFonts w:ascii="Verdana" w:hAnsi="Verdana"/>
          <w:sz w:val="18"/>
          <w:szCs w:val="18"/>
        </w:rPr>
        <w:t xml:space="preserve"> y resulte de aplicación el </w:t>
      </w:r>
      <w:r w:rsidRPr="00F7572A">
        <w:rPr>
          <w:rFonts w:ascii="Verdana" w:hAnsi="Verdana"/>
          <w:b/>
          <w:bCs/>
          <w:sz w:val="18"/>
          <w:szCs w:val="18"/>
        </w:rPr>
        <w:t>régimen transitorio</w:t>
      </w:r>
      <w:r w:rsidRPr="00F7572A">
        <w:rPr>
          <w:rFonts w:ascii="Verdana" w:hAnsi="Verdana"/>
          <w:sz w:val="18"/>
          <w:szCs w:val="18"/>
        </w:rPr>
        <w:t xml:space="preserve"> previsto en la disposición transitoria decimoctava de la LIRPF.</w:t>
      </w:r>
    </w:p>
    <w:p w14:paraId="06FC26AD" w14:textId="77777777" w:rsidR="00F7572A" w:rsidRPr="00F7572A" w:rsidRDefault="00F7572A" w:rsidP="00776277">
      <w:pPr>
        <w:spacing w:before="100" w:beforeAutospacing="1" w:after="100" w:afterAutospacing="1"/>
        <w:ind w:left="284"/>
        <w:jc w:val="both"/>
        <w:rPr>
          <w:rFonts w:ascii="Verdana" w:hAnsi="Verdana"/>
          <w:sz w:val="18"/>
          <w:szCs w:val="18"/>
        </w:rPr>
      </w:pPr>
      <w:r w:rsidRPr="00F7572A">
        <w:rPr>
          <w:rFonts w:ascii="Verdana" w:hAnsi="Verdana"/>
          <w:sz w:val="18"/>
          <w:szCs w:val="18"/>
        </w:rPr>
        <w:t>El criterio se fundamenta en la doctrina del TEAC (resolución de 1 de octubre de 2020, unificación de criterio), que admite la deducción íntegra cuando concurran los siguientes requisitos:</w:t>
      </w:r>
    </w:p>
    <w:p w14:paraId="12646E7A" w14:textId="77777777" w:rsidR="00F7572A" w:rsidRPr="00F7572A" w:rsidRDefault="00F7572A" w:rsidP="00776277">
      <w:pPr>
        <w:numPr>
          <w:ilvl w:val="0"/>
          <w:numId w:val="33"/>
        </w:numPr>
        <w:spacing w:before="100" w:beforeAutospacing="1" w:after="100" w:afterAutospacing="1"/>
        <w:ind w:left="567" w:hanging="283"/>
        <w:jc w:val="both"/>
        <w:rPr>
          <w:rFonts w:ascii="Verdana" w:hAnsi="Verdana"/>
          <w:sz w:val="18"/>
          <w:szCs w:val="18"/>
        </w:rPr>
      </w:pPr>
      <w:r w:rsidRPr="00F7572A">
        <w:rPr>
          <w:rFonts w:ascii="Verdana" w:hAnsi="Verdana"/>
          <w:sz w:val="18"/>
          <w:szCs w:val="18"/>
        </w:rPr>
        <w:t>Que el contribuyente hubiera venido practicando la deducción por su participación en la vivienda en ejercicios anteriores a 2013.</w:t>
      </w:r>
    </w:p>
    <w:p w14:paraId="31EEF791" w14:textId="77777777" w:rsidR="00F7572A" w:rsidRPr="00F7572A" w:rsidRDefault="00F7572A" w:rsidP="00776277">
      <w:pPr>
        <w:numPr>
          <w:ilvl w:val="0"/>
          <w:numId w:val="33"/>
        </w:numPr>
        <w:spacing w:before="100" w:beforeAutospacing="1" w:after="100" w:afterAutospacing="1"/>
        <w:ind w:left="567" w:hanging="283"/>
        <w:jc w:val="both"/>
        <w:rPr>
          <w:rFonts w:ascii="Verdana" w:hAnsi="Verdana"/>
          <w:sz w:val="18"/>
          <w:szCs w:val="18"/>
        </w:rPr>
      </w:pPr>
      <w:r w:rsidRPr="00F7572A">
        <w:rPr>
          <w:rFonts w:ascii="Verdana" w:hAnsi="Verdana"/>
          <w:sz w:val="18"/>
          <w:szCs w:val="18"/>
        </w:rPr>
        <w:t>Que la extinción del condominio se produzca en un supuesto legalmente admisible, como el divorcio, y que el excónyuge transmitente también hubiera tenido derecho a deducción no agotado.</w:t>
      </w:r>
    </w:p>
    <w:p w14:paraId="379C46D3" w14:textId="77777777" w:rsidR="00F7572A" w:rsidRPr="00F7572A" w:rsidRDefault="00F7572A" w:rsidP="00776277">
      <w:pPr>
        <w:numPr>
          <w:ilvl w:val="0"/>
          <w:numId w:val="33"/>
        </w:numPr>
        <w:spacing w:before="100" w:beforeAutospacing="1" w:after="100" w:afterAutospacing="1"/>
        <w:ind w:left="567" w:hanging="283"/>
        <w:jc w:val="both"/>
        <w:rPr>
          <w:rFonts w:ascii="Verdana" w:hAnsi="Verdana"/>
          <w:sz w:val="18"/>
          <w:szCs w:val="18"/>
        </w:rPr>
      </w:pPr>
      <w:r w:rsidRPr="00F7572A">
        <w:rPr>
          <w:rFonts w:ascii="Verdana" w:hAnsi="Verdana"/>
          <w:sz w:val="18"/>
          <w:szCs w:val="18"/>
        </w:rPr>
        <w:t>Que el consultante asuma de forma exclusiva la obligación de reembolso del préstamo hipotecario original.</w:t>
      </w:r>
    </w:p>
    <w:p w14:paraId="0155DBA2" w14:textId="77777777" w:rsidR="00F7572A" w:rsidRPr="00F7572A" w:rsidRDefault="00F7572A" w:rsidP="00776277">
      <w:pPr>
        <w:spacing w:before="100" w:beforeAutospacing="1" w:after="100" w:afterAutospacing="1"/>
        <w:ind w:left="284"/>
        <w:jc w:val="both"/>
        <w:rPr>
          <w:rFonts w:ascii="Verdana" w:hAnsi="Verdana"/>
          <w:sz w:val="18"/>
          <w:szCs w:val="18"/>
        </w:rPr>
      </w:pPr>
      <w:r w:rsidRPr="00F7572A">
        <w:rPr>
          <w:rFonts w:ascii="Verdana" w:hAnsi="Verdana"/>
          <w:sz w:val="18"/>
          <w:szCs w:val="18"/>
        </w:rPr>
        <w:t xml:space="preserve">La deducción correspondiente a la parte de vivienda adquirida al excónyuge queda </w:t>
      </w:r>
      <w:r w:rsidRPr="00F7572A">
        <w:rPr>
          <w:rFonts w:ascii="Verdana" w:hAnsi="Verdana"/>
          <w:b/>
          <w:bCs/>
          <w:sz w:val="18"/>
          <w:szCs w:val="18"/>
        </w:rPr>
        <w:t>limitada al importe que este último hubiera podido deducir</w:t>
      </w:r>
      <w:r w:rsidRPr="00F7572A">
        <w:rPr>
          <w:rFonts w:ascii="Verdana" w:hAnsi="Verdana"/>
          <w:sz w:val="18"/>
          <w:szCs w:val="18"/>
        </w:rPr>
        <w:t xml:space="preserve"> de haber mantenido la copropiedad, evitando así una ampliación indebida del derecho a deducción.</w:t>
      </w:r>
    </w:p>
    <w:p w14:paraId="55D77432" w14:textId="77777777" w:rsidR="00F7572A" w:rsidRDefault="00F7572A" w:rsidP="00776277">
      <w:pPr>
        <w:spacing w:before="100" w:beforeAutospacing="1" w:after="100" w:afterAutospacing="1"/>
        <w:ind w:left="284"/>
        <w:contextualSpacing/>
        <w:jc w:val="both"/>
        <w:rPr>
          <w:rFonts w:ascii="Times New Roman" w:hAnsi="Times New Roman"/>
          <w:sz w:val="24"/>
        </w:rPr>
      </w:pPr>
      <w:r w:rsidRPr="00F7572A">
        <w:rPr>
          <w:rFonts w:ascii="Verdana" w:hAnsi="Verdana"/>
          <w:sz w:val="18"/>
          <w:szCs w:val="18"/>
        </w:rPr>
        <w:t xml:space="preserve">En ningún caso resultan deducibles las cantidades satisfechas para la adquisición de la cuota indivisa del excónyuge que </w:t>
      </w:r>
      <w:r w:rsidRPr="00F7572A">
        <w:rPr>
          <w:rFonts w:ascii="Verdana" w:hAnsi="Verdana"/>
          <w:b/>
          <w:bCs/>
          <w:sz w:val="18"/>
          <w:szCs w:val="18"/>
        </w:rPr>
        <w:t>no estén vinculadas al préstamo hipotecario originario</w:t>
      </w:r>
      <w:r w:rsidRPr="00DC59DB">
        <w:rPr>
          <w:rFonts w:ascii="Times New Roman" w:hAnsi="Times New Roman"/>
          <w:sz w:val="24"/>
        </w:rPr>
        <w:t>.</w:t>
      </w:r>
    </w:p>
    <w:p w14:paraId="324CE8B9" w14:textId="77777777" w:rsidR="00B9750F" w:rsidRDefault="00B9750F" w:rsidP="00776277">
      <w:pPr>
        <w:spacing w:before="100" w:beforeAutospacing="1" w:after="100" w:afterAutospacing="1"/>
        <w:ind w:left="284"/>
        <w:contextualSpacing/>
        <w:jc w:val="both"/>
        <w:rPr>
          <w:rFonts w:ascii="Times New Roman" w:hAnsi="Times New Roman"/>
          <w:sz w:val="24"/>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B9750F" w:rsidRPr="00B9750F" w14:paraId="5D045028" w14:textId="77777777" w:rsidTr="003B779C">
        <w:trPr>
          <w:trHeight w:val="272"/>
        </w:trPr>
        <w:tc>
          <w:tcPr>
            <w:tcW w:w="181" w:type="dxa"/>
            <w:shd w:val="clear" w:color="auto" w:fill="FF6600"/>
          </w:tcPr>
          <w:p w14:paraId="47DB2BE8" w14:textId="77777777" w:rsidR="00B9750F" w:rsidRPr="00B9750F" w:rsidRDefault="00B9750F" w:rsidP="003B779C">
            <w:pPr>
              <w:pStyle w:val="Textoindependiente"/>
              <w:tabs>
                <w:tab w:val="clear" w:pos="360"/>
              </w:tabs>
              <w:jc w:val="left"/>
              <w:rPr>
                <w:rFonts w:ascii="Verdana" w:hAnsi="Verdana" w:cs="Verdana"/>
                <w:color w:val="800000"/>
                <w:sz w:val="18"/>
                <w:szCs w:val="18"/>
                <w:lang w:val="es-ES" w:eastAsia="es-ES"/>
              </w:rPr>
            </w:pPr>
          </w:p>
        </w:tc>
        <w:tc>
          <w:tcPr>
            <w:tcW w:w="8533" w:type="dxa"/>
          </w:tcPr>
          <w:p w14:paraId="3E304643" w14:textId="1BD1C710" w:rsidR="00B9750F" w:rsidRPr="00B9750F" w:rsidRDefault="00B9750F" w:rsidP="003B779C">
            <w:pPr>
              <w:numPr>
                <w:ilvl w:val="0"/>
                <w:numId w:val="4"/>
              </w:numPr>
              <w:tabs>
                <w:tab w:val="clear" w:pos="502"/>
                <w:tab w:val="num" w:pos="317"/>
              </w:tabs>
              <w:ind w:left="317" w:hanging="283"/>
              <w:jc w:val="both"/>
              <w:rPr>
                <w:rFonts w:ascii="Verdana" w:hAnsi="Verdana" w:cs="Verdana"/>
                <w:b/>
                <w:bCs/>
                <w:color w:val="800000"/>
                <w:sz w:val="18"/>
                <w:szCs w:val="18"/>
              </w:rPr>
            </w:pPr>
            <w:r w:rsidRPr="00B9750F">
              <w:rPr>
                <w:rFonts w:ascii="Verdana" w:hAnsi="Verdana"/>
                <w:b/>
                <w:bCs/>
                <w:color w:val="800000"/>
                <w:sz w:val="18"/>
                <w:szCs w:val="18"/>
              </w:rPr>
              <w:t>IRPF. LAS REFORMAS INTEGRALES EN UNA VIVIENDA CONSTITUYEN UNA MEJORA QUE AUMENTA SU VALOR DE ADQUISICIÓN</w:t>
            </w:r>
          </w:p>
        </w:tc>
      </w:tr>
    </w:tbl>
    <w:p w14:paraId="5A4B63EC" w14:textId="77777777" w:rsidR="00B9750F" w:rsidRDefault="00B9750F" w:rsidP="00776277">
      <w:pPr>
        <w:spacing w:before="100" w:beforeAutospacing="1" w:after="100" w:afterAutospacing="1"/>
        <w:ind w:left="284"/>
        <w:contextualSpacing/>
        <w:jc w:val="both"/>
        <w:rPr>
          <w:rFonts w:ascii="Times New Roman" w:hAnsi="Times New Roman"/>
          <w:sz w:val="24"/>
        </w:rPr>
      </w:pPr>
    </w:p>
    <w:p w14:paraId="1F60F03A" w14:textId="77777777" w:rsid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El Tribunal Económico-Administrativo Regional de Madrid, en su Resolución de 25 de noviembre de 2025 (RG 28/20118/2024), analiza una cuestión recurrente en el ámbito del IRPF: la correcta calificación de las obras realizadas en un inmueble como </w:t>
      </w:r>
      <w:r w:rsidRPr="00B9750F">
        <w:rPr>
          <w:rFonts w:ascii="Verdana" w:hAnsi="Verdana"/>
          <w:b/>
          <w:bCs/>
          <w:sz w:val="18"/>
          <w:szCs w:val="18"/>
        </w:rPr>
        <w:t>gastos de conservación y reparación</w:t>
      </w:r>
      <w:r w:rsidRPr="00B9750F">
        <w:rPr>
          <w:rFonts w:ascii="Verdana" w:hAnsi="Verdana"/>
          <w:sz w:val="18"/>
          <w:szCs w:val="18"/>
        </w:rPr>
        <w:t xml:space="preserve"> o como </w:t>
      </w:r>
      <w:r w:rsidRPr="00B9750F">
        <w:rPr>
          <w:rFonts w:ascii="Verdana" w:hAnsi="Verdana"/>
          <w:b/>
          <w:bCs/>
          <w:sz w:val="18"/>
          <w:szCs w:val="18"/>
        </w:rPr>
        <w:t>gastos de mejora</w:t>
      </w:r>
      <w:r w:rsidRPr="00B9750F">
        <w:rPr>
          <w:rFonts w:ascii="Verdana" w:hAnsi="Verdana"/>
          <w:sz w:val="18"/>
          <w:szCs w:val="18"/>
        </w:rPr>
        <w:t>, dado su impacto directo en el cálculo de la ganancia o pérdida patrimonial en caso de transmisión.</w:t>
      </w:r>
    </w:p>
    <w:p w14:paraId="0F97163A" w14:textId="77777777" w:rsidR="00B9750F" w:rsidRPr="00B9750F" w:rsidRDefault="00B9750F" w:rsidP="00B9750F">
      <w:pPr>
        <w:spacing w:before="100" w:beforeAutospacing="1" w:after="100" w:afterAutospacing="1"/>
        <w:ind w:left="284"/>
        <w:contextualSpacing/>
        <w:jc w:val="both"/>
        <w:rPr>
          <w:rFonts w:ascii="Verdana" w:hAnsi="Verdana"/>
          <w:sz w:val="18"/>
          <w:szCs w:val="18"/>
        </w:rPr>
      </w:pPr>
    </w:p>
    <w:p w14:paraId="64ECAE9F" w14:textId="323C5E80" w:rsidR="00B9750F" w:rsidRPr="00B9750F" w:rsidRDefault="00B9750F" w:rsidP="00B9750F">
      <w:pPr>
        <w:spacing w:before="100" w:beforeAutospacing="1" w:after="100" w:afterAutospacing="1"/>
        <w:ind w:left="284"/>
        <w:contextualSpacing/>
        <w:jc w:val="both"/>
        <w:rPr>
          <w:rFonts w:ascii="Verdana" w:hAnsi="Verdana"/>
          <w:b/>
          <w:bCs/>
          <w:sz w:val="18"/>
          <w:szCs w:val="18"/>
        </w:rPr>
      </w:pPr>
      <w:r w:rsidRPr="00B9750F">
        <w:rPr>
          <w:rFonts w:ascii="Verdana" w:hAnsi="Verdana"/>
          <w:b/>
          <w:bCs/>
          <w:sz w:val="18"/>
          <w:szCs w:val="18"/>
        </w:rPr>
        <w:t>Marco normativo</w:t>
      </w:r>
    </w:p>
    <w:p w14:paraId="7937E3AA" w14:textId="77777777" w:rsid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De acuerdo con los artículos 34 y siguientes de la Ley del IRPF, la ganancia o pérdida patrimonial se determina por diferencia entre el valor de transmisión y el valor de adquisición.</w:t>
      </w:r>
    </w:p>
    <w:p w14:paraId="0C414556" w14:textId="77777777" w:rsidR="00B9750F" w:rsidRDefault="00B9750F" w:rsidP="00B9750F">
      <w:pPr>
        <w:spacing w:before="100" w:beforeAutospacing="1" w:after="100" w:afterAutospacing="1"/>
        <w:ind w:left="284"/>
        <w:contextualSpacing/>
        <w:jc w:val="both"/>
        <w:rPr>
          <w:rFonts w:ascii="Verdana" w:hAnsi="Verdana"/>
          <w:sz w:val="18"/>
          <w:szCs w:val="18"/>
        </w:rPr>
      </w:pPr>
    </w:p>
    <w:p w14:paraId="66F3E386" w14:textId="77FEFD1D"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Este último incluye el coste de las inversiones y mejoras realizadas, pero </w:t>
      </w:r>
      <w:r w:rsidRPr="00B9750F">
        <w:rPr>
          <w:rFonts w:ascii="Verdana" w:hAnsi="Verdana"/>
          <w:b/>
          <w:bCs/>
          <w:sz w:val="18"/>
          <w:szCs w:val="18"/>
        </w:rPr>
        <w:t>excluye los gastos de conservación y reparación</w:t>
      </w:r>
      <w:r w:rsidRPr="00B9750F">
        <w:rPr>
          <w:rFonts w:ascii="Verdana" w:hAnsi="Verdana"/>
          <w:sz w:val="18"/>
          <w:szCs w:val="18"/>
        </w:rPr>
        <w:t>.</w:t>
      </w:r>
    </w:p>
    <w:p w14:paraId="0CD36DE5" w14:textId="77777777" w:rsidR="00B9750F" w:rsidRDefault="00B9750F" w:rsidP="00B9750F">
      <w:pPr>
        <w:spacing w:before="100" w:beforeAutospacing="1" w:after="100" w:afterAutospacing="1"/>
        <w:ind w:left="284"/>
        <w:contextualSpacing/>
        <w:jc w:val="both"/>
        <w:rPr>
          <w:rFonts w:ascii="Verdana" w:hAnsi="Verdana"/>
          <w:sz w:val="18"/>
          <w:szCs w:val="18"/>
        </w:rPr>
      </w:pPr>
    </w:p>
    <w:p w14:paraId="356C7CBF" w14:textId="3F0DBB33"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Por tanto, </w:t>
      </w:r>
      <w:r w:rsidRPr="00B9750F">
        <w:rPr>
          <w:rFonts w:ascii="Verdana" w:hAnsi="Verdana"/>
          <w:b/>
          <w:bCs/>
          <w:sz w:val="18"/>
          <w:szCs w:val="18"/>
        </w:rPr>
        <w:t>la calificación de las obras resulta determinante</w:t>
      </w:r>
      <w:r w:rsidRPr="00B9750F">
        <w:rPr>
          <w:rFonts w:ascii="Verdana" w:hAnsi="Verdana"/>
          <w:sz w:val="18"/>
          <w:szCs w:val="18"/>
        </w:rPr>
        <w:t xml:space="preserve"> para la tributación futura.</w:t>
      </w:r>
    </w:p>
    <w:p w14:paraId="1DFA88E6" w14:textId="77777777" w:rsidR="00B9750F" w:rsidRPr="00B9750F" w:rsidRDefault="00000000" w:rsidP="00B9750F">
      <w:pPr>
        <w:spacing w:before="100" w:beforeAutospacing="1" w:after="100" w:afterAutospacing="1"/>
        <w:ind w:left="284"/>
        <w:contextualSpacing/>
        <w:jc w:val="both"/>
        <w:rPr>
          <w:rFonts w:ascii="Verdana" w:hAnsi="Verdana"/>
          <w:sz w:val="18"/>
          <w:szCs w:val="18"/>
        </w:rPr>
      </w:pPr>
      <w:r>
        <w:rPr>
          <w:rFonts w:ascii="Verdana" w:hAnsi="Verdana"/>
          <w:sz w:val="18"/>
          <w:szCs w:val="18"/>
        </w:rPr>
        <w:pict w14:anchorId="22A644AC">
          <v:rect id="_x0000_i1025" style="width:0;height:1.5pt" o:hralign="center" o:hrstd="t" o:hr="t" fillcolor="#a0a0a0" stroked="f"/>
        </w:pict>
      </w:r>
    </w:p>
    <w:p w14:paraId="2F62AD68" w14:textId="262B9FEB" w:rsidR="00B9750F" w:rsidRPr="00B9750F" w:rsidRDefault="00B9750F" w:rsidP="00B9750F">
      <w:pPr>
        <w:spacing w:before="100" w:beforeAutospacing="1" w:after="100" w:afterAutospacing="1"/>
        <w:ind w:left="284"/>
        <w:contextualSpacing/>
        <w:jc w:val="both"/>
        <w:rPr>
          <w:rFonts w:ascii="Verdana" w:hAnsi="Verdana"/>
          <w:b/>
          <w:bCs/>
          <w:sz w:val="18"/>
          <w:szCs w:val="18"/>
        </w:rPr>
      </w:pPr>
      <w:r w:rsidRPr="00B9750F">
        <w:rPr>
          <w:rFonts w:ascii="Verdana" w:hAnsi="Verdana"/>
          <w:b/>
          <w:bCs/>
          <w:sz w:val="18"/>
          <w:szCs w:val="18"/>
        </w:rPr>
        <w:t>Criterios jurisprudenciales aplicables</w:t>
      </w:r>
    </w:p>
    <w:p w14:paraId="77A33E0D" w14:textId="77777777"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El TEAR se apoya en la doctrina del Tribunal Superior de Justicia de Madrid y del Tribunal Supremo:</w:t>
      </w:r>
    </w:p>
    <w:p w14:paraId="4C907FAB" w14:textId="77777777" w:rsidR="00B9750F" w:rsidRPr="00B9750F" w:rsidRDefault="00B9750F" w:rsidP="00B9750F">
      <w:pPr>
        <w:numPr>
          <w:ilvl w:val="0"/>
          <w:numId w:val="54"/>
        </w:numPr>
        <w:spacing w:before="100" w:beforeAutospacing="1" w:after="100" w:afterAutospacing="1"/>
        <w:contextualSpacing/>
        <w:jc w:val="both"/>
        <w:rPr>
          <w:rFonts w:ascii="Verdana" w:hAnsi="Verdana"/>
          <w:sz w:val="18"/>
          <w:szCs w:val="18"/>
        </w:rPr>
      </w:pPr>
      <w:r w:rsidRPr="00B9750F">
        <w:rPr>
          <w:rFonts w:ascii="Verdana" w:hAnsi="Verdana"/>
          <w:b/>
          <w:bCs/>
          <w:sz w:val="18"/>
          <w:szCs w:val="18"/>
        </w:rPr>
        <w:t>Obras de mejora</w:t>
      </w:r>
      <w:r w:rsidRPr="00B9750F">
        <w:rPr>
          <w:rFonts w:ascii="Verdana" w:hAnsi="Verdana"/>
          <w:sz w:val="18"/>
          <w:szCs w:val="18"/>
        </w:rPr>
        <w:t>: aquellas que aumentan la capacidad productiva o de uso del inmueble o prolongan su vida útil.</w:t>
      </w:r>
    </w:p>
    <w:p w14:paraId="5E7EA234" w14:textId="77777777" w:rsidR="00B9750F" w:rsidRPr="00B9750F" w:rsidRDefault="00B9750F" w:rsidP="00B9750F">
      <w:pPr>
        <w:numPr>
          <w:ilvl w:val="0"/>
          <w:numId w:val="54"/>
        </w:numPr>
        <w:spacing w:before="100" w:beforeAutospacing="1" w:after="100" w:afterAutospacing="1"/>
        <w:contextualSpacing/>
        <w:jc w:val="both"/>
        <w:rPr>
          <w:rFonts w:ascii="Verdana" w:hAnsi="Verdana"/>
          <w:sz w:val="18"/>
          <w:szCs w:val="18"/>
        </w:rPr>
      </w:pPr>
      <w:r w:rsidRPr="00B9750F">
        <w:rPr>
          <w:rFonts w:ascii="Verdana" w:hAnsi="Verdana"/>
          <w:b/>
          <w:bCs/>
          <w:sz w:val="18"/>
          <w:szCs w:val="18"/>
        </w:rPr>
        <w:t>Obras de conservación o reparación</w:t>
      </w:r>
      <w:r w:rsidRPr="00B9750F">
        <w:rPr>
          <w:rFonts w:ascii="Verdana" w:hAnsi="Verdana"/>
          <w:sz w:val="18"/>
          <w:szCs w:val="18"/>
        </w:rPr>
        <w:t>: las destinadas al mantenimiento del uso normal del bien o a la mera sustitución de elementos deteriorados.</w:t>
      </w:r>
    </w:p>
    <w:p w14:paraId="5AA4C2F1" w14:textId="77777777" w:rsidR="003B1833" w:rsidRDefault="003B1833" w:rsidP="00B9750F">
      <w:pPr>
        <w:spacing w:before="100" w:beforeAutospacing="1" w:after="100" w:afterAutospacing="1"/>
        <w:ind w:left="284"/>
        <w:contextualSpacing/>
        <w:jc w:val="both"/>
        <w:rPr>
          <w:rFonts w:ascii="Verdana" w:hAnsi="Verdana"/>
          <w:sz w:val="18"/>
          <w:szCs w:val="18"/>
        </w:rPr>
      </w:pPr>
    </w:p>
    <w:p w14:paraId="3B2191FD" w14:textId="1A661E4A"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El Tribunal destaca especialmente la Sentencia 247/2024, de 10 de abril, del TSJ de Madrid, que consideró mejoras determinadas actuaciones integrales (albañilería, electricidad, fontanería, suelos, carpintería, etc.) por implicar una renovación sustancial del inmueble </w:t>
      </w:r>
      <w:r w:rsidRPr="00003D87">
        <w:rPr>
          <w:rFonts w:ascii="Verdana" w:hAnsi="Verdana"/>
          <w:b/>
          <w:bCs/>
          <w:sz w:val="18"/>
          <w:szCs w:val="18"/>
        </w:rPr>
        <w:t>y un alargamiento de su vida útil</w:t>
      </w:r>
      <w:r w:rsidRPr="00B9750F">
        <w:rPr>
          <w:rFonts w:ascii="Verdana" w:hAnsi="Verdana"/>
          <w:sz w:val="18"/>
          <w:szCs w:val="18"/>
        </w:rPr>
        <w:t>.</w:t>
      </w:r>
    </w:p>
    <w:p w14:paraId="11EA5C5F" w14:textId="77777777" w:rsidR="00B9750F" w:rsidRPr="00B9750F" w:rsidRDefault="00000000" w:rsidP="00B9750F">
      <w:pPr>
        <w:spacing w:before="100" w:beforeAutospacing="1" w:after="100" w:afterAutospacing="1"/>
        <w:ind w:left="284"/>
        <w:contextualSpacing/>
        <w:jc w:val="both"/>
        <w:rPr>
          <w:rFonts w:ascii="Verdana" w:hAnsi="Verdana"/>
          <w:sz w:val="18"/>
          <w:szCs w:val="18"/>
        </w:rPr>
      </w:pPr>
      <w:r>
        <w:rPr>
          <w:rFonts w:ascii="Verdana" w:hAnsi="Verdana"/>
          <w:sz w:val="18"/>
          <w:szCs w:val="18"/>
        </w:rPr>
        <w:pict w14:anchorId="5FA53959">
          <v:rect id="_x0000_i1026" style="width:0;height:1.5pt" o:hralign="center" o:hrstd="t" o:hr="t" fillcolor="#a0a0a0" stroked="f"/>
        </w:pict>
      </w:r>
    </w:p>
    <w:p w14:paraId="66E66A99" w14:textId="7DD76B04" w:rsidR="00B9750F" w:rsidRPr="00B9750F" w:rsidRDefault="00B9750F" w:rsidP="00B9750F">
      <w:pPr>
        <w:spacing w:before="100" w:beforeAutospacing="1" w:after="100" w:afterAutospacing="1"/>
        <w:ind w:left="284"/>
        <w:contextualSpacing/>
        <w:jc w:val="both"/>
        <w:rPr>
          <w:rFonts w:ascii="Verdana" w:hAnsi="Verdana"/>
          <w:b/>
          <w:bCs/>
          <w:sz w:val="18"/>
          <w:szCs w:val="18"/>
        </w:rPr>
      </w:pPr>
      <w:r w:rsidRPr="00B9750F">
        <w:rPr>
          <w:rFonts w:ascii="Verdana" w:hAnsi="Verdana"/>
          <w:b/>
          <w:bCs/>
          <w:sz w:val="18"/>
          <w:szCs w:val="18"/>
        </w:rPr>
        <w:t>El caso concreto</w:t>
      </w:r>
    </w:p>
    <w:p w14:paraId="3094515D" w14:textId="77777777" w:rsid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En el supuesto analizado, la Administración calificó como gastos de conservación diversas actuaciones (reforma de baño y cocina, sustitución de instalaciones eléctricas y de fontanería, cambio de suelos y ventanas), considerando mejora únicamente la instalación de climatización por tratarse de un elemento inexistente previamente.</w:t>
      </w:r>
    </w:p>
    <w:p w14:paraId="22EE3FC3" w14:textId="77777777" w:rsidR="003B1833" w:rsidRPr="00B9750F" w:rsidRDefault="003B1833" w:rsidP="00B9750F">
      <w:pPr>
        <w:spacing w:before="100" w:beforeAutospacing="1" w:after="100" w:afterAutospacing="1"/>
        <w:ind w:left="284"/>
        <w:contextualSpacing/>
        <w:jc w:val="both"/>
        <w:rPr>
          <w:rFonts w:ascii="Verdana" w:hAnsi="Verdana"/>
          <w:sz w:val="18"/>
          <w:szCs w:val="18"/>
        </w:rPr>
      </w:pPr>
    </w:p>
    <w:p w14:paraId="45023833" w14:textId="77777777" w:rsid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Sin embargo, el TEAR concluye que las obras constituyeron una </w:t>
      </w:r>
      <w:r w:rsidRPr="00B9750F">
        <w:rPr>
          <w:rFonts w:ascii="Verdana" w:hAnsi="Verdana"/>
          <w:b/>
          <w:bCs/>
          <w:sz w:val="18"/>
          <w:szCs w:val="18"/>
        </w:rPr>
        <w:t>reforma integral</w:t>
      </w:r>
      <w:r w:rsidRPr="00B9750F">
        <w:rPr>
          <w:rFonts w:ascii="Verdana" w:hAnsi="Verdana"/>
          <w:sz w:val="18"/>
          <w:szCs w:val="18"/>
        </w:rPr>
        <w:t>, atendiendo al alcance acreditado mediante facturas, presupuestos y documentación técnica (demolición de tabiquería, renovación completa de instalaciones, sustitución de puertas y ventanas, etc.).</w:t>
      </w:r>
    </w:p>
    <w:p w14:paraId="053604DE" w14:textId="77777777" w:rsidR="003B1833" w:rsidRPr="00B9750F" w:rsidRDefault="003B1833" w:rsidP="00B9750F">
      <w:pPr>
        <w:spacing w:before="100" w:beforeAutospacing="1" w:after="100" w:afterAutospacing="1"/>
        <w:ind w:left="284"/>
        <w:contextualSpacing/>
        <w:jc w:val="both"/>
        <w:rPr>
          <w:rFonts w:ascii="Verdana" w:hAnsi="Verdana"/>
          <w:sz w:val="18"/>
          <w:szCs w:val="18"/>
        </w:rPr>
      </w:pPr>
    </w:p>
    <w:p w14:paraId="0132C716" w14:textId="77777777"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En consecuencia, estima la reclamación del contribuyente y reconoce el carácter de </w:t>
      </w:r>
      <w:r w:rsidRPr="00B9750F">
        <w:rPr>
          <w:rFonts w:ascii="Verdana" w:hAnsi="Verdana"/>
          <w:b/>
          <w:bCs/>
          <w:sz w:val="18"/>
          <w:szCs w:val="18"/>
        </w:rPr>
        <w:t>mejoras</w:t>
      </w:r>
      <w:r w:rsidRPr="00B9750F">
        <w:rPr>
          <w:rFonts w:ascii="Verdana" w:hAnsi="Verdana"/>
          <w:sz w:val="18"/>
          <w:szCs w:val="18"/>
        </w:rPr>
        <w:t>, permitiendo su incorporación al valor de adquisición del inmueble.</w:t>
      </w:r>
    </w:p>
    <w:p w14:paraId="140C4035" w14:textId="77777777" w:rsidR="00B9750F" w:rsidRPr="00B9750F" w:rsidRDefault="00000000" w:rsidP="00B9750F">
      <w:pPr>
        <w:spacing w:before="100" w:beforeAutospacing="1" w:after="100" w:afterAutospacing="1"/>
        <w:ind w:left="284"/>
        <w:contextualSpacing/>
        <w:jc w:val="both"/>
        <w:rPr>
          <w:rFonts w:ascii="Verdana" w:hAnsi="Verdana"/>
          <w:sz w:val="18"/>
          <w:szCs w:val="18"/>
        </w:rPr>
      </w:pPr>
      <w:r>
        <w:rPr>
          <w:rFonts w:ascii="Verdana" w:hAnsi="Verdana"/>
          <w:sz w:val="18"/>
          <w:szCs w:val="18"/>
        </w:rPr>
        <w:pict w14:anchorId="6095F461">
          <v:rect id="_x0000_i1027" style="width:0;height:1.5pt" o:hralign="center" o:hrstd="t" o:hr="t" fillcolor="#a0a0a0" stroked="f"/>
        </w:pict>
      </w:r>
    </w:p>
    <w:p w14:paraId="3507E0FC" w14:textId="046577BE" w:rsidR="00B9750F" w:rsidRPr="00B9750F" w:rsidRDefault="00B9750F" w:rsidP="00B9750F">
      <w:pPr>
        <w:spacing w:before="100" w:beforeAutospacing="1" w:after="100" w:afterAutospacing="1"/>
        <w:ind w:left="284"/>
        <w:contextualSpacing/>
        <w:jc w:val="both"/>
        <w:rPr>
          <w:rFonts w:ascii="Verdana" w:hAnsi="Verdana"/>
          <w:b/>
          <w:bCs/>
          <w:sz w:val="18"/>
          <w:szCs w:val="18"/>
        </w:rPr>
      </w:pPr>
      <w:r w:rsidRPr="00B9750F">
        <w:rPr>
          <w:rFonts w:ascii="Verdana" w:hAnsi="Verdana"/>
          <w:b/>
          <w:bCs/>
          <w:sz w:val="18"/>
          <w:szCs w:val="18"/>
        </w:rPr>
        <w:t>Relevancia probatoria</w:t>
      </w:r>
    </w:p>
    <w:p w14:paraId="0A4EFD94" w14:textId="77777777"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El Tribunal subraya que se trata de una cuestión eminentemente probatoria. Resultan determinantes:</w:t>
      </w:r>
    </w:p>
    <w:p w14:paraId="1362C051" w14:textId="77777777" w:rsidR="00B9750F" w:rsidRPr="00B9750F" w:rsidRDefault="00B9750F" w:rsidP="00B9750F">
      <w:pPr>
        <w:numPr>
          <w:ilvl w:val="0"/>
          <w:numId w:val="55"/>
        </w:numPr>
        <w:spacing w:before="100" w:beforeAutospacing="1" w:after="100" w:afterAutospacing="1"/>
        <w:contextualSpacing/>
        <w:jc w:val="both"/>
        <w:rPr>
          <w:rFonts w:ascii="Verdana" w:hAnsi="Verdana"/>
          <w:sz w:val="18"/>
          <w:szCs w:val="18"/>
        </w:rPr>
      </w:pPr>
      <w:r w:rsidRPr="00B9750F">
        <w:rPr>
          <w:rFonts w:ascii="Verdana" w:hAnsi="Verdana"/>
          <w:sz w:val="18"/>
          <w:szCs w:val="18"/>
        </w:rPr>
        <w:t>Dictámenes técnicos de profesionales competentes</w:t>
      </w:r>
    </w:p>
    <w:p w14:paraId="4E789F55" w14:textId="77777777" w:rsidR="00B9750F" w:rsidRPr="00B9750F" w:rsidRDefault="00B9750F" w:rsidP="00B9750F">
      <w:pPr>
        <w:numPr>
          <w:ilvl w:val="0"/>
          <w:numId w:val="55"/>
        </w:numPr>
        <w:spacing w:before="100" w:beforeAutospacing="1" w:after="100" w:afterAutospacing="1"/>
        <w:contextualSpacing/>
        <w:jc w:val="both"/>
        <w:rPr>
          <w:rFonts w:ascii="Verdana" w:hAnsi="Verdana"/>
          <w:sz w:val="18"/>
          <w:szCs w:val="18"/>
        </w:rPr>
      </w:pPr>
      <w:r w:rsidRPr="00B9750F">
        <w:rPr>
          <w:rFonts w:ascii="Verdana" w:hAnsi="Verdana"/>
          <w:sz w:val="18"/>
          <w:szCs w:val="18"/>
        </w:rPr>
        <w:t>Visado o calificación colegial del proyecto</w:t>
      </w:r>
    </w:p>
    <w:p w14:paraId="04854F0B" w14:textId="77777777" w:rsidR="00B9750F" w:rsidRPr="00B9750F" w:rsidRDefault="00B9750F" w:rsidP="00B9750F">
      <w:pPr>
        <w:numPr>
          <w:ilvl w:val="0"/>
          <w:numId w:val="55"/>
        </w:numPr>
        <w:spacing w:before="100" w:beforeAutospacing="1" w:after="100" w:afterAutospacing="1"/>
        <w:contextualSpacing/>
        <w:jc w:val="both"/>
        <w:rPr>
          <w:rFonts w:ascii="Verdana" w:hAnsi="Verdana"/>
          <w:sz w:val="18"/>
          <w:szCs w:val="18"/>
        </w:rPr>
      </w:pPr>
      <w:r w:rsidRPr="00B9750F">
        <w:rPr>
          <w:rFonts w:ascii="Verdana" w:hAnsi="Verdana"/>
          <w:sz w:val="18"/>
          <w:szCs w:val="18"/>
        </w:rPr>
        <w:t>Facturas y presupuestos detallados</w:t>
      </w:r>
    </w:p>
    <w:p w14:paraId="09361BFC" w14:textId="77777777" w:rsidR="00B9750F" w:rsidRPr="00B9750F" w:rsidRDefault="00B9750F" w:rsidP="00B9750F">
      <w:pPr>
        <w:numPr>
          <w:ilvl w:val="0"/>
          <w:numId w:val="55"/>
        </w:numPr>
        <w:spacing w:before="100" w:beforeAutospacing="1" w:after="100" w:afterAutospacing="1"/>
        <w:contextualSpacing/>
        <w:jc w:val="both"/>
        <w:rPr>
          <w:rFonts w:ascii="Verdana" w:hAnsi="Verdana"/>
          <w:sz w:val="18"/>
          <w:szCs w:val="18"/>
        </w:rPr>
      </w:pPr>
      <w:r w:rsidRPr="00B9750F">
        <w:rPr>
          <w:rFonts w:ascii="Verdana" w:hAnsi="Verdana"/>
          <w:sz w:val="18"/>
          <w:szCs w:val="18"/>
        </w:rPr>
        <w:t>Documentación gráfica</w:t>
      </w:r>
    </w:p>
    <w:p w14:paraId="7BDC54DB" w14:textId="77777777" w:rsidR="00B9750F" w:rsidRPr="00B9750F" w:rsidRDefault="00B9750F" w:rsidP="00B9750F">
      <w:pPr>
        <w:numPr>
          <w:ilvl w:val="0"/>
          <w:numId w:val="55"/>
        </w:numPr>
        <w:spacing w:before="100" w:beforeAutospacing="1" w:after="100" w:afterAutospacing="1"/>
        <w:contextualSpacing/>
        <w:jc w:val="both"/>
        <w:rPr>
          <w:rFonts w:ascii="Verdana" w:hAnsi="Verdana"/>
          <w:sz w:val="18"/>
          <w:szCs w:val="18"/>
        </w:rPr>
      </w:pPr>
      <w:r w:rsidRPr="00B9750F">
        <w:rPr>
          <w:rFonts w:ascii="Verdana" w:hAnsi="Verdana"/>
          <w:sz w:val="18"/>
          <w:szCs w:val="18"/>
        </w:rPr>
        <w:t>Calificación como obras de rehabilitación a efectos de IVA (tipo reducido del 10%), cuando concurran los requisitos cualitativos y cuantitativos exigidos</w:t>
      </w:r>
    </w:p>
    <w:p w14:paraId="4EB04C3F" w14:textId="77777777" w:rsidR="00B9750F" w:rsidRPr="00B9750F" w:rsidRDefault="00000000" w:rsidP="00B9750F">
      <w:pPr>
        <w:spacing w:before="100" w:beforeAutospacing="1" w:after="100" w:afterAutospacing="1"/>
        <w:ind w:left="284"/>
        <w:contextualSpacing/>
        <w:jc w:val="both"/>
        <w:rPr>
          <w:rFonts w:ascii="Verdana" w:hAnsi="Verdana"/>
          <w:sz w:val="18"/>
          <w:szCs w:val="18"/>
        </w:rPr>
      </w:pPr>
      <w:r>
        <w:rPr>
          <w:rFonts w:ascii="Verdana" w:hAnsi="Verdana"/>
          <w:sz w:val="18"/>
          <w:szCs w:val="18"/>
        </w:rPr>
        <w:pict w14:anchorId="73CD2066">
          <v:rect id="_x0000_i1028" style="width:0;height:1.5pt" o:hralign="center" o:hrstd="t" o:hr="t" fillcolor="#a0a0a0" stroked="f"/>
        </w:pict>
      </w:r>
    </w:p>
    <w:p w14:paraId="5C69DBEF" w14:textId="43AF6540" w:rsidR="00B9750F" w:rsidRPr="00110EA2" w:rsidRDefault="00B9750F" w:rsidP="00B9750F">
      <w:pPr>
        <w:spacing w:before="100" w:beforeAutospacing="1" w:after="100" w:afterAutospacing="1"/>
        <w:ind w:left="284"/>
        <w:contextualSpacing/>
        <w:jc w:val="both"/>
        <w:rPr>
          <w:rFonts w:ascii="Verdana" w:hAnsi="Verdana"/>
          <w:b/>
          <w:bCs/>
          <w:sz w:val="18"/>
          <w:szCs w:val="18"/>
          <w:u w:val="single"/>
        </w:rPr>
      </w:pPr>
      <w:r w:rsidRPr="00110EA2">
        <w:rPr>
          <w:rFonts w:ascii="Verdana" w:hAnsi="Verdana"/>
          <w:b/>
          <w:bCs/>
          <w:sz w:val="18"/>
          <w:szCs w:val="18"/>
          <w:u w:val="single"/>
        </w:rPr>
        <w:t>Conclusión práctica</w:t>
      </w:r>
    </w:p>
    <w:p w14:paraId="642751DD" w14:textId="77777777" w:rsidR="00B9750F" w:rsidRPr="00B9750F" w:rsidRDefault="00B9750F" w:rsidP="00B9750F">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 xml:space="preserve">La resolución refuerza que una </w:t>
      </w:r>
      <w:r w:rsidRPr="00B9750F">
        <w:rPr>
          <w:rFonts w:ascii="Verdana" w:hAnsi="Verdana"/>
          <w:b/>
          <w:bCs/>
          <w:sz w:val="18"/>
          <w:szCs w:val="18"/>
        </w:rPr>
        <w:t>reforma integral debidamente acreditada puede calificarse como mejora</w:t>
      </w:r>
      <w:r w:rsidRPr="00B9750F">
        <w:rPr>
          <w:rFonts w:ascii="Verdana" w:hAnsi="Verdana"/>
          <w:sz w:val="18"/>
          <w:szCs w:val="18"/>
        </w:rPr>
        <w:t>, incrementando el valor de adquisición del inmueble y reduciendo la ganancia patrimonial futura.</w:t>
      </w:r>
    </w:p>
    <w:p w14:paraId="537C76A8" w14:textId="4DFF3FFD" w:rsidR="00B9750F" w:rsidRDefault="00B9750F" w:rsidP="00136995">
      <w:pPr>
        <w:spacing w:before="100" w:beforeAutospacing="1" w:after="100" w:afterAutospacing="1"/>
        <w:ind w:left="284"/>
        <w:contextualSpacing/>
        <w:jc w:val="both"/>
        <w:rPr>
          <w:rFonts w:ascii="Verdana" w:hAnsi="Verdana"/>
          <w:sz w:val="18"/>
          <w:szCs w:val="18"/>
        </w:rPr>
      </w:pPr>
      <w:r w:rsidRPr="00B9750F">
        <w:rPr>
          <w:rFonts w:ascii="Verdana" w:hAnsi="Verdana"/>
          <w:sz w:val="18"/>
          <w:szCs w:val="18"/>
        </w:rPr>
        <w:t>La correcta planificación documental y técnica de las obras será clave para sostener su tratamiento fiscal favorable.</w:t>
      </w:r>
    </w:p>
    <w:p w14:paraId="1BFFA0FB" w14:textId="77777777" w:rsidR="00003D87" w:rsidRPr="00B9750F" w:rsidRDefault="00003D87" w:rsidP="00136995">
      <w:pPr>
        <w:spacing w:before="100" w:beforeAutospacing="1" w:after="100" w:afterAutospacing="1"/>
        <w:ind w:left="284"/>
        <w:contextualSpacing/>
        <w:jc w:val="both"/>
        <w:rPr>
          <w:rFonts w:ascii="Verdana" w:hAnsi="Verdana"/>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72013C" w:rsidRPr="0072013C" w14:paraId="369023F4" w14:textId="77777777" w:rsidTr="005F3573">
        <w:trPr>
          <w:trHeight w:val="272"/>
        </w:trPr>
        <w:tc>
          <w:tcPr>
            <w:tcW w:w="181" w:type="dxa"/>
            <w:shd w:val="clear" w:color="auto" w:fill="FF6600"/>
          </w:tcPr>
          <w:p w14:paraId="70333A1E" w14:textId="77777777" w:rsidR="0072013C" w:rsidRPr="0072013C" w:rsidRDefault="0072013C" w:rsidP="005F3573">
            <w:pPr>
              <w:pStyle w:val="Textoindependiente"/>
              <w:tabs>
                <w:tab w:val="clear" w:pos="360"/>
              </w:tabs>
              <w:jc w:val="left"/>
              <w:rPr>
                <w:rFonts w:ascii="Verdana" w:hAnsi="Verdana" w:cs="Verdana"/>
                <w:color w:val="800000"/>
                <w:sz w:val="18"/>
                <w:szCs w:val="18"/>
                <w:lang w:val="es-ES" w:eastAsia="es-ES"/>
              </w:rPr>
            </w:pPr>
            <w:bookmarkStart w:id="3" w:name="_Hlk221814359"/>
          </w:p>
        </w:tc>
        <w:tc>
          <w:tcPr>
            <w:tcW w:w="8533" w:type="dxa"/>
          </w:tcPr>
          <w:p w14:paraId="78497EBD" w14:textId="60B4AD0F" w:rsidR="0072013C" w:rsidRPr="0072013C" w:rsidRDefault="0072013C" w:rsidP="005F3573">
            <w:pPr>
              <w:numPr>
                <w:ilvl w:val="0"/>
                <w:numId w:val="4"/>
              </w:numPr>
              <w:tabs>
                <w:tab w:val="clear" w:pos="502"/>
                <w:tab w:val="num" w:pos="317"/>
              </w:tabs>
              <w:ind w:left="317" w:hanging="283"/>
              <w:jc w:val="both"/>
              <w:rPr>
                <w:rFonts w:ascii="Verdana" w:hAnsi="Verdana" w:cs="Verdana"/>
                <w:b/>
                <w:bCs/>
                <w:color w:val="800000"/>
                <w:sz w:val="18"/>
                <w:szCs w:val="18"/>
              </w:rPr>
            </w:pPr>
            <w:bookmarkStart w:id="4" w:name="_Hlk221881992"/>
            <w:r w:rsidRPr="0072013C">
              <w:rPr>
                <w:rFonts w:ascii="Verdana" w:hAnsi="Verdana"/>
                <w:b/>
                <w:bCs/>
                <w:color w:val="800000"/>
                <w:sz w:val="18"/>
                <w:szCs w:val="18"/>
              </w:rPr>
              <w:t>IS. EL TS ESTABLECE QUE LOS GASTOS CONTABLES ERRÓNEOS DEBEN IMPUTARSE AL EJERCICIO DEL IS EN EL QUE SE PRODUCE LA CONTABILIZACIÓN DEL ERROR, Y NO RETROACTIVAMENTE AL EJERCICIO EN QUE DEBIÓ HABERSE CONTABILIZADO</w:t>
            </w:r>
            <w:bookmarkEnd w:id="4"/>
          </w:p>
        </w:tc>
      </w:tr>
      <w:bookmarkEnd w:id="3"/>
    </w:tbl>
    <w:p w14:paraId="10F96074" w14:textId="77777777" w:rsidR="0072013C" w:rsidRDefault="0072013C" w:rsidP="00776277">
      <w:pPr>
        <w:ind w:left="284"/>
        <w:contextualSpacing/>
        <w:jc w:val="both"/>
        <w:rPr>
          <w:rFonts w:ascii="Verdana" w:hAnsi="Verdana"/>
          <w:color w:val="212121"/>
          <w:spacing w:val="5"/>
          <w:sz w:val="18"/>
          <w:szCs w:val="18"/>
        </w:rPr>
      </w:pPr>
    </w:p>
    <w:p w14:paraId="6545F28B" w14:textId="77777777" w:rsidR="00311099" w:rsidRP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Tribunal Superior de Justicia de Andalucía</w:t>
      </w:r>
    </w:p>
    <w:p w14:paraId="4776987C" w14:textId="07038203" w:rsidR="00311099" w:rsidRP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Sentencia 3788/2025, de 21 de octubre</w:t>
      </w:r>
      <w:r>
        <w:rPr>
          <w:rFonts w:ascii="Verdana" w:hAnsi="Verdana"/>
          <w:b/>
          <w:bCs/>
          <w:color w:val="212121"/>
          <w:spacing w:val="5"/>
          <w:sz w:val="18"/>
          <w:szCs w:val="18"/>
        </w:rPr>
        <w:t xml:space="preserve"> </w:t>
      </w:r>
      <w:r w:rsidRPr="00311099">
        <w:rPr>
          <w:rFonts w:ascii="Verdana" w:hAnsi="Verdana"/>
          <w:color w:val="212121"/>
          <w:spacing w:val="5"/>
          <w:sz w:val="18"/>
          <w:szCs w:val="18"/>
        </w:rPr>
        <w:t>(Recurso 2105/2021)</w:t>
      </w:r>
    </w:p>
    <w:p w14:paraId="2BC4ACA8" w14:textId="77777777" w:rsidR="00311099" w:rsidRPr="00311099" w:rsidRDefault="00000000" w:rsidP="00311099">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397A8649">
          <v:rect id="_x0000_i1029" style="width:0;height:1.5pt" o:hralign="center" o:hrstd="t" o:hr="t" fillcolor="#a0a0a0" stroked="f"/>
        </w:pict>
      </w:r>
    </w:p>
    <w:p w14:paraId="7FFC05AF" w14:textId="77777777" w:rsid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 xml:space="preserve">Una sociedad solicitó la rectificación del </w:t>
      </w:r>
      <w:r w:rsidRPr="00311099">
        <w:rPr>
          <w:rFonts w:ascii="Verdana" w:hAnsi="Verdana"/>
          <w:b/>
          <w:bCs/>
          <w:color w:val="212121"/>
          <w:spacing w:val="5"/>
          <w:sz w:val="18"/>
          <w:szCs w:val="18"/>
        </w:rPr>
        <w:t>Impuesto sobre Sociedades 2018</w:t>
      </w:r>
      <w:r w:rsidRPr="00311099">
        <w:rPr>
          <w:rFonts w:ascii="Verdana" w:hAnsi="Verdana"/>
          <w:color w:val="212121"/>
          <w:spacing w:val="5"/>
          <w:sz w:val="18"/>
          <w:szCs w:val="18"/>
        </w:rPr>
        <w:t xml:space="preserve"> tras reformular sus cuentas en 2019 por un cambio de criterio relativo a la atribución de rentas de una sociedad civil participada al 50%.</w:t>
      </w:r>
    </w:p>
    <w:p w14:paraId="383125E3" w14:textId="77777777" w:rsidR="00311099" w:rsidRPr="00311099" w:rsidRDefault="00311099" w:rsidP="00311099">
      <w:pPr>
        <w:ind w:left="284"/>
        <w:contextualSpacing/>
        <w:jc w:val="both"/>
        <w:rPr>
          <w:rFonts w:ascii="Verdana" w:hAnsi="Verdana"/>
          <w:color w:val="212121"/>
          <w:spacing w:val="5"/>
          <w:sz w:val="18"/>
          <w:szCs w:val="18"/>
        </w:rPr>
      </w:pPr>
    </w:p>
    <w:p w14:paraId="0272F5A7" w14:textId="77777777" w:rsidR="00311099" w:rsidRP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La entidad pretendía:</w:t>
      </w:r>
    </w:p>
    <w:p w14:paraId="0F46AA83" w14:textId="77777777" w:rsidR="00311099" w:rsidRPr="00311099" w:rsidRDefault="00311099" w:rsidP="00311099">
      <w:pPr>
        <w:numPr>
          <w:ilvl w:val="0"/>
          <w:numId w:val="34"/>
        </w:numPr>
        <w:contextualSpacing/>
        <w:jc w:val="both"/>
        <w:rPr>
          <w:rFonts w:ascii="Verdana" w:hAnsi="Verdana"/>
          <w:color w:val="212121"/>
          <w:spacing w:val="5"/>
          <w:sz w:val="18"/>
          <w:szCs w:val="18"/>
        </w:rPr>
      </w:pPr>
      <w:r w:rsidRPr="00311099">
        <w:rPr>
          <w:rFonts w:ascii="Verdana" w:hAnsi="Verdana"/>
          <w:color w:val="212121"/>
          <w:spacing w:val="5"/>
          <w:sz w:val="18"/>
          <w:szCs w:val="18"/>
        </w:rPr>
        <w:t>Revertir rentas imputadas en 2018.</w:t>
      </w:r>
    </w:p>
    <w:p w14:paraId="250828D4" w14:textId="77777777" w:rsidR="00311099" w:rsidRPr="00311099" w:rsidRDefault="00311099" w:rsidP="00311099">
      <w:pPr>
        <w:numPr>
          <w:ilvl w:val="0"/>
          <w:numId w:val="34"/>
        </w:numPr>
        <w:contextualSpacing/>
        <w:jc w:val="both"/>
        <w:rPr>
          <w:rFonts w:ascii="Verdana" w:hAnsi="Verdana"/>
          <w:color w:val="212121"/>
          <w:spacing w:val="5"/>
          <w:sz w:val="18"/>
          <w:szCs w:val="18"/>
        </w:rPr>
      </w:pPr>
      <w:r w:rsidRPr="00311099">
        <w:rPr>
          <w:rFonts w:ascii="Verdana" w:hAnsi="Verdana"/>
          <w:color w:val="212121"/>
          <w:spacing w:val="5"/>
          <w:sz w:val="18"/>
          <w:szCs w:val="18"/>
        </w:rPr>
        <w:lastRenderedPageBreak/>
        <w:t>Rectificar la autoliquidación del IS 2018.</w:t>
      </w:r>
    </w:p>
    <w:p w14:paraId="45131133" w14:textId="77777777" w:rsidR="00311099" w:rsidRDefault="00311099" w:rsidP="00311099">
      <w:pPr>
        <w:numPr>
          <w:ilvl w:val="0"/>
          <w:numId w:val="34"/>
        </w:numPr>
        <w:contextualSpacing/>
        <w:jc w:val="both"/>
        <w:rPr>
          <w:rFonts w:ascii="Verdana" w:hAnsi="Verdana"/>
          <w:color w:val="212121"/>
          <w:spacing w:val="5"/>
          <w:sz w:val="18"/>
          <w:szCs w:val="18"/>
        </w:rPr>
      </w:pPr>
      <w:r w:rsidRPr="00311099">
        <w:rPr>
          <w:rFonts w:ascii="Verdana" w:hAnsi="Verdana"/>
          <w:color w:val="212121"/>
          <w:spacing w:val="5"/>
          <w:sz w:val="18"/>
          <w:szCs w:val="18"/>
        </w:rPr>
        <w:t>Obtener la devolución de 1.240,84 €.</w:t>
      </w:r>
    </w:p>
    <w:p w14:paraId="5DB8ECB6" w14:textId="77777777" w:rsidR="00311099" w:rsidRDefault="00311099" w:rsidP="00311099">
      <w:pPr>
        <w:ind w:left="284"/>
        <w:contextualSpacing/>
        <w:jc w:val="both"/>
        <w:rPr>
          <w:rFonts w:ascii="Verdana" w:hAnsi="Verdana"/>
          <w:color w:val="212121"/>
          <w:spacing w:val="5"/>
          <w:sz w:val="18"/>
          <w:szCs w:val="18"/>
        </w:rPr>
      </w:pPr>
    </w:p>
    <w:p w14:paraId="0787B69C" w14:textId="4C777C12" w:rsidR="00311099" w:rsidRP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 xml:space="preserve">La AEAT y el </w:t>
      </w:r>
      <w:r>
        <w:rPr>
          <w:rFonts w:ascii="Verdana" w:hAnsi="Verdana"/>
          <w:color w:val="212121"/>
          <w:spacing w:val="5"/>
          <w:sz w:val="18"/>
          <w:szCs w:val="18"/>
        </w:rPr>
        <w:t>Tribunal Económico Administrati</w:t>
      </w:r>
      <w:r w:rsidR="00110EA2">
        <w:rPr>
          <w:rFonts w:ascii="Verdana" w:hAnsi="Verdana"/>
          <w:color w:val="212121"/>
          <w:spacing w:val="5"/>
          <w:sz w:val="18"/>
          <w:szCs w:val="18"/>
        </w:rPr>
        <w:t>vo</w:t>
      </w:r>
      <w:r>
        <w:rPr>
          <w:rFonts w:ascii="Verdana" w:hAnsi="Verdana"/>
          <w:color w:val="212121"/>
          <w:spacing w:val="5"/>
          <w:sz w:val="18"/>
          <w:szCs w:val="18"/>
        </w:rPr>
        <w:t xml:space="preserve"> Regional de</w:t>
      </w:r>
      <w:r w:rsidR="00AA7F22">
        <w:rPr>
          <w:rFonts w:ascii="Verdana" w:hAnsi="Verdana"/>
          <w:color w:val="212121"/>
          <w:spacing w:val="5"/>
          <w:sz w:val="18"/>
          <w:szCs w:val="18"/>
        </w:rPr>
        <w:t xml:space="preserve"> </w:t>
      </w:r>
      <w:r>
        <w:rPr>
          <w:rFonts w:ascii="Verdana" w:hAnsi="Verdana"/>
          <w:color w:val="212121"/>
          <w:spacing w:val="5"/>
          <w:sz w:val="18"/>
          <w:szCs w:val="18"/>
        </w:rPr>
        <w:t xml:space="preserve">Andalucía </w:t>
      </w:r>
      <w:r w:rsidR="00AA7F22">
        <w:rPr>
          <w:rFonts w:ascii="Verdana" w:hAnsi="Verdana"/>
          <w:color w:val="212121"/>
          <w:spacing w:val="5"/>
          <w:sz w:val="18"/>
          <w:szCs w:val="18"/>
        </w:rPr>
        <w:t>(</w:t>
      </w:r>
      <w:r w:rsidRPr="00311099">
        <w:rPr>
          <w:rFonts w:ascii="Verdana" w:hAnsi="Verdana"/>
          <w:color w:val="212121"/>
          <w:spacing w:val="5"/>
          <w:sz w:val="18"/>
          <w:szCs w:val="18"/>
        </w:rPr>
        <w:t>TEARA</w:t>
      </w:r>
      <w:r w:rsidR="00AA7F22">
        <w:rPr>
          <w:rFonts w:ascii="Verdana" w:hAnsi="Verdana"/>
          <w:color w:val="212121"/>
          <w:spacing w:val="5"/>
          <w:sz w:val="18"/>
          <w:szCs w:val="18"/>
        </w:rPr>
        <w:t>)</w:t>
      </w:r>
      <w:r w:rsidRPr="00311099">
        <w:rPr>
          <w:rFonts w:ascii="Verdana" w:hAnsi="Verdana"/>
          <w:color w:val="212121"/>
          <w:spacing w:val="5"/>
          <w:sz w:val="18"/>
          <w:szCs w:val="18"/>
        </w:rPr>
        <w:t xml:space="preserve"> denegaron la solicitud. El asunto llegó al TSJ.</w:t>
      </w:r>
    </w:p>
    <w:p w14:paraId="7C75336B" w14:textId="77777777" w:rsidR="00311099" w:rsidRPr="00311099" w:rsidRDefault="00000000" w:rsidP="00311099">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2C7E6A80">
          <v:rect id="_x0000_i1030" style="width:0;height:1.5pt" o:hralign="center" o:hrstd="t" o:hr="t" fillcolor="#a0a0a0" stroked="f"/>
        </w:pict>
      </w:r>
    </w:p>
    <w:p w14:paraId="37428B47" w14:textId="1EDFAAF6" w:rsidR="00311099" w:rsidRPr="00311099" w:rsidRDefault="00AA7F22" w:rsidP="00311099">
      <w:pPr>
        <w:ind w:left="284"/>
        <w:contextualSpacing/>
        <w:jc w:val="both"/>
        <w:rPr>
          <w:rFonts w:ascii="Verdana" w:hAnsi="Verdana"/>
          <w:b/>
          <w:bCs/>
          <w:color w:val="212121"/>
          <w:spacing w:val="5"/>
          <w:sz w:val="18"/>
          <w:szCs w:val="18"/>
        </w:rPr>
      </w:pPr>
      <w:r>
        <w:rPr>
          <w:rFonts w:ascii="Verdana" w:hAnsi="Verdana" w:cs="Verdana"/>
          <w:b/>
          <w:bCs/>
          <w:color w:val="212121"/>
          <w:spacing w:val="5"/>
          <w:sz w:val="18"/>
          <w:szCs w:val="18"/>
        </w:rPr>
        <w:t>Criterio del</w:t>
      </w:r>
      <w:r w:rsidR="00311099" w:rsidRPr="00311099">
        <w:rPr>
          <w:rFonts w:ascii="Verdana" w:hAnsi="Verdana"/>
          <w:b/>
          <w:bCs/>
          <w:color w:val="212121"/>
          <w:spacing w:val="5"/>
          <w:sz w:val="18"/>
          <w:szCs w:val="18"/>
        </w:rPr>
        <w:t xml:space="preserve"> Tribunal</w:t>
      </w:r>
    </w:p>
    <w:p w14:paraId="0EE602EE" w14:textId="77777777" w:rsid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El TSJ desestima el recurso y confirma la denegación de la rectificación.</w:t>
      </w:r>
    </w:p>
    <w:p w14:paraId="38FF8790" w14:textId="77777777" w:rsidR="00AA7F22" w:rsidRPr="00311099" w:rsidRDefault="00AA7F22" w:rsidP="00311099">
      <w:pPr>
        <w:ind w:left="284"/>
        <w:contextualSpacing/>
        <w:jc w:val="both"/>
        <w:rPr>
          <w:rFonts w:ascii="Verdana" w:hAnsi="Verdana"/>
          <w:color w:val="212121"/>
          <w:spacing w:val="5"/>
          <w:sz w:val="18"/>
          <w:szCs w:val="18"/>
        </w:rPr>
      </w:pPr>
    </w:p>
    <w:p w14:paraId="6485A37F" w14:textId="66794915" w:rsid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Clave principal:</w:t>
      </w:r>
    </w:p>
    <w:p w14:paraId="290B19A9" w14:textId="75DE2689" w:rsidR="00311099" w:rsidRP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Los errores contables deben imputarse fiscalmente en el ejercicio en que se detectan y se contabiliza su corrección, no en el ejercicio original.</w:t>
      </w:r>
    </w:p>
    <w:p w14:paraId="29E440E3" w14:textId="77777777" w:rsidR="00311099" w:rsidRPr="00311099" w:rsidRDefault="00000000" w:rsidP="00311099">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08C86B06">
          <v:rect id="_x0000_i1031" style="width:0;height:1.5pt" o:hralign="center" o:hrstd="t" o:hr="t" fillcolor="#a0a0a0" stroked="f"/>
        </w:pict>
      </w:r>
    </w:p>
    <w:p w14:paraId="349A0BCC" w14:textId="55F59972" w:rsidR="00311099" w:rsidRP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Fundamento jurídico</w:t>
      </w:r>
    </w:p>
    <w:p w14:paraId="14C367F4" w14:textId="77777777" w:rsidR="00311099" w:rsidRP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 xml:space="preserve">El Tribunal aplica la </w:t>
      </w:r>
      <w:r w:rsidRPr="00311099">
        <w:rPr>
          <w:rFonts w:ascii="Verdana" w:hAnsi="Verdana"/>
          <w:b/>
          <w:bCs/>
          <w:color w:val="212121"/>
          <w:spacing w:val="5"/>
          <w:sz w:val="18"/>
          <w:szCs w:val="18"/>
        </w:rPr>
        <w:t>Norma 22 del Plan General de Contabilidad</w:t>
      </w:r>
      <w:r w:rsidRPr="00311099">
        <w:rPr>
          <w:rFonts w:ascii="Verdana" w:hAnsi="Verdana"/>
          <w:color w:val="212121"/>
          <w:spacing w:val="5"/>
          <w:sz w:val="18"/>
          <w:szCs w:val="18"/>
        </w:rPr>
        <w:t>, que establece que:</w:t>
      </w:r>
    </w:p>
    <w:p w14:paraId="2777C320" w14:textId="77777777" w:rsid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Los errores contables de ejercicios anteriores se subsanan en el ejercicio en que se detectan.</w:t>
      </w:r>
    </w:p>
    <w:p w14:paraId="3387FB17" w14:textId="77777777" w:rsidR="00AA7F22" w:rsidRPr="00311099" w:rsidRDefault="00AA7F22" w:rsidP="00311099">
      <w:pPr>
        <w:ind w:left="284"/>
        <w:contextualSpacing/>
        <w:jc w:val="both"/>
        <w:rPr>
          <w:rFonts w:ascii="Verdana" w:hAnsi="Verdana"/>
          <w:color w:val="212121"/>
          <w:spacing w:val="5"/>
          <w:sz w:val="18"/>
          <w:szCs w:val="18"/>
        </w:rPr>
      </w:pPr>
    </w:p>
    <w:p w14:paraId="3885610B" w14:textId="77777777" w:rsidR="00311099" w:rsidRPr="00311099" w:rsidRDefault="00311099" w:rsidP="00311099">
      <w:pPr>
        <w:ind w:left="284"/>
        <w:contextualSpacing/>
        <w:jc w:val="both"/>
        <w:rPr>
          <w:rFonts w:ascii="Verdana" w:hAnsi="Verdana"/>
          <w:color w:val="212121"/>
          <w:spacing w:val="5"/>
          <w:sz w:val="18"/>
          <w:szCs w:val="18"/>
        </w:rPr>
      </w:pPr>
      <w:r w:rsidRPr="00311099">
        <w:rPr>
          <w:rFonts w:ascii="Verdana" w:hAnsi="Verdana"/>
          <w:color w:val="212121"/>
          <w:spacing w:val="5"/>
          <w:sz w:val="18"/>
          <w:szCs w:val="18"/>
        </w:rPr>
        <w:t>Además, recuerda la doctrina del Tribunal Supremo (SSTS de 25 de octubre de 2021 y 23 de abril de 2024):</w:t>
      </w:r>
    </w:p>
    <w:p w14:paraId="6FE8A23C" w14:textId="77777777" w:rsidR="00311099" w:rsidRPr="00311099" w:rsidRDefault="00311099" w:rsidP="00311099">
      <w:pPr>
        <w:numPr>
          <w:ilvl w:val="0"/>
          <w:numId w:val="35"/>
        </w:numPr>
        <w:contextualSpacing/>
        <w:jc w:val="both"/>
        <w:rPr>
          <w:rFonts w:ascii="Verdana" w:hAnsi="Verdana"/>
          <w:color w:val="212121"/>
          <w:spacing w:val="5"/>
          <w:sz w:val="18"/>
          <w:szCs w:val="18"/>
        </w:rPr>
      </w:pPr>
      <w:r w:rsidRPr="00311099">
        <w:rPr>
          <w:rFonts w:ascii="Verdana" w:hAnsi="Verdana"/>
          <w:color w:val="212121"/>
          <w:spacing w:val="5"/>
          <w:sz w:val="18"/>
          <w:szCs w:val="18"/>
        </w:rPr>
        <w:t>La reformulación de cuentas produce efectos fiscales en el ejercicio en que se realiza.</w:t>
      </w:r>
    </w:p>
    <w:p w14:paraId="4AA4BD53" w14:textId="77777777" w:rsidR="00311099" w:rsidRPr="00311099" w:rsidRDefault="00311099" w:rsidP="00311099">
      <w:pPr>
        <w:numPr>
          <w:ilvl w:val="0"/>
          <w:numId w:val="35"/>
        </w:numPr>
        <w:contextualSpacing/>
        <w:jc w:val="both"/>
        <w:rPr>
          <w:rFonts w:ascii="Verdana" w:hAnsi="Verdana"/>
          <w:color w:val="212121"/>
          <w:spacing w:val="5"/>
          <w:sz w:val="18"/>
          <w:szCs w:val="18"/>
        </w:rPr>
      </w:pPr>
      <w:r w:rsidRPr="00311099">
        <w:rPr>
          <w:rFonts w:ascii="Verdana" w:hAnsi="Verdana"/>
          <w:color w:val="212121"/>
          <w:spacing w:val="5"/>
          <w:sz w:val="18"/>
          <w:szCs w:val="18"/>
        </w:rPr>
        <w:t>No procede la retroacción salvo que la imputación posterior genere una tributación inferior indebida.</w:t>
      </w:r>
    </w:p>
    <w:p w14:paraId="72D1C3AA" w14:textId="74B1DF50" w:rsidR="00311099" w:rsidRPr="00311099" w:rsidRDefault="00311099" w:rsidP="00AA7F22">
      <w:pPr>
        <w:numPr>
          <w:ilvl w:val="0"/>
          <w:numId w:val="35"/>
        </w:numPr>
        <w:contextualSpacing/>
        <w:jc w:val="both"/>
        <w:rPr>
          <w:rFonts w:ascii="Verdana" w:hAnsi="Verdana"/>
          <w:color w:val="212121"/>
          <w:spacing w:val="5"/>
          <w:sz w:val="18"/>
          <w:szCs w:val="18"/>
        </w:rPr>
      </w:pPr>
      <w:r w:rsidRPr="00311099">
        <w:rPr>
          <w:rFonts w:ascii="Verdana" w:hAnsi="Verdana"/>
          <w:color w:val="212121"/>
          <w:spacing w:val="5"/>
          <w:sz w:val="18"/>
          <w:szCs w:val="18"/>
        </w:rPr>
        <w:t xml:space="preserve">En este caso, no se acreditó perjuicio para la Hacienda Pública </w:t>
      </w:r>
      <w:r w:rsidR="00AA7F22">
        <w:rPr>
          <w:rFonts w:ascii="Verdana" w:hAnsi="Verdana"/>
          <w:color w:val="212121"/>
          <w:spacing w:val="5"/>
          <w:sz w:val="18"/>
          <w:szCs w:val="18"/>
        </w:rPr>
        <w:t xml:space="preserve"> (</w:t>
      </w:r>
      <w:r w:rsidRPr="00311099">
        <w:rPr>
          <w:rFonts w:ascii="Verdana" w:hAnsi="Verdana"/>
          <w:color w:val="212121"/>
          <w:spacing w:val="5"/>
          <w:sz w:val="18"/>
          <w:szCs w:val="18"/>
        </w:rPr>
        <w:t>STSJ-And-2105-2021</w:t>
      </w:r>
      <w:r w:rsidR="00AA7F22">
        <w:rPr>
          <w:rFonts w:ascii="Verdana" w:hAnsi="Verdana"/>
          <w:color w:val="212121"/>
          <w:spacing w:val="5"/>
          <w:sz w:val="18"/>
          <w:szCs w:val="18"/>
        </w:rPr>
        <w:t>)</w:t>
      </w:r>
      <w:r w:rsidR="00110EA2">
        <w:rPr>
          <w:rFonts w:ascii="Verdana" w:hAnsi="Verdana"/>
          <w:color w:val="212121"/>
          <w:spacing w:val="5"/>
          <w:sz w:val="18"/>
          <w:szCs w:val="18"/>
        </w:rPr>
        <w:t>.</w:t>
      </w:r>
    </w:p>
    <w:p w14:paraId="744C554E" w14:textId="77777777" w:rsidR="00311099" w:rsidRPr="00311099" w:rsidRDefault="00000000" w:rsidP="00311099">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0BBE7357">
          <v:rect id="_x0000_i1032" style="width:0;height:1.5pt" o:hralign="center" o:hrstd="t" o:hr="t" fillcolor="#a0a0a0" stroked="f"/>
        </w:pict>
      </w:r>
    </w:p>
    <w:p w14:paraId="2F71779D" w14:textId="4A0C9D0E" w:rsidR="00311099" w:rsidRP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Otros aspectos relevantes</w:t>
      </w:r>
    </w:p>
    <w:p w14:paraId="2F0699A1" w14:textId="77777777" w:rsidR="00311099" w:rsidRPr="00311099" w:rsidRDefault="00311099" w:rsidP="00311099">
      <w:pPr>
        <w:numPr>
          <w:ilvl w:val="0"/>
          <w:numId w:val="36"/>
        </w:numPr>
        <w:contextualSpacing/>
        <w:jc w:val="both"/>
        <w:rPr>
          <w:rFonts w:ascii="Verdana" w:hAnsi="Verdana"/>
          <w:color w:val="212121"/>
          <w:spacing w:val="5"/>
          <w:sz w:val="18"/>
          <w:szCs w:val="18"/>
        </w:rPr>
      </w:pPr>
      <w:r w:rsidRPr="00311099">
        <w:rPr>
          <w:rFonts w:ascii="Verdana" w:hAnsi="Verdana"/>
          <w:color w:val="212121"/>
          <w:spacing w:val="5"/>
          <w:sz w:val="18"/>
          <w:szCs w:val="18"/>
        </w:rPr>
        <w:t>La parte recurrente no combatió expresamente el argumento central relativo a la Norma 22 PGC.</w:t>
      </w:r>
    </w:p>
    <w:p w14:paraId="2B4075EE" w14:textId="77777777" w:rsidR="00311099" w:rsidRPr="00311099" w:rsidRDefault="00311099" w:rsidP="00311099">
      <w:pPr>
        <w:numPr>
          <w:ilvl w:val="0"/>
          <w:numId w:val="36"/>
        </w:numPr>
        <w:contextualSpacing/>
        <w:jc w:val="both"/>
        <w:rPr>
          <w:rFonts w:ascii="Verdana" w:hAnsi="Verdana"/>
          <w:color w:val="212121"/>
          <w:spacing w:val="5"/>
          <w:sz w:val="18"/>
          <w:szCs w:val="18"/>
        </w:rPr>
      </w:pPr>
      <w:r w:rsidRPr="00311099">
        <w:rPr>
          <w:rFonts w:ascii="Verdana" w:hAnsi="Verdana"/>
          <w:color w:val="212121"/>
          <w:spacing w:val="5"/>
          <w:sz w:val="18"/>
          <w:szCs w:val="18"/>
        </w:rPr>
        <w:t>No quedó suficientemente acreditado que la modificación contable alterase efectivamente la base imponible de 2018.</w:t>
      </w:r>
    </w:p>
    <w:p w14:paraId="62F8E707" w14:textId="77777777" w:rsidR="00311099" w:rsidRPr="00311099" w:rsidRDefault="00311099" w:rsidP="00311099">
      <w:pPr>
        <w:numPr>
          <w:ilvl w:val="0"/>
          <w:numId w:val="36"/>
        </w:numPr>
        <w:contextualSpacing/>
        <w:jc w:val="both"/>
        <w:rPr>
          <w:rFonts w:ascii="Verdana" w:hAnsi="Verdana"/>
          <w:color w:val="212121"/>
          <w:spacing w:val="5"/>
          <w:sz w:val="18"/>
          <w:szCs w:val="18"/>
        </w:rPr>
      </w:pPr>
      <w:r w:rsidRPr="00311099">
        <w:rPr>
          <w:rFonts w:ascii="Verdana" w:hAnsi="Verdana"/>
          <w:color w:val="212121"/>
          <w:spacing w:val="5"/>
          <w:sz w:val="18"/>
          <w:szCs w:val="18"/>
        </w:rPr>
        <w:t>La reformulación contable en 2019 no habilita automáticamente la rectificación del ejercicio 2018.</w:t>
      </w:r>
    </w:p>
    <w:p w14:paraId="01C3E0E5" w14:textId="77777777" w:rsidR="00311099" w:rsidRPr="00311099" w:rsidRDefault="00000000" w:rsidP="00311099">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245B7FE3">
          <v:rect id="_x0000_i1033" style="width:0;height:1.5pt" o:hralign="center" o:hrstd="t" o:hr="t" fillcolor="#a0a0a0" stroked="f"/>
        </w:pict>
      </w:r>
    </w:p>
    <w:p w14:paraId="52977381" w14:textId="5CB32035" w:rsidR="00311099" w:rsidRDefault="00311099" w:rsidP="00311099">
      <w:pPr>
        <w:ind w:left="284"/>
        <w:contextualSpacing/>
        <w:jc w:val="both"/>
        <w:rPr>
          <w:rFonts w:ascii="Verdana" w:hAnsi="Verdana"/>
          <w:b/>
          <w:bCs/>
          <w:color w:val="212121"/>
          <w:spacing w:val="5"/>
          <w:sz w:val="18"/>
          <w:szCs w:val="18"/>
        </w:rPr>
      </w:pPr>
      <w:r w:rsidRPr="00311099">
        <w:rPr>
          <w:rFonts w:ascii="Verdana" w:hAnsi="Verdana"/>
          <w:b/>
          <w:bCs/>
          <w:color w:val="212121"/>
          <w:spacing w:val="5"/>
          <w:sz w:val="18"/>
          <w:szCs w:val="18"/>
        </w:rPr>
        <w:t>Impacto práctico para</w:t>
      </w:r>
      <w:r w:rsidR="00003D87">
        <w:rPr>
          <w:rFonts w:ascii="Verdana" w:hAnsi="Verdana"/>
          <w:b/>
          <w:bCs/>
          <w:color w:val="212121"/>
          <w:spacing w:val="5"/>
          <w:sz w:val="18"/>
          <w:szCs w:val="18"/>
        </w:rPr>
        <w:t xml:space="preserve"> las</w:t>
      </w:r>
      <w:r w:rsidRPr="00311099">
        <w:rPr>
          <w:rFonts w:ascii="Verdana" w:hAnsi="Verdana"/>
          <w:b/>
          <w:bCs/>
          <w:color w:val="212121"/>
          <w:spacing w:val="5"/>
          <w:sz w:val="18"/>
          <w:szCs w:val="18"/>
        </w:rPr>
        <w:t xml:space="preserve"> empresas </w:t>
      </w:r>
    </w:p>
    <w:p w14:paraId="7924CA54" w14:textId="77777777" w:rsidR="00AA7F22" w:rsidRDefault="00311099" w:rsidP="00311099">
      <w:pPr>
        <w:ind w:left="284"/>
        <w:contextualSpacing/>
        <w:jc w:val="both"/>
        <w:rPr>
          <w:rFonts w:ascii="Verdana" w:hAnsi="Verdana"/>
          <w:color w:val="212121"/>
          <w:spacing w:val="5"/>
          <w:sz w:val="18"/>
          <w:szCs w:val="18"/>
        </w:rPr>
      </w:pPr>
      <w:r w:rsidRPr="00311099">
        <w:rPr>
          <w:rFonts w:ascii="Segoe UI Emoji" w:hAnsi="Segoe UI Emoji" w:cs="Segoe UI Emoji"/>
          <w:color w:val="212121"/>
          <w:spacing w:val="5"/>
          <w:sz w:val="18"/>
          <w:szCs w:val="18"/>
        </w:rPr>
        <w:t>✔️</w:t>
      </w:r>
      <w:r w:rsidRPr="00311099">
        <w:rPr>
          <w:rFonts w:ascii="Verdana" w:hAnsi="Verdana"/>
          <w:color w:val="212121"/>
          <w:spacing w:val="5"/>
          <w:sz w:val="18"/>
          <w:szCs w:val="18"/>
        </w:rPr>
        <w:t xml:space="preserve"> Detectar un error contable en un ejercicio posterior no permite, por regla general, rectificar ejercicios anteriores.</w:t>
      </w:r>
    </w:p>
    <w:p w14:paraId="5D758AED" w14:textId="77777777" w:rsidR="00AA7F22" w:rsidRDefault="00311099" w:rsidP="00311099">
      <w:pPr>
        <w:ind w:left="284"/>
        <w:contextualSpacing/>
        <w:jc w:val="both"/>
        <w:rPr>
          <w:rFonts w:ascii="Verdana" w:hAnsi="Verdana"/>
          <w:color w:val="212121"/>
          <w:spacing w:val="5"/>
          <w:sz w:val="18"/>
          <w:szCs w:val="18"/>
        </w:rPr>
      </w:pPr>
      <w:r w:rsidRPr="00311099">
        <w:rPr>
          <w:rFonts w:ascii="Segoe UI Emoji" w:hAnsi="Segoe UI Emoji" w:cs="Segoe UI Emoji"/>
          <w:color w:val="212121"/>
          <w:spacing w:val="5"/>
          <w:sz w:val="18"/>
          <w:szCs w:val="18"/>
        </w:rPr>
        <w:t>✔️</w:t>
      </w:r>
      <w:r w:rsidRPr="00311099">
        <w:rPr>
          <w:rFonts w:ascii="Verdana" w:hAnsi="Verdana"/>
          <w:color w:val="212121"/>
          <w:spacing w:val="5"/>
          <w:sz w:val="18"/>
          <w:szCs w:val="18"/>
        </w:rPr>
        <w:t xml:space="preserve"> La correcci</w:t>
      </w:r>
      <w:r w:rsidRPr="00311099">
        <w:rPr>
          <w:rFonts w:ascii="Verdana" w:hAnsi="Verdana" w:cs="Verdana"/>
          <w:color w:val="212121"/>
          <w:spacing w:val="5"/>
          <w:sz w:val="18"/>
          <w:szCs w:val="18"/>
        </w:rPr>
        <w:t>ó</w:t>
      </w:r>
      <w:r w:rsidRPr="00311099">
        <w:rPr>
          <w:rFonts w:ascii="Verdana" w:hAnsi="Verdana"/>
          <w:color w:val="212121"/>
          <w:spacing w:val="5"/>
          <w:sz w:val="18"/>
          <w:szCs w:val="18"/>
        </w:rPr>
        <w:t>n debe integrarse en el ejercicio en que se detecta el error.</w:t>
      </w:r>
      <w:r w:rsidRPr="00311099">
        <w:rPr>
          <w:rFonts w:ascii="Verdana" w:hAnsi="Verdana"/>
          <w:color w:val="212121"/>
          <w:spacing w:val="5"/>
          <w:sz w:val="18"/>
          <w:szCs w:val="18"/>
        </w:rPr>
        <w:br/>
      </w:r>
      <w:r w:rsidRPr="00311099">
        <w:rPr>
          <w:rFonts w:ascii="Segoe UI Emoji" w:hAnsi="Segoe UI Emoji" w:cs="Segoe UI Emoji"/>
          <w:color w:val="212121"/>
          <w:spacing w:val="5"/>
          <w:sz w:val="18"/>
          <w:szCs w:val="18"/>
        </w:rPr>
        <w:t>✔️</w:t>
      </w:r>
      <w:r w:rsidRPr="00311099">
        <w:rPr>
          <w:rFonts w:ascii="Verdana" w:hAnsi="Verdana"/>
          <w:color w:val="212121"/>
          <w:spacing w:val="5"/>
          <w:sz w:val="18"/>
          <w:szCs w:val="18"/>
        </w:rPr>
        <w:t xml:space="preserve"> Es esencial analizar el impacto en la base imponible y fundamentar jur</w:t>
      </w:r>
      <w:r w:rsidRPr="00311099">
        <w:rPr>
          <w:rFonts w:ascii="Verdana" w:hAnsi="Verdana" w:cs="Verdana"/>
          <w:color w:val="212121"/>
          <w:spacing w:val="5"/>
          <w:sz w:val="18"/>
          <w:szCs w:val="18"/>
        </w:rPr>
        <w:t>í</w:t>
      </w:r>
      <w:r w:rsidRPr="00311099">
        <w:rPr>
          <w:rFonts w:ascii="Verdana" w:hAnsi="Verdana"/>
          <w:color w:val="212121"/>
          <w:spacing w:val="5"/>
          <w:sz w:val="18"/>
          <w:szCs w:val="18"/>
        </w:rPr>
        <w:t>dicamente la solicitud de rectificaci</w:t>
      </w:r>
      <w:r w:rsidRPr="00311099">
        <w:rPr>
          <w:rFonts w:ascii="Verdana" w:hAnsi="Verdana" w:cs="Verdana"/>
          <w:color w:val="212121"/>
          <w:spacing w:val="5"/>
          <w:sz w:val="18"/>
          <w:szCs w:val="18"/>
        </w:rPr>
        <w:t>ó</w:t>
      </w:r>
      <w:r w:rsidRPr="00311099">
        <w:rPr>
          <w:rFonts w:ascii="Verdana" w:hAnsi="Verdana"/>
          <w:color w:val="212121"/>
          <w:spacing w:val="5"/>
          <w:sz w:val="18"/>
          <w:szCs w:val="18"/>
        </w:rPr>
        <w:t>n.</w:t>
      </w:r>
    </w:p>
    <w:p w14:paraId="1736EC31" w14:textId="015F803E" w:rsidR="00311099" w:rsidRPr="00311099" w:rsidRDefault="00311099" w:rsidP="00311099">
      <w:pPr>
        <w:ind w:left="284"/>
        <w:contextualSpacing/>
        <w:jc w:val="both"/>
        <w:rPr>
          <w:rFonts w:ascii="Verdana" w:hAnsi="Verdana"/>
          <w:color w:val="212121"/>
          <w:spacing w:val="5"/>
          <w:sz w:val="18"/>
          <w:szCs w:val="18"/>
        </w:rPr>
      </w:pPr>
      <w:r w:rsidRPr="00311099">
        <w:rPr>
          <w:rFonts w:ascii="Segoe UI Emoji" w:hAnsi="Segoe UI Emoji" w:cs="Segoe UI Emoji"/>
          <w:color w:val="212121"/>
          <w:spacing w:val="5"/>
          <w:sz w:val="18"/>
          <w:szCs w:val="18"/>
        </w:rPr>
        <w:t>✔️</w:t>
      </w:r>
      <w:r w:rsidRPr="00311099">
        <w:rPr>
          <w:rFonts w:ascii="Verdana" w:hAnsi="Verdana"/>
          <w:color w:val="212121"/>
          <w:spacing w:val="5"/>
          <w:sz w:val="18"/>
          <w:szCs w:val="18"/>
        </w:rPr>
        <w:t xml:space="preserve"> En v</w:t>
      </w:r>
      <w:r w:rsidRPr="00311099">
        <w:rPr>
          <w:rFonts w:ascii="Verdana" w:hAnsi="Verdana" w:cs="Verdana"/>
          <w:color w:val="212121"/>
          <w:spacing w:val="5"/>
          <w:sz w:val="18"/>
          <w:szCs w:val="18"/>
        </w:rPr>
        <w:t>í</w:t>
      </w:r>
      <w:r w:rsidRPr="00311099">
        <w:rPr>
          <w:rFonts w:ascii="Verdana" w:hAnsi="Verdana"/>
          <w:color w:val="212121"/>
          <w:spacing w:val="5"/>
          <w:sz w:val="18"/>
          <w:szCs w:val="18"/>
        </w:rPr>
        <w:t>a contenciosa, es imprescindible rebatir todos los argumentos jur</w:t>
      </w:r>
      <w:r w:rsidRPr="00311099">
        <w:rPr>
          <w:rFonts w:ascii="Verdana" w:hAnsi="Verdana" w:cs="Verdana"/>
          <w:color w:val="212121"/>
          <w:spacing w:val="5"/>
          <w:sz w:val="18"/>
          <w:szCs w:val="18"/>
        </w:rPr>
        <w:t>í</w:t>
      </w:r>
      <w:r w:rsidRPr="00311099">
        <w:rPr>
          <w:rFonts w:ascii="Verdana" w:hAnsi="Verdana"/>
          <w:color w:val="212121"/>
          <w:spacing w:val="5"/>
          <w:sz w:val="18"/>
          <w:szCs w:val="18"/>
        </w:rPr>
        <w:t>dicos de la Administraci</w:t>
      </w:r>
      <w:r w:rsidRPr="00311099">
        <w:rPr>
          <w:rFonts w:ascii="Verdana" w:hAnsi="Verdana" w:cs="Verdana"/>
          <w:color w:val="212121"/>
          <w:spacing w:val="5"/>
          <w:sz w:val="18"/>
          <w:szCs w:val="18"/>
        </w:rPr>
        <w:t>ó</w:t>
      </w:r>
      <w:r w:rsidRPr="00311099">
        <w:rPr>
          <w:rFonts w:ascii="Verdana" w:hAnsi="Verdana"/>
          <w:color w:val="212121"/>
          <w:spacing w:val="5"/>
          <w:sz w:val="18"/>
          <w:szCs w:val="18"/>
        </w:rPr>
        <w:t>n.</w:t>
      </w:r>
    </w:p>
    <w:p w14:paraId="0E53F754" w14:textId="77777777" w:rsidR="0072013C" w:rsidRDefault="0072013C" w:rsidP="00776277">
      <w:pPr>
        <w:ind w:left="284"/>
        <w:contextualSpacing/>
        <w:jc w:val="both"/>
        <w:rPr>
          <w:rFonts w:ascii="Verdana" w:hAnsi="Verdana"/>
          <w:color w:val="212121"/>
          <w:spacing w:val="5"/>
          <w:sz w:val="18"/>
          <w:szCs w:val="18"/>
        </w:rPr>
      </w:pPr>
    </w:p>
    <w:p w14:paraId="7B800A5B" w14:textId="77777777" w:rsidR="00282623" w:rsidRDefault="00282623" w:rsidP="00776277">
      <w:pPr>
        <w:ind w:left="284"/>
        <w:contextualSpacing/>
        <w:jc w:val="both"/>
        <w:rPr>
          <w:rFonts w:ascii="Verdana" w:hAnsi="Verdana"/>
          <w:color w:val="212121"/>
          <w:spacing w:val="5"/>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975C8A" w:rsidRPr="00975C8A" w14:paraId="51FB582A" w14:textId="77777777" w:rsidTr="005F3573">
        <w:trPr>
          <w:trHeight w:val="272"/>
        </w:trPr>
        <w:tc>
          <w:tcPr>
            <w:tcW w:w="181" w:type="dxa"/>
            <w:shd w:val="clear" w:color="auto" w:fill="FF6600"/>
          </w:tcPr>
          <w:p w14:paraId="14822857" w14:textId="77777777" w:rsidR="00975C8A" w:rsidRPr="00975C8A" w:rsidRDefault="00975C8A" w:rsidP="005F3573">
            <w:pPr>
              <w:pStyle w:val="Textoindependiente"/>
              <w:tabs>
                <w:tab w:val="clear" w:pos="360"/>
              </w:tabs>
              <w:jc w:val="left"/>
              <w:rPr>
                <w:rFonts w:ascii="Verdana" w:hAnsi="Verdana" w:cs="Verdana"/>
                <w:color w:val="800000"/>
                <w:sz w:val="18"/>
                <w:szCs w:val="18"/>
                <w:lang w:val="es-ES" w:eastAsia="es-ES"/>
              </w:rPr>
            </w:pPr>
            <w:bookmarkStart w:id="5" w:name="_Hlk221816469"/>
          </w:p>
        </w:tc>
        <w:tc>
          <w:tcPr>
            <w:tcW w:w="8533" w:type="dxa"/>
          </w:tcPr>
          <w:p w14:paraId="605257B3" w14:textId="2BE48EC9" w:rsidR="00975C8A" w:rsidRPr="00975C8A" w:rsidRDefault="00975C8A" w:rsidP="005F3573">
            <w:pPr>
              <w:numPr>
                <w:ilvl w:val="0"/>
                <w:numId w:val="4"/>
              </w:numPr>
              <w:tabs>
                <w:tab w:val="clear" w:pos="502"/>
                <w:tab w:val="num" w:pos="317"/>
              </w:tabs>
              <w:ind w:left="317" w:hanging="283"/>
              <w:jc w:val="both"/>
              <w:rPr>
                <w:rFonts w:ascii="Verdana" w:hAnsi="Verdana" w:cs="Verdana"/>
                <w:b/>
                <w:bCs/>
                <w:color w:val="800000"/>
                <w:sz w:val="18"/>
                <w:szCs w:val="18"/>
              </w:rPr>
            </w:pPr>
            <w:r w:rsidRPr="00975C8A">
              <w:rPr>
                <w:rFonts w:ascii="Verdana" w:hAnsi="Verdana"/>
                <w:b/>
                <w:bCs/>
                <w:color w:val="800000"/>
                <w:sz w:val="18"/>
                <w:szCs w:val="18"/>
              </w:rPr>
              <w:t>IP. PRÓXIMA SENTENCIA DEL TRIBUNAL CONSTITUCIONAL SOBRE EL IMPUESTO SOBRE EL PATRIMONIO</w:t>
            </w:r>
          </w:p>
        </w:tc>
      </w:tr>
      <w:bookmarkEnd w:id="5"/>
    </w:tbl>
    <w:p w14:paraId="3ACC030D" w14:textId="77777777" w:rsidR="00975C8A" w:rsidRDefault="00975C8A" w:rsidP="00776277">
      <w:pPr>
        <w:ind w:left="284"/>
        <w:contextualSpacing/>
        <w:jc w:val="both"/>
        <w:rPr>
          <w:rFonts w:ascii="Verdana" w:hAnsi="Verdana"/>
          <w:color w:val="212121"/>
          <w:spacing w:val="5"/>
          <w:sz w:val="18"/>
          <w:szCs w:val="18"/>
        </w:rPr>
      </w:pPr>
    </w:p>
    <w:p w14:paraId="14608AE7" w14:textId="0C817809" w:rsid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El Tribunal Constitucional prevé dictar sentencia en marzo</w:t>
      </w:r>
      <w:r w:rsidR="00282623">
        <w:rPr>
          <w:rFonts w:ascii="Verdana" w:hAnsi="Verdana"/>
          <w:color w:val="212121"/>
          <w:spacing w:val="5"/>
          <w:sz w:val="18"/>
          <w:szCs w:val="18"/>
        </w:rPr>
        <w:t xml:space="preserve"> de 2026</w:t>
      </w:r>
      <w:r w:rsidRPr="00975C8A">
        <w:rPr>
          <w:rFonts w:ascii="Verdana" w:hAnsi="Verdana"/>
          <w:color w:val="212121"/>
          <w:spacing w:val="5"/>
          <w:sz w:val="18"/>
          <w:szCs w:val="18"/>
        </w:rPr>
        <w:t xml:space="preserve"> sobre el recurso de inconstitucionalidad interpuesto contra las modificaciones del Impuesto sobre el Patrimonio introducidas por la Ley de Presupuestos Generales del Estado para 2021.</w:t>
      </w:r>
    </w:p>
    <w:p w14:paraId="756D57FE" w14:textId="77777777" w:rsidR="00282623" w:rsidRPr="00975C8A" w:rsidRDefault="00282623" w:rsidP="00975C8A">
      <w:pPr>
        <w:ind w:left="284"/>
        <w:contextualSpacing/>
        <w:jc w:val="both"/>
        <w:rPr>
          <w:rFonts w:ascii="Verdana" w:hAnsi="Verdana"/>
          <w:color w:val="212121"/>
          <w:spacing w:val="5"/>
          <w:sz w:val="18"/>
          <w:szCs w:val="18"/>
        </w:rPr>
      </w:pPr>
    </w:p>
    <w:p w14:paraId="56BD83A7" w14:textId="66EC4FF5"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 xml:space="preserve">El eventual fallo puede afectar a las autoliquidaciones correspondientes a los ejercicios </w:t>
      </w:r>
      <w:r w:rsidRPr="00975C8A">
        <w:rPr>
          <w:rFonts w:ascii="Verdana" w:hAnsi="Verdana"/>
          <w:b/>
          <w:bCs/>
          <w:color w:val="212121"/>
          <w:spacing w:val="5"/>
          <w:sz w:val="18"/>
          <w:szCs w:val="18"/>
        </w:rPr>
        <w:t>2021, 2022, 2023 y 2024</w:t>
      </w:r>
      <w:r w:rsidRPr="00975C8A">
        <w:rPr>
          <w:rFonts w:ascii="Verdana" w:hAnsi="Verdana"/>
          <w:color w:val="212121"/>
          <w:spacing w:val="5"/>
          <w:sz w:val="18"/>
          <w:szCs w:val="18"/>
        </w:rPr>
        <w:t xml:space="preserve">, comprometiendo aproximadamente </w:t>
      </w:r>
      <w:r w:rsidRPr="00975C8A">
        <w:rPr>
          <w:rFonts w:ascii="Verdana" w:hAnsi="Verdana"/>
          <w:b/>
          <w:bCs/>
          <w:color w:val="212121"/>
          <w:spacing w:val="5"/>
          <w:sz w:val="18"/>
          <w:szCs w:val="18"/>
        </w:rPr>
        <w:t>6.700 millones de euros recaudados</w:t>
      </w:r>
      <w:r w:rsidRPr="00975C8A">
        <w:rPr>
          <w:rFonts w:ascii="Verdana" w:hAnsi="Verdana"/>
          <w:color w:val="212121"/>
          <w:spacing w:val="5"/>
          <w:sz w:val="18"/>
          <w:szCs w:val="18"/>
        </w:rPr>
        <w:t xml:space="preserve"> desde 2021</w:t>
      </w:r>
      <w:r w:rsidR="00282623">
        <w:rPr>
          <w:rFonts w:ascii="Verdana" w:hAnsi="Verdana"/>
          <w:color w:val="212121"/>
          <w:spacing w:val="5"/>
          <w:sz w:val="18"/>
          <w:szCs w:val="18"/>
        </w:rPr>
        <w:t>.</w:t>
      </w:r>
      <w:r w:rsidRPr="00975C8A">
        <w:rPr>
          <w:rFonts w:ascii="Verdana" w:hAnsi="Verdana"/>
          <w:color w:val="212121"/>
          <w:spacing w:val="5"/>
          <w:sz w:val="18"/>
          <w:szCs w:val="18"/>
        </w:rPr>
        <w:t xml:space="preserve"> </w:t>
      </w:r>
    </w:p>
    <w:p w14:paraId="2DF66093" w14:textId="77777777" w:rsidR="00975C8A" w:rsidRPr="00975C8A" w:rsidRDefault="00000000" w:rsidP="00975C8A">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2A858190">
          <v:rect id="_x0000_i1034" style="width:0;height:1.5pt" o:hralign="center" o:hrstd="t" o:hr="t" fillcolor="#a0a0a0" stroked="f"/>
        </w:pict>
      </w:r>
    </w:p>
    <w:p w14:paraId="5FE3B63A" w14:textId="501A761A" w:rsidR="00975C8A" w:rsidRPr="00975C8A" w:rsidRDefault="00975C8A" w:rsidP="00975C8A">
      <w:pPr>
        <w:ind w:left="284"/>
        <w:contextualSpacing/>
        <w:jc w:val="both"/>
        <w:rPr>
          <w:rFonts w:ascii="Verdana" w:hAnsi="Verdana"/>
          <w:b/>
          <w:bCs/>
          <w:color w:val="212121"/>
          <w:spacing w:val="5"/>
          <w:sz w:val="18"/>
          <w:szCs w:val="18"/>
        </w:rPr>
      </w:pPr>
      <w:r w:rsidRPr="00975C8A">
        <w:rPr>
          <w:rFonts w:ascii="Verdana" w:hAnsi="Verdana"/>
          <w:b/>
          <w:bCs/>
          <w:color w:val="212121"/>
          <w:spacing w:val="5"/>
          <w:sz w:val="18"/>
          <w:szCs w:val="18"/>
        </w:rPr>
        <w:t>Objeto del recurso</w:t>
      </w:r>
    </w:p>
    <w:p w14:paraId="3DD2AC35" w14:textId="77777777" w:rsid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El recurso cuestiona dos modificaciones esenciales:</w:t>
      </w:r>
    </w:p>
    <w:p w14:paraId="1298D709" w14:textId="77777777" w:rsidR="00282623" w:rsidRPr="00975C8A" w:rsidRDefault="00282623" w:rsidP="00975C8A">
      <w:pPr>
        <w:ind w:left="284"/>
        <w:contextualSpacing/>
        <w:jc w:val="both"/>
        <w:rPr>
          <w:rFonts w:ascii="Verdana" w:hAnsi="Verdana"/>
          <w:color w:val="212121"/>
          <w:spacing w:val="5"/>
          <w:sz w:val="18"/>
          <w:szCs w:val="18"/>
        </w:rPr>
      </w:pPr>
    </w:p>
    <w:p w14:paraId="19EE7E1B" w14:textId="6D689EFB" w:rsidR="00975C8A" w:rsidRPr="00975C8A" w:rsidRDefault="00975C8A" w:rsidP="00975C8A">
      <w:pPr>
        <w:pStyle w:val="Prrafodelista"/>
        <w:numPr>
          <w:ilvl w:val="0"/>
          <w:numId w:val="40"/>
        </w:numPr>
        <w:contextualSpacing/>
        <w:jc w:val="both"/>
        <w:rPr>
          <w:rFonts w:ascii="Verdana" w:hAnsi="Verdana"/>
          <w:color w:val="212121"/>
          <w:spacing w:val="5"/>
          <w:sz w:val="18"/>
          <w:szCs w:val="18"/>
        </w:rPr>
      </w:pPr>
      <w:r w:rsidRPr="00975C8A">
        <w:rPr>
          <w:rFonts w:ascii="Verdana" w:hAnsi="Verdana"/>
          <w:b/>
          <w:bCs/>
          <w:color w:val="212121"/>
          <w:spacing w:val="5"/>
          <w:sz w:val="18"/>
          <w:szCs w:val="18"/>
        </w:rPr>
        <w:t>Carácter permanente del impuesto</w:t>
      </w:r>
    </w:p>
    <w:p w14:paraId="56253EA0" w14:textId="107862EC" w:rsid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Se impugna la supresión de su naturaleza temporal —vigente desde 2011— y su configuración como tributo de carácter indefinido mediante Ley de Presupuestos.</w:t>
      </w:r>
      <w:r w:rsidRPr="00975C8A">
        <w:rPr>
          <w:rFonts w:ascii="Verdana" w:hAnsi="Verdana"/>
          <w:color w:val="212121"/>
          <w:spacing w:val="5"/>
          <w:sz w:val="18"/>
          <w:szCs w:val="18"/>
        </w:rPr>
        <w:br/>
      </w:r>
      <w:r w:rsidRPr="00975C8A">
        <w:rPr>
          <w:rFonts w:ascii="Verdana" w:hAnsi="Verdana"/>
          <w:color w:val="212121"/>
          <w:spacing w:val="5"/>
          <w:sz w:val="18"/>
          <w:szCs w:val="18"/>
        </w:rPr>
        <w:lastRenderedPageBreak/>
        <w:t xml:space="preserve">El argumento central se fundamenta en el artículo 134 </w:t>
      </w:r>
      <w:r w:rsidR="00282623">
        <w:rPr>
          <w:rFonts w:ascii="Verdana" w:hAnsi="Verdana"/>
          <w:color w:val="212121"/>
          <w:spacing w:val="5"/>
          <w:sz w:val="18"/>
          <w:szCs w:val="18"/>
        </w:rPr>
        <w:t>de la Constitución Española (CE)</w:t>
      </w:r>
      <w:r w:rsidRPr="00975C8A">
        <w:rPr>
          <w:rFonts w:ascii="Verdana" w:hAnsi="Verdana"/>
          <w:color w:val="212121"/>
          <w:spacing w:val="5"/>
          <w:sz w:val="18"/>
          <w:szCs w:val="18"/>
        </w:rPr>
        <w:t>, al entender que la Ley de Presupuestos no puede crear tributos ni alterar de forma sustancial su configuración esencial</w:t>
      </w:r>
      <w:r w:rsidR="00110EA2">
        <w:rPr>
          <w:rFonts w:ascii="Verdana" w:hAnsi="Verdana"/>
          <w:color w:val="212121"/>
          <w:spacing w:val="5"/>
          <w:sz w:val="18"/>
          <w:szCs w:val="18"/>
        </w:rPr>
        <w:t>.</w:t>
      </w:r>
    </w:p>
    <w:p w14:paraId="0B9F6067" w14:textId="77777777" w:rsidR="00110EA2" w:rsidRPr="00975C8A" w:rsidRDefault="00110EA2" w:rsidP="00975C8A">
      <w:pPr>
        <w:ind w:left="284"/>
        <w:contextualSpacing/>
        <w:jc w:val="both"/>
        <w:rPr>
          <w:rFonts w:ascii="Verdana" w:hAnsi="Verdana"/>
          <w:color w:val="212121"/>
          <w:spacing w:val="5"/>
          <w:sz w:val="18"/>
          <w:szCs w:val="18"/>
        </w:rPr>
      </w:pPr>
    </w:p>
    <w:p w14:paraId="4FD16217" w14:textId="2EACDCFB" w:rsidR="00F0411D" w:rsidRPr="00F0411D" w:rsidRDefault="00975C8A" w:rsidP="00F0411D">
      <w:pPr>
        <w:pStyle w:val="Prrafodelista"/>
        <w:numPr>
          <w:ilvl w:val="0"/>
          <w:numId w:val="40"/>
        </w:numPr>
        <w:contextualSpacing/>
        <w:jc w:val="both"/>
        <w:rPr>
          <w:rFonts w:ascii="Verdana" w:hAnsi="Verdana"/>
          <w:color w:val="212121"/>
          <w:spacing w:val="5"/>
          <w:sz w:val="18"/>
          <w:szCs w:val="18"/>
        </w:rPr>
      </w:pPr>
      <w:r w:rsidRPr="00F0411D">
        <w:rPr>
          <w:rFonts w:ascii="Verdana" w:hAnsi="Verdana"/>
          <w:b/>
          <w:bCs/>
          <w:color w:val="212121"/>
          <w:spacing w:val="5"/>
          <w:sz w:val="18"/>
          <w:szCs w:val="18"/>
        </w:rPr>
        <w:t>Incremento del tipo marginal máximo</w:t>
      </w:r>
    </w:p>
    <w:p w14:paraId="688AF827" w14:textId="0DF9BFE6" w:rsidR="00975C8A" w:rsidRPr="00F0411D" w:rsidRDefault="00975C8A" w:rsidP="00F0411D">
      <w:pPr>
        <w:ind w:left="284"/>
        <w:contextualSpacing/>
        <w:jc w:val="both"/>
        <w:rPr>
          <w:rFonts w:ascii="Verdana" w:hAnsi="Verdana"/>
          <w:color w:val="212121"/>
          <w:spacing w:val="5"/>
          <w:sz w:val="18"/>
          <w:szCs w:val="18"/>
        </w:rPr>
      </w:pPr>
      <w:r w:rsidRPr="00F0411D">
        <w:rPr>
          <w:rFonts w:ascii="Verdana" w:hAnsi="Verdana"/>
          <w:color w:val="212121"/>
          <w:spacing w:val="5"/>
          <w:sz w:val="18"/>
          <w:szCs w:val="18"/>
        </w:rPr>
        <w:t>Se elevó el tipo máximo del 2,5% al 3,5%, lo que, según los recurrentes, podría vulnerar los principios de capacidad económica y no confiscatoriedad (art. 31.1 CE), especialmente en supuestos de activos no productivos</w:t>
      </w:r>
      <w:r w:rsidR="00110EA2">
        <w:rPr>
          <w:rFonts w:ascii="Verdana" w:hAnsi="Verdana"/>
          <w:color w:val="212121"/>
          <w:spacing w:val="5"/>
          <w:sz w:val="18"/>
          <w:szCs w:val="18"/>
        </w:rPr>
        <w:t>.</w:t>
      </w:r>
    </w:p>
    <w:p w14:paraId="1A89A823" w14:textId="77777777" w:rsidR="00975C8A" w:rsidRPr="00975C8A" w:rsidRDefault="00000000" w:rsidP="00975C8A">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5EC84382">
          <v:rect id="_x0000_i1035" style="width:0;height:1.5pt" o:hralign="center" o:hrstd="t" o:hr="t" fillcolor="#a0a0a0" stroked="f"/>
        </w:pict>
      </w:r>
    </w:p>
    <w:p w14:paraId="2E041611" w14:textId="1A506515" w:rsidR="00975C8A" w:rsidRPr="00975C8A" w:rsidRDefault="00975C8A" w:rsidP="00975C8A">
      <w:pPr>
        <w:ind w:left="284"/>
        <w:contextualSpacing/>
        <w:jc w:val="both"/>
        <w:rPr>
          <w:rFonts w:ascii="Verdana" w:hAnsi="Verdana"/>
          <w:b/>
          <w:bCs/>
          <w:color w:val="212121"/>
          <w:spacing w:val="5"/>
          <w:sz w:val="18"/>
          <w:szCs w:val="18"/>
        </w:rPr>
      </w:pPr>
      <w:r w:rsidRPr="00975C8A">
        <w:rPr>
          <w:rFonts w:ascii="Verdana" w:hAnsi="Verdana"/>
          <w:b/>
          <w:bCs/>
          <w:color w:val="212121"/>
          <w:spacing w:val="5"/>
          <w:sz w:val="18"/>
          <w:szCs w:val="18"/>
        </w:rPr>
        <w:t>Efectos potenciales de la sentencia</w:t>
      </w:r>
    </w:p>
    <w:p w14:paraId="6DCF4B5C" w14:textId="47C57A62"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 xml:space="preserve">Conforme a la doctrina consolidada del </w:t>
      </w:r>
      <w:r w:rsidR="00282623">
        <w:rPr>
          <w:rFonts w:ascii="Verdana" w:hAnsi="Verdana"/>
          <w:color w:val="212121"/>
          <w:spacing w:val="5"/>
          <w:sz w:val="18"/>
          <w:szCs w:val="18"/>
        </w:rPr>
        <w:t>Tribunal Constitucional (</w:t>
      </w:r>
      <w:r w:rsidRPr="00975C8A">
        <w:rPr>
          <w:rFonts w:ascii="Verdana" w:hAnsi="Verdana"/>
          <w:color w:val="212121"/>
          <w:spacing w:val="5"/>
          <w:sz w:val="18"/>
          <w:szCs w:val="18"/>
        </w:rPr>
        <w:t>TC</w:t>
      </w:r>
      <w:r w:rsidR="00282623">
        <w:rPr>
          <w:rFonts w:ascii="Verdana" w:hAnsi="Verdana"/>
          <w:color w:val="212121"/>
          <w:spacing w:val="5"/>
          <w:sz w:val="18"/>
          <w:szCs w:val="18"/>
        </w:rPr>
        <w:t>)</w:t>
      </w:r>
      <w:r w:rsidRPr="00975C8A">
        <w:rPr>
          <w:rFonts w:ascii="Verdana" w:hAnsi="Verdana"/>
          <w:color w:val="212121"/>
          <w:spacing w:val="5"/>
          <w:sz w:val="18"/>
          <w:szCs w:val="18"/>
        </w:rPr>
        <w:t xml:space="preserve"> en materia tributaria:</w:t>
      </w:r>
    </w:p>
    <w:p w14:paraId="448B09AC" w14:textId="77777777" w:rsidR="00975C8A" w:rsidRPr="00975C8A" w:rsidRDefault="00975C8A" w:rsidP="00975C8A">
      <w:pPr>
        <w:numPr>
          <w:ilvl w:val="0"/>
          <w:numId w:val="37"/>
        </w:numPr>
        <w:contextualSpacing/>
        <w:jc w:val="both"/>
        <w:rPr>
          <w:rFonts w:ascii="Verdana" w:hAnsi="Verdana"/>
          <w:color w:val="212121"/>
          <w:spacing w:val="5"/>
          <w:sz w:val="18"/>
          <w:szCs w:val="18"/>
        </w:rPr>
      </w:pPr>
      <w:r w:rsidRPr="00975C8A">
        <w:rPr>
          <w:rFonts w:ascii="Verdana" w:hAnsi="Verdana"/>
          <w:color w:val="212121"/>
          <w:spacing w:val="5"/>
          <w:sz w:val="18"/>
          <w:szCs w:val="18"/>
        </w:rPr>
        <w:t xml:space="preserve">La eventual declaración de inconstitucionalidad </w:t>
      </w:r>
      <w:r w:rsidRPr="00975C8A">
        <w:rPr>
          <w:rFonts w:ascii="Verdana" w:hAnsi="Verdana"/>
          <w:b/>
          <w:bCs/>
          <w:color w:val="212121"/>
          <w:spacing w:val="5"/>
          <w:sz w:val="18"/>
          <w:szCs w:val="18"/>
        </w:rPr>
        <w:t>no generaría efectos generales automáticos</w:t>
      </w:r>
      <w:r w:rsidRPr="00975C8A">
        <w:rPr>
          <w:rFonts w:ascii="Verdana" w:hAnsi="Verdana"/>
          <w:color w:val="212121"/>
          <w:spacing w:val="5"/>
          <w:sz w:val="18"/>
          <w:szCs w:val="18"/>
        </w:rPr>
        <w:t>.</w:t>
      </w:r>
    </w:p>
    <w:p w14:paraId="24FEF210" w14:textId="77777777" w:rsidR="00975C8A" w:rsidRPr="00975C8A" w:rsidRDefault="00975C8A" w:rsidP="00975C8A">
      <w:pPr>
        <w:numPr>
          <w:ilvl w:val="0"/>
          <w:numId w:val="37"/>
        </w:numPr>
        <w:contextualSpacing/>
        <w:jc w:val="both"/>
        <w:rPr>
          <w:rFonts w:ascii="Verdana" w:hAnsi="Verdana"/>
          <w:color w:val="212121"/>
          <w:spacing w:val="5"/>
          <w:sz w:val="18"/>
          <w:szCs w:val="18"/>
        </w:rPr>
      </w:pPr>
      <w:r w:rsidRPr="00975C8A">
        <w:rPr>
          <w:rFonts w:ascii="Verdana" w:hAnsi="Verdana"/>
          <w:b/>
          <w:bCs/>
          <w:color w:val="212121"/>
          <w:spacing w:val="5"/>
          <w:sz w:val="18"/>
          <w:szCs w:val="18"/>
        </w:rPr>
        <w:t>Solo podrían beneficiarse</w:t>
      </w:r>
      <w:r w:rsidRPr="00975C8A">
        <w:rPr>
          <w:rFonts w:ascii="Verdana" w:hAnsi="Verdana"/>
          <w:color w:val="212121"/>
          <w:spacing w:val="5"/>
          <w:sz w:val="18"/>
          <w:szCs w:val="18"/>
        </w:rPr>
        <w:t xml:space="preserve"> quienes hayan:</w:t>
      </w:r>
    </w:p>
    <w:p w14:paraId="63991CD6" w14:textId="77777777" w:rsidR="00975C8A" w:rsidRPr="00975C8A" w:rsidRDefault="00975C8A" w:rsidP="00F0411D">
      <w:pPr>
        <w:numPr>
          <w:ilvl w:val="1"/>
          <w:numId w:val="37"/>
        </w:numPr>
        <w:ind w:left="993" w:hanging="284"/>
        <w:contextualSpacing/>
        <w:jc w:val="both"/>
        <w:rPr>
          <w:rFonts w:ascii="Verdana" w:hAnsi="Verdana"/>
          <w:color w:val="212121"/>
          <w:spacing w:val="5"/>
          <w:sz w:val="18"/>
          <w:szCs w:val="18"/>
        </w:rPr>
      </w:pPr>
      <w:r w:rsidRPr="00975C8A">
        <w:rPr>
          <w:rFonts w:ascii="Verdana" w:hAnsi="Verdana"/>
          <w:color w:val="212121"/>
          <w:spacing w:val="5"/>
          <w:sz w:val="18"/>
          <w:szCs w:val="18"/>
        </w:rPr>
        <w:t>Impugnado en plazo sus autoliquidaciones, y</w:t>
      </w:r>
    </w:p>
    <w:p w14:paraId="03F43375" w14:textId="739F5521" w:rsidR="00975C8A" w:rsidRDefault="00975C8A" w:rsidP="00F0411D">
      <w:pPr>
        <w:numPr>
          <w:ilvl w:val="1"/>
          <w:numId w:val="37"/>
        </w:numPr>
        <w:ind w:left="993" w:hanging="284"/>
        <w:contextualSpacing/>
        <w:jc w:val="both"/>
        <w:rPr>
          <w:rFonts w:ascii="Verdana" w:hAnsi="Verdana"/>
          <w:color w:val="212121"/>
          <w:spacing w:val="5"/>
          <w:sz w:val="18"/>
          <w:szCs w:val="18"/>
        </w:rPr>
      </w:pPr>
      <w:r w:rsidRPr="00975C8A">
        <w:rPr>
          <w:rFonts w:ascii="Verdana" w:hAnsi="Verdana"/>
          <w:color w:val="212121"/>
          <w:spacing w:val="5"/>
          <w:sz w:val="18"/>
          <w:szCs w:val="18"/>
        </w:rPr>
        <w:t>Mantengan el procedimiento vivo en la fecha del fallo (sin sentencia firme)</w:t>
      </w:r>
      <w:r w:rsidR="00F0411D">
        <w:rPr>
          <w:rFonts w:ascii="Verdana" w:hAnsi="Verdana"/>
          <w:color w:val="212121"/>
          <w:spacing w:val="5"/>
          <w:sz w:val="18"/>
          <w:szCs w:val="18"/>
        </w:rPr>
        <w:t>.</w:t>
      </w:r>
    </w:p>
    <w:p w14:paraId="6F659049" w14:textId="77777777" w:rsidR="00F0411D" w:rsidRPr="00975C8A" w:rsidRDefault="00F0411D" w:rsidP="00F0411D">
      <w:pPr>
        <w:ind w:left="993"/>
        <w:contextualSpacing/>
        <w:jc w:val="both"/>
        <w:rPr>
          <w:rFonts w:ascii="Verdana" w:hAnsi="Verdana"/>
          <w:color w:val="212121"/>
          <w:spacing w:val="5"/>
          <w:sz w:val="18"/>
          <w:szCs w:val="18"/>
        </w:rPr>
      </w:pPr>
    </w:p>
    <w:p w14:paraId="5311A4F0" w14:textId="77777777"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En tal caso, cabría la devolución de ingresos indebidos junto con los correspondientes intereses.</w:t>
      </w:r>
    </w:p>
    <w:p w14:paraId="66F1779B" w14:textId="77777777" w:rsidR="00975C8A" w:rsidRPr="00975C8A" w:rsidRDefault="00000000" w:rsidP="00975C8A">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43D2B608">
          <v:rect id="_x0000_i1036" style="width:0;height:1.5pt" o:hralign="center" o:hrstd="t" o:hr="t" fillcolor="#a0a0a0" stroked="f"/>
        </w:pict>
      </w:r>
    </w:p>
    <w:p w14:paraId="58866F24" w14:textId="7DF4DCC9" w:rsidR="00975C8A" w:rsidRPr="00975C8A" w:rsidRDefault="00975C8A" w:rsidP="00975C8A">
      <w:pPr>
        <w:ind w:left="284"/>
        <w:contextualSpacing/>
        <w:jc w:val="both"/>
        <w:rPr>
          <w:rFonts w:ascii="Verdana" w:hAnsi="Verdana"/>
          <w:b/>
          <w:bCs/>
          <w:color w:val="212121"/>
          <w:spacing w:val="5"/>
          <w:sz w:val="18"/>
          <w:szCs w:val="18"/>
        </w:rPr>
      </w:pPr>
      <w:r w:rsidRPr="00975C8A">
        <w:rPr>
          <w:rFonts w:ascii="Verdana" w:hAnsi="Verdana"/>
          <w:b/>
          <w:bCs/>
          <w:color w:val="212121"/>
          <w:spacing w:val="5"/>
          <w:sz w:val="18"/>
          <w:szCs w:val="18"/>
        </w:rPr>
        <w:t>Consideraciones procedimentales relevantes</w:t>
      </w:r>
    </w:p>
    <w:p w14:paraId="38629F41" w14:textId="77777777"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La presentación de solicitud de rectificación:</w:t>
      </w:r>
    </w:p>
    <w:p w14:paraId="3A845F06" w14:textId="77777777" w:rsidR="00975C8A" w:rsidRPr="00975C8A" w:rsidRDefault="00975C8A" w:rsidP="00975C8A">
      <w:pPr>
        <w:numPr>
          <w:ilvl w:val="0"/>
          <w:numId w:val="38"/>
        </w:numPr>
        <w:contextualSpacing/>
        <w:jc w:val="both"/>
        <w:rPr>
          <w:rFonts w:ascii="Verdana" w:hAnsi="Verdana"/>
          <w:color w:val="212121"/>
          <w:spacing w:val="5"/>
          <w:sz w:val="18"/>
          <w:szCs w:val="18"/>
        </w:rPr>
      </w:pPr>
      <w:r w:rsidRPr="00975C8A">
        <w:rPr>
          <w:rFonts w:ascii="Verdana" w:hAnsi="Verdana"/>
          <w:b/>
          <w:bCs/>
          <w:color w:val="212121"/>
          <w:spacing w:val="5"/>
          <w:sz w:val="18"/>
          <w:szCs w:val="18"/>
        </w:rPr>
        <w:t>Interrumpe la prescripción del derecho de la Administración a comprobar y liquidar</w:t>
      </w:r>
      <w:r w:rsidRPr="00975C8A">
        <w:rPr>
          <w:rFonts w:ascii="Verdana" w:hAnsi="Verdana"/>
          <w:color w:val="212121"/>
          <w:spacing w:val="5"/>
          <w:sz w:val="18"/>
          <w:szCs w:val="18"/>
        </w:rPr>
        <w:t>.</w:t>
      </w:r>
    </w:p>
    <w:p w14:paraId="033E3DED" w14:textId="77777777" w:rsidR="00975C8A" w:rsidRPr="00975C8A" w:rsidRDefault="00975C8A" w:rsidP="00975C8A">
      <w:pPr>
        <w:numPr>
          <w:ilvl w:val="0"/>
          <w:numId w:val="38"/>
        </w:numPr>
        <w:contextualSpacing/>
        <w:jc w:val="both"/>
        <w:rPr>
          <w:rFonts w:ascii="Verdana" w:hAnsi="Verdana"/>
          <w:color w:val="212121"/>
          <w:spacing w:val="5"/>
          <w:sz w:val="18"/>
          <w:szCs w:val="18"/>
        </w:rPr>
      </w:pPr>
      <w:r w:rsidRPr="00975C8A">
        <w:rPr>
          <w:rFonts w:ascii="Verdana" w:hAnsi="Verdana"/>
          <w:color w:val="212121"/>
          <w:spacing w:val="5"/>
          <w:sz w:val="18"/>
          <w:szCs w:val="18"/>
        </w:rPr>
        <w:t>Mantiene el ejercicio abierto tanto para eventuales devoluciones como para actuaciones inspectoras.</w:t>
      </w:r>
    </w:p>
    <w:p w14:paraId="05DA7149" w14:textId="77777777" w:rsidR="00975C8A" w:rsidRPr="00975C8A" w:rsidRDefault="00975C8A" w:rsidP="00975C8A">
      <w:pPr>
        <w:numPr>
          <w:ilvl w:val="0"/>
          <w:numId w:val="38"/>
        </w:numPr>
        <w:contextualSpacing/>
        <w:jc w:val="both"/>
        <w:rPr>
          <w:rFonts w:ascii="Verdana" w:hAnsi="Verdana"/>
          <w:color w:val="212121"/>
          <w:spacing w:val="5"/>
          <w:sz w:val="18"/>
          <w:szCs w:val="18"/>
        </w:rPr>
      </w:pPr>
      <w:r w:rsidRPr="00975C8A">
        <w:rPr>
          <w:rFonts w:ascii="Verdana" w:hAnsi="Verdana"/>
          <w:color w:val="212121"/>
          <w:spacing w:val="5"/>
          <w:sz w:val="18"/>
          <w:szCs w:val="18"/>
        </w:rPr>
        <w:t>Puede generar riesgos adicionales en supuestos de:</w:t>
      </w:r>
    </w:p>
    <w:p w14:paraId="2838BC3D" w14:textId="77777777" w:rsidR="00975C8A" w:rsidRPr="00975C8A" w:rsidRDefault="00975C8A" w:rsidP="00975C8A">
      <w:pPr>
        <w:numPr>
          <w:ilvl w:val="1"/>
          <w:numId w:val="38"/>
        </w:numPr>
        <w:contextualSpacing/>
        <w:jc w:val="both"/>
        <w:rPr>
          <w:rFonts w:ascii="Verdana" w:hAnsi="Verdana"/>
          <w:color w:val="212121"/>
          <w:spacing w:val="5"/>
          <w:sz w:val="18"/>
          <w:szCs w:val="18"/>
        </w:rPr>
      </w:pPr>
      <w:r w:rsidRPr="00975C8A">
        <w:rPr>
          <w:rFonts w:ascii="Verdana" w:hAnsi="Verdana"/>
          <w:color w:val="212121"/>
          <w:spacing w:val="5"/>
          <w:sz w:val="18"/>
          <w:szCs w:val="18"/>
        </w:rPr>
        <w:t>Valoraciones controvertidas.</w:t>
      </w:r>
    </w:p>
    <w:p w14:paraId="239A3BE8" w14:textId="77777777" w:rsidR="00975C8A" w:rsidRPr="00975C8A" w:rsidRDefault="00975C8A" w:rsidP="00975C8A">
      <w:pPr>
        <w:numPr>
          <w:ilvl w:val="1"/>
          <w:numId w:val="38"/>
        </w:numPr>
        <w:contextualSpacing/>
        <w:jc w:val="both"/>
        <w:rPr>
          <w:rFonts w:ascii="Verdana" w:hAnsi="Verdana"/>
          <w:color w:val="212121"/>
          <w:spacing w:val="5"/>
          <w:sz w:val="18"/>
          <w:szCs w:val="18"/>
        </w:rPr>
      </w:pPr>
      <w:r w:rsidRPr="00975C8A">
        <w:rPr>
          <w:rFonts w:ascii="Verdana" w:hAnsi="Verdana"/>
          <w:color w:val="212121"/>
          <w:spacing w:val="5"/>
          <w:sz w:val="18"/>
          <w:szCs w:val="18"/>
        </w:rPr>
        <w:t>Aplicación del régimen de empresa familiar.</w:t>
      </w:r>
    </w:p>
    <w:p w14:paraId="6EF8F002" w14:textId="3974BF81" w:rsidR="00975C8A" w:rsidRPr="00975C8A" w:rsidRDefault="00975C8A" w:rsidP="00975C8A">
      <w:pPr>
        <w:numPr>
          <w:ilvl w:val="1"/>
          <w:numId w:val="38"/>
        </w:numPr>
        <w:contextualSpacing/>
        <w:jc w:val="both"/>
        <w:rPr>
          <w:rFonts w:ascii="Verdana" w:hAnsi="Verdana"/>
          <w:color w:val="212121"/>
          <w:spacing w:val="5"/>
          <w:sz w:val="18"/>
          <w:szCs w:val="18"/>
        </w:rPr>
      </w:pPr>
      <w:r w:rsidRPr="00975C8A">
        <w:rPr>
          <w:rFonts w:ascii="Verdana" w:hAnsi="Verdana"/>
          <w:color w:val="212121"/>
          <w:spacing w:val="5"/>
          <w:sz w:val="18"/>
          <w:szCs w:val="18"/>
        </w:rPr>
        <w:t>Aplicación del límite conjunto IRPF–Patrimonio</w:t>
      </w:r>
      <w:r w:rsidR="00110EA2">
        <w:rPr>
          <w:rFonts w:ascii="Verdana" w:hAnsi="Verdana"/>
          <w:color w:val="212121"/>
          <w:spacing w:val="5"/>
          <w:sz w:val="18"/>
          <w:szCs w:val="18"/>
        </w:rPr>
        <w:t>.</w:t>
      </w:r>
      <w:r w:rsidRPr="00975C8A">
        <w:rPr>
          <w:rFonts w:ascii="Verdana" w:hAnsi="Verdana"/>
          <w:color w:val="212121"/>
          <w:spacing w:val="5"/>
          <w:sz w:val="18"/>
          <w:szCs w:val="18"/>
        </w:rPr>
        <w:t xml:space="preserve"> </w:t>
      </w:r>
    </w:p>
    <w:p w14:paraId="7C0C1E23" w14:textId="77777777" w:rsidR="00282623" w:rsidRDefault="00282623" w:rsidP="00975C8A">
      <w:pPr>
        <w:ind w:left="284"/>
        <w:contextualSpacing/>
        <w:jc w:val="both"/>
        <w:rPr>
          <w:rFonts w:ascii="Verdana" w:hAnsi="Verdana"/>
          <w:color w:val="212121"/>
          <w:spacing w:val="5"/>
          <w:sz w:val="18"/>
          <w:szCs w:val="18"/>
        </w:rPr>
      </w:pPr>
    </w:p>
    <w:p w14:paraId="16896E5E" w14:textId="77777777"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Resulta imprescindible realizar un análisis caso por caso antes de promover actuaciones.</w:t>
      </w:r>
    </w:p>
    <w:p w14:paraId="315BDC19" w14:textId="77777777" w:rsidR="00975C8A" w:rsidRPr="00975C8A" w:rsidRDefault="00000000" w:rsidP="00975C8A">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059E28A7">
          <v:rect id="_x0000_i1037" style="width:0;height:1.5pt" o:hralign="center" o:hrstd="t" o:hr="t" fillcolor="#a0a0a0" stroked="f"/>
        </w:pict>
      </w:r>
    </w:p>
    <w:p w14:paraId="2C177DA8" w14:textId="77ED2D28" w:rsidR="00975C8A" w:rsidRPr="00975C8A" w:rsidRDefault="00975C8A" w:rsidP="00975C8A">
      <w:pPr>
        <w:ind w:left="284"/>
        <w:contextualSpacing/>
        <w:jc w:val="both"/>
        <w:rPr>
          <w:rFonts w:ascii="Verdana" w:hAnsi="Verdana"/>
          <w:b/>
          <w:bCs/>
          <w:color w:val="212121"/>
          <w:spacing w:val="5"/>
          <w:sz w:val="18"/>
          <w:szCs w:val="18"/>
        </w:rPr>
      </w:pPr>
      <w:r w:rsidRPr="00975C8A">
        <w:rPr>
          <w:rFonts w:ascii="Verdana" w:hAnsi="Verdana"/>
          <w:b/>
          <w:bCs/>
          <w:color w:val="212121"/>
          <w:spacing w:val="5"/>
          <w:sz w:val="18"/>
          <w:szCs w:val="18"/>
        </w:rPr>
        <w:t>Impacto presupuestario y calendario</w:t>
      </w:r>
    </w:p>
    <w:p w14:paraId="1C3C4FF4" w14:textId="4EE3863D" w:rsidR="00975C8A" w:rsidRPr="00975C8A" w:rsidRDefault="00975C8A" w:rsidP="00975C8A">
      <w:pPr>
        <w:ind w:left="284"/>
        <w:contextualSpacing/>
        <w:jc w:val="both"/>
        <w:rPr>
          <w:rFonts w:ascii="Verdana" w:hAnsi="Verdana"/>
          <w:color w:val="212121"/>
          <w:spacing w:val="5"/>
          <w:sz w:val="18"/>
          <w:szCs w:val="18"/>
        </w:rPr>
      </w:pPr>
      <w:r w:rsidRPr="00975C8A">
        <w:rPr>
          <w:rFonts w:ascii="Verdana" w:hAnsi="Verdana"/>
          <w:color w:val="212121"/>
          <w:spacing w:val="5"/>
          <w:sz w:val="18"/>
          <w:szCs w:val="18"/>
        </w:rPr>
        <w:t>La resolución, inicialmente prevista para 2024, ha sido sucesivamente pospuesta hasta 2026, ampliando el número de ejercicios potencialmente afectados y el volumen económico en juego</w:t>
      </w:r>
      <w:r w:rsidR="00110EA2">
        <w:rPr>
          <w:rFonts w:ascii="Verdana" w:hAnsi="Verdana"/>
          <w:color w:val="212121"/>
          <w:spacing w:val="5"/>
          <w:sz w:val="18"/>
          <w:szCs w:val="18"/>
        </w:rPr>
        <w:t>.</w:t>
      </w:r>
      <w:r w:rsidRPr="00975C8A">
        <w:rPr>
          <w:rFonts w:ascii="Verdana" w:hAnsi="Verdana"/>
          <w:color w:val="212121"/>
          <w:spacing w:val="5"/>
          <w:sz w:val="18"/>
          <w:szCs w:val="18"/>
        </w:rPr>
        <w:t xml:space="preserve"> </w:t>
      </w:r>
    </w:p>
    <w:p w14:paraId="46912C94" w14:textId="77777777" w:rsidR="00975C8A" w:rsidRPr="00975C8A" w:rsidRDefault="00000000" w:rsidP="00975C8A">
      <w:pPr>
        <w:ind w:left="284"/>
        <w:contextualSpacing/>
        <w:jc w:val="both"/>
        <w:rPr>
          <w:rFonts w:ascii="Verdana" w:hAnsi="Verdana"/>
          <w:color w:val="212121"/>
          <w:spacing w:val="5"/>
          <w:sz w:val="18"/>
          <w:szCs w:val="18"/>
        </w:rPr>
      </w:pPr>
      <w:r>
        <w:rPr>
          <w:rFonts w:ascii="Verdana" w:hAnsi="Verdana"/>
          <w:color w:val="212121"/>
          <w:spacing w:val="5"/>
          <w:sz w:val="18"/>
          <w:szCs w:val="18"/>
        </w:rPr>
        <w:pict w14:anchorId="1F8A36AF">
          <v:rect id="_x0000_i1038" style="width:0;height:1.5pt" o:hralign="center" o:hrstd="t" o:hr="t" fillcolor="#a0a0a0" stroked="f"/>
        </w:pict>
      </w:r>
    </w:p>
    <w:p w14:paraId="4A67F9B7" w14:textId="77777777" w:rsidR="00975C8A" w:rsidRPr="00975C8A" w:rsidRDefault="00975C8A" w:rsidP="00975C8A">
      <w:pPr>
        <w:ind w:left="284"/>
        <w:contextualSpacing/>
        <w:jc w:val="both"/>
        <w:rPr>
          <w:rFonts w:ascii="Verdana" w:hAnsi="Verdana"/>
          <w:b/>
          <w:bCs/>
          <w:color w:val="212121"/>
          <w:spacing w:val="5"/>
          <w:sz w:val="18"/>
          <w:szCs w:val="18"/>
        </w:rPr>
      </w:pPr>
      <w:r w:rsidRPr="00975C8A">
        <w:rPr>
          <w:rFonts w:ascii="Verdana" w:hAnsi="Verdana"/>
          <w:b/>
          <w:bCs/>
          <w:color w:val="212121"/>
          <w:spacing w:val="5"/>
          <w:sz w:val="18"/>
          <w:szCs w:val="18"/>
        </w:rPr>
        <w:t>Recomendaciones prácticas</w:t>
      </w:r>
    </w:p>
    <w:p w14:paraId="11E3B40E" w14:textId="77777777" w:rsidR="00975C8A" w:rsidRPr="00975C8A" w:rsidRDefault="00975C8A" w:rsidP="00975C8A">
      <w:pPr>
        <w:numPr>
          <w:ilvl w:val="0"/>
          <w:numId w:val="39"/>
        </w:numPr>
        <w:contextualSpacing/>
        <w:jc w:val="both"/>
        <w:rPr>
          <w:rFonts w:ascii="Verdana" w:hAnsi="Verdana"/>
          <w:color w:val="212121"/>
          <w:spacing w:val="5"/>
          <w:sz w:val="18"/>
          <w:szCs w:val="18"/>
        </w:rPr>
      </w:pPr>
      <w:r w:rsidRPr="00975C8A">
        <w:rPr>
          <w:rFonts w:ascii="Verdana" w:hAnsi="Verdana"/>
          <w:color w:val="212121"/>
          <w:spacing w:val="5"/>
          <w:sz w:val="18"/>
          <w:szCs w:val="18"/>
        </w:rPr>
        <w:t>Revisar la situación procesal de cada ejercicio.</w:t>
      </w:r>
    </w:p>
    <w:p w14:paraId="677F3701" w14:textId="77777777" w:rsidR="00975C8A" w:rsidRPr="00975C8A" w:rsidRDefault="00975C8A" w:rsidP="00975C8A">
      <w:pPr>
        <w:numPr>
          <w:ilvl w:val="0"/>
          <w:numId w:val="39"/>
        </w:numPr>
        <w:contextualSpacing/>
        <w:jc w:val="both"/>
        <w:rPr>
          <w:rFonts w:ascii="Verdana" w:hAnsi="Verdana"/>
          <w:color w:val="212121"/>
          <w:spacing w:val="5"/>
          <w:sz w:val="18"/>
          <w:szCs w:val="18"/>
        </w:rPr>
      </w:pPr>
      <w:r w:rsidRPr="00975C8A">
        <w:rPr>
          <w:rFonts w:ascii="Verdana" w:hAnsi="Verdana"/>
          <w:color w:val="212121"/>
          <w:spacing w:val="5"/>
          <w:sz w:val="18"/>
          <w:szCs w:val="18"/>
        </w:rPr>
        <w:t>Evaluar contingencias fiscales latentes antes de iniciar rectificaciones.</w:t>
      </w:r>
    </w:p>
    <w:p w14:paraId="166E0ADD" w14:textId="77777777" w:rsidR="00975C8A" w:rsidRPr="00975C8A" w:rsidRDefault="00975C8A" w:rsidP="00975C8A">
      <w:pPr>
        <w:numPr>
          <w:ilvl w:val="0"/>
          <w:numId w:val="39"/>
        </w:numPr>
        <w:contextualSpacing/>
        <w:jc w:val="both"/>
        <w:rPr>
          <w:rFonts w:ascii="Verdana" w:hAnsi="Verdana"/>
          <w:color w:val="212121"/>
          <w:spacing w:val="5"/>
          <w:sz w:val="18"/>
          <w:szCs w:val="18"/>
        </w:rPr>
      </w:pPr>
      <w:r w:rsidRPr="00975C8A">
        <w:rPr>
          <w:rFonts w:ascii="Verdana" w:hAnsi="Verdana"/>
          <w:color w:val="212121"/>
          <w:spacing w:val="5"/>
          <w:sz w:val="18"/>
          <w:szCs w:val="18"/>
        </w:rPr>
        <w:t>Analizar impacto financiero y contable en grupos patrimoniales.</w:t>
      </w:r>
    </w:p>
    <w:p w14:paraId="16A39089" w14:textId="77777777" w:rsidR="00975C8A" w:rsidRPr="00975C8A" w:rsidRDefault="00975C8A" w:rsidP="00975C8A">
      <w:pPr>
        <w:numPr>
          <w:ilvl w:val="0"/>
          <w:numId w:val="39"/>
        </w:numPr>
        <w:contextualSpacing/>
        <w:jc w:val="both"/>
        <w:rPr>
          <w:rFonts w:ascii="Verdana" w:hAnsi="Verdana"/>
          <w:color w:val="212121"/>
          <w:spacing w:val="5"/>
          <w:sz w:val="18"/>
          <w:szCs w:val="18"/>
        </w:rPr>
      </w:pPr>
      <w:r w:rsidRPr="00975C8A">
        <w:rPr>
          <w:rFonts w:ascii="Verdana" w:hAnsi="Verdana"/>
          <w:color w:val="212121"/>
          <w:spacing w:val="5"/>
          <w:sz w:val="18"/>
          <w:szCs w:val="18"/>
        </w:rPr>
        <w:t>Preparar estrategia procesal ante distintos escenarios de fallo (estimatorio total, parcial o desestimatorio).</w:t>
      </w:r>
    </w:p>
    <w:p w14:paraId="7B73F2AD" w14:textId="77777777" w:rsidR="00975C8A" w:rsidRDefault="00975C8A" w:rsidP="00776277">
      <w:pPr>
        <w:ind w:left="284"/>
        <w:contextualSpacing/>
        <w:jc w:val="both"/>
        <w:rPr>
          <w:rFonts w:ascii="Verdana" w:hAnsi="Verdana"/>
          <w:color w:val="212121"/>
          <w:spacing w:val="5"/>
          <w:sz w:val="18"/>
          <w:szCs w:val="18"/>
        </w:rPr>
      </w:pPr>
    </w:p>
    <w:p w14:paraId="1BEFE330" w14:textId="77777777" w:rsidR="0049025A" w:rsidRDefault="0049025A" w:rsidP="00776277">
      <w:pPr>
        <w:ind w:left="284"/>
        <w:contextualSpacing/>
        <w:jc w:val="both"/>
        <w:rPr>
          <w:rFonts w:ascii="Verdana" w:hAnsi="Verdana"/>
          <w:color w:val="212121"/>
          <w:spacing w:val="5"/>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49025A" w:rsidRPr="00975C8A" w14:paraId="70254DD5" w14:textId="77777777" w:rsidTr="005F3573">
        <w:trPr>
          <w:trHeight w:val="272"/>
        </w:trPr>
        <w:tc>
          <w:tcPr>
            <w:tcW w:w="181" w:type="dxa"/>
            <w:shd w:val="clear" w:color="auto" w:fill="FF6600"/>
          </w:tcPr>
          <w:p w14:paraId="64A6DC4D" w14:textId="77777777" w:rsidR="0049025A" w:rsidRPr="00975C8A" w:rsidRDefault="0049025A" w:rsidP="005F3573">
            <w:pPr>
              <w:pStyle w:val="Textoindependiente"/>
              <w:tabs>
                <w:tab w:val="clear" w:pos="360"/>
              </w:tabs>
              <w:jc w:val="left"/>
              <w:rPr>
                <w:rFonts w:ascii="Verdana" w:hAnsi="Verdana" w:cs="Verdana"/>
                <w:color w:val="800000"/>
                <w:sz w:val="18"/>
                <w:szCs w:val="18"/>
                <w:lang w:val="es-ES" w:eastAsia="es-ES"/>
              </w:rPr>
            </w:pPr>
          </w:p>
        </w:tc>
        <w:tc>
          <w:tcPr>
            <w:tcW w:w="8533" w:type="dxa"/>
          </w:tcPr>
          <w:p w14:paraId="705E63BD" w14:textId="55F9608B" w:rsidR="0049025A" w:rsidRPr="00975C8A" w:rsidRDefault="0049025A" w:rsidP="005F3573">
            <w:pPr>
              <w:numPr>
                <w:ilvl w:val="0"/>
                <w:numId w:val="4"/>
              </w:numPr>
              <w:tabs>
                <w:tab w:val="clear" w:pos="502"/>
                <w:tab w:val="num" w:pos="317"/>
              </w:tabs>
              <w:ind w:left="317" w:hanging="283"/>
              <w:jc w:val="both"/>
              <w:rPr>
                <w:rFonts w:ascii="Verdana" w:hAnsi="Verdana" w:cs="Verdana"/>
                <w:b/>
                <w:bCs/>
                <w:color w:val="800000"/>
                <w:sz w:val="18"/>
                <w:szCs w:val="18"/>
              </w:rPr>
            </w:pPr>
            <w:r w:rsidRPr="00975C8A">
              <w:rPr>
                <w:rFonts w:ascii="Verdana" w:hAnsi="Verdana"/>
                <w:b/>
                <w:bCs/>
                <w:color w:val="800000"/>
                <w:sz w:val="18"/>
                <w:szCs w:val="18"/>
              </w:rPr>
              <w:t xml:space="preserve">IP. </w:t>
            </w:r>
            <w:r w:rsidRPr="0049025A">
              <w:rPr>
                <w:rFonts w:ascii="Verdana" w:hAnsi="Verdana"/>
                <w:b/>
                <w:bCs/>
                <w:color w:val="800000"/>
                <w:sz w:val="18"/>
                <w:szCs w:val="18"/>
              </w:rPr>
              <w:t>EXENCIÓN EN EL IMPUESTO SOBRE EL PATRIMONIO DE PARTICIPACIONES EN EMPRESA FAMILIAR</w:t>
            </w:r>
          </w:p>
        </w:tc>
      </w:tr>
    </w:tbl>
    <w:p w14:paraId="0B757EC1" w14:textId="77777777" w:rsidR="0049025A" w:rsidRDefault="0049025A" w:rsidP="00347AC8">
      <w:pPr>
        <w:ind w:left="284"/>
        <w:jc w:val="both"/>
        <w:rPr>
          <w:rFonts w:ascii="Verdana" w:hAnsi="Verdana"/>
          <w:color w:val="212121"/>
          <w:spacing w:val="5"/>
          <w:sz w:val="18"/>
          <w:szCs w:val="18"/>
        </w:rPr>
      </w:pPr>
    </w:p>
    <w:p w14:paraId="046CC14E" w14:textId="735A9175" w:rsidR="0049025A" w:rsidRPr="0049025A" w:rsidRDefault="0049025A" w:rsidP="0049025A">
      <w:pPr>
        <w:ind w:left="284"/>
        <w:jc w:val="both"/>
        <w:rPr>
          <w:rFonts w:ascii="Verdana" w:hAnsi="Verdana"/>
          <w:color w:val="212121"/>
          <w:spacing w:val="5"/>
          <w:sz w:val="18"/>
          <w:szCs w:val="18"/>
        </w:rPr>
      </w:pPr>
      <w:r>
        <w:rPr>
          <w:rFonts w:ascii="Verdana" w:hAnsi="Verdana"/>
          <w:color w:val="212121"/>
          <w:spacing w:val="5"/>
          <w:sz w:val="18"/>
          <w:szCs w:val="18"/>
        </w:rPr>
        <w:t xml:space="preserve">Analizamos la </w:t>
      </w:r>
      <w:r w:rsidRPr="0049025A">
        <w:rPr>
          <w:rFonts w:ascii="Verdana" w:hAnsi="Verdana"/>
          <w:color w:val="212121"/>
          <w:spacing w:val="5"/>
          <w:sz w:val="18"/>
          <w:szCs w:val="18"/>
        </w:rPr>
        <w:t>Sentencia 3953/2025 del Tribunal Superior de Justicia de Cataluña (12 de noviembre de 2025)</w:t>
      </w:r>
      <w:r>
        <w:rPr>
          <w:rFonts w:ascii="Verdana" w:hAnsi="Verdana"/>
          <w:color w:val="212121"/>
          <w:spacing w:val="5"/>
          <w:sz w:val="18"/>
          <w:szCs w:val="18"/>
        </w:rPr>
        <w:t>,</w:t>
      </w:r>
      <w:r w:rsidRPr="0049025A">
        <w:rPr>
          <w:rFonts w:ascii="Verdana" w:hAnsi="Verdana"/>
          <w:color w:val="212121"/>
          <w:spacing w:val="5"/>
          <w:sz w:val="18"/>
          <w:szCs w:val="18"/>
        </w:rPr>
        <w:t xml:space="preserve"> Recurso 3199/2023</w:t>
      </w:r>
      <w:r>
        <w:rPr>
          <w:rFonts w:ascii="Verdana" w:hAnsi="Verdana"/>
          <w:color w:val="212121"/>
          <w:spacing w:val="5"/>
          <w:sz w:val="18"/>
          <w:szCs w:val="18"/>
        </w:rPr>
        <w:t>.</w:t>
      </w:r>
    </w:p>
    <w:p w14:paraId="4AAF734E" w14:textId="5297F462" w:rsidR="0049025A" w:rsidRPr="0049025A" w:rsidRDefault="0049025A" w:rsidP="0049025A">
      <w:pPr>
        <w:ind w:left="284"/>
        <w:jc w:val="both"/>
        <w:rPr>
          <w:rFonts w:ascii="Verdana" w:hAnsi="Verdana"/>
          <w:color w:val="212121"/>
          <w:spacing w:val="5"/>
          <w:sz w:val="18"/>
          <w:szCs w:val="18"/>
        </w:rPr>
      </w:pPr>
    </w:p>
    <w:p w14:paraId="51069509" w14:textId="77777777" w:rsid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 xml:space="preserve">El Tribunal analiza la procedencia de la </w:t>
      </w:r>
      <w:r w:rsidRPr="0049025A">
        <w:rPr>
          <w:rFonts w:ascii="Verdana" w:hAnsi="Verdana"/>
          <w:b/>
          <w:bCs/>
          <w:color w:val="212121"/>
          <w:spacing w:val="5"/>
          <w:sz w:val="18"/>
          <w:szCs w:val="18"/>
        </w:rPr>
        <w:t>exención en el Impuesto sobre el Patrimonio (IP)</w:t>
      </w:r>
      <w:r w:rsidRPr="0049025A">
        <w:rPr>
          <w:rFonts w:ascii="Verdana" w:hAnsi="Verdana"/>
          <w:color w:val="212121"/>
          <w:spacing w:val="5"/>
          <w:sz w:val="18"/>
          <w:szCs w:val="18"/>
        </w:rPr>
        <w:t xml:space="preserve"> respecto de participaciones en diversas sociedades familiares durante los ejercicios 2014 a 2017.</w:t>
      </w:r>
    </w:p>
    <w:p w14:paraId="1A5640FD" w14:textId="77777777" w:rsidR="0049025A" w:rsidRPr="0049025A" w:rsidRDefault="0049025A" w:rsidP="0049025A">
      <w:pPr>
        <w:ind w:left="284"/>
        <w:jc w:val="both"/>
        <w:rPr>
          <w:rFonts w:ascii="Verdana" w:hAnsi="Verdana"/>
          <w:color w:val="212121"/>
          <w:spacing w:val="5"/>
          <w:sz w:val="18"/>
          <w:szCs w:val="18"/>
        </w:rPr>
      </w:pPr>
    </w:p>
    <w:p w14:paraId="04905922"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Inspección y el TEARC negaron la exención al considerar incumplidos los requisitos del artículo 4.Ocho.Dos de la Ley 19/1991 (LIP), principalmente por:</w:t>
      </w:r>
    </w:p>
    <w:p w14:paraId="30B81F2E" w14:textId="77777777" w:rsidR="0049025A" w:rsidRPr="0049025A" w:rsidRDefault="0049025A" w:rsidP="0049025A">
      <w:pPr>
        <w:numPr>
          <w:ilvl w:val="0"/>
          <w:numId w:val="53"/>
        </w:numPr>
        <w:jc w:val="both"/>
        <w:rPr>
          <w:rFonts w:ascii="Verdana" w:hAnsi="Verdana"/>
          <w:color w:val="212121"/>
          <w:spacing w:val="5"/>
          <w:sz w:val="18"/>
          <w:szCs w:val="18"/>
        </w:rPr>
      </w:pPr>
      <w:r w:rsidRPr="0049025A">
        <w:rPr>
          <w:rFonts w:ascii="Verdana" w:hAnsi="Verdana"/>
          <w:color w:val="212121"/>
          <w:spacing w:val="5"/>
          <w:sz w:val="18"/>
          <w:szCs w:val="18"/>
        </w:rPr>
        <w:t>Falta de actividad económica real (especialmente en arrendamiento inmobiliario).</w:t>
      </w:r>
    </w:p>
    <w:p w14:paraId="2290F989" w14:textId="77777777" w:rsidR="0049025A" w:rsidRPr="0049025A" w:rsidRDefault="0049025A" w:rsidP="0049025A">
      <w:pPr>
        <w:numPr>
          <w:ilvl w:val="0"/>
          <w:numId w:val="53"/>
        </w:numPr>
        <w:jc w:val="both"/>
        <w:rPr>
          <w:rFonts w:ascii="Verdana" w:hAnsi="Verdana"/>
          <w:color w:val="212121"/>
          <w:spacing w:val="5"/>
          <w:sz w:val="18"/>
          <w:szCs w:val="18"/>
        </w:rPr>
      </w:pPr>
      <w:r w:rsidRPr="0049025A">
        <w:rPr>
          <w:rFonts w:ascii="Verdana" w:hAnsi="Verdana"/>
          <w:color w:val="212121"/>
          <w:spacing w:val="5"/>
          <w:sz w:val="18"/>
          <w:szCs w:val="18"/>
        </w:rPr>
        <w:t>Inexistencia de empleado válido a jornada completa.</w:t>
      </w:r>
    </w:p>
    <w:p w14:paraId="2EC1BDBC" w14:textId="77777777" w:rsidR="0049025A" w:rsidRPr="0049025A" w:rsidRDefault="0049025A" w:rsidP="0049025A">
      <w:pPr>
        <w:numPr>
          <w:ilvl w:val="0"/>
          <w:numId w:val="53"/>
        </w:numPr>
        <w:jc w:val="both"/>
        <w:rPr>
          <w:rFonts w:ascii="Verdana" w:hAnsi="Verdana"/>
          <w:color w:val="212121"/>
          <w:spacing w:val="5"/>
          <w:sz w:val="18"/>
          <w:szCs w:val="18"/>
        </w:rPr>
      </w:pPr>
      <w:r w:rsidRPr="0049025A">
        <w:rPr>
          <w:rFonts w:ascii="Verdana" w:hAnsi="Verdana"/>
          <w:color w:val="212121"/>
          <w:spacing w:val="5"/>
          <w:sz w:val="18"/>
          <w:szCs w:val="18"/>
        </w:rPr>
        <w:lastRenderedPageBreak/>
        <w:t>Incumplimiento del requisito de remuneración del administrador (&gt;50% de rendimientos).</w:t>
      </w:r>
    </w:p>
    <w:p w14:paraId="59989B47" w14:textId="77777777" w:rsidR="0049025A" w:rsidRPr="0049025A" w:rsidRDefault="0049025A" w:rsidP="0049025A">
      <w:pPr>
        <w:numPr>
          <w:ilvl w:val="0"/>
          <w:numId w:val="53"/>
        </w:numPr>
        <w:jc w:val="both"/>
        <w:rPr>
          <w:rFonts w:ascii="Verdana" w:hAnsi="Verdana"/>
          <w:color w:val="212121"/>
          <w:spacing w:val="5"/>
          <w:sz w:val="18"/>
          <w:szCs w:val="18"/>
        </w:rPr>
      </w:pPr>
      <w:r w:rsidRPr="0049025A">
        <w:rPr>
          <w:rFonts w:ascii="Verdana" w:hAnsi="Verdana"/>
          <w:color w:val="212121"/>
          <w:spacing w:val="5"/>
          <w:sz w:val="18"/>
          <w:szCs w:val="18"/>
        </w:rPr>
        <w:t>Existencia de activos no afectos en una de las entidades.</w:t>
      </w:r>
    </w:p>
    <w:p w14:paraId="4E89E5A8" w14:textId="77777777" w:rsidR="0049025A" w:rsidRPr="0049025A" w:rsidRDefault="0049025A" w:rsidP="0049025A">
      <w:pPr>
        <w:numPr>
          <w:ilvl w:val="0"/>
          <w:numId w:val="53"/>
        </w:numPr>
        <w:jc w:val="both"/>
        <w:rPr>
          <w:rFonts w:ascii="Verdana" w:hAnsi="Verdana"/>
          <w:color w:val="212121"/>
          <w:spacing w:val="5"/>
          <w:sz w:val="18"/>
          <w:szCs w:val="18"/>
        </w:rPr>
      </w:pPr>
      <w:r w:rsidRPr="0049025A">
        <w:rPr>
          <w:rFonts w:ascii="Verdana" w:hAnsi="Verdana"/>
          <w:color w:val="212121"/>
          <w:spacing w:val="5"/>
          <w:sz w:val="18"/>
          <w:szCs w:val="18"/>
        </w:rPr>
        <w:t>Imposición de sanciones por aplicación indebida de la exención.</w:t>
      </w:r>
    </w:p>
    <w:p w14:paraId="69807CBA" w14:textId="77777777" w:rsidR="0049025A" w:rsidRDefault="0049025A" w:rsidP="00347AC8">
      <w:pPr>
        <w:ind w:left="284"/>
        <w:jc w:val="both"/>
        <w:rPr>
          <w:rFonts w:ascii="Verdana" w:hAnsi="Verdana"/>
          <w:color w:val="212121"/>
          <w:spacing w:val="5"/>
          <w:sz w:val="18"/>
          <w:szCs w:val="18"/>
        </w:rPr>
      </w:pPr>
    </w:p>
    <w:p w14:paraId="05EE5A5C"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67A26A16">
          <v:rect id="_x0000_i1039" style="width:0;height:1.5pt" o:hralign="center" o:hrstd="t" o:hr="t" fillcolor="#a0a0a0" stroked="f"/>
        </w:pict>
      </w:r>
    </w:p>
    <w:p w14:paraId="240D2921" w14:textId="77777777"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I. Marco normativo aplicable</w:t>
      </w:r>
    </w:p>
    <w:p w14:paraId="27EFA930" w14:textId="5CEB7B62"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controversia gira en torno a la aplicación del artículo 4.Ocho.Dos de la Ley 19/1991 del Impuesto sobre el Patrimonio (LIP), que exige:</w:t>
      </w:r>
    </w:p>
    <w:p w14:paraId="303A53E1" w14:textId="77777777" w:rsidR="0049025A" w:rsidRPr="0049025A" w:rsidRDefault="0049025A" w:rsidP="0049025A">
      <w:pPr>
        <w:numPr>
          <w:ilvl w:val="0"/>
          <w:numId w:val="41"/>
        </w:numPr>
        <w:jc w:val="both"/>
        <w:rPr>
          <w:rFonts w:ascii="Verdana" w:hAnsi="Verdana"/>
          <w:color w:val="212121"/>
          <w:spacing w:val="5"/>
          <w:sz w:val="18"/>
          <w:szCs w:val="18"/>
        </w:rPr>
      </w:pPr>
      <w:r w:rsidRPr="0049025A">
        <w:rPr>
          <w:rFonts w:ascii="Verdana" w:hAnsi="Verdana"/>
          <w:color w:val="212121"/>
          <w:spacing w:val="5"/>
          <w:sz w:val="18"/>
          <w:szCs w:val="18"/>
        </w:rPr>
        <w:t>Que la entidad no tenga por actividad principal la mera gestión de patrimonio mobiliario o inmobiliario.</w:t>
      </w:r>
    </w:p>
    <w:p w14:paraId="48B0B67B" w14:textId="77777777" w:rsidR="0049025A" w:rsidRPr="0049025A" w:rsidRDefault="0049025A" w:rsidP="0049025A">
      <w:pPr>
        <w:numPr>
          <w:ilvl w:val="0"/>
          <w:numId w:val="41"/>
        </w:numPr>
        <w:jc w:val="both"/>
        <w:rPr>
          <w:rFonts w:ascii="Verdana" w:hAnsi="Verdana"/>
          <w:color w:val="212121"/>
          <w:spacing w:val="5"/>
          <w:sz w:val="18"/>
          <w:szCs w:val="18"/>
        </w:rPr>
      </w:pPr>
      <w:r w:rsidRPr="0049025A">
        <w:rPr>
          <w:rFonts w:ascii="Verdana" w:hAnsi="Verdana"/>
          <w:color w:val="212121"/>
          <w:spacing w:val="5"/>
          <w:sz w:val="18"/>
          <w:szCs w:val="18"/>
        </w:rPr>
        <w:t>Participación mínima (5% individual o 20% conjunta grupo familiar).</w:t>
      </w:r>
    </w:p>
    <w:p w14:paraId="3E555B0F" w14:textId="77777777" w:rsidR="0049025A" w:rsidRPr="0049025A" w:rsidRDefault="0049025A" w:rsidP="0049025A">
      <w:pPr>
        <w:numPr>
          <w:ilvl w:val="0"/>
          <w:numId w:val="41"/>
        </w:numPr>
        <w:jc w:val="both"/>
        <w:rPr>
          <w:rFonts w:ascii="Verdana" w:hAnsi="Verdana"/>
          <w:color w:val="212121"/>
          <w:spacing w:val="5"/>
          <w:sz w:val="18"/>
          <w:szCs w:val="18"/>
        </w:rPr>
      </w:pPr>
      <w:r w:rsidRPr="0049025A">
        <w:rPr>
          <w:rFonts w:ascii="Verdana" w:hAnsi="Verdana"/>
          <w:color w:val="212121"/>
          <w:spacing w:val="5"/>
          <w:sz w:val="18"/>
          <w:szCs w:val="18"/>
        </w:rPr>
        <w:t>Ejercicio efectivo de funciones de dirección con remuneración superior al 50% del total de rendimientos empresariales, profesionales y del trabajo.</w:t>
      </w:r>
    </w:p>
    <w:p w14:paraId="6B932823"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 xml:space="preserve">Asimismo, la exención solo alcanza al valor proporcional de los </w:t>
      </w:r>
      <w:r w:rsidRPr="0049025A">
        <w:rPr>
          <w:rFonts w:ascii="Verdana" w:hAnsi="Verdana"/>
          <w:b/>
          <w:bCs/>
          <w:color w:val="212121"/>
          <w:spacing w:val="5"/>
          <w:sz w:val="18"/>
          <w:szCs w:val="18"/>
        </w:rPr>
        <w:t>activos necesarios para la actividad económica</w:t>
      </w:r>
      <w:r w:rsidRPr="0049025A">
        <w:rPr>
          <w:rFonts w:ascii="Verdana" w:hAnsi="Verdana"/>
          <w:color w:val="212121"/>
          <w:spacing w:val="5"/>
          <w:sz w:val="18"/>
          <w:szCs w:val="18"/>
        </w:rPr>
        <w:t>, conforme al RD 1704/1999 y al art. 29 LIRPF.</w:t>
      </w:r>
    </w:p>
    <w:p w14:paraId="0777B0D1"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5CCCB77D">
          <v:rect id="_x0000_i1040" style="width:0;height:1.5pt" o:hralign="center" o:hrstd="t" o:hr="t" fillcolor="#a0a0a0" stroked="f"/>
        </w:pict>
      </w:r>
    </w:p>
    <w:p w14:paraId="15C6FD32" w14:textId="77777777"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II. Cuestiones controvertidas</w:t>
      </w:r>
    </w:p>
    <w:p w14:paraId="0DEC34A5"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Inspección negó la exención en varias sociedades familiares por:</w:t>
      </w:r>
    </w:p>
    <w:p w14:paraId="39AC4A60" w14:textId="77777777" w:rsidR="0049025A" w:rsidRPr="0049025A" w:rsidRDefault="0049025A" w:rsidP="0049025A">
      <w:pPr>
        <w:numPr>
          <w:ilvl w:val="0"/>
          <w:numId w:val="42"/>
        </w:numPr>
        <w:jc w:val="both"/>
        <w:rPr>
          <w:rFonts w:ascii="Verdana" w:hAnsi="Verdana"/>
          <w:color w:val="212121"/>
          <w:spacing w:val="5"/>
          <w:sz w:val="18"/>
          <w:szCs w:val="18"/>
        </w:rPr>
      </w:pPr>
      <w:r w:rsidRPr="0049025A">
        <w:rPr>
          <w:rFonts w:ascii="Verdana" w:hAnsi="Verdana"/>
          <w:color w:val="212121"/>
          <w:spacing w:val="5"/>
          <w:sz w:val="18"/>
          <w:szCs w:val="18"/>
        </w:rPr>
        <w:t>Falta de actividad económica real (especialmente en arrendamiento).</w:t>
      </w:r>
    </w:p>
    <w:p w14:paraId="21AE13B4" w14:textId="77777777" w:rsidR="0049025A" w:rsidRPr="0049025A" w:rsidRDefault="0049025A" w:rsidP="0049025A">
      <w:pPr>
        <w:numPr>
          <w:ilvl w:val="0"/>
          <w:numId w:val="42"/>
        </w:numPr>
        <w:jc w:val="both"/>
        <w:rPr>
          <w:rFonts w:ascii="Verdana" w:hAnsi="Verdana"/>
          <w:color w:val="212121"/>
          <w:spacing w:val="5"/>
          <w:sz w:val="18"/>
          <w:szCs w:val="18"/>
        </w:rPr>
      </w:pPr>
      <w:r w:rsidRPr="0049025A">
        <w:rPr>
          <w:rFonts w:ascii="Verdana" w:hAnsi="Verdana"/>
          <w:color w:val="212121"/>
          <w:spacing w:val="5"/>
          <w:sz w:val="18"/>
          <w:szCs w:val="18"/>
        </w:rPr>
        <w:t>Inexistencia de empleado válido a jornada completa.</w:t>
      </w:r>
    </w:p>
    <w:p w14:paraId="2E36972A" w14:textId="77777777" w:rsidR="0049025A" w:rsidRPr="0049025A" w:rsidRDefault="0049025A" w:rsidP="0049025A">
      <w:pPr>
        <w:numPr>
          <w:ilvl w:val="0"/>
          <w:numId w:val="42"/>
        </w:numPr>
        <w:jc w:val="both"/>
        <w:rPr>
          <w:rFonts w:ascii="Verdana" w:hAnsi="Verdana"/>
          <w:color w:val="212121"/>
          <w:spacing w:val="5"/>
          <w:sz w:val="18"/>
          <w:szCs w:val="18"/>
        </w:rPr>
      </w:pPr>
      <w:r w:rsidRPr="0049025A">
        <w:rPr>
          <w:rFonts w:ascii="Verdana" w:hAnsi="Verdana"/>
          <w:color w:val="212121"/>
          <w:spacing w:val="5"/>
          <w:sz w:val="18"/>
          <w:szCs w:val="18"/>
        </w:rPr>
        <w:t>Incumplimiento del requisito de remuneración del administrador.</w:t>
      </w:r>
    </w:p>
    <w:p w14:paraId="7F51F7A0" w14:textId="77777777" w:rsidR="0049025A" w:rsidRPr="0049025A" w:rsidRDefault="0049025A" w:rsidP="0049025A">
      <w:pPr>
        <w:numPr>
          <w:ilvl w:val="0"/>
          <w:numId w:val="42"/>
        </w:numPr>
        <w:jc w:val="both"/>
        <w:rPr>
          <w:rFonts w:ascii="Verdana" w:hAnsi="Verdana"/>
          <w:color w:val="212121"/>
          <w:spacing w:val="5"/>
          <w:sz w:val="18"/>
          <w:szCs w:val="18"/>
        </w:rPr>
      </w:pPr>
      <w:r w:rsidRPr="0049025A">
        <w:rPr>
          <w:rFonts w:ascii="Verdana" w:hAnsi="Verdana"/>
          <w:color w:val="212121"/>
          <w:spacing w:val="5"/>
          <w:sz w:val="18"/>
          <w:szCs w:val="18"/>
        </w:rPr>
        <w:t>Existencia de activos financieros y créditos no afectos.</w:t>
      </w:r>
    </w:p>
    <w:p w14:paraId="39DB57EF" w14:textId="3E497F1F" w:rsidR="0049025A" w:rsidRPr="0049025A" w:rsidRDefault="0049025A" w:rsidP="0049025A">
      <w:pPr>
        <w:numPr>
          <w:ilvl w:val="0"/>
          <w:numId w:val="42"/>
        </w:numPr>
        <w:jc w:val="both"/>
        <w:rPr>
          <w:rFonts w:ascii="Verdana" w:hAnsi="Verdana"/>
          <w:color w:val="212121"/>
          <w:spacing w:val="5"/>
          <w:sz w:val="18"/>
          <w:szCs w:val="18"/>
        </w:rPr>
      </w:pPr>
      <w:r w:rsidRPr="0049025A">
        <w:rPr>
          <w:rFonts w:ascii="Verdana" w:hAnsi="Verdana"/>
          <w:color w:val="212121"/>
          <w:spacing w:val="5"/>
          <w:sz w:val="18"/>
          <w:szCs w:val="18"/>
        </w:rPr>
        <w:t>Imposición de sanciones por aplicación indebida de la exención.</w:t>
      </w:r>
      <w:r w:rsidR="00C539F2">
        <w:rPr>
          <w:rFonts w:ascii="Verdana" w:hAnsi="Verdana"/>
          <w:color w:val="212121"/>
          <w:spacing w:val="5"/>
          <w:sz w:val="18"/>
          <w:szCs w:val="18"/>
        </w:rPr>
        <w:t xml:space="preserve"> </w:t>
      </w:r>
      <w:r w:rsidRPr="0049025A">
        <w:rPr>
          <w:rFonts w:ascii="Verdana" w:hAnsi="Verdana"/>
          <w:color w:val="212121"/>
          <w:spacing w:val="5"/>
          <w:sz w:val="18"/>
          <w:szCs w:val="18"/>
        </w:rPr>
        <w:t>El TEARC confirmó la regularización y las sanciones.</w:t>
      </w:r>
    </w:p>
    <w:p w14:paraId="2EC93D0C"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34A82D06">
          <v:rect id="_x0000_i1041" style="width:0;height:1.5pt" o:hralign="center" o:hrstd="t" o:hr="t" fillcolor="#a0a0a0" stroked="f"/>
        </w:pict>
      </w:r>
    </w:p>
    <w:p w14:paraId="7937CB4D" w14:textId="77777777"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III. Doctrina fijada por el TSJ de Cataluña</w:t>
      </w:r>
    </w:p>
    <w:p w14:paraId="6C7F2FEC" w14:textId="08C5372D" w:rsidR="0049025A" w:rsidRPr="0049025A" w:rsidRDefault="005633EC" w:rsidP="0049025A">
      <w:pPr>
        <w:ind w:left="284"/>
        <w:jc w:val="both"/>
        <w:rPr>
          <w:rFonts w:ascii="Verdana" w:hAnsi="Verdana"/>
          <w:b/>
          <w:bCs/>
          <w:color w:val="212121"/>
          <w:spacing w:val="5"/>
          <w:sz w:val="18"/>
          <w:szCs w:val="18"/>
        </w:rPr>
      </w:pPr>
      <w:r>
        <w:rPr>
          <w:rFonts w:ascii="Verdana" w:hAnsi="Verdana"/>
          <w:b/>
          <w:bCs/>
          <w:color w:val="212121"/>
          <w:spacing w:val="5"/>
          <w:sz w:val="18"/>
          <w:szCs w:val="18"/>
        </w:rPr>
        <w:t>R</w:t>
      </w:r>
      <w:r w:rsidR="0049025A" w:rsidRPr="0049025A">
        <w:rPr>
          <w:rFonts w:ascii="Verdana" w:hAnsi="Verdana"/>
          <w:b/>
          <w:bCs/>
          <w:color w:val="212121"/>
          <w:spacing w:val="5"/>
          <w:sz w:val="18"/>
          <w:szCs w:val="18"/>
        </w:rPr>
        <w:t>econocimiento de actividad econ</w:t>
      </w:r>
      <w:r w:rsidR="0049025A" w:rsidRPr="0049025A">
        <w:rPr>
          <w:rFonts w:ascii="Verdana" w:hAnsi="Verdana" w:cs="Verdana"/>
          <w:b/>
          <w:bCs/>
          <w:color w:val="212121"/>
          <w:spacing w:val="5"/>
          <w:sz w:val="18"/>
          <w:szCs w:val="18"/>
        </w:rPr>
        <w:t>ó</w:t>
      </w:r>
      <w:r w:rsidR="0049025A" w:rsidRPr="0049025A">
        <w:rPr>
          <w:rFonts w:ascii="Verdana" w:hAnsi="Verdana"/>
          <w:b/>
          <w:bCs/>
          <w:color w:val="212121"/>
          <w:spacing w:val="5"/>
          <w:sz w:val="18"/>
          <w:szCs w:val="18"/>
        </w:rPr>
        <w:t>mica en promoci</w:t>
      </w:r>
      <w:r w:rsidR="0049025A" w:rsidRPr="0049025A">
        <w:rPr>
          <w:rFonts w:ascii="Verdana" w:hAnsi="Verdana" w:cs="Verdana"/>
          <w:b/>
          <w:bCs/>
          <w:color w:val="212121"/>
          <w:spacing w:val="5"/>
          <w:sz w:val="18"/>
          <w:szCs w:val="18"/>
        </w:rPr>
        <w:t>ó</w:t>
      </w:r>
      <w:r w:rsidR="0049025A" w:rsidRPr="0049025A">
        <w:rPr>
          <w:rFonts w:ascii="Verdana" w:hAnsi="Verdana"/>
          <w:b/>
          <w:bCs/>
          <w:color w:val="212121"/>
          <w:spacing w:val="5"/>
          <w:sz w:val="18"/>
          <w:szCs w:val="18"/>
        </w:rPr>
        <w:t>n inmobiliaria</w:t>
      </w:r>
    </w:p>
    <w:p w14:paraId="665E60C0"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 xml:space="preserve">El Tribunal otorga especial relevancia a actuaciones inspectoras previas en IRPF en las que la propia AEAT calificó determinadas operaciones como </w:t>
      </w:r>
      <w:r w:rsidRPr="0049025A">
        <w:rPr>
          <w:rFonts w:ascii="Verdana" w:hAnsi="Verdana"/>
          <w:b/>
          <w:bCs/>
          <w:color w:val="212121"/>
          <w:spacing w:val="5"/>
          <w:sz w:val="18"/>
          <w:szCs w:val="18"/>
        </w:rPr>
        <w:t>actividad económica de promoción inmobiliaria</w:t>
      </w:r>
      <w:r w:rsidRPr="0049025A">
        <w:rPr>
          <w:rFonts w:ascii="Verdana" w:hAnsi="Verdana"/>
          <w:color w:val="212121"/>
          <w:spacing w:val="5"/>
          <w:sz w:val="18"/>
          <w:szCs w:val="18"/>
        </w:rPr>
        <w:t xml:space="preserve"> (ventas tratadas como existencias y no como ganancias patrimoniales).</w:t>
      </w:r>
    </w:p>
    <w:p w14:paraId="4DB294DE" w14:textId="2805BDAA"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Claves interpretativas:</w:t>
      </w:r>
    </w:p>
    <w:p w14:paraId="5705F0CC" w14:textId="77777777" w:rsidR="0049025A" w:rsidRPr="0049025A" w:rsidRDefault="0049025A" w:rsidP="0049025A">
      <w:pPr>
        <w:numPr>
          <w:ilvl w:val="0"/>
          <w:numId w:val="43"/>
        </w:numPr>
        <w:jc w:val="both"/>
        <w:rPr>
          <w:rFonts w:ascii="Verdana" w:hAnsi="Verdana"/>
          <w:color w:val="212121"/>
          <w:spacing w:val="5"/>
          <w:sz w:val="18"/>
          <w:szCs w:val="18"/>
        </w:rPr>
      </w:pPr>
      <w:r w:rsidRPr="0049025A">
        <w:rPr>
          <w:rFonts w:ascii="Verdana" w:hAnsi="Verdana"/>
          <w:color w:val="212121"/>
          <w:spacing w:val="5"/>
          <w:sz w:val="18"/>
          <w:szCs w:val="18"/>
        </w:rPr>
        <w:t>No resulta coherente negar actividad económica en IP cuando la Administración la reconoció previamente en IRPF.</w:t>
      </w:r>
    </w:p>
    <w:p w14:paraId="19F3AE62" w14:textId="77777777" w:rsidR="0049025A" w:rsidRPr="0049025A" w:rsidRDefault="0049025A" w:rsidP="0049025A">
      <w:pPr>
        <w:numPr>
          <w:ilvl w:val="0"/>
          <w:numId w:val="43"/>
        </w:numPr>
        <w:jc w:val="both"/>
        <w:rPr>
          <w:rFonts w:ascii="Verdana" w:hAnsi="Verdana"/>
          <w:color w:val="212121"/>
          <w:spacing w:val="5"/>
          <w:sz w:val="18"/>
          <w:szCs w:val="18"/>
        </w:rPr>
      </w:pPr>
      <w:r w:rsidRPr="0049025A">
        <w:rPr>
          <w:rFonts w:ascii="Verdana" w:hAnsi="Verdana"/>
          <w:color w:val="212121"/>
          <w:spacing w:val="5"/>
          <w:sz w:val="18"/>
          <w:szCs w:val="18"/>
        </w:rPr>
        <w:t>La calificación tributaria previa constituye un elemento probatorio relevante.</w:t>
      </w:r>
    </w:p>
    <w:p w14:paraId="3475AB23" w14:textId="37CEF23D" w:rsidR="0049025A" w:rsidRDefault="0049025A" w:rsidP="0049025A">
      <w:pPr>
        <w:numPr>
          <w:ilvl w:val="0"/>
          <w:numId w:val="43"/>
        </w:numPr>
        <w:jc w:val="both"/>
        <w:rPr>
          <w:rFonts w:ascii="Verdana" w:hAnsi="Verdana"/>
          <w:color w:val="212121"/>
          <w:spacing w:val="5"/>
          <w:sz w:val="18"/>
          <w:szCs w:val="18"/>
        </w:rPr>
      </w:pPr>
      <w:r w:rsidRPr="0049025A">
        <w:rPr>
          <w:rFonts w:ascii="Verdana" w:hAnsi="Verdana"/>
          <w:color w:val="212121"/>
          <w:spacing w:val="5"/>
          <w:sz w:val="18"/>
          <w:szCs w:val="18"/>
        </w:rPr>
        <w:t xml:space="preserve">La actividad de promoción puede </w:t>
      </w:r>
      <w:r w:rsidR="00C539F2" w:rsidRPr="0049025A">
        <w:rPr>
          <w:rFonts w:ascii="Verdana" w:hAnsi="Verdana"/>
          <w:color w:val="212121"/>
          <w:spacing w:val="5"/>
          <w:sz w:val="18"/>
          <w:szCs w:val="18"/>
        </w:rPr>
        <w:t>mantenerse,</w:t>
      </w:r>
      <w:r w:rsidRPr="0049025A">
        <w:rPr>
          <w:rFonts w:ascii="Verdana" w:hAnsi="Verdana"/>
          <w:color w:val="212121"/>
          <w:spacing w:val="5"/>
          <w:sz w:val="18"/>
          <w:szCs w:val="18"/>
        </w:rPr>
        <w:t xml:space="preserve"> aunque existan períodos sin nuevas construcciones, si persiste la gestión de existencias y procesos urbanizadores.</w:t>
      </w:r>
    </w:p>
    <w:p w14:paraId="3C97F2E2" w14:textId="77777777" w:rsidR="00316B18" w:rsidRPr="0049025A" w:rsidRDefault="00316B18" w:rsidP="00316B18">
      <w:pPr>
        <w:ind w:left="720"/>
        <w:jc w:val="both"/>
        <w:rPr>
          <w:rFonts w:ascii="Verdana" w:hAnsi="Verdana"/>
          <w:color w:val="212121"/>
          <w:spacing w:val="5"/>
          <w:sz w:val="18"/>
          <w:szCs w:val="18"/>
        </w:rPr>
      </w:pPr>
    </w:p>
    <w:p w14:paraId="213326C6" w14:textId="6C86DAED"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Se reafirma una interpretación material y no meramente formal</w:t>
      </w:r>
      <w:r w:rsidRPr="0049025A">
        <w:rPr>
          <w:rFonts w:ascii="Verdana" w:hAnsi="Verdana"/>
          <w:color w:val="212121"/>
          <w:spacing w:val="5"/>
          <w:sz w:val="18"/>
          <w:szCs w:val="18"/>
        </w:rPr>
        <w:t xml:space="preserve"> del concepto de actividad económica.</w:t>
      </w:r>
    </w:p>
    <w:p w14:paraId="4263313A"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32D40743">
          <v:rect id="_x0000_i1042" style="width:0;height:1.5pt" o:hralign="center" o:hrstd="t" o:hr="t" fillcolor="#a0a0a0" stroked="f"/>
        </w:pict>
      </w:r>
    </w:p>
    <w:p w14:paraId="726459DB" w14:textId="0C89AB70"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Arrendamiento y contrataci</w:t>
      </w:r>
      <w:r w:rsidRPr="0049025A">
        <w:rPr>
          <w:rFonts w:ascii="Verdana" w:hAnsi="Verdana" w:cs="Verdana"/>
          <w:b/>
          <w:bCs/>
          <w:color w:val="212121"/>
          <w:spacing w:val="5"/>
          <w:sz w:val="18"/>
          <w:szCs w:val="18"/>
        </w:rPr>
        <w:t>ó</w:t>
      </w:r>
      <w:r w:rsidRPr="0049025A">
        <w:rPr>
          <w:rFonts w:ascii="Verdana" w:hAnsi="Verdana"/>
          <w:b/>
          <w:bCs/>
          <w:color w:val="212121"/>
          <w:spacing w:val="5"/>
          <w:sz w:val="18"/>
          <w:szCs w:val="18"/>
        </w:rPr>
        <w:t>n de familiar</w:t>
      </w:r>
    </w:p>
    <w:p w14:paraId="0ED813F5" w14:textId="77777777" w:rsid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Inspección rechazó la validez del contrato laboral con la esposa del socio mayoritario por entender que debía considerarse relación mercantil.</w:t>
      </w:r>
    </w:p>
    <w:p w14:paraId="68224DED" w14:textId="77777777" w:rsidR="00316B18" w:rsidRPr="0049025A" w:rsidRDefault="00316B18" w:rsidP="0049025A">
      <w:pPr>
        <w:ind w:left="284"/>
        <w:jc w:val="both"/>
        <w:rPr>
          <w:rFonts w:ascii="Verdana" w:hAnsi="Verdana"/>
          <w:color w:val="212121"/>
          <w:spacing w:val="5"/>
          <w:sz w:val="18"/>
          <w:szCs w:val="18"/>
        </w:rPr>
      </w:pPr>
    </w:p>
    <w:p w14:paraId="128258FA"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El Tribunal aplica por analogía la doctrina reciente del Tribunal Supremo (STS 970/2025, rec. 4160/2023):</w:t>
      </w:r>
    </w:p>
    <w:p w14:paraId="2D9C206D" w14:textId="77777777" w:rsid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 xml:space="preserve">No puede rechazarse automáticamente el carácter laboral de un contrato </w:t>
      </w:r>
      <w:r w:rsidRPr="0049025A">
        <w:rPr>
          <w:rFonts w:ascii="Verdana" w:hAnsi="Verdana"/>
          <w:b/>
          <w:bCs/>
          <w:color w:val="212121"/>
          <w:spacing w:val="5"/>
          <w:sz w:val="18"/>
          <w:szCs w:val="18"/>
        </w:rPr>
        <w:t>por el mero hecho de existir vinculación societaria o familiar</w:t>
      </w:r>
      <w:r w:rsidRPr="0049025A">
        <w:rPr>
          <w:rFonts w:ascii="Verdana" w:hAnsi="Verdana"/>
          <w:color w:val="212121"/>
          <w:spacing w:val="5"/>
          <w:sz w:val="18"/>
          <w:szCs w:val="18"/>
        </w:rPr>
        <w:t>.</w:t>
      </w:r>
    </w:p>
    <w:p w14:paraId="32B9C277" w14:textId="77777777" w:rsidR="00316B18" w:rsidRPr="0049025A" w:rsidRDefault="00316B18" w:rsidP="0049025A">
      <w:pPr>
        <w:ind w:left="284"/>
        <w:jc w:val="both"/>
        <w:rPr>
          <w:rFonts w:ascii="Verdana" w:hAnsi="Verdana"/>
          <w:color w:val="212121"/>
          <w:spacing w:val="5"/>
          <w:sz w:val="18"/>
          <w:szCs w:val="18"/>
        </w:rPr>
      </w:pPr>
    </w:p>
    <w:p w14:paraId="5994B283" w14:textId="4E46732E" w:rsidR="0049025A" w:rsidRPr="0049025A" w:rsidRDefault="00316B18" w:rsidP="0049025A">
      <w:pPr>
        <w:ind w:left="284"/>
        <w:jc w:val="both"/>
        <w:rPr>
          <w:rFonts w:ascii="Verdana" w:hAnsi="Verdana"/>
          <w:color w:val="212121"/>
          <w:spacing w:val="5"/>
          <w:sz w:val="18"/>
          <w:szCs w:val="18"/>
        </w:rPr>
      </w:pPr>
      <w:r>
        <w:rPr>
          <w:rFonts w:ascii="Verdana" w:hAnsi="Verdana"/>
          <w:b/>
          <w:bCs/>
          <w:color w:val="212121"/>
          <w:spacing w:val="5"/>
          <w:sz w:val="18"/>
          <w:szCs w:val="18"/>
        </w:rPr>
        <w:t>I</w:t>
      </w:r>
      <w:r w:rsidR="0049025A" w:rsidRPr="0049025A">
        <w:rPr>
          <w:rFonts w:ascii="Verdana" w:hAnsi="Verdana"/>
          <w:b/>
          <w:bCs/>
          <w:color w:val="212121"/>
          <w:spacing w:val="5"/>
          <w:sz w:val="18"/>
          <w:szCs w:val="18"/>
        </w:rPr>
        <w:t>mplicaciones técnicas:</w:t>
      </w:r>
    </w:p>
    <w:p w14:paraId="38913F48" w14:textId="77777777" w:rsidR="0049025A" w:rsidRPr="0049025A" w:rsidRDefault="0049025A" w:rsidP="0049025A">
      <w:pPr>
        <w:numPr>
          <w:ilvl w:val="0"/>
          <w:numId w:val="44"/>
        </w:numPr>
        <w:jc w:val="both"/>
        <w:rPr>
          <w:rFonts w:ascii="Verdana" w:hAnsi="Verdana"/>
          <w:color w:val="212121"/>
          <w:spacing w:val="5"/>
          <w:sz w:val="18"/>
          <w:szCs w:val="18"/>
        </w:rPr>
      </w:pPr>
      <w:r w:rsidRPr="0049025A">
        <w:rPr>
          <w:rFonts w:ascii="Verdana" w:hAnsi="Verdana"/>
          <w:color w:val="212121"/>
          <w:spacing w:val="5"/>
          <w:sz w:val="18"/>
          <w:szCs w:val="18"/>
        </w:rPr>
        <w:t>La Administración no puede desvirtuar “a limine” un contrato laboral formalmente válido.</w:t>
      </w:r>
    </w:p>
    <w:p w14:paraId="37357204" w14:textId="77777777" w:rsidR="0049025A" w:rsidRPr="0049025A" w:rsidRDefault="0049025A" w:rsidP="0049025A">
      <w:pPr>
        <w:numPr>
          <w:ilvl w:val="0"/>
          <w:numId w:val="44"/>
        </w:numPr>
        <w:jc w:val="both"/>
        <w:rPr>
          <w:rFonts w:ascii="Verdana" w:hAnsi="Verdana"/>
          <w:color w:val="212121"/>
          <w:spacing w:val="5"/>
          <w:sz w:val="18"/>
          <w:szCs w:val="18"/>
        </w:rPr>
      </w:pPr>
      <w:r w:rsidRPr="0049025A">
        <w:rPr>
          <w:rFonts w:ascii="Verdana" w:hAnsi="Verdana"/>
          <w:color w:val="212121"/>
          <w:spacing w:val="5"/>
          <w:sz w:val="18"/>
          <w:szCs w:val="18"/>
        </w:rPr>
        <w:t>La carga probatoria de acreditar simulación o inexistencia de relación laboral corresponde a la Administración.</w:t>
      </w:r>
    </w:p>
    <w:p w14:paraId="26E40AF0" w14:textId="6D7740AB" w:rsidR="00316B18" w:rsidRDefault="0049025A" w:rsidP="00316B18">
      <w:pPr>
        <w:numPr>
          <w:ilvl w:val="0"/>
          <w:numId w:val="44"/>
        </w:numPr>
        <w:jc w:val="both"/>
        <w:rPr>
          <w:rFonts w:ascii="Verdana" w:hAnsi="Verdana"/>
          <w:color w:val="212121"/>
          <w:spacing w:val="5"/>
          <w:sz w:val="18"/>
          <w:szCs w:val="18"/>
        </w:rPr>
      </w:pPr>
      <w:r w:rsidRPr="0049025A">
        <w:rPr>
          <w:rFonts w:ascii="Verdana" w:hAnsi="Verdana"/>
          <w:color w:val="212121"/>
          <w:spacing w:val="5"/>
          <w:sz w:val="18"/>
          <w:szCs w:val="18"/>
        </w:rPr>
        <w:t>La existencia de vínculo conyugal no determina automáticamente inclusión en RETA ni invalida la relación laboral.</w:t>
      </w:r>
    </w:p>
    <w:p w14:paraId="6BDA7A7D" w14:textId="77777777" w:rsidR="00316B18" w:rsidRPr="0049025A" w:rsidRDefault="00316B18" w:rsidP="00316B18">
      <w:pPr>
        <w:ind w:left="720"/>
        <w:jc w:val="both"/>
        <w:rPr>
          <w:rFonts w:ascii="Verdana" w:hAnsi="Verdana"/>
          <w:color w:val="212121"/>
          <w:spacing w:val="5"/>
          <w:sz w:val="18"/>
          <w:szCs w:val="18"/>
        </w:rPr>
      </w:pPr>
    </w:p>
    <w:p w14:paraId="49C2FCB4" w14:textId="3799F290"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Se consolida una línea jurisprudencial garantista frente a presunciones administrativas.</w:t>
      </w:r>
    </w:p>
    <w:p w14:paraId="58655DCE"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0B276524">
          <v:rect id="_x0000_i1043" style="width:0;height:1.5pt" o:hralign="center" o:hrstd="t" o:hr="t" fillcolor="#a0a0a0" stroked="f"/>
        </w:pict>
      </w:r>
    </w:p>
    <w:p w14:paraId="43CC8E90" w14:textId="27FB608C"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lastRenderedPageBreak/>
        <w:t>Requisito del 50% de remuneraci</w:t>
      </w:r>
      <w:r w:rsidRPr="0049025A">
        <w:rPr>
          <w:rFonts w:ascii="Verdana" w:hAnsi="Verdana" w:cs="Verdana"/>
          <w:b/>
          <w:bCs/>
          <w:color w:val="212121"/>
          <w:spacing w:val="5"/>
          <w:sz w:val="18"/>
          <w:szCs w:val="18"/>
        </w:rPr>
        <w:t>ó</w:t>
      </w:r>
      <w:r w:rsidRPr="0049025A">
        <w:rPr>
          <w:rFonts w:ascii="Verdana" w:hAnsi="Verdana"/>
          <w:b/>
          <w:bCs/>
          <w:color w:val="212121"/>
          <w:spacing w:val="5"/>
          <w:sz w:val="18"/>
          <w:szCs w:val="18"/>
        </w:rPr>
        <w:t>n: c</w:t>
      </w:r>
      <w:r w:rsidRPr="0049025A">
        <w:rPr>
          <w:rFonts w:ascii="Verdana" w:hAnsi="Verdana" w:cs="Verdana"/>
          <w:b/>
          <w:bCs/>
          <w:color w:val="212121"/>
          <w:spacing w:val="5"/>
          <w:sz w:val="18"/>
          <w:szCs w:val="18"/>
        </w:rPr>
        <w:t>ó</w:t>
      </w:r>
      <w:r w:rsidRPr="0049025A">
        <w:rPr>
          <w:rFonts w:ascii="Verdana" w:hAnsi="Verdana"/>
          <w:b/>
          <w:bCs/>
          <w:color w:val="212121"/>
          <w:spacing w:val="5"/>
          <w:sz w:val="18"/>
          <w:szCs w:val="18"/>
        </w:rPr>
        <w:t>mputo separado</w:t>
      </w:r>
    </w:p>
    <w:p w14:paraId="19860547"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El Tribunal recuerda la aplicación del artículo 5.2 RD 1704/1999:</w:t>
      </w:r>
    </w:p>
    <w:p w14:paraId="45853BE6" w14:textId="77777777" w:rsidR="0049025A" w:rsidRPr="0049025A" w:rsidRDefault="0049025A" w:rsidP="0049025A">
      <w:pPr>
        <w:numPr>
          <w:ilvl w:val="0"/>
          <w:numId w:val="45"/>
        </w:numPr>
        <w:jc w:val="both"/>
        <w:rPr>
          <w:rFonts w:ascii="Verdana" w:hAnsi="Verdana"/>
          <w:color w:val="212121"/>
          <w:spacing w:val="5"/>
          <w:sz w:val="18"/>
          <w:szCs w:val="18"/>
        </w:rPr>
      </w:pPr>
      <w:r w:rsidRPr="0049025A">
        <w:rPr>
          <w:rFonts w:ascii="Verdana" w:hAnsi="Verdana"/>
          <w:color w:val="212121"/>
          <w:spacing w:val="5"/>
          <w:sz w:val="18"/>
          <w:szCs w:val="18"/>
        </w:rPr>
        <w:t xml:space="preserve">El cálculo del porcentaje debe realizarse </w:t>
      </w:r>
      <w:r w:rsidRPr="0049025A">
        <w:rPr>
          <w:rFonts w:ascii="Verdana" w:hAnsi="Verdana"/>
          <w:b/>
          <w:bCs/>
          <w:color w:val="212121"/>
          <w:spacing w:val="5"/>
          <w:sz w:val="18"/>
          <w:szCs w:val="18"/>
        </w:rPr>
        <w:t>de forma individual para cada entidad</w:t>
      </w:r>
      <w:r w:rsidRPr="0049025A">
        <w:rPr>
          <w:rFonts w:ascii="Verdana" w:hAnsi="Verdana"/>
          <w:color w:val="212121"/>
          <w:spacing w:val="5"/>
          <w:sz w:val="18"/>
          <w:szCs w:val="18"/>
        </w:rPr>
        <w:t>.</w:t>
      </w:r>
    </w:p>
    <w:p w14:paraId="2357CEDB" w14:textId="77777777" w:rsidR="0049025A" w:rsidRPr="0049025A" w:rsidRDefault="0049025A" w:rsidP="0049025A">
      <w:pPr>
        <w:numPr>
          <w:ilvl w:val="0"/>
          <w:numId w:val="45"/>
        </w:numPr>
        <w:jc w:val="both"/>
        <w:rPr>
          <w:rFonts w:ascii="Verdana" w:hAnsi="Verdana"/>
          <w:color w:val="212121"/>
          <w:spacing w:val="5"/>
          <w:sz w:val="18"/>
          <w:szCs w:val="18"/>
        </w:rPr>
      </w:pPr>
      <w:r w:rsidRPr="0049025A">
        <w:rPr>
          <w:rFonts w:ascii="Verdana" w:hAnsi="Verdana"/>
          <w:color w:val="212121"/>
          <w:spacing w:val="5"/>
          <w:sz w:val="18"/>
          <w:szCs w:val="18"/>
        </w:rPr>
        <w:t>No se incluyen los rendimientos de otras entidades que también cumplan requisitos de exención.</w:t>
      </w:r>
    </w:p>
    <w:p w14:paraId="7AA77B66" w14:textId="77777777" w:rsidR="0049025A" w:rsidRDefault="0049025A" w:rsidP="0049025A">
      <w:pPr>
        <w:numPr>
          <w:ilvl w:val="0"/>
          <w:numId w:val="45"/>
        </w:numPr>
        <w:jc w:val="both"/>
        <w:rPr>
          <w:rFonts w:ascii="Verdana" w:hAnsi="Verdana"/>
          <w:color w:val="212121"/>
          <w:spacing w:val="5"/>
          <w:sz w:val="18"/>
          <w:szCs w:val="18"/>
        </w:rPr>
      </w:pPr>
      <w:r w:rsidRPr="0049025A">
        <w:rPr>
          <w:rFonts w:ascii="Verdana" w:hAnsi="Verdana"/>
          <w:color w:val="212121"/>
          <w:spacing w:val="5"/>
          <w:sz w:val="18"/>
          <w:szCs w:val="18"/>
        </w:rPr>
        <w:t>Tampoco deben computarse los rendimientos derivados de actividades cuyos bienes disfrutan de exención.</w:t>
      </w:r>
    </w:p>
    <w:p w14:paraId="1128E241" w14:textId="77777777" w:rsidR="00316B18" w:rsidRPr="0049025A" w:rsidRDefault="00316B18" w:rsidP="00316B18">
      <w:pPr>
        <w:ind w:left="720"/>
        <w:jc w:val="both"/>
        <w:rPr>
          <w:rFonts w:ascii="Verdana" w:hAnsi="Verdana"/>
          <w:color w:val="212121"/>
          <w:spacing w:val="5"/>
          <w:sz w:val="18"/>
          <w:szCs w:val="18"/>
        </w:rPr>
      </w:pPr>
    </w:p>
    <w:p w14:paraId="06360214" w14:textId="687C8325"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Consecuencia práctica relevante:</w:t>
      </w:r>
    </w:p>
    <w:p w14:paraId="60FA5CDB"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Si varias sociedades del grupo familiar desarrollan actividad económica, la remuneración percibida en cada una debe analizarse separadamente, evitando “contaminaciones cruzadas”.</w:t>
      </w:r>
    </w:p>
    <w:p w14:paraId="07A1B58F" w14:textId="77777777" w:rsidR="00316B18" w:rsidRDefault="00316B18" w:rsidP="0049025A">
      <w:pPr>
        <w:ind w:left="284"/>
        <w:jc w:val="both"/>
        <w:rPr>
          <w:rFonts w:ascii="Verdana" w:hAnsi="Verdana"/>
          <w:color w:val="212121"/>
          <w:spacing w:val="5"/>
          <w:sz w:val="18"/>
          <w:szCs w:val="18"/>
        </w:rPr>
      </w:pPr>
    </w:p>
    <w:p w14:paraId="7FC9221C" w14:textId="624EE485"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Este pronunciamiento resulta especialmente relevante para estructuras holding o grupos familiares diversificados</w:t>
      </w:r>
      <w:r w:rsidRPr="0049025A">
        <w:rPr>
          <w:rFonts w:ascii="Verdana" w:hAnsi="Verdana"/>
          <w:color w:val="212121"/>
          <w:spacing w:val="5"/>
          <w:sz w:val="18"/>
          <w:szCs w:val="18"/>
        </w:rPr>
        <w:t>.</w:t>
      </w:r>
    </w:p>
    <w:p w14:paraId="622E833B"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015FDAB7">
          <v:rect id="_x0000_i1044" style="width:0;height:1.5pt" o:hralign="center" o:hrstd="t" o:hr="t" fillcolor="#a0a0a0" stroked="f"/>
        </w:pict>
      </w:r>
    </w:p>
    <w:p w14:paraId="2D6D6067" w14:textId="61BEF05C"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 xml:space="preserve">Activos afectos: concepto de </w:t>
      </w:r>
      <w:r w:rsidRPr="0049025A">
        <w:rPr>
          <w:rFonts w:ascii="Verdana" w:hAnsi="Verdana" w:cs="Verdana"/>
          <w:b/>
          <w:bCs/>
          <w:color w:val="212121"/>
          <w:spacing w:val="5"/>
          <w:sz w:val="18"/>
          <w:szCs w:val="18"/>
        </w:rPr>
        <w:t>“</w:t>
      </w:r>
      <w:r w:rsidRPr="0049025A">
        <w:rPr>
          <w:rFonts w:ascii="Verdana" w:hAnsi="Verdana"/>
          <w:b/>
          <w:bCs/>
          <w:color w:val="212121"/>
          <w:spacing w:val="5"/>
          <w:sz w:val="18"/>
          <w:szCs w:val="18"/>
        </w:rPr>
        <w:t>necesariedad</w:t>
      </w:r>
      <w:r w:rsidRPr="0049025A">
        <w:rPr>
          <w:rFonts w:ascii="Verdana" w:hAnsi="Verdana" w:cs="Verdana"/>
          <w:b/>
          <w:bCs/>
          <w:color w:val="212121"/>
          <w:spacing w:val="5"/>
          <w:sz w:val="18"/>
          <w:szCs w:val="18"/>
        </w:rPr>
        <w:t>”</w:t>
      </w:r>
    </w:p>
    <w:p w14:paraId="58180D75"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En relación con la sociedad industrial del grupo (sector oleícola), la Inspección excluyó determinados activos:</w:t>
      </w:r>
    </w:p>
    <w:p w14:paraId="2DC92AA1" w14:textId="77777777" w:rsidR="0049025A" w:rsidRPr="0049025A" w:rsidRDefault="0049025A" w:rsidP="0049025A">
      <w:pPr>
        <w:numPr>
          <w:ilvl w:val="0"/>
          <w:numId w:val="46"/>
        </w:numPr>
        <w:jc w:val="both"/>
        <w:rPr>
          <w:rFonts w:ascii="Verdana" w:hAnsi="Verdana"/>
          <w:color w:val="212121"/>
          <w:spacing w:val="5"/>
          <w:sz w:val="18"/>
          <w:szCs w:val="18"/>
        </w:rPr>
      </w:pPr>
      <w:r w:rsidRPr="0049025A">
        <w:rPr>
          <w:rFonts w:ascii="Verdana" w:hAnsi="Verdana"/>
          <w:color w:val="212121"/>
          <w:spacing w:val="5"/>
          <w:sz w:val="18"/>
          <w:szCs w:val="18"/>
        </w:rPr>
        <w:t>Créditos a socio.</w:t>
      </w:r>
    </w:p>
    <w:p w14:paraId="19753643" w14:textId="77777777" w:rsidR="0049025A" w:rsidRPr="0049025A" w:rsidRDefault="0049025A" w:rsidP="0049025A">
      <w:pPr>
        <w:numPr>
          <w:ilvl w:val="0"/>
          <w:numId w:val="46"/>
        </w:numPr>
        <w:jc w:val="both"/>
        <w:rPr>
          <w:rFonts w:ascii="Verdana" w:hAnsi="Verdana"/>
          <w:color w:val="212121"/>
          <w:spacing w:val="5"/>
          <w:sz w:val="18"/>
          <w:szCs w:val="18"/>
        </w:rPr>
      </w:pPr>
      <w:r w:rsidRPr="0049025A">
        <w:rPr>
          <w:rFonts w:ascii="Verdana" w:hAnsi="Verdana"/>
          <w:color w:val="212121"/>
          <w:spacing w:val="5"/>
          <w:sz w:val="18"/>
          <w:szCs w:val="18"/>
        </w:rPr>
        <w:t>Créditos a sociedad participada.</w:t>
      </w:r>
    </w:p>
    <w:p w14:paraId="40AF5EAA" w14:textId="77777777" w:rsidR="0049025A" w:rsidRDefault="0049025A" w:rsidP="0049025A">
      <w:pPr>
        <w:numPr>
          <w:ilvl w:val="0"/>
          <w:numId w:val="46"/>
        </w:numPr>
        <w:jc w:val="both"/>
        <w:rPr>
          <w:rFonts w:ascii="Verdana" w:hAnsi="Verdana"/>
          <w:color w:val="212121"/>
          <w:spacing w:val="5"/>
          <w:sz w:val="18"/>
          <w:szCs w:val="18"/>
        </w:rPr>
      </w:pPr>
      <w:r w:rsidRPr="0049025A">
        <w:rPr>
          <w:rFonts w:ascii="Verdana" w:hAnsi="Verdana"/>
          <w:color w:val="212121"/>
          <w:spacing w:val="5"/>
          <w:sz w:val="18"/>
          <w:szCs w:val="18"/>
        </w:rPr>
        <w:t>Acciones en entidad financiera.</w:t>
      </w:r>
    </w:p>
    <w:p w14:paraId="315ABD1F" w14:textId="77777777" w:rsidR="00316B18" w:rsidRPr="0049025A" w:rsidRDefault="00316B18" w:rsidP="00316B18">
      <w:pPr>
        <w:ind w:left="720"/>
        <w:jc w:val="both"/>
        <w:rPr>
          <w:rFonts w:ascii="Verdana" w:hAnsi="Verdana"/>
          <w:color w:val="212121"/>
          <w:spacing w:val="5"/>
          <w:sz w:val="18"/>
          <w:szCs w:val="18"/>
        </w:rPr>
      </w:pPr>
    </w:p>
    <w:p w14:paraId="22CF6DAF"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El Tribunal:</w:t>
      </w:r>
    </w:p>
    <w:p w14:paraId="0AAFA8D2" w14:textId="77777777" w:rsidR="0049025A" w:rsidRDefault="0049025A" w:rsidP="0049025A">
      <w:pPr>
        <w:ind w:left="284"/>
        <w:jc w:val="both"/>
        <w:rPr>
          <w:rFonts w:ascii="Verdana" w:hAnsi="Verdana"/>
          <w:color w:val="212121"/>
          <w:spacing w:val="5"/>
          <w:sz w:val="18"/>
          <w:szCs w:val="18"/>
        </w:rPr>
      </w:pPr>
      <w:r w:rsidRPr="0049025A">
        <w:rPr>
          <w:rFonts w:ascii="Segoe UI Symbol" w:hAnsi="Segoe UI Symbol" w:cs="Segoe UI Symbol"/>
          <w:color w:val="212121"/>
          <w:spacing w:val="5"/>
          <w:sz w:val="18"/>
          <w:szCs w:val="18"/>
        </w:rPr>
        <w:t>✔</w:t>
      </w:r>
      <w:r w:rsidRPr="0049025A">
        <w:rPr>
          <w:rFonts w:ascii="Verdana" w:hAnsi="Verdana"/>
          <w:color w:val="212121"/>
          <w:spacing w:val="5"/>
          <w:sz w:val="18"/>
          <w:szCs w:val="18"/>
        </w:rPr>
        <w:t xml:space="preserve"> Incluye como activo afecto el cr</w:t>
      </w:r>
      <w:r w:rsidRPr="0049025A">
        <w:rPr>
          <w:rFonts w:ascii="Verdana" w:hAnsi="Verdana" w:cs="Verdana"/>
          <w:color w:val="212121"/>
          <w:spacing w:val="5"/>
          <w:sz w:val="18"/>
          <w:szCs w:val="18"/>
        </w:rPr>
        <w:t>é</w:t>
      </w:r>
      <w:r w:rsidRPr="0049025A">
        <w:rPr>
          <w:rFonts w:ascii="Verdana" w:hAnsi="Verdana"/>
          <w:color w:val="212121"/>
          <w:spacing w:val="5"/>
          <w:sz w:val="18"/>
          <w:szCs w:val="18"/>
        </w:rPr>
        <w:t>dito a otra sociedad del grupo que desarrolla actividad econ</w:t>
      </w:r>
      <w:r w:rsidRPr="0049025A">
        <w:rPr>
          <w:rFonts w:ascii="Verdana" w:hAnsi="Verdana" w:cs="Verdana"/>
          <w:color w:val="212121"/>
          <w:spacing w:val="5"/>
          <w:sz w:val="18"/>
          <w:szCs w:val="18"/>
        </w:rPr>
        <w:t>ó</w:t>
      </w:r>
      <w:r w:rsidRPr="0049025A">
        <w:rPr>
          <w:rFonts w:ascii="Verdana" w:hAnsi="Verdana"/>
          <w:color w:val="212121"/>
          <w:spacing w:val="5"/>
          <w:sz w:val="18"/>
          <w:szCs w:val="18"/>
        </w:rPr>
        <w:t>mica.</w:t>
      </w:r>
      <w:r w:rsidRPr="0049025A">
        <w:rPr>
          <w:rFonts w:ascii="Verdana" w:hAnsi="Verdana"/>
          <w:color w:val="212121"/>
          <w:spacing w:val="5"/>
          <w:sz w:val="18"/>
          <w:szCs w:val="18"/>
        </w:rPr>
        <w:br/>
      </w:r>
      <w:r w:rsidRPr="0049025A">
        <w:rPr>
          <w:rFonts w:ascii="Segoe UI Symbol" w:hAnsi="Segoe UI Symbol" w:cs="Segoe UI Symbol"/>
          <w:color w:val="212121"/>
          <w:spacing w:val="5"/>
          <w:sz w:val="18"/>
          <w:szCs w:val="18"/>
        </w:rPr>
        <w:t>✖</w:t>
      </w:r>
      <w:r w:rsidRPr="0049025A">
        <w:rPr>
          <w:rFonts w:ascii="Verdana" w:hAnsi="Verdana"/>
          <w:color w:val="212121"/>
          <w:spacing w:val="5"/>
          <w:sz w:val="18"/>
          <w:szCs w:val="18"/>
        </w:rPr>
        <w:t xml:space="preserve"> Mantiene la exclusi</w:t>
      </w:r>
      <w:r w:rsidRPr="0049025A">
        <w:rPr>
          <w:rFonts w:ascii="Verdana" w:hAnsi="Verdana" w:cs="Verdana"/>
          <w:color w:val="212121"/>
          <w:spacing w:val="5"/>
          <w:sz w:val="18"/>
          <w:szCs w:val="18"/>
        </w:rPr>
        <w:t>ó</w:t>
      </w:r>
      <w:r w:rsidRPr="0049025A">
        <w:rPr>
          <w:rFonts w:ascii="Verdana" w:hAnsi="Verdana"/>
          <w:color w:val="212121"/>
          <w:spacing w:val="5"/>
          <w:sz w:val="18"/>
          <w:szCs w:val="18"/>
        </w:rPr>
        <w:t>n del cr</w:t>
      </w:r>
      <w:r w:rsidRPr="0049025A">
        <w:rPr>
          <w:rFonts w:ascii="Verdana" w:hAnsi="Verdana" w:cs="Verdana"/>
          <w:color w:val="212121"/>
          <w:spacing w:val="5"/>
          <w:sz w:val="18"/>
          <w:szCs w:val="18"/>
        </w:rPr>
        <w:t>é</w:t>
      </w:r>
      <w:r w:rsidRPr="0049025A">
        <w:rPr>
          <w:rFonts w:ascii="Verdana" w:hAnsi="Verdana"/>
          <w:color w:val="212121"/>
          <w:spacing w:val="5"/>
          <w:sz w:val="18"/>
          <w:szCs w:val="18"/>
        </w:rPr>
        <w:t>dito personal al socio y de las acciones bancarias por falta de prueba de afectaci</w:t>
      </w:r>
      <w:r w:rsidRPr="0049025A">
        <w:rPr>
          <w:rFonts w:ascii="Verdana" w:hAnsi="Verdana" w:cs="Verdana"/>
          <w:color w:val="212121"/>
          <w:spacing w:val="5"/>
          <w:sz w:val="18"/>
          <w:szCs w:val="18"/>
        </w:rPr>
        <w:t>ó</w:t>
      </w:r>
      <w:r w:rsidRPr="0049025A">
        <w:rPr>
          <w:rFonts w:ascii="Verdana" w:hAnsi="Verdana"/>
          <w:color w:val="212121"/>
          <w:spacing w:val="5"/>
          <w:sz w:val="18"/>
          <w:szCs w:val="18"/>
        </w:rPr>
        <w:t>n.</w:t>
      </w:r>
    </w:p>
    <w:p w14:paraId="47445F31" w14:textId="77777777" w:rsidR="00316B18" w:rsidRPr="0049025A" w:rsidRDefault="00316B18" w:rsidP="0049025A">
      <w:pPr>
        <w:ind w:left="284"/>
        <w:jc w:val="both"/>
        <w:rPr>
          <w:rFonts w:ascii="Verdana" w:hAnsi="Verdana"/>
          <w:color w:val="212121"/>
          <w:spacing w:val="5"/>
          <w:sz w:val="18"/>
          <w:szCs w:val="18"/>
        </w:rPr>
      </w:pPr>
    </w:p>
    <w:p w14:paraId="0FEC3664" w14:textId="2504A668"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Elemento doctrinal relevante:</w:t>
      </w:r>
    </w:p>
    <w:p w14:paraId="73EF5359" w14:textId="77777777" w:rsid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Se enfatiza que la ley utiliza el término “activos necesarios”, lo que implica un estándar material de afectación.</w:t>
      </w:r>
    </w:p>
    <w:p w14:paraId="03B4AAA1" w14:textId="77777777" w:rsidR="00316B18" w:rsidRPr="0049025A" w:rsidRDefault="00316B18" w:rsidP="0049025A">
      <w:pPr>
        <w:ind w:left="284"/>
        <w:jc w:val="both"/>
        <w:rPr>
          <w:rFonts w:ascii="Verdana" w:hAnsi="Verdana"/>
          <w:color w:val="212121"/>
          <w:spacing w:val="5"/>
          <w:sz w:val="18"/>
          <w:szCs w:val="18"/>
        </w:rPr>
      </w:pPr>
    </w:p>
    <w:p w14:paraId="3F5D5FF0" w14:textId="4502A58D" w:rsidR="0049025A" w:rsidRPr="0049025A" w:rsidRDefault="0049025A" w:rsidP="0049025A">
      <w:pPr>
        <w:ind w:left="284"/>
        <w:jc w:val="both"/>
        <w:rPr>
          <w:rFonts w:ascii="Verdana" w:hAnsi="Verdana"/>
          <w:color w:val="212121"/>
          <w:spacing w:val="5"/>
          <w:sz w:val="18"/>
          <w:szCs w:val="18"/>
        </w:rPr>
      </w:pPr>
      <w:r w:rsidRPr="0049025A">
        <w:rPr>
          <w:rFonts w:ascii="Verdana" w:hAnsi="Verdana"/>
          <w:b/>
          <w:bCs/>
          <w:color w:val="212121"/>
          <w:spacing w:val="5"/>
          <w:sz w:val="18"/>
          <w:szCs w:val="18"/>
        </w:rPr>
        <w:t>La carga probatoria recae en el contribuyente, quien debe acreditar la conexión funcional del activo con la actividad</w:t>
      </w:r>
      <w:r w:rsidRPr="0049025A">
        <w:rPr>
          <w:rFonts w:ascii="Verdana" w:hAnsi="Verdana"/>
          <w:color w:val="212121"/>
          <w:spacing w:val="5"/>
          <w:sz w:val="18"/>
          <w:szCs w:val="18"/>
        </w:rPr>
        <w:t>.</w:t>
      </w:r>
    </w:p>
    <w:p w14:paraId="7C365586"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555660A4">
          <v:rect id="_x0000_i1045" style="width:0;height:1.5pt" o:hralign="center" o:hrstd="t" o:hr="t" fillcolor="#a0a0a0" stroked="f"/>
        </w:pict>
      </w:r>
    </w:p>
    <w:p w14:paraId="4B7BDFA1" w14:textId="1195DB81"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Sanciones: desaparici</w:t>
      </w:r>
      <w:r w:rsidRPr="0049025A">
        <w:rPr>
          <w:rFonts w:ascii="Verdana" w:hAnsi="Verdana" w:cs="Verdana"/>
          <w:b/>
          <w:bCs/>
          <w:color w:val="212121"/>
          <w:spacing w:val="5"/>
          <w:sz w:val="18"/>
          <w:szCs w:val="18"/>
        </w:rPr>
        <w:t>ó</w:t>
      </w:r>
      <w:r w:rsidRPr="0049025A">
        <w:rPr>
          <w:rFonts w:ascii="Verdana" w:hAnsi="Verdana"/>
          <w:b/>
          <w:bCs/>
          <w:color w:val="212121"/>
          <w:spacing w:val="5"/>
          <w:sz w:val="18"/>
          <w:szCs w:val="18"/>
        </w:rPr>
        <w:t>n de culpabilidad</w:t>
      </w:r>
    </w:p>
    <w:p w14:paraId="6A3EF755"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Al estimarse sustancialmente el recurso:</w:t>
      </w:r>
    </w:p>
    <w:p w14:paraId="0CA35B89" w14:textId="77777777" w:rsidR="0049025A" w:rsidRPr="0049025A" w:rsidRDefault="0049025A" w:rsidP="0049025A">
      <w:pPr>
        <w:numPr>
          <w:ilvl w:val="0"/>
          <w:numId w:val="47"/>
        </w:numPr>
        <w:jc w:val="both"/>
        <w:rPr>
          <w:rFonts w:ascii="Verdana" w:hAnsi="Verdana"/>
          <w:color w:val="212121"/>
          <w:spacing w:val="5"/>
          <w:sz w:val="18"/>
          <w:szCs w:val="18"/>
        </w:rPr>
      </w:pPr>
      <w:r w:rsidRPr="0049025A">
        <w:rPr>
          <w:rFonts w:ascii="Verdana" w:hAnsi="Verdana"/>
          <w:color w:val="212121"/>
          <w:spacing w:val="5"/>
          <w:sz w:val="18"/>
          <w:szCs w:val="18"/>
        </w:rPr>
        <w:t>Se anulan las liquidaciones principales.</w:t>
      </w:r>
    </w:p>
    <w:p w14:paraId="71FB6092" w14:textId="77777777" w:rsidR="0049025A" w:rsidRPr="0049025A" w:rsidRDefault="0049025A" w:rsidP="0049025A">
      <w:pPr>
        <w:numPr>
          <w:ilvl w:val="0"/>
          <w:numId w:val="47"/>
        </w:numPr>
        <w:jc w:val="both"/>
        <w:rPr>
          <w:rFonts w:ascii="Verdana" w:hAnsi="Verdana"/>
          <w:color w:val="212121"/>
          <w:spacing w:val="5"/>
          <w:sz w:val="18"/>
          <w:szCs w:val="18"/>
        </w:rPr>
      </w:pPr>
      <w:r w:rsidRPr="0049025A">
        <w:rPr>
          <w:rFonts w:ascii="Verdana" w:hAnsi="Verdana"/>
          <w:color w:val="212121"/>
          <w:spacing w:val="5"/>
          <w:sz w:val="18"/>
          <w:szCs w:val="18"/>
        </w:rPr>
        <w:t>Decaen automáticamente las sanciones.</w:t>
      </w:r>
    </w:p>
    <w:p w14:paraId="0E6E1DF0" w14:textId="77777777" w:rsidR="00316B18" w:rsidRDefault="00316B18" w:rsidP="0049025A">
      <w:pPr>
        <w:ind w:left="284"/>
        <w:jc w:val="both"/>
        <w:rPr>
          <w:rFonts w:ascii="Verdana" w:hAnsi="Verdana"/>
          <w:color w:val="212121"/>
          <w:spacing w:val="5"/>
          <w:sz w:val="18"/>
          <w:szCs w:val="18"/>
        </w:rPr>
      </w:pPr>
    </w:p>
    <w:p w14:paraId="53B4BE05" w14:textId="06232C7B"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sentencia refuerza la idea de que la discrepancia interpretativa razonable en materia de empresa familiar excluye culpabilidad.</w:t>
      </w:r>
    </w:p>
    <w:p w14:paraId="57EA9EC1"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6DC65C54">
          <v:rect id="_x0000_i1046" style="width:0;height:1.5pt" o:hralign="center" o:hrstd="t" o:hr="t" fillcolor="#a0a0a0" stroked="f"/>
        </w:pict>
      </w:r>
    </w:p>
    <w:p w14:paraId="5ED94341" w14:textId="77777777"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IV. Impacto práctico para planificación patrimonial</w:t>
      </w:r>
    </w:p>
    <w:p w14:paraId="4FF5F917" w14:textId="77777777" w:rsidR="0049025A" w:rsidRPr="0049025A" w:rsidRDefault="0049025A" w:rsidP="0049025A">
      <w:pPr>
        <w:ind w:left="284"/>
        <w:jc w:val="both"/>
        <w:rPr>
          <w:rFonts w:ascii="Verdana" w:hAnsi="Verdana"/>
          <w:b/>
          <w:bCs/>
          <w:color w:val="212121"/>
          <w:spacing w:val="5"/>
          <w:sz w:val="18"/>
          <w:szCs w:val="18"/>
        </w:rPr>
      </w:pPr>
      <w:r w:rsidRPr="0049025A">
        <w:rPr>
          <w:rFonts w:ascii="Segoe UI Emoji" w:hAnsi="Segoe UI Emoji" w:cs="Segoe UI Emoji"/>
          <w:b/>
          <w:bCs/>
          <w:color w:val="212121"/>
          <w:spacing w:val="5"/>
          <w:sz w:val="18"/>
          <w:szCs w:val="18"/>
        </w:rPr>
        <w:t>🔹</w:t>
      </w:r>
      <w:r w:rsidRPr="0049025A">
        <w:rPr>
          <w:rFonts w:ascii="Verdana" w:hAnsi="Verdana"/>
          <w:b/>
          <w:bCs/>
          <w:color w:val="212121"/>
          <w:spacing w:val="5"/>
          <w:sz w:val="18"/>
          <w:szCs w:val="18"/>
        </w:rPr>
        <w:t xml:space="preserve"> 1. Seguridad jurídica en grupos familiares</w:t>
      </w:r>
    </w:p>
    <w:p w14:paraId="2A61D773" w14:textId="77777777" w:rsidR="0049025A" w:rsidRDefault="0049025A" w:rsidP="00316B18">
      <w:pPr>
        <w:ind w:left="567"/>
        <w:jc w:val="both"/>
        <w:rPr>
          <w:rFonts w:ascii="Verdana" w:hAnsi="Verdana"/>
          <w:color w:val="212121"/>
          <w:spacing w:val="5"/>
          <w:sz w:val="18"/>
          <w:szCs w:val="18"/>
        </w:rPr>
      </w:pPr>
      <w:r w:rsidRPr="0049025A">
        <w:rPr>
          <w:rFonts w:ascii="Verdana" w:hAnsi="Verdana"/>
          <w:color w:val="212121"/>
          <w:spacing w:val="5"/>
          <w:sz w:val="18"/>
          <w:szCs w:val="18"/>
        </w:rPr>
        <w:t>La sentencia protege estructuras empresariales reales frente a interpretaciones excesivamente formalistas.</w:t>
      </w:r>
    </w:p>
    <w:p w14:paraId="0778C3C4" w14:textId="77777777" w:rsidR="00110EA2" w:rsidRPr="0049025A" w:rsidRDefault="00110EA2" w:rsidP="00316B18">
      <w:pPr>
        <w:ind w:left="567"/>
        <w:jc w:val="both"/>
        <w:rPr>
          <w:rFonts w:ascii="Verdana" w:hAnsi="Verdana"/>
          <w:color w:val="212121"/>
          <w:spacing w:val="5"/>
          <w:sz w:val="18"/>
          <w:szCs w:val="18"/>
        </w:rPr>
      </w:pPr>
    </w:p>
    <w:p w14:paraId="0693266E" w14:textId="77777777" w:rsidR="0049025A" w:rsidRPr="0049025A" w:rsidRDefault="0049025A" w:rsidP="0049025A">
      <w:pPr>
        <w:ind w:left="284"/>
        <w:jc w:val="both"/>
        <w:rPr>
          <w:rFonts w:ascii="Verdana" w:hAnsi="Verdana"/>
          <w:b/>
          <w:bCs/>
          <w:color w:val="212121"/>
          <w:spacing w:val="5"/>
          <w:sz w:val="18"/>
          <w:szCs w:val="18"/>
        </w:rPr>
      </w:pPr>
      <w:r w:rsidRPr="0049025A">
        <w:rPr>
          <w:rFonts w:ascii="Segoe UI Emoji" w:hAnsi="Segoe UI Emoji" w:cs="Segoe UI Emoji"/>
          <w:b/>
          <w:bCs/>
          <w:color w:val="212121"/>
          <w:spacing w:val="5"/>
          <w:sz w:val="18"/>
          <w:szCs w:val="18"/>
        </w:rPr>
        <w:t>🔹</w:t>
      </w:r>
      <w:r w:rsidRPr="0049025A">
        <w:rPr>
          <w:rFonts w:ascii="Verdana" w:hAnsi="Verdana"/>
          <w:b/>
          <w:bCs/>
          <w:color w:val="212121"/>
          <w:spacing w:val="5"/>
          <w:sz w:val="18"/>
          <w:szCs w:val="18"/>
        </w:rPr>
        <w:t xml:space="preserve"> 2. Importancia de la coherencia intertributaria</w:t>
      </w:r>
    </w:p>
    <w:p w14:paraId="563600A8" w14:textId="77777777" w:rsidR="0049025A" w:rsidRDefault="0049025A" w:rsidP="00316B18">
      <w:pPr>
        <w:ind w:left="567"/>
        <w:jc w:val="both"/>
        <w:rPr>
          <w:rFonts w:ascii="Verdana" w:hAnsi="Verdana"/>
          <w:color w:val="212121"/>
          <w:spacing w:val="5"/>
          <w:sz w:val="18"/>
          <w:szCs w:val="18"/>
        </w:rPr>
      </w:pPr>
      <w:r w:rsidRPr="0049025A">
        <w:rPr>
          <w:rFonts w:ascii="Verdana" w:hAnsi="Verdana"/>
          <w:color w:val="212121"/>
          <w:spacing w:val="5"/>
          <w:sz w:val="18"/>
          <w:szCs w:val="18"/>
        </w:rPr>
        <w:t>La calificación de actividad económica en IRPF puede proyectarse en IP.</w:t>
      </w:r>
    </w:p>
    <w:p w14:paraId="3B0DA965" w14:textId="77777777" w:rsidR="00316B18" w:rsidRPr="0049025A" w:rsidRDefault="00316B18" w:rsidP="00316B18">
      <w:pPr>
        <w:ind w:left="567"/>
        <w:jc w:val="both"/>
        <w:rPr>
          <w:rFonts w:ascii="Verdana" w:hAnsi="Verdana"/>
          <w:color w:val="212121"/>
          <w:spacing w:val="5"/>
          <w:sz w:val="18"/>
          <w:szCs w:val="18"/>
        </w:rPr>
      </w:pPr>
    </w:p>
    <w:p w14:paraId="70C41DCC" w14:textId="77777777" w:rsidR="0049025A" w:rsidRPr="0049025A" w:rsidRDefault="0049025A" w:rsidP="0049025A">
      <w:pPr>
        <w:ind w:left="284"/>
        <w:jc w:val="both"/>
        <w:rPr>
          <w:rFonts w:ascii="Verdana" w:hAnsi="Verdana"/>
          <w:b/>
          <w:bCs/>
          <w:color w:val="212121"/>
          <w:spacing w:val="5"/>
          <w:sz w:val="18"/>
          <w:szCs w:val="18"/>
        </w:rPr>
      </w:pPr>
      <w:r w:rsidRPr="0049025A">
        <w:rPr>
          <w:rFonts w:ascii="Segoe UI Emoji" w:hAnsi="Segoe UI Emoji" w:cs="Segoe UI Emoji"/>
          <w:b/>
          <w:bCs/>
          <w:color w:val="212121"/>
          <w:spacing w:val="5"/>
          <w:sz w:val="18"/>
          <w:szCs w:val="18"/>
        </w:rPr>
        <w:t>🔹</w:t>
      </w:r>
      <w:r w:rsidRPr="0049025A">
        <w:rPr>
          <w:rFonts w:ascii="Verdana" w:hAnsi="Verdana"/>
          <w:b/>
          <w:bCs/>
          <w:color w:val="212121"/>
          <w:spacing w:val="5"/>
          <w:sz w:val="18"/>
          <w:szCs w:val="18"/>
        </w:rPr>
        <w:t xml:space="preserve"> 3. Gestión documental preventiva</w:t>
      </w:r>
    </w:p>
    <w:p w14:paraId="2EB8031C"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Recomendaciones prácticas:</w:t>
      </w:r>
    </w:p>
    <w:p w14:paraId="645C2781" w14:textId="77777777" w:rsidR="0049025A" w:rsidRPr="0049025A" w:rsidRDefault="0049025A" w:rsidP="0049025A">
      <w:pPr>
        <w:numPr>
          <w:ilvl w:val="0"/>
          <w:numId w:val="48"/>
        </w:numPr>
        <w:jc w:val="both"/>
        <w:rPr>
          <w:rFonts w:ascii="Verdana" w:hAnsi="Verdana"/>
          <w:color w:val="212121"/>
          <w:spacing w:val="5"/>
          <w:sz w:val="18"/>
          <w:szCs w:val="18"/>
        </w:rPr>
      </w:pPr>
      <w:r w:rsidRPr="0049025A">
        <w:rPr>
          <w:rFonts w:ascii="Verdana" w:hAnsi="Verdana"/>
          <w:color w:val="212121"/>
          <w:spacing w:val="5"/>
          <w:sz w:val="18"/>
          <w:szCs w:val="18"/>
        </w:rPr>
        <w:t>Mantener contratos laborales formalizados y documentación acreditativa de funciones.</w:t>
      </w:r>
    </w:p>
    <w:p w14:paraId="3E647401" w14:textId="77777777" w:rsidR="0049025A" w:rsidRPr="0049025A" w:rsidRDefault="0049025A" w:rsidP="0049025A">
      <w:pPr>
        <w:numPr>
          <w:ilvl w:val="0"/>
          <w:numId w:val="48"/>
        </w:numPr>
        <w:jc w:val="both"/>
        <w:rPr>
          <w:rFonts w:ascii="Verdana" w:hAnsi="Verdana"/>
          <w:color w:val="212121"/>
          <w:spacing w:val="5"/>
          <w:sz w:val="18"/>
          <w:szCs w:val="18"/>
        </w:rPr>
      </w:pPr>
      <w:r w:rsidRPr="0049025A">
        <w:rPr>
          <w:rFonts w:ascii="Verdana" w:hAnsi="Verdana"/>
          <w:color w:val="212121"/>
          <w:spacing w:val="5"/>
          <w:sz w:val="18"/>
          <w:szCs w:val="18"/>
        </w:rPr>
        <w:t>Justificar económicamente la existencia de créditos intragrupo.</w:t>
      </w:r>
    </w:p>
    <w:p w14:paraId="2EC312AC" w14:textId="77777777" w:rsidR="0049025A" w:rsidRDefault="0049025A" w:rsidP="0049025A">
      <w:pPr>
        <w:numPr>
          <w:ilvl w:val="0"/>
          <w:numId w:val="48"/>
        </w:numPr>
        <w:jc w:val="both"/>
        <w:rPr>
          <w:rFonts w:ascii="Verdana" w:hAnsi="Verdana"/>
          <w:color w:val="212121"/>
          <w:spacing w:val="5"/>
          <w:sz w:val="18"/>
          <w:szCs w:val="18"/>
        </w:rPr>
      </w:pPr>
      <w:r w:rsidRPr="0049025A">
        <w:rPr>
          <w:rFonts w:ascii="Verdana" w:hAnsi="Verdana"/>
          <w:color w:val="212121"/>
          <w:spacing w:val="5"/>
          <w:sz w:val="18"/>
          <w:szCs w:val="18"/>
        </w:rPr>
        <w:t>Documentar la afectación de inversiones financieras cuando se alegue su necesariedad.</w:t>
      </w:r>
    </w:p>
    <w:p w14:paraId="275A82C2" w14:textId="77777777" w:rsidR="00316B18" w:rsidRPr="0049025A" w:rsidRDefault="00316B18" w:rsidP="00316B18">
      <w:pPr>
        <w:ind w:left="720"/>
        <w:jc w:val="both"/>
        <w:rPr>
          <w:rFonts w:ascii="Verdana" w:hAnsi="Verdana"/>
          <w:color w:val="212121"/>
          <w:spacing w:val="5"/>
          <w:sz w:val="18"/>
          <w:szCs w:val="18"/>
        </w:rPr>
      </w:pPr>
    </w:p>
    <w:p w14:paraId="0CB00ED4" w14:textId="77777777" w:rsidR="0049025A" w:rsidRPr="0049025A" w:rsidRDefault="0049025A" w:rsidP="0049025A">
      <w:pPr>
        <w:ind w:left="284"/>
        <w:jc w:val="both"/>
        <w:rPr>
          <w:rFonts w:ascii="Verdana" w:hAnsi="Verdana"/>
          <w:b/>
          <w:bCs/>
          <w:color w:val="212121"/>
          <w:spacing w:val="5"/>
          <w:sz w:val="18"/>
          <w:szCs w:val="18"/>
        </w:rPr>
      </w:pPr>
      <w:r w:rsidRPr="0049025A">
        <w:rPr>
          <w:rFonts w:ascii="Segoe UI Emoji" w:hAnsi="Segoe UI Emoji" w:cs="Segoe UI Emoji"/>
          <w:b/>
          <w:bCs/>
          <w:color w:val="212121"/>
          <w:spacing w:val="5"/>
          <w:sz w:val="18"/>
          <w:szCs w:val="18"/>
        </w:rPr>
        <w:t>🔹</w:t>
      </w:r>
      <w:r w:rsidRPr="0049025A">
        <w:rPr>
          <w:rFonts w:ascii="Verdana" w:hAnsi="Verdana"/>
          <w:b/>
          <w:bCs/>
          <w:color w:val="212121"/>
          <w:spacing w:val="5"/>
          <w:sz w:val="18"/>
          <w:szCs w:val="18"/>
        </w:rPr>
        <w:t xml:space="preserve"> 4. Cómputo estratégico de retribuciones</w:t>
      </w:r>
    </w:p>
    <w:p w14:paraId="59359349"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lastRenderedPageBreak/>
        <w:t>En grupos con varias sociedades:</w:t>
      </w:r>
    </w:p>
    <w:p w14:paraId="7760412A" w14:textId="77777777" w:rsidR="0049025A" w:rsidRPr="0049025A" w:rsidRDefault="0049025A" w:rsidP="0049025A">
      <w:pPr>
        <w:numPr>
          <w:ilvl w:val="0"/>
          <w:numId w:val="49"/>
        </w:numPr>
        <w:jc w:val="both"/>
        <w:rPr>
          <w:rFonts w:ascii="Verdana" w:hAnsi="Verdana"/>
          <w:color w:val="212121"/>
          <w:spacing w:val="5"/>
          <w:sz w:val="18"/>
          <w:szCs w:val="18"/>
        </w:rPr>
      </w:pPr>
      <w:r w:rsidRPr="0049025A">
        <w:rPr>
          <w:rFonts w:ascii="Verdana" w:hAnsi="Verdana"/>
          <w:color w:val="212121"/>
          <w:spacing w:val="5"/>
          <w:sz w:val="18"/>
          <w:szCs w:val="18"/>
        </w:rPr>
        <w:t>Conviene analizar separadamente la remuneración en cada entidad.</w:t>
      </w:r>
    </w:p>
    <w:p w14:paraId="42B0ECCE" w14:textId="77777777" w:rsidR="0049025A" w:rsidRDefault="0049025A" w:rsidP="0049025A">
      <w:pPr>
        <w:numPr>
          <w:ilvl w:val="0"/>
          <w:numId w:val="49"/>
        </w:numPr>
        <w:jc w:val="both"/>
        <w:rPr>
          <w:rFonts w:ascii="Verdana" w:hAnsi="Verdana"/>
          <w:color w:val="212121"/>
          <w:spacing w:val="5"/>
          <w:sz w:val="18"/>
          <w:szCs w:val="18"/>
        </w:rPr>
      </w:pPr>
      <w:r w:rsidRPr="0049025A">
        <w:rPr>
          <w:rFonts w:ascii="Verdana" w:hAnsi="Verdana"/>
          <w:color w:val="212121"/>
          <w:spacing w:val="5"/>
          <w:sz w:val="18"/>
          <w:szCs w:val="18"/>
        </w:rPr>
        <w:t>Evitar concentraciones que puedan distorsionar el requisito del 50%.</w:t>
      </w:r>
    </w:p>
    <w:p w14:paraId="1879811E" w14:textId="77777777" w:rsidR="0049025A" w:rsidRPr="0049025A" w:rsidRDefault="00000000" w:rsidP="0049025A">
      <w:pPr>
        <w:ind w:left="284"/>
        <w:jc w:val="both"/>
        <w:rPr>
          <w:rFonts w:ascii="Verdana" w:hAnsi="Verdana"/>
          <w:color w:val="212121"/>
          <w:spacing w:val="5"/>
          <w:sz w:val="18"/>
          <w:szCs w:val="18"/>
        </w:rPr>
      </w:pPr>
      <w:r>
        <w:rPr>
          <w:rFonts w:ascii="Verdana" w:hAnsi="Verdana"/>
          <w:color w:val="212121"/>
          <w:spacing w:val="5"/>
          <w:sz w:val="18"/>
          <w:szCs w:val="18"/>
        </w:rPr>
        <w:pict w14:anchorId="6DD0E545">
          <v:rect id="_x0000_i1047" style="width:0;height:1.5pt" o:hralign="center" o:hrstd="t" o:hr="t" fillcolor="#a0a0a0" stroked="f"/>
        </w:pict>
      </w:r>
    </w:p>
    <w:p w14:paraId="085B0D0E" w14:textId="77777777" w:rsidR="0049025A" w:rsidRPr="0049025A" w:rsidRDefault="0049025A" w:rsidP="0049025A">
      <w:pPr>
        <w:ind w:left="284"/>
        <w:jc w:val="both"/>
        <w:rPr>
          <w:rFonts w:ascii="Verdana" w:hAnsi="Verdana"/>
          <w:b/>
          <w:bCs/>
          <w:color w:val="212121"/>
          <w:spacing w:val="5"/>
          <w:sz w:val="18"/>
          <w:szCs w:val="18"/>
        </w:rPr>
      </w:pPr>
      <w:r w:rsidRPr="0049025A">
        <w:rPr>
          <w:rFonts w:ascii="Verdana" w:hAnsi="Verdana"/>
          <w:b/>
          <w:bCs/>
          <w:color w:val="212121"/>
          <w:spacing w:val="5"/>
          <w:sz w:val="18"/>
          <w:szCs w:val="18"/>
        </w:rPr>
        <w:t>V. Conclusión</w:t>
      </w:r>
    </w:p>
    <w:p w14:paraId="28108B8F" w14:textId="77777777"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La Sentencia 3953/2025 del TSJ de Cataluña consolida una interpretación sustantiva y coherente de la exención por empresa familiar en el Impuesto sobre el Patrimonio:</w:t>
      </w:r>
    </w:p>
    <w:p w14:paraId="1DC6ACA4" w14:textId="77777777" w:rsidR="0049025A" w:rsidRPr="0049025A" w:rsidRDefault="0049025A" w:rsidP="0049025A">
      <w:pPr>
        <w:numPr>
          <w:ilvl w:val="0"/>
          <w:numId w:val="50"/>
        </w:numPr>
        <w:jc w:val="both"/>
        <w:rPr>
          <w:rFonts w:ascii="Verdana" w:hAnsi="Verdana"/>
          <w:color w:val="212121"/>
          <w:spacing w:val="5"/>
          <w:sz w:val="18"/>
          <w:szCs w:val="18"/>
        </w:rPr>
      </w:pPr>
      <w:r w:rsidRPr="0049025A">
        <w:rPr>
          <w:rFonts w:ascii="Verdana" w:hAnsi="Verdana"/>
          <w:color w:val="212121"/>
          <w:spacing w:val="5"/>
          <w:sz w:val="18"/>
          <w:szCs w:val="18"/>
        </w:rPr>
        <w:t>Refuerza la protección de actividades económicas reales.</w:t>
      </w:r>
    </w:p>
    <w:p w14:paraId="69D9D230" w14:textId="77777777" w:rsidR="0049025A" w:rsidRPr="0049025A" w:rsidRDefault="0049025A" w:rsidP="0049025A">
      <w:pPr>
        <w:numPr>
          <w:ilvl w:val="0"/>
          <w:numId w:val="50"/>
        </w:numPr>
        <w:jc w:val="both"/>
        <w:rPr>
          <w:rFonts w:ascii="Verdana" w:hAnsi="Verdana"/>
          <w:color w:val="212121"/>
          <w:spacing w:val="5"/>
          <w:sz w:val="18"/>
          <w:szCs w:val="18"/>
        </w:rPr>
      </w:pPr>
      <w:r w:rsidRPr="0049025A">
        <w:rPr>
          <w:rFonts w:ascii="Verdana" w:hAnsi="Verdana"/>
          <w:color w:val="212121"/>
          <w:spacing w:val="5"/>
          <w:sz w:val="18"/>
          <w:szCs w:val="18"/>
        </w:rPr>
        <w:t>Limita la capacidad de la Administración para rechazar contratos laborales por mera vinculación familiar.</w:t>
      </w:r>
    </w:p>
    <w:p w14:paraId="646167A2" w14:textId="77777777" w:rsidR="0049025A" w:rsidRPr="0049025A" w:rsidRDefault="0049025A" w:rsidP="0049025A">
      <w:pPr>
        <w:numPr>
          <w:ilvl w:val="0"/>
          <w:numId w:val="50"/>
        </w:numPr>
        <w:jc w:val="both"/>
        <w:rPr>
          <w:rFonts w:ascii="Verdana" w:hAnsi="Verdana"/>
          <w:color w:val="212121"/>
          <w:spacing w:val="5"/>
          <w:sz w:val="18"/>
          <w:szCs w:val="18"/>
        </w:rPr>
      </w:pPr>
      <w:r w:rsidRPr="0049025A">
        <w:rPr>
          <w:rFonts w:ascii="Verdana" w:hAnsi="Verdana"/>
          <w:color w:val="212121"/>
          <w:spacing w:val="5"/>
          <w:sz w:val="18"/>
          <w:szCs w:val="18"/>
        </w:rPr>
        <w:t>Clarifica el cómputo del requisito de remuneración.</w:t>
      </w:r>
    </w:p>
    <w:p w14:paraId="07D196C9" w14:textId="77777777" w:rsidR="0049025A" w:rsidRPr="0049025A" w:rsidRDefault="0049025A" w:rsidP="0049025A">
      <w:pPr>
        <w:numPr>
          <w:ilvl w:val="0"/>
          <w:numId w:val="50"/>
        </w:numPr>
        <w:jc w:val="both"/>
        <w:rPr>
          <w:rFonts w:ascii="Verdana" w:hAnsi="Verdana"/>
          <w:color w:val="212121"/>
          <w:spacing w:val="5"/>
          <w:sz w:val="18"/>
          <w:szCs w:val="18"/>
        </w:rPr>
      </w:pPr>
      <w:r w:rsidRPr="0049025A">
        <w:rPr>
          <w:rFonts w:ascii="Verdana" w:hAnsi="Verdana"/>
          <w:color w:val="212121"/>
          <w:spacing w:val="5"/>
          <w:sz w:val="18"/>
          <w:szCs w:val="18"/>
        </w:rPr>
        <w:t>Exige prueba rigurosa para considerar activos como afectos.</w:t>
      </w:r>
    </w:p>
    <w:p w14:paraId="67F5A824" w14:textId="77777777" w:rsidR="00316B18" w:rsidRDefault="00316B18" w:rsidP="0049025A">
      <w:pPr>
        <w:ind w:left="284"/>
        <w:jc w:val="both"/>
        <w:rPr>
          <w:rFonts w:ascii="Verdana" w:hAnsi="Verdana"/>
          <w:color w:val="212121"/>
          <w:spacing w:val="5"/>
          <w:sz w:val="18"/>
          <w:szCs w:val="18"/>
        </w:rPr>
      </w:pPr>
    </w:p>
    <w:p w14:paraId="0E9243D6" w14:textId="56572364" w:rsidR="0049025A" w:rsidRPr="0049025A" w:rsidRDefault="0049025A" w:rsidP="0049025A">
      <w:pPr>
        <w:ind w:left="284"/>
        <w:jc w:val="both"/>
        <w:rPr>
          <w:rFonts w:ascii="Verdana" w:hAnsi="Verdana"/>
          <w:color w:val="212121"/>
          <w:spacing w:val="5"/>
          <w:sz w:val="18"/>
          <w:szCs w:val="18"/>
        </w:rPr>
      </w:pPr>
      <w:r w:rsidRPr="0049025A">
        <w:rPr>
          <w:rFonts w:ascii="Verdana" w:hAnsi="Verdana"/>
          <w:color w:val="212121"/>
          <w:spacing w:val="5"/>
          <w:sz w:val="18"/>
          <w:szCs w:val="18"/>
        </w:rPr>
        <w:t>Se trata de una resolución de gran interés para estructuras empresariales familiares con actividad inmobiliaria e industrial, especialmente en contextos de planificación patrimonial y sucesoria.</w:t>
      </w:r>
    </w:p>
    <w:p w14:paraId="4DC8D5A9" w14:textId="77777777" w:rsidR="00633FF3" w:rsidRDefault="00633FF3" w:rsidP="00347AC8">
      <w:pPr>
        <w:ind w:left="284"/>
        <w:jc w:val="both"/>
        <w:rPr>
          <w:rFonts w:ascii="Verdana" w:hAnsi="Verdana"/>
          <w:color w:val="212121"/>
          <w:spacing w:val="5"/>
          <w:sz w:val="18"/>
          <w:szCs w:val="18"/>
        </w:rPr>
      </w:pPr>
    </w:p>
    <w:p w14:paraId="5C6F6A0D" w14:textId="77777777" w:rsidR="005633EC" w:rsidRDefault="005633EC" w:rsidP="00347AC8">
      <w:pPr>
        <w:ind w:left="284"/>
        <w:jc w:val="both"/>
        <w:rPr>
          <w:rFonts w:ascii="Verdana" w:hAnsi="Verdana"/>
          <w:color w:val="212121"/>
          <w:spacing w:val="5"/>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633FF3" w:rsidRPr="00633FF3" w14:paraId="012BDD41" w14:textId="77777777" w:rsidTr="003B779C">
        <w:trPr>
          <w:trHeight w:val="272"/>
        </w:trPr>
        <w:tc>
          <w:tcPr>
            <w:tcW w:w="181" w:type="dxa"/>
            <w:shd w:val="clear" w:color="auto" w:fill="FF6600"/>
          </w:tcPr>
          <w:p w14:paraId="2CB9901C" w14:textId="77777777" w:rsidR="00633FF3" w:rsidRPr="00633FF3" w:rsidRDefault="00633FF3" w:rsidP="003B779C">
            <w:pPr>
              <w:pStyle w:val="Textoindependiente"/>
              <w:tabs>
                <w:tab w:val="clear" w:pos="360"/>
              </w:tabs>
              <w:jc w:val="left"/>
              <w:rPr>
                <w:rFonts w:ascii="Verdana" w:hAnsi="Verdana" w:cs="Verdana"/>
                <w:color w:val="800000"/>
                <w:sz w:val="18"/>
                <w:szCs w:val="18"/>
                <w:lang w:val="es-ES" w:eastAsia="es-ES"/>
              </w:rPr>
            </w:pPr>
            <w:bookmarkStart w:id="6" w:name="_Hlk222327121"/>
          </w:p>
        </w:tc>
        <w:tc>
          <w:tcPr>
            <w:tcW w:w="8533" w:type="dxa"/>
          </w:tcPr>
          <w:p w14:paraId="65DA423C" w14:textId="39446291" w:rsidR="00633FF3" w:rsidRPr="00633FF3" w:rsidRDefault="00633FF3" w:rsidP="003B779C">
            <w:pPr>
              <w:numPr>
                <w:ilvl w:val="0"/>
                <w:numId w:val="4"/>
              </w:numPr>
              <w:tabs>
                <w:tab w:val="clear" w:pos="502"/>
                <w:tab w:val="num" w:pos="317"/>
              </w:tabs>
              <w:ind w:left="317" w:hanging="283"/>
              <w:jc w:val="both"/>
              <w:rPr>
                <w:rFonts w:ascii="Verdana" w:hAnsi="Verdana" w:cs="Verdana"/>
                <w:b/>
                <w:bCs/>
                <w:color w:val="800000"/>
                <w:sz w:val="18"/>
                <w:szCs w:val="18"/>
              </w:rPr>
            </w:pPr>
            <w:r w:rsidRPr="00633FF3">
              <w:rPr>
                <w:rFonts w:ascii="Verdana" w:hAnsi="Verdana"/>
                <w:b/>
                <w:bCs/>
                <w:color w:val="800000"/>
                <w:sz w:val="18"/>
                <w:szCs w:val="18"/>
              </w:rPr>
              <w:t>ITP. EL TS DETERMINARÁ SI EL TIPO REDUCIDO DE ITP PARA LAS FAMILIAS NUMEROSAS RESULTA APLICABLE CUANDO EL HIJO DEL SUJETO PASIVO QUE ATRIBUIRÍA TAL CONDICIÓN A LA FAMILIA ESTÁ YA CONCEBIDO “NASCITURUS”</w:t>
            </w:r>
            <w:r w:rsidR="00463953">
              <w:rPr>
                <w:rFonts w:ascii="Verdana" w:hAnsi="Verdana"/>
                <w:b/>
                <w:bCs/>
                <w:color w:val="800000"/>
                <w:sz w:val="18"/>
                <w:szCs w:val="18"/>
              </w:rPr>
              <w:t xml:space="preserve"> </w:t>
            </w:r>
          </w:p>
        </w:tc>
      </w:tr>
      <w:bookmarkEnd w:id="6"/>
    </w:tbl>
    <w:p w14:paraId="4315C979" w14:textId="77777777" w:rsidR="00633FF3" w:rsidRDefault="00633FF3" w:rsidP="00347AC8">
      <w:pPr>
        <w:ind w:left="284"/>
        <w:jc w:val="both"/>
        <w:rPr>
          <w:rFonts w:ascii="Verdana" w:hAnsi="Verdana"/>
          <w:color w:val="212121"/>
          <w:spacing w:val="5"/>
          <w:sz w:val="18"/>
          <w:szCs w:val="18"/>
        </w:rPr>
      </w:pPr>
    </w:p>
    <w:p w14:paraId="055C8E12" w14:textId="77777777" w:rsidR="00633FF3" w:rsidRPr="00633FF3" w:rsidRDefault="00633FF3" w:rsidP="00633FF3">
      <w:pPr>
        <w:ind w:left="284"/>
        <w:jc w:val="both"/>
        <w:rPr>
          <w:rFonts w:ascii="Verdana" w:hAnsi="Verdana"/>
          <w:color w:val="212121"/>
          <w:spacing w:val="5"/>
          <w:sz w:val="18"/>
          <w:szCs w:val="18"/>
        </w:rPr>
      </w:pPr>
      <w:r w:rsidRPr="00633FF3">
        <w:rPr>
          <w:rFonts w:ascii="Verdana" w:hAnsi="Verdana"/>
          <w:b/>
          <w:bCs/>
          <w:color w:val="212121"/>
          <w:spacing w:val="5"/>
          <w:sz w:val="18"/>
          <w:szCs w:val="18"/>
        </w:rPr>
        <w:t>Tribunal Supremo – Auto de 14 de enero de 2026 (Rec. 8692/2024)</w:t>
      </w:r>
    </w:p>
    <w:p w14:paraId="4AC2F8A5" w14:textId="75B5E37C" w:rsidR="00633FF3" w:rsidRPr="00633FF3" w:rsidRDefault="00633FF3" w:rsidP="00633FF3">
      <w:pPr>
        <w:ind w:left="284"/>
        <w:jc w:val="both"/>
        <w:rPr>
          <w:rFonts w:ascii="Verdana" w:hAnsi="Verdana"/>
          <w:color w:val="212121"/>
          <w:spacing w:val="5"/>
          <w:sz w:val="18"/>
          <w:szCs w:val="18"/>
        </w:rPr>
      </w:pPr>
      <w:r w:rsidRPr="00633FF3">
        <w:rPr>
          <w:rFonts w:ascii="Verdana" w:hAnsi="Verdana"/>
          <w:color w:val="212121"/>
          <w:spacing w:val="5"/>
          <w:sz w:val="18"/>
          <w:szCs w:val="18"/>
        </w:rPr>
        <w:t xml:space="preserve">El Tribunal Supremo ha admitido a trámite un recurso de casación para determinar si puede aplicarse el </w:t>
      </w:r>
      <w:r w:rsidRPr="00633FF3">
        <w:rPr>
          <w:rFonts w:ascii="Verdana" w:hAnsi="Verdana"/>
          <w:b/>
          <w:bCs/>
          <w:color w:val="212121"/>
          <w:spacing w:val="5"/>
          <w:sz w:val="18"/>
          <w:szCs w:val="18"/>
        </w:rPr>
        <w:t>tipo reducido en el ITP</w:t>
      </w:r>
      <w:r w:rsidRPr="00633FF3">
        <w:rPr>
          <w:rFonts w:ascii="Verdana" w:hAnsi="Verdana"/>
          <w:color w:val="212121"/>
          <w:spacing w:val="5"/>
          <w:sz w:val="18"/>
          <w:szCs w:val="18"/>
        </w:rPr>
        <w:t xml:space="preserve"> por adquisición de vivienda habitual para familia numerosa cuando, en el momento del devengo, el tercer hijo estaba </w:t>
      </w:r>
      <w:r w:rsidR="00C539F2" w:rsidRPr="00633FF3">
        <w:rPr>
          <w:rFonts w:ascii="Verdana" w:hAnsi="Verdana"/>
          <w:color w:val="212121"/>
          <w:spacing w:val="5"/>
          <w:sz w:val="18"/>
          <w:szCs w:val="18"/>
        </w:rPr>
        <w:t>concebido,</w:t>
      </w:r>
      <w:r w:rsidRPr="00633FF3">
        <w:rPr>
          <w:rFonts w:ascii="Verdana" w:hAnsi="Verdana"/>
          <w:color w:val="212121"/>
          <w:spacing w:val="5"/>
          <w:sz w:val="18"/>
          <w:szCs w:val="18"/>
        </w:rPr>
        <w:t xml:space="preserve"> pero aún no había nacido.</w:t>
      </w:r>
    </w:p>
    <w:p w14:paraId="34C99CF2" w14:textId="77777777" w:rsidR="00633FF3" w:rsidRPr="00633FF3" w:rsidRDefault="00000000" w:rsidP="00633FF3">
      <w:pPr>
        <w:ind w:left="284"/>
        <w:jc w:val="both"/>
        <w:rPr>
          <w:rFonts w:ascii="Verdana" w:hAnsi="Verdana"/>
          <w:color w:val="212121"/>
          <w:spacing w:val="5"/>
          <w:sz w:val="18"/>
          <w:szCs w:val="18"/>
        </w:rPr>
      </w:pPr>
      <w:r>
        <w:rPr>
          <w:rFonts w:ascii="Verdana" w:hAnsi="Verdana"/>
          <w:color w:val="212121"/>
          <w:spacing w:val="5"/>
          <w:sz w:val="18"/>
          <w:szCs w:val="18"/>
        </w:rPr>
        <w:pict w14:anchorId="07D3D793">
          <v:rect id="_x0000_i1048" style="width:0;height:1.5pt" o:hralign="center" o:hrstd="t" o:hr="t" fillcolor="#a0a0a0" stroked="f"/>
        </w:pict>
      </w:r>
    </w:p>
    <w:p w14:paraId="3596C2F0" w14:textId="21E34B65" w:rsidR="00633FF3" w:rsidRPr="00633FF3" w:rsidRDefault="00633FF3" w:rsidP="00633FF3">
      <w:pPr>
        <w:ind w:left="284"/>
        <w:jc w:val="both"/>
        <w:rPr>
          <w:rFonts w:ascii="Verdana" w:hAnsi="Verdana"/>
          <w:b/>
          <w:bCs/>
          <w:color w:val="212121"/>
          <w:spacing w:val="5"/>
          <w:sz w:val="18"/>
          <w:szCs w:val="18"/>
        </w:rPr>
      </w:pPr>
      <w:r w:rsidRPr="00633FF3">
        <w:rPr>
          <w:rFonts w:ascii="Verdana" w:hAnsi="Verdana"/>
          <w:b/>
          <w:bCs/>
          <w:color w:val="212121"/>
          <w:spacing w:val="5"/>
          <w:sz w:val="18"/>
          <w:szCs w:val="18"/>
        </w:rPr>
        <w:t>Antecedentes</w:t>
      </w:r>
    </w:p>
    <w:p w14:paraId="73C12E8D" w14:textId="77777777" w:rsidR="00633FF3" w:rsidRPr="00633FF3" w:rsidRDefault="00633FF3" w:rsidP="00633FF3">
      <w:pPr>
        <w:numPr>
          <w:ilvl w:val="0"/>
          <w:numId w:val="56"/>
        </w:numPr>
        <w:jc w:val="both"/>
        <w:rPr>
          <w:rFonts w:ascii="Verdana" w:hAnsi="Verdana"/>
          <w:color w:val="212121"/>
          <w:spacing w:val="5"/>
          <w:sz w:val="18"/>
          <w:szCs w:val="18"/>
        </w:rPr>
      </w:pPr>
      <w:r w:rsidRPr="00633FF3">
        <w:rPr>
          <w:rFonts w:ascii="Verdana" w:hAnsi="Verdana"/>
          <w:color w:val="212121"/>
          <w:spacing w:val="5"/>
          <w:sz w:val="18"/>
          <w:szCs w:val="18"/>
        </w:rPr>
        <w:t>Un matrimonio adquirió vivienda en enero de 2019.</w:t>
      </w:r>
    </w:p>
    <w:p w14:paraId="5523CE5C" w14:textId="77777777" w:rsidR="00633FF3" w:rsidRPr="00633FF3" w:rsidRDefault="00633FF3" w:rsidP="00633FF3">
      <w:pPr>
        <w:numPr>
          <w:ilvl w:val="0"/>
          <w:numId w:val="56"/>
        </w:numPr>
        <w:jc w:val="both"/>
        <w:rPr>
          <w:rFonts w:ascii="Verdana" w:hAnsi="Verdana"/>
          <w:color w:val="212121"/>
          <w:spacing w:val="5"/>
          <w:sz w:val="18"/>
          <w:szCs w:val="18"/>
        </w:rPr>
      </w:pPr>
      <w:r w:rsidRPr="00633FF3">
        <w:rPr>
          <w:rFonts w:ascii="Verdana" w:hAnsi="Verdana"/>
          <w:color w:val="212121"/>
          <w:spacing w:val="5"/>
          <w:sz w:val="18"/>
          <w:szCs w:val="18"/>
        </w:rPr>
        <w:t xml:space="preserve">Tributaron por ITP al </w:t>
      </w:r>
      <w:r w:rsidRPr="00633FF3">
        <w:rPr>
          <w:rFonts w:ascii="Verdana" w:hAnsi="Verdana"/>
          <w:b/>
          <w:bCs/>
          <w:color w:val="212121"/>
          <w:spacing w:val="5"/>
          <w:sz w:val="18"/>
          <w:szCs w:val="18"/>
        </w:rPr>
        <w:t>6%</w:t>
      </w:r>
      <w:r w:rsidRPr="00633FF3">
        <w:rPr>
          <w:rFonts w:ascii="Verdana" w:hAnsi="Verdana"/>
          <w:color w:val="212121"/>
          <w:spacing w:val="5"/>
          <w:sz w:val="18"/>
          <w:szCs w:val="18"/>
        </w:rPr>
        <w:t>.</w:t>
      </w:r>
    </w:p>
    <w:p w14:paraId="59B07211" w14:textId="77777777" w:rsidR="00633FF3" w:rsidRPr="00633FF3" w:rsidRDefault="00633FF3" w:rsidP="00633FF3">
      <w:pPr>
        <w:numPr>
          <w:ilvl w:val="0"/>
          <w:numId w:val="56"/>
        </w:numPr>
        <w:jc w:val="both"/>
        <w:rPr>
          <w:rFonts w:ascii="Verdana" w:hAnsi="Verdana"/>
          <w:color w:val="212121"/>
          <w:spacing w:val="5"/>
          <w:sz w:val="18"/>
          <w:szCs w:val="18"/>
        </w:rPr>
      </w:pPr>
      <w:r w:rsidRPr="00633FF3">
        <w:rPr>
          <w:rFonts w:ascii="Verdana" w:hAnsi="Verdana"/>
          <w:color w:val="212121"/>
          <w:spacing w:val="5"/>
          <w:sz w:val="18"/>
          <w:szCs w:val="18"/>
        </w:rPr>
        <w:t xml:space="preserve">Posteriormente solicitaron la devolución de ingresos indebidos alegando que, en la fecha de la compra, la esposa estaba embarazada de su </w:t>
      </w:r>
      <w:r w:rsidRPr="00633FF3">
        <w:rPr>
          <w:rFonts w:ascii="Verdana" w:hAnsi="Verdana"/>
          <w:b/>
          <w:bCs/>
          <w:color w:val="212121"/>
          <w:spacing w:val="5"/>
          <w:sz w:val="18"/>
          <w:szCs w:val="18"/>
        </w:rPr>
        <w:t>tercer hijo</w:t>
      </w:r>
      <w:r w:rsidRPr="00633FF3">
        <w:rPr>
          <w:rFonts w:ascii="Verdana" w:hAnsi="Verdana"/>
          <w:color w:val="212121"/>
          <w:spacing w:val="5"/>
          <w:sz w:val="18"/>
          <w:szCs w:val="18"/>
        </w:rPr>
        <w:t>, que nació con vida meses después.</w:t>
      </w:r>
    </w:p>
    <w:p w14:paraId="6114DD6D" w14:textId="77777777" w:rsidR="00633FF3" w:rsidRPr="00633FF3" w:rsidRDefault="00633FF3" w:rsidP="00633FF3">
      <w:pPr>
        <w:numPr>
          <w:ilvl w:val="0"/>
          <w:numId w:val="56"/>
        </w:numPr>
        <w:jc w:val="both"/>
        <w:rPr>
          <w:rFonts w:ascii="Verdana" w:hAnsi="Verdana"/>
          <w:color w:val="212121"/>
          <w:spacing w:val="5"/>
          <w:sz w:val="18"/>
          <w:szCs w:val="18"/>
        </w:rPr>
      </w:pPr>
      <w:r w:rsidRPr="00633FF3">
        <w:rPr>
          <w:rFonts w:ascii="Verdana" w:hAnsi="Verdana"/>
          <w:color w:val="212121"/>
          <w:spacing w:val="5"/>
          <w:sz w:val="18"/>
          <w:szCs w:val="18"/>
        </w:rPr>
        <w:t xml:space="preserve">La Administración autonómica denegó el beneficio por no ostentar </w:t>
      </w:r>
      <w:r w:rsidRPr="00633FF3">
        <w:rPr>
          <w:rFonts w:ascii="Verdana" w:hAnsi="Verdana"/>
          <w:b/>
          <w:bCs/>
          <w:color w:val="212121"/>
          <w:spacing w:val="5"/>
          <w:sz w:val="18"/>
          <w:szCs w:val="18"/>
        </w:rPr>
        <w:t>formalmente</w:t>
      </w:r>
      <w:r w:rsidRPr="00633FF3">
        <w:rPr>
          <w:rFonts w:ascii="Verdana" w:hAnsi="Verdana"/>
          <w:color w:val="212121"/>
          <w:spacing w:val="5"/>
          <w:sz w:val="18"/>
          <w:szCs w:val="18"/>
        </w:rPr>
        <w:t xml:space="preserve"> la condición de familia numerosa en el momento del devengo.</w:t>
      </w:r>
    </w:p>
    <w:p w14:paraId="787F83F9" w14:textId="3D46B65C" w:rsidR="00633FF3" w:rsidRPr="00633FF3" w:rsidRDefault="00633FF3" w:rsidP="00633FF3">
      <w:pPr>
        <w:numPr>
          <w:ilvl w:val="0"/>
          <w:numId w:val="56"/>
        </w:numPr>
        <w:jc w:val="both"/>
        <w:rPr>
          <w:rFonts w:ascii="Verdana" w:hAnsi="Verdana"/>
          <w:color w:val="212121"/>
          <w:spacing w:val="5"/>
          <w:sz w:val="18"/>
          <w:szCs w:val="18"/>
        </w:rPr>
      </w:pPr>
      <w:r w:rsidRPr="00633FF3">
        <w:rPr>
          <w:rFonts w:ascii="Verdana" w:hAnsi="Verdana"/>
          <w:color w:val="212121"/>
          <w:spacing w:val="5"/>
          <w:sz w:val="18"/>
          <w:szCs w:val="18"/>
        </w:rPr>
        <w:t xml:space="preserve">El Tribunal Superior de Justicia de Madrid estimó el recurso de los contribuyentes, aplicando el artículo 29 del Código Civil (protección del </w:t>
      </w:r>
      <w:r w:rsidR="00463953">
        <w:rPr>
          <w:rFonts w:ascii="Verdana" w:hAnsi="Verdana"/>
          <w:color w:val="212121"/>
          <w:spacing w:val="5"/>
          <w:sz w:val="18"/>
          <w:szCs w:val="18"/>
        </w:rPr>
        <w:t>“</w:t>
      </w:r>
      <w:r w:rsidRPr="00633FF3">
        <w:rPr>
          <w:rFonts w:ascii="Verdana" w:hAnsi="Verdana"/>
          <w:i/>
          <w:iCs/>
          <w:color w:val="212121"/>
          <w:spacing w:val="5"/>
          <w:sz w:val="18"/>
          <w:szCs w:val="18"/>
        </w:rPr>
        <w:t>nasciturus</w:t>
      </w:r>
      <w:r w:rsidR="00463953">
        <w:rPr>
          <w:rFonts w:ascii="Verdana" w:hAnsi="Verdana"/>
          <w:i/>
          <w:iCs/>
          <w:color w:val="212121"/>
          <w:spacing w:val="5"/>
          <w:sz w:val="18"/>
          <w:szCs w:val="18"/>
        </w:rPr>
        <w:t xml:space="preserve">”, esto es, </w:t>
      </w:r>
      <w:r w:rsidR="00C539F2">
        <w:rPr>
          <w:rFonts w:ascii="Verdana" w:hAnsi="Verdana"/>
          <w:i/>
          <w:iCs/>
          <w:color w:val="212121"/>
          <w:spacing w:val="5"/>
          <w:sz w:val="18"/>
          <w:szCs w:val="18"/>
        </w:rPr>
        <w:t>concebido,</w:t>
      </w:r>
      <w:r w:rsidR="00463953">
        <w:rPr>
          <w:rFonts w:ascii="Verdana" w:hAnsi="Verdana"/>
          <w:i/>
          <w:iCs/>
          <w:color w:val="212121"/>
          <w:spacing w:val="5"/>
          <w:sz w:val="18"/>
          <w:szCs w:val="18"/>
        </w:rPr>
        <w:t xml:space="preserve"> pero no nacido</w:t>
      </w:r>
      <w:r w:rsidRPr="00633FF3">
        <w:rPr>
          <w:rFonts w:ascii="Verdana" w:hAnsi="Verdana"/>
          <w:color w:val="212121"/>
          <w:spacing w:val="5"/>
          <w:sz w:val="18"/>
          <w:szCs w:val="18"/>
        </w:rPr>
        <w:t>), entendiendo que debía considerarse nacido para efectos favorables.</w:t>
      </w:r>
    </w:p>
    <w:p w14:paraId="4EF6DE71" w14:textId="77777777" w:rsidR="00633FF3" w:rsidRPr="00633FF3" w:rsidRDefault="00000000" w:rsidP="00633FF3">
      <w:pPr>
        <w:ind w:left="284"/>
        <w:jc w:val="both"/>
        <w:rPr>
          <w:rFonts w:ascii="Verdana" w:hAnsi="Verdana"/>
          <w:color w:val="212121"/>
          <w:spacing w:val="5"/>
          <w:sz w:val="18"/>
          <w:szCs w:val="18"/>
        </w:rPr>
      </w:pPr>
      <w:r>
        <w:rPr>
          <w:rFonts w:ascii="Verdana" w:hAnsi="Verdana"/>
          <w:color w:val="212121"/>
          <w:spacing w:val="5"/>
          <w:sz w:val="18"/>
          <w:szCs w:val="18"/>
        </w:rPr>
        <w:pict w14:anchorId="6501C731">
          <v:rect id="_x0000_i1049" style="width:0;height:1.5pt" o:hralign="center" o:hrstd="t" o:hr="t" fillcolor="#a0a0a0" stroked="f"/>
        </w:pict>
      </w:r>
    </w:p>
    <w:p w14:paraId="6FC07FF9" w14:textId="707E529C" w:rsidR="00633FF3" w:rsidRPr="00633FF3" w:rsidRDefault="00633FF3" w:rsidP="00633FF3">
      <w:pPr>
        <w:ind w:left="284"/>
        <w:jc w:val="both"/>
        <w:rPr>
          <w:rFonts w:ascii="Verdana" w:hAnsi="Verdana"/>
          <w:b/>
          <w:bCs/>
          <w:color w:val="212121"/>
          <w:spacing w:val="5"/>
          <w:sz w:val="18"/>
          <w:szCs w:val="18"/>
        </w:rPr>
      </w:pPr>
      <w:r w:rsidRPr="00633FF3">
        <w:rPr>
          <w:rFonts w:ascii="Verdana" w:hAnsi="Verdana"/>
          <w:b/>
          <w:bCs/>
          <w:color w:val="212121"/>
          <w:spacing w:val="5"/>
          <w:sz w:val="18"/>
          <w:szCs w:val="18"/>
        </w:rPr>
        <w:t>Cuesti</w:t>
      </w:r>
      <w:r w:rsidRPr="00633FF3">
        <w:rPr>
          <w:rFonts w:ascii="Verdana" w:hAnsi="Verdana" w:cs="Verdana"/>
          <w:b/>
          <w:bCs/>
          <w:color w:val="212121"/>
          <w:spacing w:val="5"/>
          <w:sz w:val="18"/>
          <w:szCs w:val="18"/>
        </w:rPr>
        <w:t>ó</w:t>
      </w:r>
      <w:r w:rsidRPr="00633FF3">
        <w:rPr>
          <w:rFonts w:ascii="Verdana" w:hAnsi="Verdana"/>
          <w:b/>
          <w:bCs/>
          <w:color w:val="212121"/>
          <w:spacing w:val="5"/>
          <w:sz w:val="18"/>
          <w:szCs w:val="18"/>
        </w:rPr>
        <w:t>n con inter</w:t>
      </w:r>
      <w:r w:rsidRPr="00633FF3">
        <w:rPr>
          <w:rFonts w:ascii="Verdana" w:hAnsi="Verdana" w:cs="Verdana"/>
          <w:b/>
          <w:bCs/>
          <w:color w:val="212121"/>
          <w:spacing w:val="5"/>
          <w:sz w:val="18"/>
          <w:szCs w:val="18"/>
        </w:rPr>
        <w:t>é</w:t>
      </w:r>
      <w:r w:rsidRPr="00633FF3">
        <w:rPr>
          <w:rFonts w:ascii="Verdana" w:hAnsi="Verdana"/>
          <w:b/>
          <w:bCs/>
          <w:color w:val="212121"/>
          <w:spacing w:val="5"/>
          <w:sz w:val="18"/>
          <w:szCs w:val="18"/>
        </w:rPr>
        <w:t>s casacional</w:t>
      </w:r>
    </w:p>
    <w:p w14:paraId="46FA5503" w14:textId="77777777" w:rsidR="00633FF3" w:rsidRPr="00633FF3" w:rsidRDefault="00633FF3" w:rsidP="00633FF3">
      <w:pPr>
        <w:ind w:left="284"/>
        <w:jc w:val="both"/>
        <w:rPr>
          <w:rFonts w:ascii="Verdana" w:hAnsi="Verdana"/>
          <w:color w:val="212121"/>
          <w:spacing w:val="5"/>
          <w:sz w:val="18"/>
          <w:szCs w:val="18"/>
        </w:rPr>
      </w:pPr>
      <w:r w:rsidRPr="00633FF3">
        <w:rPr>
          <w:rFonts w:ascii="Verdana" w:hAnsi="Verdana"/>
          <w:color w:val="212121"/>
          <w:spacing w:val="5"/>
          <w:sz w:val="18"/>
          <w:szCs w:val="18"/>
        </w:rPr>
        <w:t>El Alto Tribunal deberá decidir si:</w:t>
      </w:r>
    </w:p>
    <w:p w14:paraId="0C9C411D" w14:textId="64DAAB65" w:rsidR="00633FF3" w:rsidRPr="00633FF3" w:rsidRDefault="00633FF3" w:rsidP="00633FF3">
      <w:pPr>
        <w:ind w:left="284"/>
        <w:jc w:val="both"/>
        <w:rPr>
          <w:rFonts w:ascii="Verdana" w:hAnsi="Verdana"/>
          <w:color w:val="212121"/>
          <w:spacing w:val="5"/>
          <w:sz w:val="18"/>
          <w:szCs w:val="18"/>
        </w:rPr>
      </w:pPr>
      <w:r w:rsidRPr="00633FF3">
        <w:rPr>
          <w:rFonts w:ascii="Verdana" w:hAnsi="Verdana"/>
          <w:color w:val="212121"/>
          <w:spacing w:val="5"/>
          <w:sz w:val="18"/>
          <w:szCs w:val="18"/>
        </w:rPr>
        <w:t xml:space="preserve">Puede aplicarse el beneficio fiscal de familia numerosa cuando, en el momento del devengo del impuesto, el tercer hijo estaba </w:t>
      </w:r>
      <w:r w:rsidR="00C539F2" w:rsidRPr="00633FF3">
        <w:rPr>
          <w:rFonts w:ascii="Verdana" w:hAnsi="Verdana"/>
          <w:color w:val="212121"/>
          <w:spacing w:val="5"/>
          <w:sz w:val="18"/>
          <w:szCs w:val="18"/>
        </w:rPr>
        <w:t>concebido,</w:t>
      </w:r>
      <w:r w:rsidRPr="00633FF3">
        <w:rPr>
          <w:rFonts w:ascii="Verdana" w:hAnsi="Verdana"/>
          <w:color w:val="212121"/>
          <w:spacing w:val="5"/>
          <w:sz w:val="18"/>
          <w:szCs w:val="18"/>
        </w:rPr>
        <w:t xml:space="preserve"> pero aún no había nacido, sobreviviendo posteriormente.</w:t>
      </w:r>
    </w:p>
    <w:p w14:paraId="617AB406" w14:textId="77777777" w:rsidR="00633FF3" w:rsidRPr="00633FF3" w:rsidRDefault="00000000" w:rsidP="00633FF3">
      <w:pPr>
        <w:ind w:left="284"/>
        <w:jc w:val="both"/>
        <w:rPr>
          <w:rFonts w:ascii="Verdana" w:hAnsi="Verdana"/>
          <w:color w:val="212121"/>
          <w:spacing w:val="5"/>
          <w:sz w:val="18"/>
          <w:szCs w:val="18"/>
        </w:rPr>
      </w:pPr>
      <w:r>
        <w:rPr>
          <w:rFonts w:ascii="Verdana" w:hAnsi="Verdana"/>
          <w:color w:val="212121"/>
          <w:spacing w:val="5"/>
          <w:sz w:val="18"/>
          <w:szCs w:val="18"/>
        </w:rPr>
        <w:pict w14:anchorId="104383C3">
          <v:rect id="_x0000_i1050" style="width:0;height:1.5pt" o:hralign="center" o:hrstd="t" o:hr="t" fillcolor="#a0a0a0" stroked="f"/>
        </w:pict>
      </w:r>
    </w:p>
    <w:p w14:paraId="3B5936C0" w14:textId="3934136C" w:rsidR="00633FF3" w:rsidRPr="00633FF3" w:rsidRDefault="00633FF3" w:rsidP="00633FF3">
      <w:pPr>
        <w:ind w:left="284"/>
        <w:jc w:val="both"/>
        <w:rPr>
          <w:rFonts w:ascii="Verdana" w:hAnsi="Verdana"/>
          <w:b/>
          <w:bCs/>
          <w:color w:val="212121"/>
          <w:spacing w:val="5"/>
          <w:sz w:val="18"/>
          <w:szCs w:val="18"/>
        </w:rPr>
      </w:pPr>
      <w:r w:rsidRPr="00633FF3">
        <w:rPr>
          <w:rFonts w:ascii="Verdana" w:hAnsi="Verdana"/>
          <w:b/>
          <w:bCs/>
          <w:color w:val="212121"/>
          <w:spacing w:val="5"/>
          <w:sz w:val="18"/>
          <w:szCs w:val="18"/>
        </w:rPr>
        <w:t>Normativa objeto de interpretación</w:t>
      </w:r>
    </w:p>
    <w:p w14:paraId="68964528" w14:textId="77777777" w:rsidR="00633FF3" w:rsidRPr="00633FF3" w:rsidRDefault="00633FF3" w:rsidP="00633FF3">
      <w:pPr>
        <w:numPr>
          <w:ilvl w:val="0"/>
          <w:numId w:val="57"/>
        </w:numPr>
        <w:jc w:val="both"/>
        <w:rPr>
          <w:rFonts w:ascii="Verdana" w:hAnsi="Verdana"/>
          <w:color w:val="212121"/>
          <w:spacing w:val="5"/>
          <w:sz w:val="18"/>
          <w:szCs w:val="18"/>
        </w:rPr>
      </w:pPr>
      <w:r w:rsidRPr="00633FF3">
        <w:rPr>
          <w:rFonts w:ascii="Verdana" w:hAnsi="Verdana"/>
          <w:color w:val="212121"/>
          <w:spacing w:val="5"/>
          <w:sz w:val="18"/>
          <w:szCs w:val="18"/>
        </w:rPr>
        <w:t>Ley 40/2003 (arts. 2, 5 y 7)</w:t>
      </w:r>
    </w:p>
    <w:p w14:paraId="67E7EE77" w14:textId="77777777" w:rsidR="00633FF3" w:rsidRPr="00633FF3" w:rsidRDefault="00633FF3" w:rsidP="00633FF3">
      <w:pPr>
        <w:numPr>
          <w:ilvl w:val="0"/>
          <w:numId w:val="57"/>
        </w:numPr>
        <w:jc w:val="both"/>
        <w:rPr>
          <w:rFonts w:ascii="Verdana" w:hAnsi="Verdana"/>
          <w:color w:val="212121"/>
          <w:spacing w:val="5"/>
          <w:sz w:val="18"/>
          <w:szCs w:val="18"/>
        </w:rPr>
      </w:pPr>
      <w:r w:rsidRPr="00633FF3">
        <w:rPr>
          <w:rFonts w:ascii="Verdana" w:hAnsi="Verdana"/>
          <w:color w:val="212121"/>
          <w:spacing w:val="5"/>
          <w:sz w:val="18"/>
          <w:szCs w:val="18"/>
        </w:rPr>
        <w:t>Ley 58/2003 (arts. 14 y 21)</w:t>
      </w:r>
    </w:p>
    <w:p w14:paraId="47B42A64" w14:textId="726A8BE3" w:rsidR="00633FF3" w:rsidRPr="00633FF3" w:rsidRDefault="00C539F2" w:rsidP="00633FF3">
      <w:pPr>
        <w:numPr>
          <w:ilvl w:val="0"/>
          <w:numId w:val="57"/>
        </w:numPr>
        <w:jc w:val="both"/>
        <w:rPr>
          <w:rFonts w:ascii="Verdana" w:hAnsi="Verdana"/>
          <w:color w:val="212121"/>
          <w:spacing w:val="5"/>
          <w:sz w:val="18"/>
          <w:szCs w:val="18"/>
        </w:rPr>
      </w:pPr>
      <w:r w:rsidRPr="00633FF3">
        <w:rPr>
          <w:rFonts w:ascii="Verdana" w:hAnsi="Verdana"/>
          <w:color w:val="212121"/>
          <w:spacing w:val="5"/>
          <w:sz w:val="18"/>
          <w:szCs w:val="18"/>
        </w:rPr>
        <w:t>Código</w:t>
      </w:r>
      <w:r w:rsidR="00633FF3" w:rsidRPr="00633FF3">
        <w:rPr>
          <w:rFonts w:ascii="Verdana" w:hAnsi="Verdana"/>
          <w:color w:val="212121"/>
          <w:spacing w:val="5"/>
          <w:sz w:val="18"/>
          <w:szCs w:val="18"/>
        </w:rPr>
        <w:t xml:space="preserve"> Civil (arts. 29, 30 y 627)</w:t>
      </w:r>
    </w:p>
    <w:p w14:paraId="65CB0C07" w14:textId="77777777" w:rsidR="00633FF3" w:rsidRPr="00633FF3" w:rsidRDefault="00633FF3" w:rsidP="00633FF3">
      <w:pPr>
        <w:numPr>
          <w:ilvl w:val="0"/>
          <w:numId w:val="57"/>
        </w:numPr>
        <w:jc w:val="both"/>
        <w:rPr>
          <w:rFonts w:ascii="Verdana" w:hAnsi="Verdana"/>
          <w:color w:val="212121"/>
          <w:spacing w:val="5"/>
          <w:sz w:val="18"/>
          <w:szCs w:val="18"/>
        </w:rPr>
      </w:pPr>
      <w:r w:rsidRPr="00633FF3">
        <w:rPr>
          <w:rFonts w:ascii="Verdana" w:hAnsi="Verdana"/>
          <w:color w:val="212121"/>
          <w:spacing w:val="5"/>
          <w:sz w:val="18"/>
          <w:szCs w:val="18"/>
        </w:rPr>
        <w:t>Reglamento del ITP (art. 92.1.a)</w:t>
      </w:r>
    </w:p>
    <w:p w14:paraId="3999503F" w14:textId="77777777" w:rsidR="00633FF3" w:rsidRPr="00633FF3" w:rsidRDefault="00000000" w:rsidP="00633FF3">
      <w:pPr>
        <w:ind w:left="284"/>
        <w:jc w:val="both"/>
        <w:rPr>
          <w:rFonts w:ascii="Verdana" w:hAnsi="Verdana"/>
          <w:color w:val="212121"/>
          <w:spacing w:val="5"/>
          <w:sz w:val="18"/>
          <w:szCs w:val="18"/>
        </w:rPr>
      </w:pPr>
      <w:r>
        <w:rPr>
          <w:rFonts w:ascii="Verdana" w:hAnsi="Verdana"/>
          <w:color w:val="212121"/>
          <w:spacing w:val="5"/>
          <w:sz w:val="18"/>
          <w:szCs w:val="18"/>
        </w:rPr>
        <w:pict w14:anchorId="092284F8">
          <v:rect id="_x0000_i1051" style="width:0;height:1.5pt" o:hralign="center" o:hrstd="t" o:hr="t" fillcolor="#a0a0a0" stroked="f"/>
        </w:pict>
      </w:r>
    </w:p>
    <w:p w14:paraId="49A84359" w14:textId="1DD9EDAE" w:rsidR="00633FF3" w:rsidRPr="00633FF3" w:rsidRDefault="00633FF3" w:rsidP="00633FF3">
      <w:pPr>
        <w:ind w:left="284"/>
        <w:jc w:val="both"/>
        <w:rPr>
          <w:rFonts w:ascii="Verdana" w:hAnsi="Verdana"/>
          <w:b/>
          <w:bCs/>
          <w:color w:val="212121"/>
          <w:spacing w:val="5"/>
          <w:sz w:val="18"/>
          <w:szCs w:val="18"/>
        </w:rPr>
      </w:pPr>
      <w:r w:rsidRPr="00633FF3">
        <w:rPr>
          <w:rFonts w:ascii="Verdana" w:hAnsi="Verdana"/>
          <w:b/>
          <w:bCs/>
          <w:color w:val="212121"/>
          <w:spacing w:val="5"/>
          <w:sz w:val="18"/>
          <w:szCs w:val="18"/>
        </w:rPr>
        <w:t>Claves jurídicas</w:t>
      </w:r>
    </w:p>
    <w:p w14:paraId="572C8B97" w14:textId="77777777" w:rsidR="00633FF3" w:rsidRPr="00633FF3" w:rsidRDefault="00633FF3" w:rsidP="00633FF3">
      <w:pPr>
        <w:numPr>
          <w:ilvl w:val="0"/>
          <w:numId w:val="58"/>
        </w:numPr>
        <w:jc w:val="both"/>
        <w:rPr>
          <w:rFonts w:ascii="Verdana" w:hAnsi="Verdana"/>
          <w:color w:val="212121"/>
          <w:spacing w:val="5"/>
          <w:sz w:val="18"/>
          <w:szCs w:val="18"/>
        </w:rPr>
      </w:pPr>
      <w:r w:rsidRPr="00633FF3">
        <w:rPr>
          <w:rFonts w:ascii="Verdana" w:hAnsi="Verdana"/>
          <w:color w:val="212121"/>
          <w:spacing w:val="5"/>
          <w:sz w:val="18"/>
          <w:szCs w:val="18"/>
        </w:rPr>
        <w:t>El artículo 29 CC reconoce efectos favorables al concebido que nazca con vida.</w:t>
      </w:r>
    </w:p>
    <w:p w14:paraId="62F40D06" w14:textId="77777777" w:rsidR="00633FF3" w:rsidRPr="00633FF3" w:rsidRDefault="00633FF3" w:rsidP="00633FF3">
      <w:pPr>
        <w:numPr>
          <w:ilvl w:val="0"/>
          <w:numId w:val="58"/>
        </w:numPr>
        <w:jc w:val="both"/>
        <w:rPr>
          <w:rFonts w:ascii="Verdana" w:hAnsi="Verdana"/>
          <w:color w:val="212121"/>
          <w:spacing w:val="5"/>
          <w:sz w:val="18"/>
          <w:szCs w:val="18"/>
        </w:rPr>
      </w:pPr>
      <w:r w:rsidRPr="00633FF3">
        <w:rPr>
          <w:rFonts w:ascii="Verdana" w:hAnsi="Verdana"/>
          <w:color w:val="212121"/>
          <w:spacing w:val="5"/>
          <w:sz w:val="18"/>
          <w:szCs w:val="18"/>
        </w:rPr>
        <w:t xml:space="preserve">En materia tributaria rige el principio de </w:t>
      </w:r>
      <w:r w:rsidRPr="00633FF3">
        <w:rPr>
          <w:rFonts w:ascii="Verdana" w:hAnsi="Verdana"/>
          <w:b/>
          <w:bCs/>
          <w:color w:val="212121"/>
          <w:spacing w:val="5"/>
          <w:sz w:val="18"/>
          <w:szCs w:val="18"/>
        </w:rPr>
        <w:t>interpretación estricta de los beneficios fiscales</w:t>
      </w:r>
      <w:r w:rsidRPr="00633FF3">
        <w:rPr>
          <w:rFonts w:ascii="Verdana" w:hAnsi="Verdana"/>
          <w:color w:val="212121"/>
          <w:spacing w:val="5"/>
          <w:sz w:val="18"/>
          <w:szCs w:val="18"/>
        </w:rPr>
        <w:t xml:space="preserve"> (art. 14 LGT).</w:t>
      </w:r>
    </w:p>
    <w:p w14:paraId="47A491F8" w14:textId="77777777" w:rsidR="00633FF3" w:rsidRPr="00633FF3" w:rsidRDefault="00633FF3" w:rsidP="00633FF3">
      <w:pPr>
        <w:numPr>
          <w:ilvl w:val="0"/>
          <w:numId w:val="58"/>
        </w:numPr>
        <w:jc w:val="both"/>
        <w:rPr>
          <w:rFonts w:ascii="Verdana" w:hAnsi="Verdana"/>
          <w:color w:val="212121"/>
          <w:spacing w:val="5"/>
          <w:sz w:val="18"/>
          <w:szCs w:val="18"/>
        </w:rPr>
      </w:pPr>
      <w:r w:rsidRPr="00633FF3">
        <w:rPr>
          <w:rFonts w:ascii="Verdana" w:hAnsi="Verdana"/>
          <w:color w:val="212121"/>
          <w:spacing w:val="5"/>
          <w:sz w:val="18"/>
          <w:szCs w:val="18"/>
        </w:rPr>
        <w:t>El devengo determina las circunstancias relevantes de la obligación tributaria (art. 21 LGT).</w:t>
      </w:r>
    </w:p>
    <w:p w14:paraId="0F80BB6D" w14:textId="2471E529" w:rsidR="00633FF3" w:rsidRPr="00633FF3" w:rsidRDefault="00633FF3" w:rsidP="00633FF3">
      <w:pPr>
        <w:numPr>
          <w:ilvl w:val="0"/>
          <w:numId w:val="58"/>
        </w:numPr>
        <w:jc w:val="both"/>
        <w:rPr>
          <w:rFonts w:ascii="Verdana" w:hAnsi="Verdana"/>
          <w:color w:val="212121"/>
          <w:spacing w:val="5"/>
          <w:sz w:val="18"/>
          <w:szCs w:val="18"/>
        </w:rPr>
      </w:pPr>
      <w:r w:rsidRPr="00633FF3">
        <w:rPr>
          <w:rFonts w:ascii="Verdana" w:hAnsi="Verdana"/>
          <w:color w:val="212121"/>
          <w:spacing w:val="5"/>
          <w:sz w:val="18"/>
          <w:szCs w:val="18"/>
        </w:rPr>
        <w:lastRenderedPageBreak/>
        <w:t xml:space="preserve">Debate central: ¿Puede extenderse la ficción civil del </w:t>
      </w:r>
      <w:r w:rsidR="00463953">
        <w:rPr>
          <w:rFonts w:ascii="Verdana" w:hAnsi="Verdana"/>
          <w:color w:val="212121"/>
          <w:spacing w:val="5"/>
          <w:sz w:val="18"/>
          <w:szCs w:val="18"/>
        </w:rPr>
        <w:t>“</w:t>
      </w:r>
      <w:r w:rsidRPr="00633FF3">
        <w:rPr>
          <w:rFonts w:ascii="Verdana" w:hAnsi="Verdana"/>
          <w:i/>
          <w:iCs/>
          <w:color w:val="212121"/>
          <w:spacing w:val="5"/>
          <w:sz w:val="18"/>
          <w:szCs w:val="18"/>
        </w:rPr>
        <w:t>nasciturus</w:t>
      </w:r>
      <w:r w:rsidR="00463953">
        <w:rPr>
          <w:rFonts w:ascii="Verdana" w:hAnsi="Verdana"/>
          <w:i/>
          <w:iCs/>
          <w:color w:val="212121"/>
          <w:spacing w:val="5"/>
          <w:sz w:val="18"/>
          <w:szCs w:val="18"/>
        </w:rPr>
        <w:t>”</w:t>
      </w:r>
      <w:r w:rsidRPr="00633FF3">
        <w:rPr>
          <w:rFonts w:ascii="Verdana" w:hAnsi="Verdana"/>
          <w:color w:val="212121"/>
          <w:spacing w:val="5"/>
          <w:sz w:val="18"/>
          <w:szCs w:val="18"/>
        </w:rPr>
        <w:t xml:space="preserve"> al ámbito tributario para consolidar un beneficio fiscal?</w:t>
      </w:r>
    </w:p>
    <w:p w14:paraId="58A30064" w14:textId="77777777" w:rsidR="00633FF3" w:rsidRPr="00633FF3" w:rsidRDefault="00000000" w:rsidP="00633FF3">
      <w:pPr>
        <w:ind w:left="284"/>
        <w:jc w:val="both"/>
        <w:rPr>
          <w:rFonts w:ascii="Verdana" w:hAnsi="Verdana"/>
          <w:color w:val="212121"/>
          <w:spacing w:val="5"/>
          <w:sz w:val="18"/>
          <w:szCs w:val="18"/>
        </w:rPr>
      </w:pPr>
      <w:r>
        <w:rPr>
          <w:rFonts w:ascii="Verdana" w:hAnsi="Verdana"/>
          <w:color w:val="212121"/>
          <w:spacing w:val="5"/>
          <w:sz w:val="18"/>
          <w:szCs w:val="18"/>
        </w:rPr>
        <w:pict w14:anchorId="0C53C942">
          <v:rect id="_x0000_i1052" style="width:0;height:1.5pt" o:hralign="center" o:hrstd="t" o:hr="t" fillcolor="#a0a0a0" stroked="f"/>
        </w:pict>
      </w:r>
    </w:p>
    <w:p w14:paraId="0052D439" w14:textId="40711E80" w:rsidR="00633FF3" w:rsidRPr="00633FF3" w:rsidRDefault="00633FF3" w:rsidP="00633FF3">
      <w:pPr>
        <w:ind w:left="284"/>
        <w:jc w:val="both"/>
        <w:rPr>
          <w:rFonts w:ascii="Verdana" w:hAnsi="Verdana"/>
          <w:b/>
          <w:bCs/>
          <w:color w:val="212121"/>
          <w:spacing w:val="5"/>
          <w:sz w:val="18"/>
          <w:szCs w:val="18"/>
        </w:rPr>
      </w:pPr>
      <w:r w:rsidRPr="00633FF3">
        <w:rPr>
          <w:rFonts w:ascii="Verdana" w:hAnsi="Verdana"/>
          <w:b/>
          <w:bCs/>
          <w:color w:val="212121"/>
          <w:spacing w:val="5"/>
          <w:sz w:val="18"/>
          <w:szCs w:val="18"/>
        </w:rPr>
        <w:t>Situación actual</w:t>
      </w:r>
    </w:p>
    <w:p w14:paraId="04A444A9" w14:textId="77777777" w:rsidR="00633FF3" w:rsidRPr="00633FF3" w:rsidRDefault="00633FF3" w:rsidP="00633FF3">
      <w:pPr>
        <w:ind w:left="284"/>
        <w:jc w:val="both"/>
        <w:rPr>
          <w:rFonts w:ascii="Verdana" w:hAnsi="Verdana"/>
          <w:color w:val="212121"/>
          <w:spacing w:val="5"/>
          <w:sz w:val="18"/>
          <w:szCs w:val="18"/>
        </w:rPr>
      </w:pPr>
      <w:r w:rsidRPr="00633FF3">
        <w:rPr>
          <w:rFonts w:ascii="Verdana" w:hAnsi="Verdana"/>
          <w:color w:val="212121"/>
          <w:spacing w:val="5"/>
          <w:sz w:val="18"/>
          <w:szCs w:val="18"/>
        </w:rPr>
        <w:t>El Tribunal Supremo admite el recurso por existir:</w:t>
      </w:r>
    </w:p>
    <w:p w14:paraId="2CEAB27B" w14:textId="77777777" w:rsidR="00633FF3" w:rsidRPr="00633FF3" w:rsidRDefault="00633FF3" w:rsidP="00633FF3">
      <w:pPr>
        <w:numPr>
          <w:ilvl w:val="0"/>
          <w:numId w:val="59"/>
        </w:numPr>
        <w:jc w:val="both"/>
        <w:rPr>
          <w:rFonts w:ascii="Verdana" w:hAnsi="Verdana"/>
          <w:color w:val="212121"/>
          <w:spacing w:val="5"/>
          <w:sz w:val="18"/>
          <w:szCs w:val="18"/>
        </w:rPr>
      </w:pPr>
      <w:r w:rsidRPr="00633FF3">
        <w:rPr>
          <w:rFonts w:ascii="Verdana" w:hAnsi="Verdana"/>
          <w:color w:val="212121"/>
          <w:spacing w:val="5"/>
          <w:sz w:val="18"/>
          <w:szCs w:val="18"/>
        </w:rPr>
        <w:t>Interpretaciones contradictorias entre tribunales.</w:t>
      </w:r>
    </w:p>
    <w:p w14:paraId="42CDEB8A" w14:textId="77777777" w:rsidR="00633FF3" w:rsidRPr="00633FF3" w:rsidRDefault="00633FF3" w:rsidP="00633FF3">
      <w:pPr>
        <w:numPr>
          <w:ilvl w:val="0"/>
          <w:numId w:val="59"/>
        </w:numPr>
        <w:jc w:val="both"/>
        <w:rPr>
          <w:rFonts w:ascii="Verdana" w:hAnsi="Verdana"/>
          <w:color w:val="212121"/>
          <w:spacing w:val="5"/>
          <w:sz w:val="18"/>
          <w:szCs w:val="18"/>
        </w:rPr>
      </w:pPr>
      <w:r w:rsidRPr="00633FF3">
        <w:rPr>
          <w:rFonts w:ascii="Verdana" w:hAnsi="Verdana"/>
          <w:color w:val="212121"/>
          <w:spacing w:val="5"/>
          <w:sz w:val="18"/>
          <w:szCs w:val="18"/>
        </w:rPr>
        <w:t>Ausencia de jurisprudencia específica sobre esta cuestión.</w:t>
      </w:r>
    </w:p>
    <w:p w14:paraId="3711FBA3" w14:textId="77777777" w:rsidR="00463953" w:rsidRDefault="00463953" w:rsidP="00633FF3">
      <w:pPr>
        <w:ind w:left="284"/>
        <w:jc w:val="both"/>
        <w:rPr>
          <w:rFonts w:ascii="Verdana" w:hAnsi="Verdana"/>
          <w:color w:val="212121"/>
          <w:spacing w:val="5"/>
          <w:sz w:val="18"/>
          <w:szCs w:val="18"/>
        </w:rPr>
      </w:pPr>
    </w:p>
    <w:p w14:paraId="70D1F265" w14:textId="34F1B0A2" w:rsidR="00633FF3" w:rsidRPr="00633FF3" w:rsidRDefault="00633FF3" w:rsidP="00633FF3">
      <w:pPr>
        <w:ind w:left="284"/>
        <w:jc w:val="both"/>
        <w:rPr>
          <w:rFonts w:ascii="Verdana" w:hAnsi="Verdana"/>
          <w:color w:val="212121"/>
          <w:spacing w:val="5"/>
          <w:sz w:val="18"/>
          <w:szCs w:val="18"/>
        </w:rPr>
      </w:pPr>
      <w:r w:rsidRPr="00633FF3">
        <w:rPr>
          <w:rFonts w:ascii="Verdana" w:hAnsi="Verdana"/>
          <w:color w:val="212121"/>
          <w:spacing w:val="5"/>
          <w:sz w:val="18"/>
          <w:szCs w:val="18"/>
        </w:rPr>
        <w:t>El Auto no resuelve el fondo, pero abre la puerta a que el Supremo fije doctrina sobre la incidencia del embarazo en la aplicación de beneficios fiscales por familia numerosa</w:t>
      </w:r>
      <w:r w:rsidR="00463953">
        <w:rPr>
          <w:rFonts w:ascii="Verdana" w:hAnsi="Verdana"/>
          <w:color w:val="212121"/>
          <w:spacing w:val="5"/>
          <w:sz w:val="18"/>
          <w:szCs w:val="18"/>
        </w:rPr>
        <w:t>.</w:t>
      </w:r>
      <w:r w:rsidRPr="00633FF3">
        <w:rPr>
          <w:rFonts w:ascii="Verdana" w:hAnsi="Verdana"/>
          <w:color w:val="212121"/>
          <w:spacing w:val="5"/>
          <w:sz w:val="18"/>
          <w:szCs w:val="18"/>
        </w:rPr>
        <w:t xml:space="preserve"> </w:t>
      </w:r>
    </w:p>
    <w:p w14:paraId="56651BED" w14:textId="77777777" w:rsidR="00F84492" w:rsidRDefault="00F84492" w:rsidP="00347AC8">
      <w:pPr>
        <w:ind w:left="284"/>
        <w:jc w:val="both"/>
        <w:rPr>
          <w:rFonts w:ascii="Verdana" w:hAnsi="Verdana"/>
          <w:color w:val="212121"/>
          <w:spacing w:val="5"/>
          <w:sz w:val="18"/>
          <w:szCs w:val="18"/>
        </w:rPr>
      </w:pPr>
    </w:p>
    <w:p w14:paraId="4A3AB557" w14:textId="77777777" w:rsidR="00F84492" w:rsidRDefault="00F84492" w:rsidP="00347AC8">
      <w:pPr>
        <w:ind w:left="284"/>
        <w:jc w:val="both"/>
        <w:rPr>
          <w:rFonts w:ascii="Verdana" w:hAnsi="Verdana"/>
          <w:color w:val="212121"/>
          <w:spacing w:val="5"/>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F84492" w:rsidRPr="00F84492" w14:paraId="0BFC56B3" w14:textId="77777777" w:rsidTr="003B779C">
        <w:trPr>
          <w:trHeight w:val="272"/>
        </w:trPr>
        <w:tc>
          <w:tcPr>
            <w:tcW w:w="181" w:type="dxa"/>
            <w:shd w:val="clear" w:color="auto" w:fill="FF6600"/>
          </w:tcPr>
          <w:p w14:paraId="494BA857" w14:textId="77777777" w:rsidR="00F84492" w:rsidRPr="00F84492" w:rsidRDefault="00F84492" w:rsidP="003B779C">
            <w:pPr>
              <w:pStyle w:val="Textoindependiente"/>
              <w:tabs>
                <w:tab w:val="clear" w:pos="360"/>
              </w:tabs>
              <w:jc w:val="left"/>
              <w:rPr>
                <w:rFonts w:ascii="Verdana" w:hAnsi="Verdana" w:cs="Verdana"/>
                <w:color w:val="800000"/>
                <w:sz w:val="18"/>
                <w:szCs w:val="18"/>
                <w:lang w:val="es-ES" w:eastAsia="es-ES"/>
              </w:rPr>
            </w:pPr>
          </w:p>
        </w:tc>
        <w:tc>
          <w:tcPr>
            <w:tcW w:w="8533" w:type="dxa"/>
          </w:tcPr>
          <w:p w14:paraId="7685F45C" w14:textId="37F9AFE3" w:rsidR="00F84492" w:rsidRPr="00F84492" w:rsidRDefault="00F84492" w:rsidP="003B779C">
            <w:pPr>
              <w:numPr>
                <w:ilvl w:val="0"/>
                <w:numId w:val="4"/>
              </w:numPr>
              <w:tabs>
                <w:tab w:val="clear" w:pos="502"/>
                <w:tab w:val="num" w:pos="317"/>
              </w:tabs>
              <w:ind w:left="317" w:hanging="283"/>
              <w:jc w:val="both"/>
              <w:rPr>
                <w:rFonts w:ascii="Verdana" w:hAnsi="Verdana" w:cs="Verdana"/>
                <w:b/>
                <w:bCs/>
                <w:color w:val="800000"/>
                <w:sz w:val="18"/>
                <w:szCs w:val="18"/>
              </w:rPr>
            </w:pPr>
            <w:r w:rsidRPr="00F84492">
              <w:rPr>
                <w:rFonts w:ascii="Verdana" w:hAnsi="Verdana"/>
                <w:b/>
                <w:bCs/>
                <w:color w:val="800000"/>
                <w:sz w:val="18"/>
                <w:szCs w:val="18"/>
              </w:rPr>
              <w:t>IAE – CÁLCULO DEL IMPORTE NETO DE LA CIFRA DE NEGOCIOS EN GRUPOS MERCANTILES</w:t>
            </w:r>
          </w:p>
        </w:tc>
      </w:tr>
    </w:tbl>
    <w:p w14:paraId="39A9FC39" w14:textId="77777777" w:rsidR="00F84492" w:rsidRDefault="00F84492" w:rsidP="00347AC8">
      <w:pPr>
        <w:ind w:left="284"/>
        <w:jc w:val="both"/>
        <w:rPr>
          <w:rFonts w:ascii="Verdana" w:hAnsi="Verdana"/>
          <w:color w:val="212121"/>
          <w:spacing w:val="5"/>
          <w:sz w:val="18"/>
          <w:szCs w:val="18"/>
        </w:rPr>
      </w:pPr>
    </w:p>
    <w:p w14:paraId="37D01478"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b/>
          <w:bCs/>
          <w:color w:val="212121"/>
          <w:spacing w:val="5"/>
          <w:sz w:val="18"/>
          <w:szCs w:val="18"/>
        </w:rPr>
        <w:t>TEAC, Resolución de 18 de septiembre de 2025 (R.G. 8251/2024)</w:t>
      </w:r>
    </w:p>
    <w:p w14:paraId="578519FA" w14:textId="77777777" w:rsidR="00DB3CC8" w:rsidRDefault="00DB3CC8" w:rsidP="00F84492">
      <w:pPr>
        <w:ind w:left="284"/>
        <w:jc w:val="both"/>
        <w:rPr>
          <w:rFonts w:ascii="Verdana" w:hAnsi="Verdana"/>
          <w:b/>
          <w:bCs/>
          <w:color w:val="212121"/>
          <w:spacing w:val="5"/>
          <w:sz w:val="18"/>
          <w:szCs w:val="18"/>
        </w:rPr>
      </w:pPr>
    </w:p>
    <w:p w14:paraId="44AE1A08" w14:textId="10563D94" w:rsidR="00F84492" w:rsidRPr="00F84492" w:rsidRDefault="00F84492" w:rsidP="00F84492">
      <w:pPr>
        <w:ind w:left="284"/>
        <w:jc w:val="both"/>
        <w:rPr>
          <w:rFonts w:ascii="Verdana" w:hAnsi="Verdana"/>
          <w:b/>
          <w:bCs/>
          <w:color w:val="212121"/>
          <w:spacing w:val="5"/>
          <w:sz w:val="18"/>
          <w:szCs w:val="18"/>
        </w:rPr>
      </w:pPr>
      <w:r w:rsidRPr="00F84492">
        <w:rPr>
          <w:rFonts w:ascii="Verdana" w:hAnsi="Verdana"/>
          <w:b/>
          <w:bCs/>
          <w:color w:val="212121"/>
          <w:spacing w:val="5"/>
          <w:sz w:val="18"/>
          <w:szCs w:val="18"/>
        </w:rPr>
        <w:t>Cuestión controvertida</w:t>
      </w:r>
    </w:p>
    <w:p w14:paraId="662987F6"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 xml:space="preserve">El Tribunal Económico-Administrativo Central analiza cómo debe calcularse el </w:t>
      </w:r>
      <w:r w:rsidRPr="00F84492">
        <w:rPr>
          <w:rFonts w:ascii="Verdana" w:hAnsi="Verdana"/>
          <w:b/>
          <w:bCs/>
          <w:color w:val="212121"/>
          <w:spacing w:val="5"/>
          <w:sz w:val="18"/>
          <w:szCs w:val="18"/>
        </w:rPr>
        <w:t>importe neto de la cifra de negocios (INCN)</w:t>
      </w:r>
      <w:r w:rsidRPr="00F84492">
        <w:rPr>
          <w:rFonts w:ascii="Verdana" w:hAnsi="Verdana"/>
          <w:color w:val="212121"/>
          <w:spacing w:val="5"/>
          <w:sz w:val="18"/>
          <w:szCs w:val="18"/>
        </w:rPr>
        <w:t xml:space="preserve"> a efectos de aplicar la exención del artículo 82.1.c) del TRLRHL en el </w:t>
      </w:r>
      <w:r w:rsidRPr="00F84492">
        <w:rPr>
          <w:rFonts w:ascii="Verdana" w:hAnsi="Verdana"/>
          <w:b/>
          <w:bCs/>
          <w:color w:val="212121"/>
          <w:spacing w:val="5"/>
          <w:sz w:val="18"/>
          <w:szCs w:val="18"/>
        </w:rPr>
        <w:t>Impuesto sobre Actividades Económicas (IAE)</w:t>
      </w:r>
      <w:r w:rsidRPr="00F84492">
        <w:rPr>
          <w:rFonts w:ascii="Verdana" w:hAnsi="Verdana"/>
          <w:color w:val="212121"/>
          <w:spacing w:val="5"/>
          <w:sz w:val="18"/>
          <w:szCs w:val="18"/>
        </w:rPr>
        <w:t xml:space="preserve"> cuando la entidad forma parte de un grupo de sociedades.</w:t>
      </w:r>
    </w:p>
    <w:p w14:paraId="10F18DD4" w14:textId="77777777" w:rsidR="00F84492" w:rsidRDefault="00F84492" w:rsidP="00F84492">
      <w:pPr>
        <w:ind w:left="284"/>
        <w:jc w:val="both"/>
        <w:rPr>
          <w:rFonts w:ascii="Verdana" w:hAnsi="Verdana"/>
          <w:color w:val="212121"/>
          <w:spacing w:val="5"/>
          <w:sz w:val="18"/>
          <w:szCs w:val="18"/>
        </w:rPr>
      </w:pPr>
    </w:p>
    <w:p w14:paraId="6251C726" w14:textId="58E98072"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En concreto, se discute si:</w:t>
      </w:r>
    </w:p>
    <w:p w14:paraId="7651F463" w14:textId="77777777" w:rsidR="00F84492" w:rsidRPr="00F84492" w:rsidRDefault="00F84492" w:rsidP="00F84492">
      <w:pPr>
        <w:numPr>
          <w:ilvl w:val="0"/>
          <w:numId w:val="60"/>
        </w:numPr>
        <w:jc w:val="both"/>
        <w:rPr>
          <w:rFonts w:ascii="Verdana" w:hAnsi="Verdana"/>
          <w:color w:val="212121"/>
          <w:spacing w:val="5"/>
          <w:sz w:val="18"/>
          <w:szCs w:val="18"/>
        </w:rPr>
      </w:pPr>
      <w:r w:rsidRPr="00F84492">
        <w:rPr>
          <w:rFonts w:ascii="Verdana" w:hAnsi="Verdana"/>
          <w:color w:val="212121"/>
          <w:spacing w:val="5"/>
          <w:sz w:val="18"/>
          <w:szCs w:val="18"/>
        </w:rPr>
        <w:t xml:space="preserve">Debe tomarse el </w:t>
      </w:r>
      <w:r w:rsidRPr="00F84492">
        <w:rPr>
          <w:rFonts w:ascii="Verdana" w:hAnsi="Verdana"/>
          <w:b/>
          <w:bCs/>
          <w:color w:val="212121"/>
          <w:spacing w:val="5"/>
          <w:sz w:val="18"/>
          <w:szCs w:val="18"/>
        </w:rPr>
        <w:t>importe agregado</w:t>
      </w:r>
      <w:r w:rsidRPr="00F84492">
        <w:rPr>
          <w:rFonts w:ascii="Verdana" w:hAnsi="Verdana"/>
          <w:color w:val="212121"/>
          <w:spacing w:val="5"/>
          <w:sz w:val="18"/>
          <w:szCs w:val="18"/>
        </w:rPr>
        <w:t xml:space="preserve"> (suma de las cifras individuales de todas las entidades del grupo, sin eliminar operaciones internas), o</w:t>
      </w:r>
    </w:p>
    <w:p w14:paraId="41197645" w14:textId="77777777" w:rsidR="00F84492" w:rsidRPr="00F84492" w:rsidRDefault="00F84492" w:rsidP="00F84492">
      <w:pPr>
        <w:numPr>
          <w:ilvl w:val="0"/>
          <w:numId w:val="60"/>
        </w:numPr>
        <w:jc w:val="both"/>
        <w:rPr>
          <w:rFonts w:ascii="Verdana" w:hAnsi="Verdana"/>
          <w:color w:val="212121"/>
          <w:spacing w:val="5"/>
          <w:sz w:val="18"/>
          <w:szCs w:val="18"/>
        </w:rPr>
      </w:pPr>
      <w:r w:rsidRPr="00F84492">
        <w:rPr>
          <w:rFonts w:ascii="Verdana" w:hAnsi="Verdana"/>
          <w:color w:val="212121"/>
          <w:spacing w:val="5"/>
          <w:sz w:val="18"/>
          <w:szCs w:val="18"/>
        </w:rPr>
        <w:t xml:space="preserve">El </w:t>
      </w:r>
      <w:r w:rsidRPr="00F84492">
        <w:rPr>
          <w:rFonts w:ascii="Verdana" w:hAnsi="Verdana"/>
          <w:b/>
          <w:bCs/>
          <w:color w:val="212121"/>
          <w:spacing w:val="5"/>
          <w:sz w:val="18"/>
          <w:szCs w:val="18"/>
        </w:rPr>
        <w:t>importe consolidado</w:t>
      </w:r>
      <w:r w:rsidRPr="00F84492">
        <w:rPr>
          <w:rFonts w:ascii="Verdana" w:hAnsi="Verdana"/>
          <w:color w:val="212121"/>
          <w:spacing w:val="5"/>
          <w:sz w:val="18"/>
          <w:szCs w:val="18"/>
        </w:rPr>
        <w:t xml:space="preserve"> (el resultante tras eliminar operaciones intragrupo).</w:t>
      </w:r>
    </w:p>
    <w:p w14:paraId="08DB1C19" w14:textId="77777777" w:rsidR="00F84492" w:rsidRPr="00F84492" w:rsidRDefault="00000000" w:rsidP="00F84492">
      <w:pPr>
        <w:ind w:left="284"/>
        <w:jc w:val="both"/>
        <w:rPr>
          <w:rFonts w:ascii="Verdana" w:hAnsi="Verdana"/>
          <w:color w:val="212121"/>
          <w:spacing w:val="5"/>
          <w:sz w:val="18"/>
          <w:szCs w:val="18"/>
        </w:rPr>
      </w:pPr>
      <w:r>
        <w:rPr>
          <w:rFonts w:ascii="Verdana" w:hAnsi="Verdana"/>
          <w:color w:val="212121"/>
          <w:spacing w:val="5"/>
          <w:sz w:val="18"/>
          <w:szCs w:val="18"/>
        </w:rPr>
        <w:pict w14:anchorId="0B74EFD1">
          <v:rect id="_x0000_i1053" style="width:0;height:1.5pt" o:hralign="center" o:hrstd="t" o:hr="t" fillcolor="#a0a0a0" stroked="f"/>
        </w:pict>
      </w:r>
    </w:p>
    <w:p w14:paraId="58D19531" w14:textId="1DDAAD86" w:rsidR="00F84492" w:rsidRPr="00F84492" w:rsidRDefault="00F84492" w:rsidP="00F84492">
      <w:pPr>
        <w:ind w:left="284"/>
        <w:jc w:val="both"/>
        <w:rPr>
          <w:rFonts w:ascii="Verdana" w:hAnsi="Verdana"/>
          <w:b/>
          <w:bCs/>
          <w:color w:val="212121"/>
          <w:spacing w:val="5"/>
          <w:sz w:val="18"/>
          <w:szCs w:val="18"/>
        </w:rPr>
      </w:pPr>
      <w:r w:rsidRPr="00F84492">
        <w:rPr>
          <w:rFonts w:ascii="Verdana" w:hAnsi="Verdana"/>
          <w:b/>
          <w:bCs/>
          <w:color w:val="212121"/>
          <w:spacing w:val="5"/>
          <w:sz w:val="18"/>
          <w:szCs w:val="18"/>
        </w:rPr>
        <w:t>Criterio del TEAC</w:t>
      </w:r>
    </w:p>
    <w:p w14:paraId="7B5555C9"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El TEAC confirma el criterio de la Administración y establece que:</w:t>
      </w:r>
    </w:p>
    <w:p w14:paraId="13C8E9D2" w14:textId="452D7E3C" w:rsidR="00F84492" w:rsidRPr="00F84492" w:rsidRDefault="00F84492" w:rsidP="00F84492">
      <w:pPr>
        <w:pStyle w:val="Prrafodelista"/>
        <w:numPr>
          <w:ilvl w:val="0"/>
          <w:numId w:val="65"/>
        </w:numPr>
        <w:ind w:left="709"/>
        <w:jc w:val="both"/>
        <w:rPr>
          <w:rFonts w:ascii="Verdana" w:hAnsi="Verdana"/>
          <w:color w:val="212121"/>
          <w:spacing w:val="5"/>
          <w:sz w:val="18"/>
          <w:szCs w:val="18"/>
        </w:rPr>
      </w:pPr>
      <w:r w:rsidRPr="00F84492">
        <w:rPr>
          <w:rFonts w:ascii="Verdana" w:hAnsi="Verdana"/>
          <w:color w:val="212121"/>
          <w:spacing w:val="5"/>
          <w:sz w:val="18"/>
          <w:szCs w:val="18"/>
        </w:rPr>
        <w:t>Cuando una entidad forma parte de un grupo en el sentido del art</w:t>
      </w:r>
      <w:r w:rsidRPr="00F84492">
        <w:rPr>
          <w:rFonts w:ascii="Verdana" w:hAnsi="Verdana" w:cs="Verdana"/>
          <w:color w:val="212121"/>
          <w:spacing w:val="5"/>
          <w:sz w:val="18"/>
          <w:szCs w:val="18"/>
        </w:rPr>
        <w:t>í</w:t>
      </w:r>
      <w:r w:rsidRPr="00F84492">
        <w:rPr>
          <w:rFonts w:ascii="Verdana" w:hAnsi="Verdana"/>
          <w:color w:val="212121"/>
          <w:spacing w:val="5"/>
          <w:sz w:val="18"/>
          <w:szCs w:val="18"/>
        </w:rPr>
        <w:t>culo 42 del C</w:t>
      </w:r>
      <w:r w:rsidRPr="00F84492">
        <w:rPr>
          <w:rFonts w:ascii="Verdana" w:hAnsi="Verdana" w:cs="Verdana"/>
          <w:color w:val="212121"/>
          <w:spacing w:val="5"/>
          <w:sz w:val="18"/>
          <w:szCs w:val="18"/>
        </w:rPr>
        <w:t>ó</w:t>
      </w:r>
      <w:r w:rsidRPr="00F84492">
        <w:rPr>
          <w:rFonts w:ascii="Verdana" w:hAnsi="Verdana"/>
          <w:color w:val="212121"/>
          <w:spacing w:val="5"/>
          <w:sz w:val="18"/>
          <w:szCs w:val="18"/>
        </w:rPr>
        <w:t xml:space="preserve">digo de Comercio, el INCN debe referirse al </w:t>
      </w:r>
      <w:r w:rsidRPr="00F84492">
        <w:rPr>
          <w:rFonts w:ascii="Verdana" w:hAnsi="Verdana"/>
          <w:b/>
          <w:bCs/>
          <w:color w:val="212121"/>
          <w:spacing w:val="5"/>
          <w:sz w:val="18"/>
          <w:szCs w:val="18"/>
        </w:rPr>
        <w:t>conjunto de entidades del grupo</w:t>
      </w:r>
      <w:r w:rsidRPr="00F84492">
        <w:rPr>
          <w:rFonts w:ascii="Verdana" w:hAnsi="Verdana"/>
          <w:color w:val="212121"/>
          <w:spacing w:val="5"/>
          <w:sz w:val="18"/>
          <w:szCs w:val="18"/>
        </w:rPr>
        <w:t xml:space="preserve">, entendido como </w:t>
      </w:r>
      <w:r w:rsidRPr="00F84492">
        <w:rPr>
          <w:rFonts w:ascii="Verdana" w:hAnsi="Verdana"/>
          <w:b/>
          <w:bCs/>
          <w:color w:val="212121"/>
          <w:spacing w:val="5"/>
          <w:sz w:val="18"/>
          <w:szCs w:val="18"/>
        </w:rPr>
        <w:t>la suma de las cifras individuales</w:t>
      </w:r>
      <w:r w:rsidRPr="00F84492">
        <w:rPr>
          <w:rFonts w:ascii="Verdana" w:hAnsi="Verdana"/>
          <w:color w:val="212121"/>
          <w:spacing w:val="5"/>
          <w:sz w:val="18"/>
          <w:szCs w:val="18"/>
        </w:rPr>
        <w:t xml:space="preserve">, </w:t>
      </w:r>
      <w:r w:rsidRPr="00F84492">
        <w:rPr>
          <w:rFonts w:ascii="Verdana" w:hAnsi="Verdana"/>
          <w:b/>
          <w:bCs/>
          <w:color w:val="212121"/>
          <w:spacing w:val="5"/>
          <w:sz w:val="18"/>
          <w:szCs w:val="18"/>
        </w:rPr>
        <w:t>sin eliminar operaciones intragrupo</w:t>
      </w:r>
      <w:r w:rsidRPr="00F84492">
        <w:rPr>
          <w:rFonts w:ascii="Verdana" w:hAnsi="Verdana"/>
          <w:color w:val="212121"/>
          <w:spacing w:val="5"/>
          <w:sz w:val="18"/>
          <w:szCs w:val="18"/>
        </w:rPr>
        <w:t>.</w:t>
      </w:r>
    </w:p>
    <w:p w14:paraId="4A020299" w14:textId="77777777" w:rsidR="00F84492" w:rsidRPr="00F84492" w:rsidRDefault="00F84492" w:rsidP="00F84492">
      <w:pPr>
        <w:ind w:left="709"/>
        <w:jc w:val="both"/>
        <w:rPr>
          <w:rFonts w:ascii="Verdana" w:hAnsi="Verdana"/>
          <w:color w:val="212121"/>
          <w:spacing w:val="5"/>
          <w:sz w:val="18"/>
          <w:szCs w:val="18"/>
        </w:rPr>
      </w:pPr>
    </w:p>
    <w:p w14:paraId="1DBEE30D" w14:textId="108BD3EF" w:rsidR="00F84492" w:rsidRPr="00F84492" w:rsidRDefault="00F84492" w:rsidP="00F84492">
      <w:pPr>
        <w:pStyle w:val="Prrafodelista"/>
        <w:numPr>
          <w:ilvl w:val="0"/>
          <w:numId w:val="65"/>
        </w:numPr>
        <w:ind w:left="709"/>
        <w:jc w:val="both"/>
        <w:rPr>
          <w:rFonts w:ascii="Verdana" w:hAnsi="Verdana"/>
          <w:color w:val="212121"/>
          <w:spacing w:val="5"/>
          <w:sz w:val="18"/>
          <w:szCs w:val="18"/>
        </w:rPr>
      </w:pPr>
      <w:r w:rsidRPr="00F84492">
        <w:rPr>
          <w:rFonts w:ascii="Verdana" w:hAnsi="Verdana"/>
          <w:b/>
          <w:bCs/>
          <w:color w:val="212121"/>
          <w:spacing w:val="5"/>
          <w:sz w:val="18"/>
          <w:szCs w:val="18"/>
        </w:rPr>
        <w:t>No procede</w:t>
      </w:r>
      <w:r w:rsidRPr="00F84492">
        <w:rPr>
          <w:rFonts w:ascii="Verdana" w:hAnsi="Verdana"/>
          <w:color w:val="212121"/>
          <w:spacing w:val="5"/>
          <w:sz w:val="18"/>
          <w:szCs w:val="18"/>
        </w:rPr>
        <w:t xml:space="preserve"> tomar el importe consolidado que figura en el modelo 220 del Impuesto sobre Sociedades.</w:t>
      </w:r>
    </w:p>
    <w:p w14:paraId="198AB712" w14:textId="77777777" w:rsidR="00F84492" w:rsidRDefault="00F84492" w:rsidP="00F84492">
      <w:pPr>
        <w:ind w:left="284"/>
        <w:jc w:val="both"/>
        <w:rPr>
          <w:rFonts w:ascii="Verdana" w:hAnsi="Verdana"/>
          <w:color w:val="212121"/>
          <w:spacing w:val="5"/>
          <w:sz w:val="18"/>
          <w:szCs w:val="18"/>
        </w:rPr>
      </w:pPr>
    </w:p>
    <w:p w14:paraId="3F192152" w14:textId="03817C50"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El Tribunal fundamenta su decisión en:</w:t>
      </w:r>
    </w:p>
    <w:p w14:paraId="42201816" w14:textId="77777777" w:rsidR="00F84492" w:rsidRPr="00F84492" w:rsidRDefault="00F84492" w:rsidP="00F84492">
      <w:pPr>
        <w:numPr>
          <w:ilvl w:val="0"/>
          <w:numId w:val="61"/>
        </w:numPr>
        <w:jc w:val="both"/>
        <w:rPr>
          <w:rFonts w:ascii="Verdana" w:hAnsi="Verdana"/>
          <w:color w:val="212121"/>
          <w:spacing w:val="5"/>
          <w:sz w:val="18"/>
          <w:szCs w:val="18"/>
        </w:rPr>
      </w:pPr>
      <w:r w:rsidRPr="00F84492">
        <w:rPr>
          <w:rFonts w:ascii="Verdana" w:hAnsi="Verdana"/>
          <w:color w:val="212121"/>
          <w:spacing w:val="5"/>
          <w:sz w:val="18"/>
          <w:szCs w:val="18"/>
        </w:rPr>
        <w:t>El tenor literal del artículo 82.1.c) TRLRHL.</w:t>
      </w:r>
    </w:p>
    <w:p w14:paraId="6448E0E7" w14:textId="77777777" w:rsidR="00F84492" w:rsidRPr="00F84492" w:rsidRDefault="00F84492" w:rsidP="00F84492">
      <w:pPr>
        <w:numPr>
          <w:ilvl w:val="0"/>
          <w:numId w:val="61"/>
        </w:numPr>
        <w:jc w:val="both"/>
        <w:rPr>
          <w:rFonts w:ascii="Verdana" w:hAnsi="Verdana"/>
          <w:color w:val="212121"/>
          <w:spacing w:val="5"/>
          <w:sz w:val="18"/>
          <w:szCs w:val="18"/>
        </w:rPr>
      </w:pPr>
      <w:r w:rsidRPr="00F84492">
        <w:rPr>
          <w:rFonts w:ascii="Verdana" w:hAnsi="Verdana"/>
          <w:color w:val="212121"/>
          <w:spacing w:val="5"/>
          <w:sz w:val="18"/>
          <w:szCs w:val="18"/>
        </w:rPr>
        <w:t>La Orden HAC/85/2003.</w:t>
      </w:r>
    </w:p>
    <w:p w14:paraId="5AE8E0BF" w14:textId="77777777" w:rsidR="00F84492" w:rsidRPr="00F84492" w:rsidRDefault="00F84492" w:rsidP="00F84492">
      <w:pPr>
        <w:numPr>
          <w:ilvl w:val="0"/>
          <w:numId w:val="61"/>
        </w:numPr>
        <w:jc w:val="both"/>
        <w:rPr>
          <w:rFonts w:ascii="Verdana" w:hAnsi="Verdana"/>
          <w:color w:val="212121"/>
          <w:spacing w:val="5"/>
          <w:sz w:val="18"/>
          <w:szCs w:val="18"/>
        </w:rPr>
      </w:pPr>
      <w:r w:rsidRPr="00F84492">
        <w:rPr>
          <w:rFonts w:ascii="Verdana" w:hAnsi="Verdana"/>
          <w:color w:val="212121"/>
          <w:spacing w:val="5"/>
          <w:sz w:val="18"/>
          <w:szCs w:val="18"/>
        </w:rPr>
        <w:t>Doctrina de la DGT (consulta V0246-05).</w:t>
      </w:r>
    </w:p>
    <w:p w14:paraId="3302EFA1" w14:textId="77777777" w:rsidR="00F84492" w:rsidRPr="00F84492" w:rsidRDefault="00F84492" w:rsidP="00F84492">
      <w:pPr>
        <w:numPr>
          <w:ilvl w:val="0"/>
          <w:numId w:val="61"/>
        </w:numPr>
        <w:jc w:val="both"/>
        <w:rPr>
          <w:rFonts w:ascii="Verdana" w:hAnsi="Verdana"/>
          <w:color w:val="212121"/>
          <w:spacing w:val="5"/>
          <w:sz w:val="18"/>
          <w:szCs w:val="18"/>
        </w:rPr>
      </w:pPr>
      <w:r w:rsidRPr="00F84492">
        <w:rPr>
          <w:rFonts w:ascii="Verdana" w:hAnsi="Verdana"/>
          <w:color w:val="212121"/>
          <w:spacing w:val="5"/>
          <w:sz w:val="18"/>
          <w:szCs w:val="18"/>
        </w:rPr>
        <w:t>Jurisprudencia del Tribunal Supremo (STS 8-6-2015).</w:t>
      </w:r>
    </w:p>
    <w:p w14:paraId="12AFD114" w14:textId="77777777" w:rsidR="00F84492" w:rsidRPr="00F84492" w:rsidRDefault="00F84492" w:rsidP="00F84492">
      <w:pPr>
        <w:numPr>
          <w:ilvl w:val="0"/>
          <w:numId w:val="61"/>
        </w:numPr>
        <w:jc w:val="both"/>
        <w:rPr>
          <w:rFonts w:ascii="Verdana" w:hAnsi="Verdana"/>
          <w:color w:val="212121"/>
          <w:spacing w:val="5"/>
          <w:sz w:val="18"/>
          <w:szCs w:val="18"/>
        </w:rPr>
      </w:pPr>
      <w:r w:rsidRPr="00F84492">
        <w:rPr>
          <w:rFonts w:ascii="Verdana" w:hAnsi="Verdana"/>
          <w:color w:val="212121"/>
          <w:spacing w:val="5"/>
          <w:sz w:val="18"/>
          <w:szCs w:val="18"/>
        </w:rPr>
        <w:t>La finalidad antifragmentación reforzada por la Ley 11/2021.</w:t>
      </w:r>
    </w:p>
    <w:p w14:paraId="7DF49AB8" w14:textId="77777777" w:rsidR="00F84492" w:rsidRPr="00F84492" w:rsidRDefault="00000000" w:rsidP="00F84492">
      <w:pPr>
        <w:ind w:left="284"/>
        <w:jc w:val="both"/>
        <w:rPr>
          <w:rFonts w:ascii="Verdana" w:hAnsi="Verdana"/>
          <w:color w:val="212121"/>
          <w:spacing w:val="5"/>
          <w:sz w:val="18"/>
          <w:szCs w:val="18"/>
        </w:rPr>
      </w:pPr>
      <w:r>
        <w:rPr>
          <w:rFonts w:ascii="Verdana" w:hAnsi="Verdana"/>
          <w:color w:val="212121"/>
          <w:spacing w:val="5"/>
          <w:sz w:val="18"/>
          <w:szCs w:val="18"/>
        </w:rPr>
        <w:pict w14:anchorId="2020CF1D">
          <v:rect id="_x0000_i1054" style="width:0;height:1.5pt" o:hralign="center" o:hrstd="t" o:hr="t" fillcolor="#a0a0a0" stroked="f"/>
        </w:pict>
      </w:r>
    </w:p>
    <w:p w14:paraId="2BE0765D" w14:textId="5B625E06" w:rsidR="00F84492" w:rsidRPr="00F84492" w:rsidRDefault="00F84492" w:rsidP="00F84492">
      <w:pPr>
        <w:ind w:left="284"/>
        <w:jc w:val="both"/>
        <w:rPr>
          <w:rFonts w:ascii="Verdana" w:hAnsi="Verdana"/>
          <w:b/>
          <w:bCs/>
          <w:color w:val="212121"/>
          <w:spacing w:val="5"/>
          <w:sz w:val="18"/>
          <w:szCs w:val="18"/>
        </w:rPr>
      </w:pPr>
      <w:r w:rsidRPr="00F84492">
        <w:rPr>
          <w:rFonts w:ascii="Verdana" w:hAnsi="Verdana"/>
          <w:b/>
          <w:bCs/>
          <w:color w:val="212121"/>
          <w:spacing w:val="5"/>
          <w:sz w:val="18"/>
          <w:szCs w:val="18"/>
        </w:rPr>
        <w:t>Sobre la alegación de entidad patrimonial</w:t>
      </w:r>
    </w:p>
    <w:p w14:paraId="5D298874" w14:textId="77777777" w:rsid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 xml:space="preserve">La reclamante alegó ser una </w:t>
      </w:r>
      <w:r w:rsidRPr="00F84492">
        <w:rPr>
          <w:rFonts w:ascii="Verdana" w:hAnsi="Verdana"/>
          <w:b/>
          <w:bCs/>
          <w:color w:val="212121"/>
          <w:spacing w:val="5"/>
          <w:sz w:val="18"/>
          <w:szCs w:val="18"/>
        </w:rPr>
        <w:t>holding pura (entidad patrimonial)</w:t>
      </w:r>
      <w:r w:rsidRPr="00F84492">
        <w:rPr>
          <w:rFonts w:ascii="Verdana" w:hAnsi="Verdana"/>
          <w:color w:val="212121"/>
          <w:spacing w:val="5"/>
          <w:sz w:val="18"/>
          <w:szCs w:val="18"/>
        </w:rPr>
        <w:t xml:space="preserve"> sin actividad económica y, por tanto, no sujeta al IAE.</w:t>
      </w:r>
    </w:p>
    <w:p w14:paraId="7CFCEAAA" w14:textId="77777777" w:rsidR="00F84492" w:rsidRPr="00F84492" w:rsidRDefault="00F84492" w:rsidP="00F84492">
      <w:pPr>
        <w:ind w:left="284"/>
        <w:jc w:val="both"/>
        <w:rPr>
          <w:rFonts w:ascii="Verdana" w:hAnsi="Verdana"/>
          <w:color w:val="212121"/>
          <w:spacing w:val="5"/>
          <w:sz w:val="18"/>
          <w:szCs w:val="18"/>
        </w:rPr>
      </w:pPr>
    </w:p>
    <w:p w14:paraId="1D64AC99"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El TEAC rechaza esta pretensión porque:</w:t>
      </w:r>
    </w:p>
    <w:p w14:paraId="3A3E36FC" w14:textId="77777777" w:rsidR="00F84492" w:rsidRPr="00F84492" w:rsidRDefault="00F84492" w:rsidP="00F84492">
      <w:pPr>
        <w:numPr>
          <w:ilvl w:val="0"/>
          <w:numId w:val="62"/>
        </w:numPr>
        <w:jc w:val="both"/>
        <w:rPr>
          <w:rFonts w:ascii="Verdana" w:hAnsi="Verdana"/>
          <w:color w:val="212121"/>
          <w:spacing w:val="5"/>
          <w:sz w:val="18"/>
          <w:szCs w:val="18"/>
        </w:rPr>
      </w:pPr>
      <w:r w:rsidRPr="00F84492">
        <w:rPr>
          <w:rFonts w:ascii="Verdana" w:hAnsi="Verdana"/>
          <w:color w:val="212121"/>
          <w:spacing w:val="5"/>
          <w:sz w:val="18"/>
          <w:szCs w:val="18"/>
        </w:rPr>
        <w:t>En sus autoliquidaciones del Impuesto sobre Sociedades no marcó la casilla de entidad patrimonial.</w:t>
      </w:r>
    </w:p>
    <w:p w14:paraId="7FD02D5F" w14:textId="77777777" w:rsidR="00F84492" w:rsidRPr="00F84492" w:rsidRDefault="00F84492" w:rsidP="00F84492">
      <w:pPr>
        <w:numPr>
          <w:ilvl w:val="0"/>
          <w:numId w:val="62"/>
        </w:numPr>
        <w:jc w:val="both"/>
        <w:rPr>
          <w:rFonts w:ascii="Verdana" w:hAnsi="Verdana"/>
          <w:color w:val="212121"/>
          <w:spacing w:val="5"/>
          <w:sz w:val="18"/>
          <w:szCs w:val="18"/>
        </w:rPr>
      </w:pPr>
      <w:r w:rsidRPr="00F84492">
        <w:rPr>
          <w:rFonts w:ascii="Verdana" w:hAnsi="Verdana"/>
          <w:color w:val="212121"/>
          <w:spacing w:val="5"/>
          <w:sz w:val="18"/>
          <w:szCs w:val="18"/>
        </w:rPr>
        <w:t>No instó la rectificación de dichas autoliquidaciones.</w:t>
      </w:r>
    </w:p>
    <w:p w14:paraId="70698ED1" w14:textId="77777777" w:rsidR="00F84492" w:rsidRDefault="00F84492" w:rsidP="00F84492">
      <w:pPr>
        <w:numPr>
          <w:ilvl w:val="0"/>
          <w:numId w:val="62"/>
        </w:numPr>
        <w:jc w:val="both"/>
        <w:rPr>
          <w:rFonts w:ascii="Verdana" w:hAnsi="Verdana"/>
          <w:color w:val="212121"/>
          <w:spacing w:val="5"/>
          <w:sz w:val="18"/>
          <w:szCs w:val="18"/>
        </w:rPr>
      </w:pPr>
      <w:r w:rsidRPr="00F84492">
        <w:rPr>
          <w:rFonts w:ascii="Verdana" w:hAnsi="Verdana"/>
          <w:color w:val="212121"/>
          <w:spacing w:val="5"/>
          <w:sz w:val="18"/>
          <w:szCs w:val="18"/>
        </w:rPr>
        <w:t>Las cuentas anuales aportadas no desvirtúan la presunción de veracidad de las declaraciones tributarias (art. 108.4 LGT).</w:t>
      </w:r>
    </w:p>
    <w:p w14:paraId="1DB4127F" w14:textId="77777777" w:rsidR="00F84492" w:rsidRPr="00F84492" w:rsidRDefault="00F84492" w:rsidP="00F84492">
      <w:pPr>
        <w:ind w:left="720"/>
        <w:jc w:val="both"/>
        <w:rPr>
          <w:rFonts w:ascii="Verdana" w:hAnsi="Verdana"/>
          <w:color w:val="212121"/>
          <w:spacing w:val="5"/>
          <w:sz w:val="18"/>
          <w:szCs w:val="18"/>
        </w:rPr>
      </w:pPr>
    </w:p>
    <w:p w14:paraId="1C98EB21"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Asimismo, confirma que la baja en el IAE no puede tener efectos retroactivos sin prueba suficiente del cese efectivo de actividad.</w:t>
      </w:r>
    </w:p>
    <w:p w14:paraId="31810690" w14:textId="77777777" w:rsidR="00F84492" w:rsidRPr="00F84492" w:rsidRDefault="00000000" w:rsidP="00F84492">
      <w:pPr>
        <w:ind w:left="284"/>
        <w:jc w:val="both"/>
        <w:rPr>
          <w:rFonts w:ascii="Verdana" w:hAnsi="Verdana"/>
          <w:color w:val="212121"/>
          <w:spacing w:val="5"/>
          <w:sz w:val="18"/>
          <w:szCs w:val="18"/>
        </w:rPr>
      </w:pPr>
      <w:r>
        <w:rPr>
          <w:rFonts w:ascii="Verdana" w:hAnsi="Verdana"/>
          <w:color w:val="212121"/>
          <w:spacing w:val="5"/>
          <w:sz w:val="18"/>
          <w:szCs w:val="18"/>
        </w:rPr>
        <w:pict w14:anchorId="25B64921">
          <v:rect id="_x0000_i1055" style="width:0;height:1.5pt" o:hralign="center" o:hrstd="t" o:hr="t" fillcolor="#a0a0a0" stroked="f"/>
        </w:pict>
      </w:r>
    </w:p>
    <w:p w14:paraId="3DE59748" w14:textId="20364DEF" w:rsidR="00F84492" w:rsidRPr="00F84492" w:rsidRDefault="00F84492" w:rsidP="00F84492">
      <w:pPr>
        <w:ind w:left="284"/>
        <w:jc w:val="both"/>
        <w:rPr>
          <w:rFonts w:ascii="Verdana" w:hAnsi="Verdana"/>
          <w:b/>
          <w:bCs/>
          <w:color w:val="212121"/>
          <w:spacing w:val="5"/>
          <w:sz w:val="18"/>
          <w:szCs w:val="18"/>
        </w:rPr>
      </w:pPr>
      <w:r w:rsidRPr="00F84492">
        <w:rPr>
          <w:rFonts w:ascii="Verdana" w:hAnsi="Verdana"/>
          <w:b/>
          <w:bCs/>
          <w:color w:val="212121"/>
          <w:spacing w:val="5"/>
          <w:sz w:val="18"/>
          <w:szCs w:val="18"/>
        </w:rPr>
        <w:t>Conclusión</w:t>
      </w:r>
    </w:p>
    <w:p w14:paraId="2BE97E3F" w14:textId="77777777" w:rsidR="00F84492" w:rsidRPr="00F84492" w:rsidRDefault="00F84492" w:rsidP="00F84492">
      <w:pPr>
        <w:ind w:left="284"/>
        <w:jc w:val="both"/>
        <w:rPr>
          <w:rFonts w:ascii="Verdana" w:hAnsi="Verdana"/>
          <w:color w:val="212121"/>
          <w:spacing w:val="5"/>
          <w:sz w:val="18"/>
          <w:szCs w:val="18"/>
        </w:rPr>
      </w:pPr>
      <w:r w:rsidRPr="00F84492">
        <w:rPr>
          <w:rFonts w:ascii="Verdana" w:hAnsi="Verdana"/>
          <w:color w:val="212121"/>
          <w:spacing w:val="5"/>
          <w:sz w:val="18"/>
          <w:szCs w:val="18"/>
        </w:rPr>
        <w:t xml:space="preserve">El TEAC </w:t>
      </w:r>
      <w:r w:rsidRPr="00F84492">
        <w:rPr>
          <w:rFonts w:ascii="Verdana" w:hAnsi="Verdana"/>
          <w:b/>
          <w:bCs/>
          <w:color w:val="212121"/>
          <w:spacing w:val="5"/>
          <w:sz w:val="18"/>
          <w:szCs w:val="18"/>
        </w:rPr>
        <w:t>desestima la reclamación</w:t>
      </w:r>
      <w:r w:rsidRPr="00F84492">
        <w:rPr>
          <w:rFonts w:ascii="Verdana" w:hAnsi="Verdana"/>
          <w:color w:val="212121"/>
          <w:spacing w:val="5"/>
          <w:sz w:val="18"/>
          <w:szCs w:val="18"/>
        </w:rPr>
        <w:t xml:space="preserve"> y confirma:</w:t>
      </w:r>
    </w:p>
    <w:p w14:paraId="379D0F9A" w14:textId="77777777" w:rsidR="00F84492" w:rsidRDefault="00F84492" w:rsidP="00F84492">
      <w:pPr>
        <w:numPr>
          <w:ilvl w:val="0"/>
          <w:numId w:val="63"/>
        </w:numPr>
        <w:jc w:val="both"/>
        <w:rPr>
          <w:rFonts w:ascii="Verdana" w:hAnsi="Verdana"/>
          <w:color w:val="212121"/>
          <w:spacing w:val="5"/>
          <w:sz w:val="18"/>
          <w:szCs w:val="18"/>
        </w:rPr>
      </w:pPr>
      <w:r w:rsidRPr="00F84492">
        <w:rPr>
          <w:rFonts w:ascii="Verdana" w:hAnsi="Verdana"/>
          <w:color w:val="212121"/>
          <w:spacing w:val="5"/>
          <w:sz w:val="18"/>
          <w:szCs w:val="18"/>
        </w:rPr>
        <w:lastRenderedPageBreak/>
        <w:t xml:space="preserve">Que el umbral del millón de euros para la exención del IAE debe calcularse sobre el </w:t>
      </w:r>
      <w:r w:rsidRPr="00F84492">
        <w:rPr>
          <w:rFonts w:ascii="Verdana" w:hAnsi="Verdana"/>
          <w:b/>
          <w:bCs/>
          <w:color w:val="212121"/>
          <w:spacing w:val="5"/>
          <w:sz w:val="18"/>
          <w:szCs w:val="18"/>
        </w:rPr>
        <w:t>importe agregado del grupo</w:t>
      </w:r>
      <w:r w:rsidRPr="00F84492">
        <w:rPr>
          <w:rFonts w:ascii="Verdana" w:hAnsi="Verdana"/>
          <w:color w:val="212121"/>
          <w:spacing w:val="5"/>
          <w:sz w:val="18"/>
          <w:szCs w:val="18"/>
        </w:rPr>
        <w:t>, incluyendo operaciones internas.</w:t>
      </w:r>
    </w:p>
    <w:p w14:paraId="60BEB49B" w14:textId="77777777" w:rsidR="00742459" w:rsidRDefault="00742459" w:rsidP="00742459">
      <w:pPr>
        <w:ind w:left="720"/>
        <w:jc w:val="both"/>
        <w:rPr>
          <w:rFonts w:ascii="Verdana" w:hAnsi="Verdana"/>
          <w:color w:val="212121"/>
          <w:spacing w:val="5"/>
          <w:sz w:val="18"/>
          <w:szCs w:val="18"/>
        </w:rPr>
      </w:pPr>
    </w:p>
    <w:p w14:paraId="1F6C632F" w14:textId="77777777" w:rsidR="00F84492" w:rsidRPr="00F84492" w:rsidRDefault="00F84492" w:rsidP="00F84492">
      <w:pPr>
        <w:numPr>
          <w:ilvl w:val="0"/>
          <w:numId w:val="63"/>
        </w:numPr>
        <w:jc w:val="both"/>
        <w:rPr>
          <w:rFonts w:ascii="Verdana" w:hAnsi="Verdana"/>
          <w:color w:val="212121"/>
          <w:spacing w:val="5"/>
          <w:sz w:val="18"/>
          <w:szCs w:val="18"/>
        </w:rPr>
      </w:pPr>
      <w:r w:rsidRPr="00F84492">
        <w:rPr>
          <w:rFonts w:ascii="Verdana" w:hAnsi="Verdana"/>
          <w:color w:val="212121"/>
          <w:spacing w:val="5"/>
          <w:sz w:val="18"/>
          <w:szCs w:val="18"/>
        </w:rPr>
        <w:t>Que no procede la consideración de entidad patrimonial ni la baja retroactiva en el IAE sin rectificación previa del IS.</w:t>
      </w:r>
    </w:p>
    <w:p w14:paraId="1C25CC8E" w14:textId="77777777" w:rsidR="00F84492" w:rsidRPr="00F84492" w:rsidRDefault="00000000" w:rsidP="00F84492">
      <w:pPr>
        <w:ind w:left="284"/>
        <w:jc w:val="both"/>
        <w:rPr>
          <w:rFonts w:ascii="Verdana" w:hAnsi="Verdana"/>
          <w:color w:val="212121"/>
          <w:spacing w:val="5"/>
          <w:sz w:val="18"/>
          <w:szCs w:val="18"/>
        </w:rPr>
      </w:pPr>
      <w:r>
        <w:rPr>
          <w:rFonts w:ascii="Verdana" w:hAnsi="Verdana"/>
          <w:color w:val="212121"/>
          <w:spacing w:val="5"/>
          <w:sz w:val="18"/>
          <w:szCs w:val="18"/>
        </w:rPr>
        <w:pict w14:anchorId="5D20364D">
          <v:rect id="_x0000_i1056" style="width:0;height:1.5pt" o:hralign="center" o:hrstd="t" o:hr="t" fillcolor="#a0a0a0" stroked="f"/>
        </w:pict>
      </w:r>
    </w:p>
    <w:p w14:paraId="71252C30" w14:textId="5E587B5A" w:rsidR="00F84492" w:rsidRPr="00F84492" w:rsidRDefault="00F84492" w:rsidP="00F84492">
      <w:pPr>
        <w:ind w:left="284"/>
        <w:jc w:val="both"/>
        <w:rPr>
          <w:rFonts w:ascii="Verdana" w:hAnsi="Verdana"/>
          <w:b/>
          <w:bCs/>
          <w:color w:val="212121"/>
          <w:spacing w:val="5"/>
          <w:sz w:val="18"/>
          <w:szCs w:val="18"/>
        </w:rPr>
      </w:pPr>
      <w:r w:rsidRPr="00F84492">
        <w:rPr>
          <w:rFonts w:ascii="Verdana" w:hAnsi="Verdana"/>
          <w:b/>
          <w:bCs/>
          <w:color w:val="212121"/>
          <w:spacing w:val="5"/>
          <w:sz w:val="18"/>
          <w:szCs w:val="18"/>
        </w:rPr>
        <w:t>Impacto práctico</w:t>
      </w:r>
    </w:p>
    <w:p w14:paraId="3A1D2E04" w14:textId="77777777" w:rsidR="00F84492" w:rsidRPr="00F84492" w:rsidRDefault="00F84492" w:rsidP="00F84492">
      <w:pPr>
        <w:numPr>
          <w:ilvl w:val="0"/>
          <w:numId w:val="64"/>
        </w:numPr>
        <w:jc w:val="both"/>
        <w:rPr>
          <w:rFonts w:ascii="Verdana" w:hAnsi="Verdana"/>
          <w:color w:val="212121"/>
          <w:spacing w:val="5"/>
          <w:sz w:val="18"/>
          <w:szCs w:val="18"/>
        </w:rPr>
      </w:pPr>
      <w:r w:rsidRPr="00F84492">
        <w:rPr>
          <w:rFonts w:ascii="Verdana" w:hAnsi="Verdana"/>
          <w:color w:val="212121"/>
          <w:spacing w:val="5"/>
          <w:sz w:val="18"/>
          <w:szCs w:val="18"/>
        </w:rPr>
        <w:t>Refuerza la interpretación estricta de la regla antifragmentación en el IAE.</w:t>
      </w:r>
    </w:p>
    <w:p w14:paraId="0C7B1D9B" w14:textId="77777777" w:rsidR="00F84492" w:rsidRPr="00F84492" w:rsidRDefault="00F84492" w:rsidP="00F84492">
      <w:pPr>
        <w:numPr>
          <w:ilvl w:val="0"/>
          <w:numId w:val="64"/>
        </w:numPr>
        <w:jc w:val="both"/>
        <w:rPr>
          <w:rFonts w:ascii="Verdana" w:hAnsi="Verdana"/>
          <w:color w:val="212121"/>
          <w:spacing w:val="5"/>
          <w:sz w:val="18"/>
          <w:szCs w:val="18"/>
        </w:rPr>
      </w:pPr>
      <w:r w:rsidRPr="00F84492">
        <w:rPr>
          <w:rFonts w:ascii="Verdana" w:hAnsi="Verdana"/>
          <w:color w:val="212121"/>
          <w:spacing w:val="5"/>
          <w:sz w:val="18"/>
          <w:szCs w:val="18"/>
        </w:rPr>
        <w:t xml:space="preserve">Aclara que la referencia al “conjunto del grupo” </w:t>
      </w:r>
      <w:r w:rsidRPr="00F84492">
        <w:rPr>
          <w:rFonts w:ascii="Verdana" w:hAnsi="Verdana"/>
          <w:b/>
          <w:bCs/>
          <w:color w:val="212121"/>
          <w:spacing w:val="5"/>
          <w:sz w:val="18"/>
          <w:szCs w:val="18"/>
        </w:rPr>
        <w:t>implica suma agregada</w:t>
      </w:r>
      <w:r w:rsidRPr="00F84492">
        <w:rPr>
          <w:rFonts w:ascii="Verdana" w:hAnsi="Verdana"/>
          <w:color w:val="212121"/>
          <w:spacing w:val="5"/>
          <w:sz w:val="18"/>
          <w:szCs w:val="18"/>
        </w:rPr>
        <w:t>, no cifra consolidada.</w:t>
      </w:r>
    </w:p>
    <w:p w14:paraId="6A2B8817" w14:textId="77777777" w:rsidR="00F84492" w:rsidRPr="00F84492" w:rsidRDefault="00F84492" w:rsidP="00F84492">
      <w:pPr>
        <w:numPr>
          <w:ilvl w:val="0"/>
          <w:numId w:val="64"/>
        </w:numPr>
        <w:jc w:val="both"/>
        <w:rPr>
          <w:rFonts w:ascii="Verdana" w:hAnsi="Verdana"/>
          <w:color w:val="212121"/>
          <w:spacing w:val="5"/>
          <w:sz w:val="18"/>
          <w:szCs w:val="18"/>
        </w:rPr>
      </w:pPr>
      <w:r w:rsidRPr="00F84492">
        <w:rPr>
          <w:rFonts w:ascii="Verdana" w:hAnsi="Verdana"/>
          <w:color w:val="212121"/>
          <w:spacing w:val="5"/>
          <w:sz w:val="18"/>
          <w:szCs w:val="18"/>
        </w:rPr>
        <w:t>Subraya la importancia de la coherencia entre declaraciones del IS y la posición defendida en vía económico-administrativa.</w:t>
      </w:r>
    </w:p>
    <w:p w14:paraId="56DDA086" w14:textId="77777777" w:rsidR="00A579D4" w:rsidRDefault="00A579D4" w:rsidP="00347AC8">
      <w:pPr>
        <w:ind w:left="284"/>
        <w:jc w:val="both"/>
        <w:rPr>
          <w:rFonts w:ascii="Verdana" w:hAnsi="Verdana"/>
          <w:color w:val="212121"/>
          <w:spacing w:val="5"/>
          <w:sz w:val="18"/>
          <w:szCs w:val="18"/>
        </w:rPr>
      </w:pPr>
    </w:p>
    <w:p w14:paraId="0FEF0F10" w14:textId="77777777" w:rsidR="00A579D4" w:rsidRDefault="00A579D4" w:rsidP="00347AC8">
      <w:pPr>
        <w:ind w:left="284"/>
        <w:jc w:val="both"/>
        <w:rPr>
          <w:rFonts w:ascii="Verdana" w:hAnsi="Verdana"/>
          <w:color w:val="212121"/>
          <w:spacing w:val="5"/>
          <w:sz w:val="18"/>
          <w:szCs w:val="18"/>
        </w:rPr>
      </w:pPr>
    </w:p>
    <w:tbl>
      <w:tblPr>
        <w:tblW w:w="8714" w:type="dxa"/>
        <w:tblInd w:w="70" w:type="dxa"/>
        <w:tblCellMar>
          <w:left w:w="70" w:type="dxa"/>
          <w:right w:w="70" w:type="dxa"/>
        </w:tblCellMar>
        <w:tblLook w:val="0000" w:firstRow="0" w:lastRow="0" w:firstColumn="0" w:lastColumn="0" w:noHBand="0" w:noVBand="0"/>
      </w:tblPr>
      <w:tblGrid>
        <w:gridCol w:w="181"/>
        <w:gridCol w:w="8533"/>
      </w:tblGrid>
      <w:tr w:rsidR="00A579D4" w:rsidRPr="00A579D4" w14:paraId="101F7780" w14:textId="77777777" w:rsidTr="0066663E">
        <w:trPr>
          <w:trHeight w:val="272"/>
        </w:trPr>
        <w:tc>
          <w:tcPr>
            <w:tcW w:w="181" w:type="dxa"/>
            <w:shd w:val="clear" w:color="auto" w:fill="FF6600"/>
          </w:tcPr>
          <w:p w14:paraId="4F4ABA70" w14:textId="77777777" w:rsidR="00A579D4" w:rsidRPr="00A579D4" w:rsidRDefault="00A579D4" w:rsidP="0066663E">
            <w:pPr>
              <w:pStyle w:val="Textoindependiente"/>
              <w:tabs>
                <w:tab w:val="clear" w:pos="360"/>
              </w:tabs>
              <w:jc w:val="left"/>
              <w:rPr>
                <w:rFonts w:ascii="Verdana" w:hAnsi="Verdana" w:cs="Verdana"/>
                <w:color w:val="800000"/>
                <w:sz w:val="18"/>
                <w:szCs w:val="18"/>
                <w:lang w:val="es-ES" w:eastAsia="es-ES"/>
              </w:rPr>
            </w:pPr>
          </w:p>
        </w:tc>
        <w:tc>
          <w:tcPr>
            <w:tcW w:w="8533" w:type="dxa"/>
          </w:tcPr>
          <w:p w14:paraId="00DF4324" w14:textId="3A2DA087" w:rsidR="00A579D4" w:rsidRPr="00A579D4" w:rsidRDefault="000E255E" w:rsidP="0066663E">
            <w:pPr>
              <w:numPr>
                <w:ilvl w:val="0"/>
                <w:numId w:val="4"/>
              </w:numPr>
              <w:tabs>
                <w:tab w:val="clear" w:pos="502"/>
                <w:tab w:val="num" w:pos="317"/>
              </w:tabs>
              <w:ind w:left="317" w:hanging="283"/>
              <w:jc w:val="both"/>
              <w:rPr>
                <w:rFonts w:ascii="Verdana" w:hAnsi="Verdana" w:cs="Verdana"/>
                <w:b/>
                <w:bCs/>
                <w:color w:val="800000"/>
                <w:sz w:val="18"/>
                <w:szCs w:val="18"/>
              </w:rPr>
            </w:pPr>
            <w:r>
              <w:rPr>
                <w:rFonts w:ascii="Verdana" w:hAnsi="Verdana"/>
                <w:b/>
                <w:bCs/>
                <w:color w:val="800000"/>
                <w:sz w:val="18"/>
                <w:szCs w:val="18"/>
              </w:rPr>
              <w:t xml:space="preserve">LISD </w:t>
            </w:r>
            <w:r w:rsidR="00A579D4" w:rsidRPr="00A579D4">
              <w:rPr>
                <w:rFonts w:ascii="Verdana" w:hAnsi="Verdana"/>
                <w:b/>
                <w:bCs/>
                <w:color w:val="800000"/>
                <w:sz w:val="18"/>
                <w:szCs w:val="18"/>
              </w:rPr>
              <w:t>- EL TEAC DETERMINA LOS BIENES INCLUIDOS EN EL CONCEPTO DE AJUAR DOMÉSTICO, QUE NO PUEDE COMPRENDER SIN MÁS UN PORCENTAJE SOBRE LA TOTALIDAD DE LA HERENCIA</w:t>
            </w:r>
          </w:p>
        </w:tc>
      </w:tr>
    </w:tbl>
    <w:p w14:paraId="4DDABA36" w14:textId="77777777" w:rsidR="00A579D4" w:rsidRDefault="00A579D4" w:rsidP="00347AC8">
      <w:pPr>
        <w:ind w:left="284"/>
        <w:jc w:val="both"/>
        <w:rPr>
          <w:rFonts w:ascii="Verdana" w:hAnsi="Verdana"/>
          <w:color w:val="212121"/>
          <w:spacing w:val="5"/>
          <w:sz w:val="18"/>
          <w:szCs w:val="18"/>
        </w:rPr>
      </w:pPr>
    </w:p>
    <w:p w14:paraId="09128EB0" w14:textId="77777777" w:rsidR="00466085" w:rsidRPr="00466085" w:rsidRDefault="00466085" w:rsidP="00466085">
      <w:pPr>
        <w:ind w:left="284"/>
        <w:jc w:val="both"/>
        <w:rPr>
          <w:rFonts w:ascii="Verdana" w:hAnsi="Verdana"/>
          <w:b/>
          <w:bCs/>
          <w:color w:val="212121"/>
          <w:spacing w:val="5"/>
          <w:sz w:val="18"/>
          <w:szCs w:val="18"/>
        </w:rPr>
      </w:pPr>
      <w:r w:rsidRPr="00466085">
        <w:rPr>
          <w:rFonts w:ascii="Verdana" w:hAnsi="Verdana"/>
          <w:b/>
          <w:bCs/>
          <w:color w:val="212121"/>
          <w:spacing w:val="5"/>
          <w:sz w:val="18"/>
          <w:szCs w:val="18"/>
        </w:rPr>
        <w:t>TEAC. Resolución de 30 de mayo de 2025 (R.G. 6258/2024)</w:t>
      </w:r>
    </w:p>
    <w:p w14:paraId="27F8B7F3" w14:textId="77777777" w:rsidR="00466085" w:rsidRPr="00466085" w:rsidRDefault="00466085" w:rsidP="00466085">
      <w:pPr>
        <w:ind w:left="284"/>
        <w:jc w:val="both"/>
        <w:rPr>
          <w:rFonts w:ascii="Verdana" w:hAnsi="Verdana"/>
          <w:color w:val="212121"/>
          <w:spacing w:val="5"/>
          <w:sz w:val="18"/>
          <w:szCs w:val="18"/>
        </w:rPr>
      </w:pPr>
      <w:r w:rsidRPr="00466085">
        <w:rPr>
          <w:rFonts w:ascii="Verdana" w:hAnsi="Verdana"/>
          <w:b/>
          <w:bCs/>
          <w:color w:val="212121"/>
          <w:spacing w:val="5"/>
          <w:sz w:val="18"/>
          <w:szCs w:val="18"/>
        </w:rPr>
        <w:t>Impuesto sobre Sucesiones y Donaciones (ISD). Ajuar doméstico y determinación de la base imponible</w:t>
      </w:r>
    </w:p>
    <w:p w14:paraId="0BB5C018" w14:textId="78749FEF" w:rsidR="00466085" w:rsidRPr="00466085" w:rsidRDefault="00466085" w:rsidP="00466085">
      <w:pPr>
        <w:ind w:left="284"/>
        <w:jc w:val="both"/>
        <w:rPr>
          <w:rFonts w:ascii="Verdana" w:hAnsi="Verdana"/>
          <w:color w:val="212121"/>
          <w:spacing w:val="5"/>
          <w:sz w:val="18"/>
          <w:szCs w:val="18"/>
        </w:rPr>
      </w:pPr>
      <w:r w:rsidRPr="00466085">
        <w:rPr>
          <w:rFonts w:ascii="Verdana" w:hAnsi="Verdana"/>
          <w:color w:val="212121"/>
          <w:spacing w:val="5"/>
          <w:sz w:val="18"/>
          <w:szCs w:val="18"/>
        </w:rPr>
        <w:t>El Tribunal Económico-Administrativo Central estima la reclamación interpuesta contra liquidación provisional dictada por la Oficina Nacional de Gestión Tributaria en relación con el ISD, anulando el acto impugnado</w:t>
      </w:r>
      <w:r w:rsidR="00110EA2">
        <w:rPr>
          <w:rFonts w:ascii="Verdana" w:hAnsi="Verdana"/>
          <w:color w:val="212121"/>
          <w:spacing w:val="5"/>
          <w:sz w:val="18"/>
          <w:szCs w:val="18"/>
        </w:rPr>
        <w:t>.</w:t>
      </w:r>
    </w:p>
    <w:p w14:paraId="7C962201" w14:textId="2D288711" w:rsidR="00466085" w:rsidRPr="00466085" w:rsidRDefault="00466085" w:rsidP="00466085">
      <w:pPr>
        <w:ind w:left="284"/>
        <w:jc w:val="both"/>
        <w:rPr>
          <w:rFonts w:ascii="Verdana" w:hAnsi="Verdana"/>
          <w:color w:val="212121"/>
          <w:spacing w:val="5"/>
          <w:sz w:val="18"/>
          <w:szCs w:val="18"/>
        </w:rPr>
      </w:pPr>
    </w:p>
    <w:p w14:paraId="26A379D3" w14:textId="5A9009E2" w:rsidR="00466085" w:rsidRPr="00466085" w:rsidRDefault="00466085" w:rsidP="00466085">
      <w:pPr>
        <w:ind w:left="284"/>
        <w:jc w:val="both"/>
        <w:rPr>
          <w:rFonts w:ascii="Verdana" w:hAnsi="Verdana"/>
          <w:b/>
          <w:bCs/>
          <w:color w:val="212121"/>
          <w:spacing w:val="5"/>
          <w:sz w:val="18"/>
          <w:szCs w:val="18"/>
        </w:rPr>
      </w:pPr>
      <w:r w:rsidRPr="00466085">
        <w:rPr>
          <w:rFonts w:ascii="Verdana" w:hAnsi="Verdana"/>
          <w:b/>
          <w:bCs/>
          <w:color w:val="212121"/>
          <w:spacing w:val="5"/>
          <w:sz w:val="18"/>
          <w:szCs w:val="18"/>
        </w:rPr>
        <w:t>C</w:t>
      </w:r>
      <w:r w:rsidRPr="00466085">
        <w:rPr>
          <w:rFonts w:ascii="Verdana" w:hAnsi="Verdana" w:cs="Verdana"/>
          <w:b/>
          <w:bCs/>
          <w:color w:val="212121"/>
          <w:spacing w:val="5"/>
          <w:sz w:val="18"/>
          <w:szCs w:val="18"/>
        </w:rPr>
        <w:t>á</w:t>
      </w:r>
      <w:r w:rsidRPr="00466085">
        <w:rPr>
          <w:rFonts w:ascii="Verdana" w:hAnsi="Verdana"/>
          <w:b/>
          <w:bCs/>
          <w:color w:val="212121"/>
          <w:spacing w:val="5"/>
          <w:sz w:val="18"/>
          <w:szCs w:val="18"/>
        </w:rPr>
        <w:t>lculo del ajuar dom</w:t>
      </w:r>
      <w:r w:rsidRPr="00466085">
        <w:rPr>
          <w:rFonts w:ascii="Verdana" w:hAnsi="Verdana" w:cs="Verdana"/>
          <w:b/>
          <w:bCs/>
          <w:color w:val="212121"/>
          <w:spacing w:val="5"/>
          <w:sz w:val="18"/>
          <w:szCs w:val="18"/>
        </w:rPr>
        <w:t>é</w:t>
      </w:r>
      <w:r w:rsidRPr="00466085">
        <w:rPr>
          <w:rFonts w:ascii="Verdana" w:hAnsi="Verdana"/>
          <w:b/>
          <w:bCs/>
          <w:color w:val="212121"/>
          <w:spacing w:val="5"/>
          <w:sz w:val="18"/>
          <w:szCs w:val="18"/>
        </w:rPr>
        <w:t>stico</w:t>
      </w:r>
    </w:p>
    <w:p w14:paraId="6885580F" w14:textId="77777777" w:rsidR="00466085" w:rsidRPr="00466085" w:rsidRDefault="00466085" w:rsidP="00466085">
      <w:pPr>
        <w:ind w:left="284"/>
        <w:jc w:val="both"/>
        <w:rPr>
          <w:rFonts w:ascii="Verdana" w:hAnsi="Verdana"/>
          <w:color w:val="212121"/>
          <w:spacing w:val="5"/>
          <w:sz w:val="18"/>
          <w:szCs w:val="18"/>
        </w:rPr>
      </w:pPr>
      <w:r w:rsidRPr="00466085">
        <w:rPr>
          <w:rFonts w:ascii="Verdana" w:hAnsi="Verdana"/>
          <w:color w:val="212121"/>
          <w:spacing w:val="5"/>
          <w:sz w:val="18"/>
          <w:szCs w:val="18"/>
        </w:rPr>
        <w:t>El TEAC analiza la correcta determinación del ajuar doméstico conforme al artículo 15 de la Ley 29/1987 (LISD) y la doctrina del Tribunal Supremo (STS 19 de mayo de 2020).</w:t>
      </w:r>
    </w:p>
    <w:p w14:paraId="5E90316E" w14:textId="77777777" w:rsidR="00466085" w:rsidRPr="00466085" w:rsidRDefault="00466085" w:rsidP="00466085">
      <w:pPr>
        <w:ind w:left="284"/>
        <w:jc w:val="both"/>
        <w:rPr>
          <w:rFonts w:ascii="Verdana" w:hAnsi="Verdana"/>
          <w:color w:val="212121"/>
          <w:spacing w:val="5"/>
          <w:sz w:val="18"/>
          <w:szCs w:val="18"/>
        </w:rPr>
      </w:pPr>
      <w:r w:rsidRPr="00466085">
        <w:rPr>
          <w:rFonts w:ascii="Verdana" w:hAnsi="Verdana"/>
          <w:b/>
          <w:bCs/>
          <w:color w:val="212121"/>
          <w:spacing w:val="5"/>
          <w:sz w:val="18"/>
          <w:szCs w:val="18"/>
        </w:rPr>
        <w:t>Criterio reiterado:</w:t>
      </w:r>
    </w:p>
    <w:p w14:paraId="5CC53E13" w14:textId="77777777" w:rsidR="00466085" w:rsidRPr="00466085" w:rsidRDefault="00466085" w:rsidP="00466085">
      <w:pPr>
        <w:numPr>
          <w:ilvl w:val="0"/>
          <w:numId w:val="98"/>
        </w:numPr>
        <w:jc w:val="both"/>
        <w:rPr>
          <w:rFonts w:ascii="Verdana" w:hAnsi="Verdana"/>
          <w:color w:val="212121"/>
          <w:spacing w:val="5"/>
          <w:sz w:val="18"/>
          <w:szCs w:val="18"/>
        </w:rPr>
      </w:pPr>
      <w:r w:rsidRPr="00466085">
        <w:rPr>
          <w:rFonts w:ascii="Verdana" w:hAnsi="Verdana"/>
          <w:color w:val="212121"/>
          <w:spacing w:val="5"/>
          <w:sz w:val="18"/>
          <w:szCs w:val="18"/>
        </w:rPr>
        <w:t xml:space="preserve">El ajuar doméstico comprende únicamente los </w:t>
      </w:r>
      <w:r w:rsidRPr="00466085">
        <w:rPr>
          <w:rFonts w:ascii="Verdana" w:hAnsi="Verdana"/>
          <w:b/>
          <w:bCs/>
          <w:color w:val="212121"/>
          <w:spacing w:val="5"/>
          <w:sz w:val="18"/>
          <w:szCs w:val="18"/>
        </w:rPr>
        <w:t>bienes muebles afectos al servicio de la vivienda familiar o al uso personal del causante</w:t>
      </w:r>
      <w:r w:rsidRPr="00466085">
        <w:rPr>
          <w:rFonts w:ascii="Verdana" w:hAnsi="Verdana"/>
          <w:color w:val="212121"/>
          <w:spacing w:val="5"/>
          <w:sz w:val="18"/>
          <w:szCs w:val="18"/>
        </w:rPr>
        <w:t>.</w:t>
      </w:r>
    </w:p>
    <w:p w14:paraId="15EB3513" w14:textId="6C78D805" w:rsidR="00466085" w:rsidRPr="00466085" w:rsidRDefault="00466085" w:rsidP="00466085">
      <w:pPr>
        <w:numPr>
          <w:ilvl w:val="0"/>
          <w:numId w:val="98"/>
        </w:numPr>
        <w:jc w:val="both"/>
        <w:rPr>
          <w:rFonts w:ascii="Verdana" w:hAnsi="Verdana"/>
          <w:color w:val="212121"/>
          <w:spacing w:val="5"/>
          <w:sz w:val="18"/>
          <w:szCs w:val="18"/>
        </w:rPr>
      </w:pPr>
      <w:r w:rsidRPr="00466085">
        <w:rPr>
          <w:rFonts w:ascii="Verdana" w:hAnsi="Verdana"/>
          <w:color w:val="212121"/>
          <w:spacing w:val="5"/>
          <w:sz w:val="18"/>
          <w:szCs w:val="18"/>
        </w:rPr>
        <w:t xml:space="preserve">La presunción del </w:t>
      </w:r>
      <w:r w:rsidRPr="00466085">
        <w:rPr>
          <w:rFonts w:ascii="Verdana" w:hAnsi="Verdana"/>
          <w:b/>
          <w:bCs/>
          <w:color w:val="212121"/>
          <w:spacing w:val="5"/>
          <w:sz w:val="18"/>
          <w:szCs w:val="18"/>
        </w:rPr>
        <w:t xml:space="preserve">3% del caudal relicto es </w:t>
      </w:r>
      <w:r w:rsidR="00110EA2">
        <w:rPr>
          <w:rFonts w:ascii="Verdana" w:hAnsi="Verdana"/>
          <w:b/>
          <w:bCs/>
          <w:color w:val="212121"/>
          <w:spacing w:val="5"/>
          <w:sz w:val="18"/>
          <w:szCs w:val="18"/>
        </w:rPr>
        <w:t>“</w:t>
      </w:r>
      <w:r w:rsidRPr="00466085">
        <w:rPr>
          <w:rFonts w:ascii="Verdana" w:hAnsi="Verdana"/>
          <w:b/>
          <w:bCs/>
          <w:color w:val="212121"/>
          <w:spacing w:val="5"/>
          <w:sz w:val="18"/>
          <w:szCs w:val="18"/>
        </w:rPr>
        <w:t>iuris tantum</w:t>
      </w:r>
      <w:r w:rsidR="00110EA2">
        <w:rPr>
          <w:rFonts w:ascii="Verdana" w:hAnsi="Verdana"/>
          <w:b/>
          <w:bCs/>
          <w:color w:val="212121"/>
          <w:spacing w:val="5"/>
          <w:sz w:val="18"/>
          <w:szCs w:val="18"/>
        </w:rPr>
        <w:t>”</w:t>
      </w:r>
      <w:r w:rsidRPr="00466085">
        <w:rPr>
          <w:rFonts w:ascii="Verdana" w:hAnsi="Verdana"/>
          <w:color w:val="212121"/>
          <w:spacing w:val="5"/>
          <w:sz w:val="18"/>
          <w:szCs w:val="18"/>
        </w:rPr>
        <w:t>, por lo que admite prueba en contrario.</w:t>
      </w:r>
    </w:p>
    <w:p w14:paraId="7B5FC907" w14:textId="77777777" w:rsidR="00466085" w:rsidRPr="00466085" w:rsidRDefault="00466085" w:rsidP="00466085">
      <w:pPr>
        <w:numPr>
          <w:ilvl w:val="0"/>
          <w:numId w:val="98"/>
        </w:numPr>
        <w:jc w:val="both"/>
        <w:rPr>
          <w:rFonts w:ascii="Verdana" w:hAnsi="Verdana"/>
          <w:color w:val="212121"/>
          <w:spacing w:val="5"/>
          <w:sz w:val="18"/>
          <w:szCs w:val="18"/>
        </w:rPr>
      </w:pPr>
      <w:r w:rsidRPr="00466085">
        <w:rPr>
          <w:rFonts w:ascii="Verdana" w:hAnsi="Verdana"/>
          <w:color w:val="212121"/>
          <w:spacing w:val="5"/>
          <w:sz w:val="18"/>
          <w:szCs w:val="18"/>
        </w:rPr>
        <w:t>No forman parte del ajuar:</w:t>
      </w:r>
    </w:p>
    <w:p w14:paraId="24B01B6A" w14:textId="77777777" w:rsidR="00466085" w:rsidRPr="00466085" w:rsidRDefault="00466085" w:rsidP="00466085">
      <w:pPr>
        <w:numPr>
          <w:ilvl w:val="1"/>
          <w:numId w:val="98"/>
        </w:numPr>
        <w:jc w:val="both"/>
        <w:rPr>
          <w:rFonts w:ascii="Verdana" w:hAnsi="Verdana"/>
          <w:color w:val="212121"/>
          <w:spacing w:val="5"/>
          <w:sz w:val="18"/>
          <w:szCs w:val="18"/>
        </w:rPr>
      </w:pPr>
      <w:r w:rsidRPr="00466085">
        <w:rPr>
          <w:rFonts w:ascii="Verdana" w:hAnsi="Verdana"/>
          <w:color w:val="212121"/>
          <w:spacing w:val="5"/>
          <w:sz w:val="18"/>
          <w:szCs w:val="18"/>
        </w:rPr>
        <w:t>Inmuebles en general.</w:t>
      </w:r>
    </w:p>
    <w:p w14:paraId="13186D61" w14:textId="77777777" w:rsidR="00466085" w:rsidRPr="00466085" w:rsidRDefault="00466085" w:rsidP="00466085">
      <w:pPr>
        <w:numPr>
          <w:ilvl w:val="1"/>
          <w:numId w:val="98"/>
        </w:numPr>
        <w:jc w:val="both"/>
        <w:rPr>
          <w:rFonts w:ascii="Verdana" w:hAnsi="Verdana"/>
          <w:color w:val="212121"/>
          <w:spacing w:val="5"/>
          <w:sz w:val="18"/>
          <w:szCs w:val="18"/>
        </w:rPr>
      </w:pPr>
      <w:r w:rsidRPr="00466085">
        <w:rPr>
          <w:rFonts w:ascii="Verdana" w:hAnsi="Verdana"/>
          <w:color w:val="212121"/>
          <w:spacing w:val="5"/>
          <w:sz w:val="18"/>
          <w:szCs w:val="18"/>
        </w:rPr>
        <w:t>Bienes productivos.</w:t>
      </w:r>
    </w:p>
    <w:p w14:paraId="2B28DABC" w14:textId="77777777" w:rsidR="00466085" w:rsidRPr="00466085" w:rsidRDefault="00466085" w:rsidP="00466085">
      <w:pPr>
        <w:numPr>
          <w:ilvl w:val="1"/>
          <w:numId w:val="98"/>
        </w:numPr>
        <w:jc w:val="both"/>
        <w:rPr>
          <w:rFonts w:ascii="Verdana" w:hAnsi="Verdana"/>
          <w:color w:val="212121"/>
          <w:spacing w:val="5"/>
          <w:sz w:val="18"/>
          <w:szCs w:val="18"/>
        </w:rPr>
      </w:pPr>
      <w:r w:rsidRPr="00466085">
        <w:rPr>
          <w:rFonts w:ascii="Verdana" w:hAnsi="Verdana"/>
          <w:color w:val="212121"/>
          <w:spacing w:val="5"/>
          <w:sz w:val="18"/>
          <w:szCs w:val="18"/>
        </w:rPr>
        <w:t>Dinero, valores mobiliarios y activos financieros.</w:t>
      </w:r>
    </w:p>
    <w:p w14:paraId="595C367C" w14:textId="77777777" w:rsidR="00466085" w:rsidRDefault="00466085" w:rsidP="00466085">
      <w:pPr>
        <w:numPr>
          <w:ilvl w:val="1"/>
          <w:numId w:val="98"/>
        </w:numPr>
        <w:jc w:val="both"/>
        <w:rPr>
          <w:rFonts w:ascii="Verdana" w:hAnsi="Verdana"/>
          <w:color w:val="212121"/>
          <w:spacing w:val="5"/>
          <w:sz w:val="18"/>
          <w:szCs w:val="18"/>
        </w:rPr>
      </w:pPr>
      <w:r w:rsidRPr="00466085">
        <w:rPr>
          <w:rFonts w:ascii="Verdana" w:hAnsi="Verdana"/>
          <w:color w:val="212121"/>
          <w:spacing w:val="5"/>
          <w:sz w:val="18"/>
          <w:szCs w:val="18"/>
        </w:rPr>
        <w:t>Bienes afectos a actividades económicas.</w:t>
      </w:r>
    </w:p>
    <w:p w14:paraId="15821F08" w14:textId="77777777" w:rsidR="00466085" w:rsidRPr="00466085" w:rsidRDefault="00466085" w:rsidP="00110EA2">
      <w:pPr>
        <w:ind w:left="1080"/>
        <w:jc w:val="both"/>
        <w:rPr>
          <w:rFonts w:ascii="Verdana" w:hAnsi="Verdana"/>
          <w:color w:val="212121"/>
          <w:spacing w:val="5"/>
          <w:sz w:val="18"/>
          <w:szCs w:val="18"/>
        </w:rPr>
      </w:pPr>
    </w:p>
    <w:p w14:paraId="41A32B3B" w14:textId="3BED3F43" w:rsidR="00466085" w:rsidRPr="00466085" w:rsidRDefault="00466085" w:rsidP="00466085">
      <w:pPr>
        <w:ind w:left="284"/>
        <w:jc w:val="both"/>
        <w:rPr>
          <w:rFonts w:ascii="Verdana" w:hAnsi="Verdana"/>
          <w:b/>
          <w:bCs/>
          <w:color w:val="212121"/>
          <w:spacing w:val="5"/>
          <w:sz w:val="18"/>
          <w:szCs w:val="18"/>
        </w:rPr>
      </w:pPr>
      <w:r w:rsidRPr="00466085">
        <w:rPr>
          <w:rFonts w:ascii="Verdana" w:hAnsi="Verdana"/>
          <w:b/>
          <w:bCs/>
          <w:color w:val="212121"/>
          <w:spacing w:val="5"/>
          <w:sz w:val="18"/>
          <w:szCs w:val="18"/>
        </w:rPr>
        <w:t>Inmuebles y ajuar doméstico</w:t>
      </w:r>
    </w:p>
    <w:p w14:paraId="2BBE5DC3" w14:textId="77777777" w:rsidR="00466085" w:rsidRPr="00466085" w:rsidRDefault="00466085" w:rsidP="00466085">
      <w:pPr>
        <w:ind w:left="284"/>
        <w:jc w:val="both"/>
        <w:rPr>
          <w:rFonts w:ascii="Verdana" w:hAnsi="Verdana"/>
          <w:color w:val="212121"/>
          <w:spacing w:val="5"/>
          <w:sz w:val="18"/>
          <w:szCs w:val="18"/>
        </w:rPr>
      </w:pPr>
      <w:r w:rsidRPr="00466085">
        <w:rPr>
          <w:rFonts w:ascii="Verdana" w:hAnsi="Verdana"/>
          <w:color w:val="212121"/>
          <w:spacing w:val="5"/>
          <w:sz w:val="18"/>
          <w:szCs w:val="18"/>
        </w:rPr>
        <w:t>El Tribunal distingue:</w:t>
      </w:r>
    </w:p>
    <w:p w14:paraId="411FC7D3" w14:textId="17A0C083" w:rsidR="00466085" w:rsidRDefault="00466085" w:rsidP="00466085">
      <w:pPr>
        <w:numPr>
          <w:ilvl w:val="0"/>
          <w:numId w:val="99"/>
        </w:numPr>
        <w:jc w:val="both"/>
        <w:rPr>
          <w:rFonts w:ascii="Verdana" w:hAnsi="Verdana"/>
          <w:color w:val="212121"/>
          <w:spacing w:val="5"/>
          <w:sz w:val="18"/>
          <w:szCs w:val="18"/>
        </w:rPr>
      </w:pPr>
      <w:r w:rsidRPr="00466085">
        <w:rPr>
          <w:rFonts w:ascii="Verdana" w:hAnsi="Verdana"/>
          <w:b/>
          <w:bCs/>
          <w:color w:val="212121"/>
          <w:spacing w:val="5"/>
          <w:sz w:val="18"/>
          <w:szCs w:val="18"/>
        </w:rPr>
        <w:t>Viviendas destinadas a residencia del causante</w:t>
      </w:r>
      <w:r w:rsidRPr="00466085">
        <w:rPr>
          <w:rFonts w:ascii="Verdana" w:hAnsi="Verdana"/>
          <w:color w:val="212121"/>
          <w:spacing w:val="5"/>
          <w:sz w:val="18"/>
          <w:szCs w:val="18"/>
        </w:rPr>
        <w:t xml:space="preserve"> (habitual o segundas residencias): pueden integrar la base para calcular el 3%.</w:t>
      </w:r>
    </w:p>
    <w:p w14:paraId="154F2D75" w14:textId="77777777" w:rsidR="00466085" w:rsidRPr="00466085" w:rsidRDefault="00466085" w:rsidP="00466085">
      <w:pPr>
        <w:ind w:left="360"/>
        <w:jc w:val="both"/>
        <w:rPr>
          <w:rFonts w:ascii="Verdana" w:hAnsi="Verdana"/>
          <w:color w:val="212121"/>
          <w:spacing w:val="5"/>
          <w:sz w:val="18"/>
          <w:szCs w:val="18"/>
        </w:rPr>
      </w:pPr>
    </w:p>
    <w:p w14:paraId="7B41B627" w14:textId="0D062CE5" w:rsidR="00466085" w:rsidRPr="00466085" w:rsidRDefault="00466085" w:rsidP="00466085">
      <w:pPr>
        <w:numPr>
          <w:ilvl w:val="0"/>
          <w:numId w:val="99"/>
        </w:numPr>
        <w:jc w:val="both"/>
        <w:rPr>
          <w:rFonts w:ascii="Verdana" w:hAnsi="Verdana"/>
          <w:color w:val="212121"/>
          <w:spacing w:val="5"/>
          <w:sz w:val="18"/>
          <w:szCs w:val="18"/>
        </w:rPr>
      </w:pPr>
      <w:r w:rsidRPr="00466085">
        <w:rPr>
          <w:rFonts w:ascii="Verdana" w:hAnsi="Verdana"/>
          <w:b/>
          <w:bCs/>
          <w:color w:val="212121"/>
          <w:spacing w:val="5"/>
          <w:sz w:val="18"/>
          <w:szCs w:val="18"/>
        </w:rPr>
        <w:t>Inmuebles arrendados o cedidos gratuitamente</w:t>
      </w:r>
      <w:r w:rsidRPr="00466085">
        <w:rPr>
          <w:rFonts w:ascii="Verdana" w:hAnsi="Verdana"/>
          <w:color w:val="212121"/>
          <w:spacing w:val="5"/>
          <w:sz w:val="18"/>
          <w:szCs w:val="18"/>
        </w:rPr>
        <w:t xml:space="preserve"> a terceros en el momento del devengo: no deben incluirse, al no estar afectos al uso personal del causante.</w:t>
      </w:r>
    </w:p>
    <w:p w14:paraId="3C1A46D1" w14:textId="77777777" w:rsidR="00466085" w:rsidRDefault="00466085" w:rsidP="00466085">
      <w:pPr>
        <w:ind w:left="284"/>
        <w:jc w:val="both"/>
        <w:rPr>
          <w:rFonts w:ascii="Verdana" w:hAnsi="Verdana"/>
          <w:color w:val="212121"/>
          <w:spacing w:val="5"/>
          <w:sz w:val="18"/>
          <w:szCs w:val="18"/>
        </w:rPr>
      </w:pPr>
    </w:p>
    <w:p w14:paraId="22F5E178" w14:textId="60306833" w:rsidR="00466085" w:rsidRDefault="00466085" w:rsidP="00466085">
      <w:pPr>
        <w:ind w:left="284"/>
        <w:jc w:val="both"/>
        <w:rPr>
          <w:rFonts w:ascii="Verdana" w:hAnsi="Verdana"/>
          <w:color w:val="212121"/>
          <w:spacing w:val="5"/>
          <w:sz w:val="18"/>
          <w:szCs w:val="18"/>
        </w:rPr>
      </w:pPr>
      <w:r w:rsidRPr="00466085">
        <w:rPr>
          <w:rFonts w:ascii="Verdana" w:hAnsi="Verdana"/>
          <w:color w:val="212121"/>
          <w:spacing w:val="5"/>
          <w:sz w:val="18"/>
          <w:szCs w:val="18"/>
        </w:rPr>
        <w:t>En el caso concreto, el inmueble de Barcelona no constituía residencia habitual ni segunda residencia de la causante, pues estaba ocupado por su hija (copropietaria al 50% y empadronada en él). El hecho de que se declarara como “imputación de renta inmobiliaria” en IRPF no implica disponibilidad efectiva ni afectación al uso personal.</w:t>
      </w:r>
    </w:p>
    <w:p w14:paraId="04EDECA8" w14:textId="77777777" w:rsidR="00466085" w:rsidRPr="00466085" w:rsidRDefault="00466085" w:rsidP="00466085">
      <w:pPr>
        <w:ind w:left="284"/>
        <w:jc w:val="both"/>
        <w:rPr>
          <w:rFonts w:ascii="Verdana" w:hAnsi="Verdana"/>
          <w:color w:val="212121"/>
          <w:spacing w:val="5"/>
          <w:sz w:val="18"/>
          <w:szCs w:val="18"/>
        </w:rPr>
      </w:pPr>
    </w:p>
    <w:p w14:paraId="4DD77044" w14:textId="571B950B" w:rsidR="00466085" w:rsidRPr="00466085" w:rsidRDefault="00466085" w:rsidP="00466085">
      <w:pPr>
        <w:ind w:left="284"/>
        <w:jc w:val="both"/>
        <w:rPr>
          <w:rFonts w:ascii="Verdana" w:hAnsi="Verdana"/>
          <w:color w:val="212121"/>
          <w:spacing w:val="5"/>
          <w:sz w:val="18"/>
          <w:szCs w:val="18"/>
        </w:rPr>
      </w:pPr>
      <w:r w:rsidRPr="00466085">
        <w:rPr>
          <w:rFonts w:ascii="Verdana" w:hAnsi="Verdana"/>
          <w:color w:val="212121"/>
          <w:spacing w:val="5"/>
          <w:sz w:val="18"/>
          <w:szCs w:val="18"/>
          <w:u w:val="single"/>
        </w:rPr>
        <w:t>Conclusión</w:t>
      </w:r>
      <w:r w:rsidRPr="00466085">
        <w:rPr>
          <w:rFonts w:ascii="Verdana" w:hAnsi="Verdana"/>
          <w:color w:val="212121"/>
          <w:spacing w:val="5"/>
          <w:sz w:val="18"/>
          <w:szCs w:val="18"/>
        </w:rPr>
        <w:t xml:space="preserve">: </w:t>
      </w:r>
      <w:r w:rsidRPr="00466085">
        <w:rPr>
          <w:rFonts w:ascii="Verdana" w:hAnsi="Verdana"/>
          <w:b/>
          <w:bCs/>
          <w:color w:val="212121"/>
          <w:spacing w:val="5"/>
          <w:sz w:val="18"/>
          <w:szCs w:val="18"/>
        </w:rPr>
        <w:t>no debía computarse para el cálculo del ajuar doméstico</w:t>
      </w:r>
      <w:r w:rsidRPr="00466085">
        <w:rPr>
          <w:rFonts w:ascii="Verdana" w:hAnsi="Verdana"/>
          <w:color w:val="212121"/>
          <w:spacing w:val="5"/>
          <w:sz w:val="18"/>
          <w:szCs w:val="18"/>
        </w:rPr>
        <w:t xml:space="preserve"> </w:t>
      </w:r>
    </w:p>
    <w:p w14:paraId="3DBF17C4" w14:textId="583D991D" w:rsidR="00466085" w:rsidRPr="00466085" w:rsidRDefault="00466085" w:rsidP="00466085">
      <w:pPr>
        <w:ind w:left="284"/>
        <w:jc w:val="both"/>
        <w:rPr>
          <w:rFonts w:ascii="Verdana" w:hAnsi="Verdana"/>
          <w:color w:val="212121"/>
          <w:spacing w:val="5"/>
          <w:sz w:val="18"/>
          <w:szCs w:val="18"/>
        </w:rPr>
      </w:pPr>
    </w:p>
    <w:p w14:paraId="66FF879A" w14:textId="4E27E38C" w:rsidR="00466085" w:rsidRPr="00466085" w:rsidRDefault="00466085" w:rsidP="00466085">
      <w:pPr>
        <w:ind w:left="284"/>
        <w:jc w:val="both"/>
        <w:rPr>
          <w:rFonts w:ascii="Verdana" w:hAnsi="Verdana"/>
          <w:b/>
          <w:bCs/>
          <w:color w:val="212121"/>
          <w:spacing w:val="5"/>
          <w:sz w:val="18"/>
          <w:szCs w:val="18"/>
        </w:rPr>
      </w:pPr>
      <w:r w:rsidRPr="00466085">
        <w:rPr>
          <w:rFonts w:ascii="Verdana" w:hAnsi="Verdana"/>
          <w:b/>
          <w:bCs/>
          <w:color w:val="212121"/>
          <w:spacing w:val="5"/>
          <w:sz w:val="18"/>
          <w:szCs w:val="18"/>
        </w:rPr>
        <w:t>Doctrina relevante para la práctica profesional</w:t>
      </w:r>
    </w:p>
    <w:p w14:paraId="74021122" w14:textId="77777777" w:rsidR="00466085" w:rsidRPr="00466085" w:rsidRDefault="00466085" w:rsidP="00466085">
      <w:pPr>
        <w:numPr>
          <w:ilvl w:val="0"/>
          <w:numId w:val="102"/>
        </w:numPr>
        <w:jc w:val="both"/>
        <w:rPr>
          <w:rFonts w:ascii="Verdana" w:hAnsi="Verdana"/>
          <w:color w:val="212121"/>
          <w:spacing w:val="5"/>
          <w:sz w:val="18"/>
          <w:szCs w:val="18"/>
        </w:rPr>
      </w:pPr>
      <w:r w:rsidRPr="00466085">
        <w:rPr>
          <w:rFonts w:ascii="Verdana" w:hAnsi="Verdana"/>
          <w:color w:val="212121"/>
          <w:spacing w:val="5"/>
          <w:sz w:val="18"/>
          <w:szCs w:val="18"/>
        </w:rPr>
        <w:t xml:space="preserve">El 3% del ajuar doméstico </w:t>
      </w:r>
      <w:r w:rsidRPr="00466085">
        <w:rPr>
          <w:rFonts w:ascii="Verdana" w:hAnsi="Verdana"/>
          <w:b/>
          <w:bCs/>
          <w:color w:val="212121"/>
          <w:spacing w:val="5"/>
          <w:sz w:val="18"/>
          <w:szCs w:val="18"/>
        </w:rPr>
        <w:t>no se aplica automáticamente sobre todo el caudal relicto</w:t>
      </w:r>
      <w:r w:rsidRPr="00466085">
        <w:rPr>
          <w:rFonts w:ascii="Verdana" w:hAnsi="Verdana"/>
          <w:color w:val="212121"/>
          <w:spacing w:val="5"/>
          <w:sz w:val="18"/>
          <w:szCs w:val="18"/>
        </w:rPr>
        <w:t>.</w:t>
      </w:r>
    </w:p>
    <w:p w14:paraId="0E583EAA" w14:textId="77777777" w:rsidR="00466085" w:rsidRPr="00466085" w:rsidRDefault="00466085" w:rsidP="00466085">
      <w:pPr>
        <w:numPr>
          <w:ilvl w:val="0"/>
          <w:numId w:val="102"/>
        </w:numPr>
        <w:jc w:val="both"/>
        <w:rPr>
          <w:rFonts w:ascii="Verdana" w:hAnsi="Verdana"/>
          <w:color w:val="212121"/>
          <w:spacing w:val="5"/>
          <w:sz w:val="18"/>
          <w:szCs w:val="18"/>
        </w:rPr>
      </w:pPr>
      <w:r w:rsidRPr="00466085">
        <w:rPr>
          <w:rFonts w:ascii="Verdana" w:hAnsi="Verdana"/>
          <w:color w:val="212121"/>
          <w:spacing w:val="5"/>
          <w:sz w:val="18"/>
          <w:szCs w:val="18"/>
        </w:rPr>
        <w:t>Solo deben incluirse inmuebles efectivamente destinados a residencia del causante.</w:t>
      </w:r>
    </w:p>
    <w:p w14:paraId="6A68B63A" w14:textId="77777777" w:rsidR="00466085" w:rsidRPr="00466085" w:rsidRDefault="00466085" w:rsidP="00466085">
      <w:pPr>
        <w:numPr>
          <w:ilvl w:val="0"/>
          <w:numId w:val="102"/>
        </w:numPr>
        <w:jc w:val="both"/>
        <w:rPr>
          <w:rFonts w:ascii="Verdana" w:hAnsi="Verdana"/>
          <w:color w:val="212121"/>
          <w:spacing w:val="5"/>
          <w:sz w:val="18"/>
          <w:szCs w:val="18"/>
        </w:rPr>
      </w:pPr>
      <w:r w:rsidRPr="00466085">
        <w:rPr>
          <w:rFonts w:ascii="Verdana" w:hAnsi="Verdana"/>
          <w:color w:val="212121"/>
          <w:spacing w:val="5"/>
          <w:sz w:val="18"/>
          <w:szCs w:val="18"/>
        </w:rPr>
        <w:t xml:space="preserve">La mera imputación de renta inmobiliaria en IRPF </w:t>
      </w:r>
      <w:r w:rsidRPr="00466085">
        <w:rPr>
          <w:rFonts w:ascii="Verdana" w:hAnsi="Verdana"/>
          <w:b/>
          <w:bCs/>
          <w:color w:val="212121"/>
          <w:spacing w:val="5"/>
          <w:sz w:val="18"/>
          <w:szCs w:val="18"/>
        </w:rPr>
        <w:t>no acredita afectación al uso personal</w:t>
      </w:r>
      <w:r w:rsidRPr="00466085">
        <w:rPr>
          <w:rFonts w:ascii="Verdana" w:hAnsi="Verdana"/>
          <w:color w:val="212121"/>
          <w:spacing w:val="5"/>
          <w:sz w:val="18"/>
          <w:szCs w:val="18"/>
        </w:rPr>
        <w:t>.</w:t>
      </w:r>
    </w:p>
    <w:p w14:paraId="4E23D14C" w14:textId="77777777" w:rsidR="00466085" w:rsidRPr="00466085" w:rsidRDefault="00466085" w:rsidP="00466085">
      <w:pPr>
        <w:numPr>
          <w:ilvl w:val="0"/>
          <w:numId w:val="102"/>
        </w:numPr>
        <w:jc w:val="both"/>
        <w:rPr>
          <w:rFonts w:ascii="Verdana" w:hAnsi="Verdana"/>
          <w:color w:val="212121"/>
          <w:spacing w:val="5"/>
          <w:sz w:val="18"/>
          <w:szCs w:val="18"/>
        </w:rPr>
      </w:pPr>
      <w:r w:rsidRPr="00466085">
        <w:rPr>
          <w:rFonts w:ascii="Verdana" w:hAnsi="Verdana"/>
          <w:color w:val="212121"/>
          <w:spacing w:val="5"/>
          <w:sz w:val="18"/>
          <w:szCs w:val="18"/>
        </w:rPr>
        <w:t>En sucesiones testadas, la base imponible debe respetar estrictamente las disposiciones del testamento.</w:t>
      </w:r>
    </w:p>
    <w:p w14:paraId="4362B675" w14:textId="2CCBA48F" w:rsidR="00BD425E" w:rsidRPr="00003D87" w:rsidRDefault="00466085" w:rsidP="00003D87">
      <w:pPr>
        <w:numPr>
          <w:ilvl w:val="0"/>
          <w:numId w:val="102"/>
        </w:numPr>
        <w:jc w:val="both"/>
        <w:rPr>
          <w:rFonts w:ascii="Verdana" w:hAnsi="Verdana"/>
          <w:color w:val="212121"/>
          <w:spacing w:val="5"/>
          <w:sz w:val="18"/>
          <w:szCs w:val="18"/>
        </w:rPr>
      </w:pPr>
      <w:r w:rsidRPr="00466085">
        <w:rPr>
          <w:rFonts w:ascii="Verdana" w:hAnsi="Verdana"/>
          <w:color w:val="212121"/>
          <w:spacing w:val="5"/>
          <w:sz w:val="18"/>
          <w:szCs w:val="18"/>
        </w:rPr>
        <w:lastRenderedPageBreak/>
        <w:t>El artículo 27 LISD no permite reconstruir ficticiamente la herencia conforme a reglas de sucesión intestada si existe testamento válido.</w:t>
      </w:r>
      <w:r w:rsidR="00BD425E" w:rsidRPr="00003D87">
        <w:rPr>
          <w:rFonts w:ascii="Verdana" w:hAnsi="Verdana"/>
          <w:color w:val="212121"/>
          <w:spacing w:val="5"/>
          <w:sz w:val="18"/>
          <w:szCs w:val="18"/>
        </w:rPr>
        <w:br w:type="page"/>
      </w:r>
    </w:p>
    <w:p w14:paraId="79BB1F0A" w14:textId="6742B852" w:rsidR="00FE5FAD" w:rsidRPr="00776E79" w:rsidRDefault="00FE5FAD" w:rsidP="000D29C0">
      <w:pPr>
        <w:contextualSpacing/>
        <w:jc w:val="both"/>
        <w:rPr>
          <w:rFonts w:ascii="Verdana" w:hAnsi="Verdana"/>
          <w:b/>
          <w:bCs/>
          <w:color w:val="800000"/>
          <w:szCs w:val="20"/>
        </w:rPr>
      </w:pPr>
      <w:r w:rsidRPr="00776E79">
        <w:rPr>
          <w:rFonts w:ascii="Verdana" w:hAnsi="Verdana"/>
          <w:b/>
          <w:bCs/>
          <w:color w:val="800000"/>
          <w:szCs w:val="20"/>
        </w:rPr>
        <w:lastRenderedPageBreak/>
        <w:t>DISPOSICIONES PUBLICADAS DURANTE</w:t>
      </w:r>
      <w:r w:rsidR="00136BD9">
        <w:rPr>
          <w:rFonts w:ascii="Verdana" w:hAnsi="Verdana"/>
          <w:b/>
          <w:bCs/>
          <w:color w:val="800000"/>
          <w:szCs w:val="20"/>
        </w:rPr>
        <w:t xml:space="preserve"> </w:t>
      </w:r>
      <w:r w:rsidR="00592702">
        <w:rPr>
          <w:rFonts w:ascii="Verdana" w:hAnsi="Verdana"/>
          <w:b/>
          <w:bCs/>
          <w:color w:val="800000"/>
          <w:szCs w:val="20"/>
        </w:rPr>
        <w:t>LOS MESES DE ENERO Y</w:t>
      </w:r>
      <w:r w:rsidR="00EF38DF" w:rsidRPr="00776E79">
        <w:rPr>
          <w:rFonts w:ascii="Verdana" w:hAnsi="Verdana"/>
          <w:b/>
          <w:bCs/>
          <w:color w:val="800000"/>
          <w:szCs w:val="20"/>
        </w:rPr>
        <w:t xml:space="preserve"> </w:t>
      </w:r>
      <w:r w:rsidRPr="00776E79">
        <w:rPr>
          <w:rFonts w:ascii="Verdana" w:hAnsi="Verdana"/>
          <w:b/>
          <w:bCs/>
          <w:color w:val="800000"/>
          <w:szCs w:val="20"/>
        </w:rPr>
        <w:t xml:space="preserve">FEBRERO DE </w:t>
      </w:r>
      <w:r w:rsidR="00284267">
        <w:rPr>
          <w:rFonts w:ascii="Verdana" w:hAnsi="Verdana"/>
          <w:b/>
          <w:bCs/>
          <w:color w:val="800000"/>
          <w:szCs w:val="20"/>
        </w:rPr>
        <w:t>202</w:t>
      </w:r>
      <w:r w:rsidR="00155526">
        <w:rPr>
          <w:rFonts w:ascii="Verdana" w:hAnsi="Verdana"/>
          <w:b/>
          <w:bCs/>
          <w:color w:val="800000"/>
          <w:szCs w:val="20"/>
        </w:rPr>
        <w:t>6</w:t>
      </w:r>
    </w:p>
    <w:p w14:paraId="1AA2A8FD" w14:textId="77777777" w:rsidR="00FE5FAD" w:rsidRPr="00776E79" w:rsidRDefault="00FE5FAD">
      <w:pPr>
        <w:pStyle w:val="Sangradetextonormal"/>
        <w:ind w:left="0"/>
        <w:jc w:val="left"/>
        <w:rPr>
          <w:rFonts w:ascii="Verdana" w:hAnsi="Verdana"/>
          <w:b/>
          <w:bCs/>
          <w:color w:val="800000"/>
          <w:sz w:val="20"/>
          <w:szCs w:val="20"/>
        </w:rPr>
      </w:pPr>
    </w:p>
    <w:p w14:paraId="421A0F5A" w14:textId="77777777" w:rsidR="00A743D2" w:rsidRPr="00A743D2" w:rsidRDefault="00A743D2" w:rsidP="00A743D2">
      <w:pPr>
        <w:pStyle w:val="Sangradetextonormal"/>
        <w:ind w:left="0"/>
        <w:rPr>
          <w:rFonts w:ascii="Verdana" w:hAnsi="Verdana"/>
          <w:b/>
          <w:bCs/>
          <w:color w:val="800000"/>
          <w:sz w:val="18"/>
          <w:szCs w:val="18"/>
        </w:rPr>
      </w:pPr>
      <w:r w:rsidRPr="00A743D2">
        <w:rPr>
          <w:rFonts w:ascii="Verdana" w:hAnsi="Verdana"/>
          <w:b/>
          <w:bCs/>
          <w:color w:val="800000"/>
          <w:sz w:val="18"/>
          <w:szCs w:val="18"/>
        </w:rPr>
        <w:t>Medidas urgentes</w:t>
      </w:r>
    </w:p>
    <w:p w14:paraId="7CCBD419" w14:textId="77777777" w:rsidR="00A743D2" w:rsidRPr="00A743D2" w:rsidRDefault="00A743D2" w:rsidP="00A743D2">
      <w:pPr>
        <w:shd w:val="clear" w:color="auto" w:fill="F8F8F8"/>
        <w:ind w:right="240"/>
        <w:jc w:val="both"/>
        <w:rPr>
          <w:rFonts w:ascii="Verdana" w:hAnsi="Verdana"/>
          <w:bCs/>
          <w:sz w:val="18"/>
          <w:szCs w:val="18"/>
        </w:rPr>
      </w:pPr>
      <w:r w:rsidRPr="00A743D2">
        <w:rPr>
          <w:rFonts w:ascii="Verdana" w:hAnsi="Verdana"/>
          <w:bCs/>
          <w:sz w:val="18"/>
          <w:szCs w:val="18"/>
        </w:rPr>
        <w:t>Real Decreto-ley 1/2026, de 27 de enero, de ayudas a las víctimas de los accidentes ferroviarios de Adamuz (Córdoba) y Gélida (Barcelona).</w:t>
      </w:r>
    </w:p>
    <w:p w14:paraId="619E4030" w14:textId="6D7B6741" w:rsidR="00A743D2" w:rsidRDefault="00A743D2" w:rsidP="00A743D2">
      <w:pPr>
        <w:jc w:val="both"/>
        <w:rPr>
          <w:rFonts w:ascii="Verdana" w:hAnsi="Verdana"/>
          <w:bCs/>
          <w:i/>
          <w:iCs/>
          <w:sz w:val="18"/>
          <w:szCs w:val="18"/>
        </w:rPr>
      </w:pPr>
      <w:r w:rsidRPr="00155526">
        <w:rPr>
          <w:rFonts w:ascii="Verdana" w:hAnsi="Verdana"/>
          <w:bCs/>
          <w:i/>
          <w:iCs/>
          <w:sz w:val="18"/>
          <w:szCs w:val="18"/>
        </w:rPr>
        <w:t xml:space="preserve">Jefatura del Estado. B.O.E. </w:t>
      </w:r>
      <w:r w:rsidR="00C539F2" w:rsidRPr="00155526">
        <w:rPr>
          <w:rFonts w:ascii="Verdana" w:hAnsi="Verdana"/>
          <w:bCs/>
          <w:i/>
          <w:iCs/>
          <w:sz w:val="18"/>
          <w:szCs w:val="18"/>
        </w:rPr>
        <w:t>núm.</w:t>
      </w:r>
      <w:r w:rsidRPr="00155526">
        <w:rPr>
          <w:rFonts w:ascii="Verdana" w:hAnsi="Verdana"/>
          <w:bCs/>
          <w:i/>
          <w:iCs/>
          <w:sz w:val="18"/>
          <w:szCs w:val="18"/>
        </w:rPr>
        <w:t xml:space="preserve"> </w:t>
      </w:r>
      <w:r>
        <w:rPr>
          <w:rFonts w:ascii="Verdana" w:hAnsi="Verdana"/>
          <w:bCs/>
          <w:i/>
          <w:iCs/>
          <w:sz w:val="18"/>
          <w:szCs w:val="18"/>
        </w:rPr>
        <w:t>25</w:t>
      </w:r>
      <w:r w:rsidRPr="00155526">
        <w:rPr>
          <w:rFonts w:ascii="Verdana" w:hAnsi="Verdana"/>
          <w:bCs/>
          <w:i/>
          <w:iCs/>
          <w:sz w:val="18"/>
          <w:szCs w:val="18"/>
        </w:rPr>
        <w:t xml:space="preserve"> de </w:t>
      </w:r>
      <w:r>
        <w:rPr>
          <w:rFonts w:ascii="Verdana" w:hAnsi="Verdana"/>
          <w:bCs/>
          <w:i/>
          <w:iCs/>
          <w:sz w:val="18"/>
          <w:szCs w:val="18"/>
        </w:rPr>
        <w:t>27 de enero</w:t>
      </w:r>
      <w:r w:rsidRPr="00155526">
        <w:rPr>
          <w:rFonts w:ascii="Verdana" w:hAnsi="Verdana"/>
          <w:bCs/>
          <w:i/>
          <w:iCs/>
          <w:sz w:val="18"/>
          <w:szCs w:val="18"/>
        </w:rPr>
        <w:t xml:space="preserve"> de 2026.</w:t>
      </w:r>
    </w:p>
    <w:p w14:paraId="6AD9E6BB" w14:textId="77777777" w:rsidR="00A743D2" w:rsidRDefault="00A743D2" w:rsidP="00155526">
      <w:pPr>
        <w:pStyle w:val="Sangradetextonormal"/>
        <w:ind w:left="0"/>
        <w:rPr>
          <w:rFonts w:ascii="Verdana" w:hAnsi="Verdana"/>
          <w:b/>
          <w:bCs/>
          <w:color w:val="800000"/>
          <w:sz w:val="18"/>
          <w:szCs w:val="18"/>
        </w:rPr>
      </w:pPr>
    </w:p>
    <w:p w14:paraId="31ADB741" w14:textId="39E1A8FB" w:rsidR="00155526" w:rsidRPr="00155526" w:rsidRDefault="00155526" w:rsidP="00155526">
      <w:pPr>
        <w:pStyle w:val="Sangradetextonormal"/>
        <w:ind w:left="0"/>
        <w:rPr>
          <w:rFonts w:ascii="Verdana" w:hAnsi="Verdana"/>
          <w:b/>
          <w:bCs/>
          <w:color w:val="800000"/>
          <w:sz w:val="18"/>
          <w:szCs w:val="18"/>
        </w:rPr>
      </w:pPr>
      <w:r w:rsidRPr="00155526">
        <w:rPr>
          <w:rFonts w:ascii="Verdana" w:hAnsi="Verdana"/>
          <w:b/>
          <w:bCs/>
          <w:color w:val="800000"/>
          <w:sz w:val="18"/>
          <w:szCs w:val="18"/>
        </w:rPr>
        <w:t>Medidas urgentes</w:t>
      </w:r>
    </w:p>
    <w:p w14:paraId="2C08CDC5" w14:textId="70ADAEA0" w:rsidR="0021062B" w:rsidRPr="00155526" w:rsidRDefault="00155526" w:rsidP="00155526">
      <w:pPr>
        <w:jc w:val="both"/>
        <w:rPr>
          <w:rFonts w:ascii="Verdana" w:hAnsi="Verdana"/>
          <w:bCs/>
          <w:sz w:val="18"/>
          <w:szCs w:val="18"/>
        </w:rPr>
      </w:pPr>
      <w:r w:rsidRPr="00155526">
        <w:rPr>
          <w:rFonts w:ascii="Verdana" w:hAnsi="Verdana"/>
          <w:bCs/>
          <w:sz w:val="18"/>
          <w:szCs w:val="18"/>
        </w:rPr>
        <w:t>Real Decreto-ley 2/2026, de 3 de febrero, por el que se adoptan medidas urgentes para hacer frente a situaciones de vulnerabilidad social, en materia tributaria y relativas a los recursos de los sistemas de financiación territorial.</w:t>
      </w:r>
    </w:p>
    <w:p w14:paraId="006FC12D" w14:textId="32351A48" w:rsidR="0021062B" w:rsidRDefault="00155526" w:rsidP="00B71F8E">
      <w:pPr>
        <w:jc w:val="both"/>
        <w:rPr>
          <w:rFonts w:ascii="Verdana" w:hAnsi="Verdana"/>
          <w:bCs/>
          <w:i/>
          <w:iCs/>
          <w:sz w:val="18"/>
          <w:szCs w:val="18"/>
        </w:rPr>
      </w:pPr>
      <w:bookmarkStart w:id="7" w:name="_Hlk221899848"/>
      <w:r w:rsidRPr="00155526">
        <w:rPr>
          <w:rFonts w:ascii="Verdana" w:hAnsi="Verdana"/>
          <w:bCs/>
          <w:i/>
          <w:iCs/>
          <w:sz w:val="18"/>
          <w:szCs w:val="18"/>
        </w:rPr>
        <w:t xml:space="preserve">Jefatura del Estado. B.O.E. </w:t>
      </w:r>
      <w:r w:rsidR="00C539F2" w:rsidRPr="00155526">
        <w:rPr>
          <w:rFonts w:ascii="Verdana" w:hAnsi="Verdana"/>
          <w:bCs/>
          <w:i/>
          <w:iCs/>
          <w:sz w:val="18"/>
          <w:szCs w:val="18"/>
        </w:rPr>
        <w:t>núm.</w:t>
      </w:r>
      <w:r w:rsidRPr="00155526">
        <w:rPr>
          <w:rFonts w:ascii="Verdana" w:hAnsi="Verdana"/>
          <w:bCs/>
          <w:i/>
          <w:iCs/>
          <w:sz w:val="18"/>
          <w:szCs w:val="18"/>
        </w:rPr>
        <w:t xml:space="preserve"> 31 de 4 de febrero de 2026.</w:t>
      </w:r>
    </w:p>
    <w:bookmarkEnd w:id="7"/>
    <w:p w14:paraId="0AFF0E04" w14:textId="77777777" w:rsidR="00155526" w:rsidRDefault="00155526" w:rsidP="00B71F8E">
      <w:pPr>
        <w:jc w:val="both"/>
        <w:rPr>
          <w:rFonts w:ascii="Verdana" w:hAnsi="Verdana"/>
          <w:bCs/>
          <w:i/>
          <w:iCs/>
          <w:sz w:val="18"/>
          <w:szCs w:val="18"/>
        </w:rPr>
      </w:pPr>
    </w:p>
    <w:p w14:paraId="58204C7D" w14:textId="77777777" w:rsidR="00155526" w:rsidRPr="00155526" w:rsidRDefault="00155526" w:rsidP="00155526">
      <w:pPr>
        <w:pStyle w:val="Sangradetextonormal"/>
        <w:ind w:left="0"/>
        <w:rPr>
          <w:rFonts w:ascii="Verdana" w:hAnsi="Verdana"/>
          <w:b/>
          <w:bCs/>
          <w:color w:val="800000"/>
          <w:sz w:val="18"/>
          <w:szCs w:val="18"/>
        </w:rPr>
      </w:pPr>
      <w:r w:rsidRPr="00155526">
        <w:rPr>
          <w:rFonts w:ascii="Verdana" w:hAnsi="Verdana"/>
          <w:b/>
          <w:bCs/>
          <w:color w:val="800000"/>
          <w:sz w:val="18"/>
          <w:szCs w:val="18"/>
        </w:rPr>
        <w:t>Impuestos</w:t>
      </w:r>
    </w:p>
    <w:p w14:paraId="113BE2BE" w14:textId="52111AAC" w:rsidR="00155526" w:rsidRPr="00155526" w:rsidRDefault="00155526" w:rsidP="00155526">
      <w:pPr>
        <w:jc w:val="both"/>
        <w:rPr>
          <w:rFonts w:ascii="Verdana" w:hAnsi="Verdana"/>
          <w:bCs/>
          <w:sz w:val="18"/>
          <w:szCs w:val="18"/>
        </w:rPr>
      </w:pPr>
      <w:r w:rsidRPr="00155526">
        <w:rPr>
          <w:rFonts w:ascii="Verdana" w:hAnsi="Verdana"/>
          <w:bCs/>
          <w:sz w:val="18"/>
          <w:szCs w:val="18"/>
        </w:rPr>
        <w:t xml:space="preserve">Orden HAC/56/2026, de 22 de enero, por la que se modifica la Orden HFP/826/2022, de 30 de agosto, por la que se aprueba el modelo 587 «Impuesto sobre los Gases Fluorados de Efecto Invernadero. Autoliquidación» y el modelo A23 «Impuesto sobre los Gases Fluorados de Efecto Invernadero. Solicitud de devolución», se determinan la forma y procedimiento para la presentación de </w:t>
      </w:r>
      <w:proofErr w:type="gramStart"/>
      <w:r w:rsidRPr="00155526">
        <w:rPr>
          <w:rFonts w:ascii="Verdana" w:hAnsi="Verdana"/>
          <w:bCs/>
          <w:sz w:val="18"/>
          <w:szCs w:val="18"/>
        </w:rPr>
        <w:t>los mismos</w:t>
      </w:r>
      <w:proofErr w:type="gramEnd"/>
      <w:r w:rsidRPr="00155526">
        <w:rPr>
          <w:rFonts w:ascii="Verdana" w:hAnsi="Verdana"/>
          <w:bCs/>
          <w:sz w:val="18"/>
          <w:szCs w:val="18"/>
        </w:rPr>
        <w:t>, y se regulan la inscripción en el Registro territorial y la llevanza de la contabilidad de existencia</w:t>
      </w:r>
      <w:r w:rsidR="00824327">
        <w:rPr>
          <w:rFonts w:ascii="Verdana" w:hAnsi="Verdana"/>
          <w:bCs/>
          <w:sz w:val="18"/>
          <w:szCs w:val="18"/>
        </w:rPr>
        <w:t>.</w:t>
      </w:r>
    </w:p>
    <w:p w14:paraId="0A4DC015" w14:textId="4CB4ECB8" w:rsidR="00155526" w:rsidRDefault="00155526" w:rsidP="00B71F8E">
      <w:pPr>
        <w:jc w:val="both"/>
        <w:rPr>
          <w:rFonts w:ascii="Verdana" w:hAnsi="Verdana"/>
          <w:bCs/>
          <w:i/>
          <w:iCs/>
          <w:sz w:val="18"/>
          <w:szCs w:val="18"/>
        </w:rPr>
      </w:pPr>
      <w:r w:rsidRPr="00854CDF">
        <w:rPr>
          <w:rFonts w:ascii="Verdana" w:hAnsi="Verdana"/>
          <w:bCs/>
          <w:i/>
          <w:iCs/>
          <w:sz w:val="18"/>
          <w:szCs w:val="18"/>
        </w:rPr>
        <w:t xml:space="preserve">Ministerio de Hacienda. </w:t>
      </w:r>
      <w:bookmarkStart w:id="8" w:name="_Hlk222397473"/>
      <w:r w:rsidRPr="00854CDF">
        <w:rPr>
          <w:rFonts w:ascii="Verdana" w:hAnsi="Verdana"/>
          <w:bCs/>
          <w:i/>
          <w:iCs/>
          <w:sz w:val="18"/>
          <w:szCs w:val="18"/>
        </w:rPr>
        <w:t>B.O.E. núm.</w:t>
      </w:r>
      <w:r w:rsidR="00854CDF" w:rsidRPr="00854CDF">
        <w:rPr>
          <w:rFonts w:ascii="Verdana" w:hAnsi="Verdana"/>
          <w:bCs/>
          <w:i/>
          <w:iCs/>
          <w:sz w:val="18"/>
          <w:szCs w:val="18"/>
        </w:rPr>
        <w:t>32 de 5 de febrero de 2026.</w:t>
      </w:r>
    </w:p>
    <w:bookmarkEnd w:id="8"/>
    <w:p w14:paraId="5FEEC36F" w14:textId="77777777" w:rsidR="00DF4093" w:rsidRDefault="00DF4093" w:rsidP="00B71F8E">
      <w:pPr>
        <w:jc w:val="both"/>
        <w:rPr>
          <w:rFonts w:ascii="Verdana" w:hAnsi="Verdana"/>
          <w:bCs/>
          <w:i/>
          <w:iCs/>
          <w:sz w:val="18"/>
          <w:szCs w:val="18"/>
        </w:rPr>
      </w:pPr>
    </w:p>
    <w:p w14:paraId="6FD69DC7" w14:textId="77777777" w:rsidR="00DF4093" w:rsidRPr="00DF4093" w:rsidRDefault="00DF4093" w:rsidP="00DF4093">
      <w:pPr>
        <w:pStyle w:val="Sangradetextonormal"/>
        <w:ind w:left="0"/>
        <w:rPr>
          <w:rFonts w:ascii="Verdana" w:hAnsi="Verdana"/>
          <w:b/>
          <w:bCs/>
          <w:color w:val="800000"/>
          <w:sz w:val="18"/>
          <w:szCs w:val="18"/>
        </w:rPr>
      </w:pPr>
      <w:r w:rsidRPr="00DF4093">
        <w:rPr>
          <w:rFonts w:ascii="Verdana" w:hAnsi="Verdana"/>
          <w:b/>
          <w:bCs/>
          <w:color w:val="800000"/>
          <w:sz w:val="18"/>
          <w:szCs w:val="18"/>
        </w:rPr>
        <w:t>Medidas urgentes</w:t>
      </w:r>
    </w:p>
    <w:p w14:paraId="6E67F858" w14:textId="176FC385" w:rsidR="00DF4093" w:rsidRPr="00DF4093" w:rsidRDefault="00DF4093" w:rsidP="00DF4093">
      <w:pPr>
        <w:jc w:val="both"/>
        <w:rPr>
          <w:rFonts w:ascii="Verdana" w:hAnsi="Verdana"/>
          <w:bCs/>
          <w:sz w:val="18"/>
          <w:szCs w:val="18"/>
        </w:rPr>
      </w:pPr>
      <w:r w:rsidRPr="00DF4093">
        <w:rPr>
          <w:rFonts w:ascii="Verdana" w:hAnsi="Verdana"/>
          <w:bCs/>
          <w:sz w:val="18"/>
          <w:szCs w:val="18"/>
        </w:rPr>
        <w:t>Real Decreto-ley 5/2026, de 17 de febrero, por el que se adoptan medidas urgentes en respuesta a los daños causados por diversos fenómenos meteorológicos adversos, de especial afectación en las comunidades autónomas de Andalucía y Extremadura.</w:t>
      </w:r>
    </w:p>
    <w:p w14:paraId="2087C515" w14:textId="6F514F20" w:rsidR="00DF4093" w:rsidRDefault="00DF4093" w:rsidP="00DF4093">
      <w:pPr>
        <w:jc w:val="both"/>
        <w:rPr>
          <w:rFonts w:ascii="Verdana" w:hAnsi="Verdana"/>
          <w:bCs/>
          <w:i/>
          <w:iCs/>
          <w:sz w:val="18"/>
          <w:szCs w:val="18"/>
        </w:rPr>
      </w:pPr>
      <w:r>
        <w:rPr>
          <w:rFonts w:ascii="Verdana" w:hAnsi="Verdana"/>
          <w:bCs/>
          <w:i/>
          <w:iCs/>
          <w:sz w:val="18"/>
          <w:szCs w:val="18"/>
        </w:rPr>
        <w:t xml:space="preserve">Jefatura del Estado. </w:t>
      </w:r>
      <w:r w:rsidRPr="00854CDF">
        <w:rPr>
          <w:rFonts w:ascii="Verdana" w:hAnsi="Verdana"/>
          <w:bCs/>
          <w:i/>
          <w:iCs/>
          <w:sz w:val="18"/>
          <w:szCs w:val="18"/>
        </w:rPr>
        <w:t>B.O.E. núm.</w:t>
      </w:r>
      <w:r>
        <w:rPr>
          <w:rFonts w:ascii="Verdana" w:hAnsi="Verdana"/>
          <w:bCs/>
          <w:i/>
          <w:iCs/>
          <w:sz w:val="18"/>
          <w:szCs w:val="18"/>
        </w:rPr>
        <w:t>44</w:t>
      </w:r>
      <w:r w:rsidRPr="00854CDF">
        <w:rPr>
          <w:rFonts w:ascii="Verdana" w:hAnsi="Verdana"/>
          <w:bCs/>
          <w:i/>
          <w:iCs/>
          <w:sz w:val="18"/>
          <w:szCs w:val="18"/>
        </w:rPr>
        <w:t xml:space="preserve"> de </w:t>
      </w:r>
      <w:r>
        <w:rPr>
          <w:rFonts w:ascii="Verdana" w:hAnsi="Verdana"/>
          <w:bCs/>
          <w:i/>
          <w:iCs/>
          <w:sz w:val="18"/>
          <w:szCs w:val="18"/>
        </w:rPr>
        <w:t>19</w:t>
      </w:r>
      <w:r w:rsidRPr="00854CDF">
        <w:rPr>
          <w:rFonts w:ascii="Verdana" w:hAnsi="Verdana"/>
          <w:bCs/>
          <w:i/>
          <w:iCs/>
          <w:sz w:val="18"/>
          <w:szCs w:val="18"/>
        </w:rPr>
        <w:t xml:space="preserve"> de febrero de 2026.</w:t>
      </w:r>
    </w:p>
    <w:p w14:paraId="38742973" w14:textId="77777777" w:rsidR="00DF4093" w:rsidRPr="00854CDF" w:rsidRDefault="00DF4093" w:rsidP="00DF4093">
      <w:pPr>
        <w:jc w:val="both"/>
        <w:rPr>
          <w:rFonts w:ascii="Verdana" w:hAnsi="Verdana"/>
          <w:bCs/>
          <w:i/>
          <w:iCs/>
          <w:sz w:val="18"/>
          <w:szCs w:val="18"/>
        </w:rPr>
      </w:pPr>
    </w:p>
    <w:p w14:paraId="05FB4444" w14:textId="77777777" w:rsidR="008D6C2B" w:rsidRDefault="008D6C2B" w:rsidP="00B71F8E">
      <w:pPr>
        <w:jc w:val="both"/>
        <w:rPr>
          <w:rFonts w:ascii="Verdana" w:hAnsi="Verdana"/>
          <w:bCs/>
          <w:sz w:val="18"/>
          <w:szCs w:val="18"/>
        </w:rPr>
      </w:pPr>
    </w:p>
    <w:p w14:paraId="2FFE94E2" w14:textId="33E6F05C" w:rsidR="0021062B" w:rsidRPr="0021062B" w:rsidRDefault="00F11846" w:rsidP="00FA62FA">
      <w:pPr>
        <w:pStyle w:val="Sangradetextonormal"/>
        <w:ind w:left="0"/>
        <w:jc w:val="center"/>
        <w:rPr>
          <w:rFonts w:ascii="Verdana" w:hAnsi="Verdana"/>
          <w:b/>
          <w:bCs/>
          <w:color w:val="800000"/>
          <w:sz w:val="18"/>
          <w:szCs w:val="18"/>
        </w:rPr>
      </w:pPr>
      <w:r>
        <w:rPr>
          <w:rFonts w:ascii="Verdana" w:hAnsi="Verdana"/>
          <w:b/>
          <w:bCs/>
          <w:color w:val="800000"/>
          <w:sz w:val="18"/>
          <w:szCs w:val="18"/>
        </w:rPr>
        <w:t>D</w:t>
      </w:r>
      <w:r w:rsidR="0021062B" w:rsidRPr="0021062B">
        <w:rPr>
          <w:rFonts w:ascii="Verdana" w:hAnsi="Verdana"/>
          <w:b/>
          <w:bCs/>
          <w:color w:val="800000"/>
          <w:sz w:val="18"/>
          <w:szCs w:val="18"/>
        </w:rPr>
        <w:t>ISPOSICIONES AUTONÓMICAS Y FORALES</w:t>
      </w:r>
    </w:p>
    <w:p w14:paraId="4351B779" w14:textId="25F25135" w:rsidR="0021062B" w:rsidRDefault="0021062B" w:rsidP="00B71F8E">
      <w:pPr>
        <w:jc w:val="both"/>
        <w:rPr>
          <w:rFonts w:ascii="Verdana" w:hAnsi="Verdana"/>
          <w:bCs/>
          <w:sz w:val="18"/>
          <w:szCs w:val="18"/>
        </w:rPr>
      </w:pPr>
    </w:p>
    <w:p w14:paraId="33CB7596" w14:textId="77777777" w:rsidR="00854CDF" w:rsidRPr="00854CDF" w:rsidRDefault="00854CDF" w:rsidP="00854CDF">
      <w:pPr>
        <w:pStyle w:val="Sangradetextonormal"/>
        <w:ind w:left="0"/>
        <w:rPr>
          <w:rFonts w:ascii="Verdana" w:hAnsi="Verdana"/>
          <w:b/>
          <w:bCs/>
          <w:color w:val="800000"/>
          <w:sz w:val="18"/>
          <w:szCs w:val="18"/>
        </w:rPr>
      </w:pPr>
      <w:r w:rsidRPr="00854CDF">
        <w:rPr>
          <w:rFonts w:ascii="Verdana" w:hAnsi="Verdana"/>
          <w:b/>
          <w:bCs/>
          <w:color w:val="800000"/>
          <w:sz w:val="18"/>
          <w:szCs w:val="18"/>
        </w:rPr>
        <w:t>COMUNIDAD AUTÓNOMA DEL PRINCIPADO DE ASTURIAS</w:t>
      </w:r>
    </w:p>
    <w:p w14:paraId="1F6AD6D5" w14:textId="77777777" w:rsidR="00854CDF" w:rsidRPr="00854CDF" w:rsidRDefault="00854CDF" w:rsidP="00854CDF">
      <w:pPr>
        <w:pStyle w:val="Sangradetextonormal"/>
        <w:ind w:left="0"/>
        <w:rPr>
          <w:rFonts w:ascii="Verdana" w:hAnsi="Verdana"/>
          <w:b/>
          <w:bCs/>
          <w:color w:val="800000"/>
          <w:sz w:val="18"/>
          <w:szCs w:val="18"/>
        </w:rPr>
      </w:pPr>
      <w:r w:rsidRPr="00854CDF">
        <w:rPr>
          <w:rFonts w:ascii="Verdana" w:hAnsi="Verdana"/>
          <w:b/>
          <w:bCs/>
          <w:color w:val="800000"/>
          <w:sz w:val="18"/>
          <w:szCs w:val="18"/>
        </w:rPr>
        <w:t>Presupuestos</w:t>
      </w:r>
    </w:p>
    <w:p w14:paraId="7CF31250" w14:textId="77777777" w:rsidR="00854CDF" w:rsidRPr="00A743D2" w:rsidRDefault="00854CDF" w:rsidP="00854CDF">
      <w:pPr>
        <w:jc w:val="both"/>
        <w:rPr>
          <w:rFonts w:ascii="Verdana" w:hAnsi="Verdana"/>
          <w:bCs/>
          <w:sz w:val="18"/>
          <w:szCs w:val="18"/>
        </w:rPr>
      </w:pPr>
      <w:r w:rsidRPr="00A743D2">
        <w:rPr>
          <w:rFonts w:ascii="Verdana" w:hAnsi="Verdana"/>
          <w:bCs/>
          <w:sz w:val="18"/>
          <w:szCs w:val="18"/>
        </w:rPr>
        <w:t>Ley del Principado de Asturias 5/2025, de 31 de diciembre, de Presupuestos Generales para 2026.</w:t>
      </w:r>
    </w:p>
    <w:p w14:paraId="288A9475" w14:textId="02B169F8" w:rsidR="00854CDF" w:rsidRPr="00A743D2" w:rsidRDefault="00854CDF" w:rsidP="00854CDF">
      <w:pPr>
        <w:jc w:val="both"/>
        <w:rPr>
          <w:rFonts w:ascii="Verdana" w:hAnsi="Verdana"/>
          <w:bCs/>
          <w:i/>
          <w:iCs/>
          <w:sz w:val="18"/>
          <w:szCs w:val="18"/>
        </w:rPr>
      </w:pPr>
      <w:r w:rsidRPr="00A743D2">
        <w:rPr>
          <w:rFonts w:ascii="Verdana" w:hAnsi="Verdana"/>
          <w:bCs/>
          <w:i/>
          <w:iCs/>
          <w:sz w:val="18"/>
          <w:szCs w:val="18"/>
        </w:rPr>
        <w:t>B.O.E. núm. 35 de 9 de febrero de 2026.</w:t>
      </w:r>
    </w:p>
    <w:p w14:paraId="57FE4E35" w14:textId="77777777" w:rsidR="00612C3D" w:rsidRDefault="00612C3D" w:rsidP="00854CDF">
      <w:pPr>
        <w:jc w:val="both"/>
        <w:rPr>
          <w:rFonts w:ascii="Verdana" w:hAnsi="Verdana"/>
          <w:bCs/>
          <w:sz w:val="18"/>
          <w:szCs w:val="18"/>
        </w:rPr>
      </w:pPr>
    </w:p>
    <w:p w14:paraId="3D65764C" w14:textId="77777777" w:rsidR="00612C3D" w:rsidRPr="00612C3D" w:rsidRDefault="00612C3D" w:rsidP="00612C3D">
      <w:pPr>
        <w:pStyle w:val="Sangradetextonormal"/>
        <w:ind w:left="0"/>
        <w:rPr>
          <w:rFonts w:ascii="Verdana" w:hAnsi="Verdana"/>
          <w:b/>
          <w:bCs/>
          <w:color w:val="800000"/>
          <w:sz w:val="18"/>
          <w:szCs w:val="18"/>
        </w:rPr>
      </w:pPr>
      <w:r w:rsidRPr="00612C3D">
        <w:rPr>
          <w:rFonts w:ascii="Verdana" w:hAnsi="Verdana"/>
          <w:b/>
          <w:bCs/>
          <w:color w:val="800000"/>
          <w:sz w:val="18"/>
          <w:szCs w:val="18"/>
        </w:rPr>
        <w:t>COMUNIDAD AUTÓNOMA DE GALICIA</w:t>
      </w:r>
    </w:p>
    <w:p w14:paraId="20595FA7" w14:textId="77777777" w:rsidR="00612C3D" w:rsidRPr="00612C3D" w:rsidRDefault="00612C3D" w:rsidP="00612C3D">
      <w:pPr>
        <w:pStyle w:val="Sangradetextonormal"/>
        <w:ind w:left="0"/>
        <w:rPr>
          <w:rFonts w:ascii="Verdana" w:hAnsi="Verdana"/>
          <w:b/>
          <w:bCs/>
          <w:color w:val="800000"/>
          <w:sz w:val="18"/>
          <w:szCs w:val="18"/>
        </w:rPr>
      </w:pPr>
      <w:r w:rsidRPr="00612C3D">
        <w:rPr>
          <w:rFonts w:ascii="Verdana" w:hAnsi="Verdana"/>
          <w:b/>
          <w:bCs/>
          <w:color w:val="800000"/>
          <w:sz w:val="18"/>
          <w:szCs w:val="18"/>
        </w:rPr>
        <w:t>Presupuestos</w:t>
      </w:r>
    </w:p>
    <w:p w14:paraId="1FB7447D" w14:textId="77777777" w:rsidR="00612C3D" w:rsidRPr="00612C3D" w:rsidRDefault="00612C3D" w:rsidP="00612C3D">
      <w:pPr>
        <w:jc w:val="both"/>
        <w:rPr>
          <w:rFonts w:ascii="Verdana" w:hAnsi="Verdana"/>
          <w:bCs/>
          <w:sz w:val="18"/>
          <w:szCs w:val="18"/>
        </w:rPr>
      </w:pPr>
      <w:r w:rsidRPr="00612C3D">
        <w:rPr>
          <w:rFonts w:ascii="Verdana" w:hAnsi="Verdana"/>
          <w:bCs/>
          <w:sz w:val="18"/>
          <w:szCs w:val="18"/>
        </w:rPr>
        <w:t>Ley 4/2025, de 23 de diciembre, de presupuestos generales de la Comunidad Autónoma de Galicia para el año 2026.</w:t>
      </w:r>
    </w:p>
    <w:p w14:paraId="367AC608" w14:textId="20D3C78B" w:rsidR="00612C3D" w:rsidRDefault="00612C3D" w:rsidP="00612C3D">
      <w:pPr>
        <w:jc w:val="both"/>
        <w:rPr>
          <w:rFonts w:ascii="Verdana" w:hAnsi="Verdana"/>
          <w:bCs/>
          <w:i/>
          <w:iCs/>
          <w:sz w:val="18"/>
          <w:szCs w:val="18"/>
        </w:rPr>
      </w:pPr>
      <w:bookmarkStart w:id="9" w:name="_Hlk222819284"/>
      <w:r w:rsidRPr="00A743D2">
        <w:rPr>
          <w:rFonts w:ascii="Verdana" w:hAnsi="Verdana"/>
          <w:bCs/>
          <w:i/>
          <w:iCs/>
          <w:sz w:val="18"/>
          <w:szCs w:val="18"/>
        </w:rPr>
        <w:t xml:space="preserve">B.O.E. núm. </w:t>
      </w:r>
      <w:r>
        <w:rPr>
          <w:rFonts w:ascii="Verdana" w:hAnsi="Verdana"/>
          <w:bCs/>
          <w:i/>
          <w:iCs/>
          <w:sz w:val="18"/>
          <w:szCs w:val="18"/>
        </w:rPr>
        <w:t>40</w:t>
      </w:r>
      <w:r w:rsidRPr="00A743D2">
        <w:rPr>
          <w:rFonts w:ascii="Verdana" w:hAnsi="Verdana"/>
          <w:bCs/>
          <w:i/>
          <w:iCs/>
          <w:sz w:val="18"/>
          <w:szCs w:val="18"/>
        </w:rPr>
        <w:t xml:space="preserve"> de </w:t>
      </w:r>
      <w:r>
        <w:rPr>
          <w:rFonts w:ascii="Verdana" w:hAnsi="Verdana"/>
          <w:bCs/>
          <w:i/>
          <w:iCs/>
          <w:sz w:val="18"/>
          <w:szCs w:val="18"/>
        </w:rPr>
        <w:t>14</w:t>
      </w:r>
      <w:r w:rsidRPr="00A743D2">
        <w:rPr>
          <w:rFonts w:ascii="Verdana" w:hAnsi="Verdana"/>
          <w:bCs/>
          <w:i/>
          <w:iCs/>
          <w:sz w:val="18"/>
          <w:szCs w:val="18"/>
        </w:rPr>
        <w:t xml:space="preserve"> de febrero de 2026.</w:t>
      </w:r>
    </w:p>
    <w:bookmarkEnd w:id="9"/>
    <w:p w14:paraId="79BB0788" w14:textId="77777777" w:rsidR="003813A6" w:rsidRDefault="003813A6" w:rsidP="00612C3D">
      <w:pPr>
        <w:jc w:val="both"/>
        <w:rPr>
          <w:rFonts w:ascii="Verdana" w:hAnsi="Verdana"/>
          <w:bCs/>
          <w:i/>
          <w:iCs/>
          <w:sz w:val="18"/>
          <w:szCs w:val="18"/>
        </w:rPr>
      </w:pPr>
    </w:p>
    <w:p w14:paraId="38EA9649" w14:textId="77777777" w:rsidR="003813A6" w:rsidRPr="003813A6" w:rsidRDefault="003813A6" w:rsidP="003813A6">
      <w:pPr>
        <w:pStyle w:val="Sangradetextonormal"/>
        <w:ind w:left="0"/>
        <w:rPr>
          <w:rFonts w:ascii="Verdana" w:hAnsi="Verdana"/>
          <w:b/>
          <w:bCs/>
          <w:color w:val="800000"/>
          <w:sz w:val="18"/>
          <w:szCs w:val="18"/>
        </w:rPr>
      </w:pPr>
      <w:r w:rsidRPr="003813A6">
        <w:rPr>
          <w:rFonts w:ascii="Verdana" w:hAnsi="Verdana"/>
          <w:b/>
          <w:bCs/>
          <w:color w:val="800000"/>
          <w:sz w:val="18"/>
          <w:szCs w:val="18"/>
        </w:rPr>
        <w:t>COMUNIDAD FORAL DE NAVARRA</w:t>
      </w:r>
    </w:p>
    <w:p w14:paraId="1A943747" w14:textId="77777777" w:rsidR="003813A6" w:rsidRPr="003813A6" w:rsidRDefault="003813A6" w:rsidP="003813A6">
      <w:pPr>
        <w:pStyle w:val="Sangradetextonormal"/>
        <w:ind w:left="0"/>
        <w:rPr>
          <w:rFonts w:ascii="Verdana" w:hAnsi="Verdana"/>
          <w:b/>
          <w:bCs/>
          <w:color w:val="800000"/>
          <w:sz w:val="18"/>
          <w:szCs w:val="18"/>
        </w:rPr>
      </w:pPr>
      <w:r w:rsidRPr="003813A6">
        <w:rPr>
          <w:rFonts w:ascii="Verdana" w:hAnsi="Verdana"/>
          <w:b/>
          <w:bCs/>
          <w:color w:val="800000"/>
          <w:sz w:val="18"/>
          <w:szCs w:val="18"/>
        </w:rPr>
        <w:t>Medidas tributarias</w:t>
      </w:r>
    </w:p>
    <w:p w14:paraId="43196095" w14:textId="77777777" w:rsidR="003813A6" w:rsidRPr="003813A6" w:rsidRDefault="003813A6" w:rsidP="003813A6">
      <w:pPr>
        <w:jc w:val="both"/>
        <w:rPr>
          <w:rFonts w:ascii="Verdana" w:hAnsi="Verdana"/>
          <w:bCs/>
          <w:sz w:val="18"/>
          <w:szCs w:val="18"/>
        </w:rPr>
      </w:pPr>
      <w:r w:rsidRPr="003813A6">
        <w:rPr>
          <w:rFonts w:ascii="Verdana" w:hAnsi="Verdana"/>
          <w:bCs/>
          <w:sz w:val="18"/>
          <w:szCs w:val="18"/>
        </w:rPr>
        <w:t>Ley Foral 17/2025, de 22 de diciembre, de modificación de diversos impuestos y otras medidas tributarias.</w:t>
      </w:r>
    </w:p>
    <w:p w14:paraId="3F9AFA0A" w14:textId="77777777" w:rsidR="003813A6" w:rsidRPr="003813A6" w:rsidRDefault="003813A6" w:rsidP="003813A6">
      <w:pPr>
        <w:jc w:val="both"/>
        <w:rPr>
          <w:rFonts w:ascii="Verdana" w:hAnsi="Verdana"/>
          <w:bCs/>
          <w:sz w:val="18"/>
          <w:szCs w:val="18"/>
        </w:rPr>
      </w:pPr>
    </w:p>
    <w:p w14:paraId="48AE70E0" w14:textId="6EC095AC" w:rsidR="003813A6" w:rsidRPr="003813A6" w:rsidRDefault="003813A6" w:rsidP="003813A6">
      <w:pPr>
        <w:jc w:val="both"/>
        <w:rPr>
          <w:rFonts w:ascii="Verdana" w:hAnsi="Verdana"/>
          <w:bCs/>
          <w:sz w:val="18"/>
          <w:szCs w:val="18"/>
        </w:rPr>
      </w:pPr>
      <w:r w:rsidRPr="003813A6">
        <w:rPr>
          <w:rFonts w:ascii="Verdana" w:hAnsi="Verdana"/>
          <w:bCs/>
          <w:sz w:val="18"/>
          <w:szCs w:val="18"/>
        </w:rPr>
        <w:t>Ley Foral 18/2025, de 22 de diciembre, del impuesto complementario para garantizar un nivel mínimo global de imposición para los grupos multinacionales y los grupos nacionales de gran magnitud.</w:t>
      </w:r>
    </w:p>
    <w:p w14:paraId="236D5BC9" w14:textId="18E4E9FD" w:rsidR="003813A6" w:rsidRPr="003813A6" w:rsidRDefault="003813A6" w:rsidP="003813A6">
      <w:pPr>
        <w:jc w:val="both"/>
        <w:rPr>
          <w:rFonts w:ascii="Verdana" w:hAnsi="Verdana"/>
          <w:bCs/>
          <w:i/>
          <w:iCs/>
          <w:sz w:val="18"/>
          <w:szCs w:val="18"/>
        </w:rPr>
      </w:pPr>
      <w:r w:rsidRPr="003813A6">
        <w:rPr>
          <w:rFonts w:ascii="Verdana" w:hAnsi="Verdana"/>
          <w:bCs/>
          <w:i/>
          <w:iCs/>
          <w:sz w:val="18"/>
          <w:szCs w:val="18"/>
        </w:rPr>
        <w:t>B.O.E. núm. 4</w:t>
      </w:r>
      <w:r>
        <w:rPr>
          <w:rFonts w:ascii="Verdana" w:hAnsi="Verdana"/>
          <w:bCs/>
          <w:i/>
          <w:iCs/>
          <w:sz w:val="18"/>
          <w:szCs w:val="18"/>
        </w:rPr>
        <w:t>6</w:t>
      </w:r>
      <w:r w:rsidRPr="003813A6">
        <w:rPr>
          <w:rFonts w:ascii="Verdana" w:hAnsi="Verdana"/>
          <w:bCs/>
          <w:i/>
          <w:iCs/>
          <w:sz w:val="18"/>
          <w:szCs w:val="18"/>
        </w:rPr>
        <w:t xml:space="preserve"> de </w:t>
      </w:r>
      <w:r>
        <w:rPr>
          <w:rFonts w:ascii="Verdana" w:hAnsi="Verdana"/>
          <w:bCs/>
          <w:i/>
          <w:iCs/>
          <w:sz w:val="18"/>
          <w:szCs w:val="18"/>
        </w:rPr>
        <w:t>20</w:t>
      </w:r>
      <w:r w:rsidRPr="003813A6">
        <w:rPr>
          <w:rFonts w:ascii="Verdana" w:hAnsi="Verdana"/>
          <w:bCs/>
          <w:i/>
          <w:iCs/>
          <w:sz w:val="18"/>
          <w:szCs w:val="18"/>
        </w:rPr>
        <w:t xml:space="preserve"> de febrero de 2026.</w:t>
      </w:r>
    </w:p>
    <w:p w14:paraId="48372415" w14:textId="1171DB7F" w:rsidR="00C23BED" w:rsidRPr="00B26B0F" w:rsidRDefault="00C23BED" w:rsidP="00854CDF">
      <w:pPr>
        <w:jc w:val="both"/>
        <w:rPr>
          <w:rFonts w:ascii="Verdana" w:hAnsi="Verdana"/>
          <w:bCs/>
          <w:sz w:val="18"/>
          <w:szCs w:val="18"/>
        </w:rPr>
      </w:pPr>
      <w:r w:rsidRPr="00B26B0F">
        <w:rPr>
          <w:rFonts w:ascii="Verdana" w:hAnsi="Verdana"/>
          <w:bCs/>
          <w:sz w:val="18"/>
          <w:szCs w:val="18"/>
        </w:rPr>
        <w:br w:type="page"/>
      </w:r>
    </w:p>
    <w:p w14:paraId="22BFDC28" w14:textId="592A372F" w:rsidR="00366336" w:rsidRPr="00776E79" w:rsidRDefault="00FE5FAD" w:rsidP="00455457">
      <w:pPr>
        <w:pStyle w:val="Sangradetextonormal"/>
        <w:ind w:left="0"/>
        <w:rPr>
          <w:rFonts w:ascii="Verdana" w:hAnsi="Verdana"/>
          <w:bCs/>
          <w:sz w:val="18"/>
          <w:szCs w:val="18"/>
        </w:rPr>
      </w:pPr>
      <w:r w:rsidRPr="00776E79">
        <w:rPr>
          <w:rFonts w:ascii="Verdana" w:hAnsi="Verdana"/>
          <w:b/>
          <w:bCs/>
          <w:color w:val="800000"/>
          <w:sz w:val="22"/>
          <w:szCs w:val="22"/>
        </w:rPr>
        <w:lastRenderedPageBreak/>
        <w:t xml:space="preserve">CALENDARIO </w:t>
      </w:r>
      <w:r w:rsidRPr="00824327">
        <w:rPr>
          <w:rFonts w:ascii="Verdana" w:hAnsi="Verdana"/>
          <w:b/>
          <w:bCs/>
          <w:color w:val="800000"/>
          <w:sz w:val="22"/>
          <w:szCs w:val="22"/>
        </w:rPr>
        <w:t>FISCAL</w:t>
      </w:r>
      <w:r w:rsidRPr="00776E79">
        <w:rPr>
          <w:rFonts w:ascii="Verdana" w:hAnsi="Verdana"/>
          <w:b/>
          <w:bCs/>
          <w:color w:val="800000"/>
          <w:sz w:val="22"/>
          <w:szCs w:val="22"/>
        </w:rPr>
        <w:t xml:space="preserve"> PARA EL MES DE MARZO DE </w:t>
      </w:r>
      <w:r w:rsidR="00155526">
        <w:rPr>
          <w:rFonts w:ascii="Verdana" w:hAnsi="Verdana"/>
          <w:b/>
          <w:bCs/>
          <w:color w:val="800000"/>
          <w:sz w:val="22"/>
          <w:szCs w:val="22"/>
        </w:rPr>
        <w:t>2026</w:t>
      </w:r>
    </w:p>
    <w:p w14:paraId="356DB4DC" w14:textId="77777777" w:rsidR="00FE5FAD" w:rsidRPr="00776E79" w:rsidRDefault="00FE5FAD">
      <w:pPr>
        <w:jc w:val="both"/>
        <w:rPr>
          <w:rFonts w:ascii="Verdana" w:hAnsi="Verdana"/>
          <w:b/>
          <w:bCs/>
          <w:color w:val="993300"/>
          <w:sz w:val="22"/>
          <w:szCs w:val="22"/>
        </w:rPr>
      </w:pPr>
    </w:p>
    <w:p w14:paraId="27492C25" w14:textId="0AA0764A" w:rsidR="004843D4" w:rsidRPr="004843D4" w:rsidRDefault="00346A51" w:rsidP="004843D4">
      <w:pPr>
        <w:jc w:val="both"/>
        <w:rPr>
          <w:rFonts w:ascii="Verdana" w:hAnsi="Verdana"/>
          <w:b/>
          <w:bCs/>
          <w:sz w:val="18"/>
          <w:szCs w:val="18"/>
        </w:rPr>
      </w:pPr>
      <w:r w:rsidRPr="004843D4">
        <w:rPr>
          <w:rFonts w:ascii="Verdana" w:hAnsi="Verdana"/>
          <w:b/>
          <w:bCs/>
          <w:sz w:val="18"/>
          <w:szCs w:val="18"/>
        </w:rPr>
        <w:t>HASTA EL DE 2 DE MARZO</w:t>
      </w:r>
    </w:p>
    <w:p w14:paraId="3D2F4B54"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IVA</w:t>
      </w:r>
    </w:p>
    <w:p w14:paraId="5A699EB8" w14:textId="77777777" w:rsidR="004843D4" w:rsidRPr="004843D4" w:rsidRDefault="004843D4" w:rsidP="004843D4">
      <w:pPr>
        <w:numPr>
          <w:ilvl w:val="0"/>
          <w:numId w:val="67"/>
        </w:numPr>
        <w:jc w:val="both"/>
        <w:rPr>
          <w:rFonts w:ascii="Verdana" w:hAnsi="Verdana"/>
          <w:sz w:val="18"/>
          <w:szCs w:val="18"/>
        </w:rPr>
      </w:pPr>
      <w:r w:rsidRPr="004843D4">
        <w:rPr>
          <w:rFonts w:ascii="Verdana" w:hAnsi="Verdana"/>
          <w:sz w:val="18"/>
          <w:szCs w:val="18"/>
        </w:rPr>
        <w:t>Enero 2026. Autoliquidación: 303</w:t>
      </w:r>
    </w:p>
    <w:p w14:paraId="20FAE471" w14:textId="77777777" w:rsidR="004843D4" w:rsidRPr="004843D4" w:rsidRDefault="004843D4" w:rsidP="004843D4">
      <w:pPr>
        <w:numPr>
          <w:ilvl w:val="0"/>
          <w:numId w:val="67"/>
        </w:numPr>
        <w:jc w:val="both"/>
        <w:rPr>
          <w:rFonts w:ascii="Verdana" w:hAnsi="Verdana"/>
          <w:sz w:val="18"/>
          <w:szCs w:val="18"/>
        </w:rPr>
      </w:pPr>
      <w:r w:rsidRPr="004843D4">
        <w:rPr>
          <w:rFonts w:ascii="Verdana" w:hAnsi="Verdana"/>
          <w:sz w:val="18"/>
          <w:szCs w:val="18"/>
        </w:rPr>
        <w:t>Enero 2026. Grupo de entidades, modelo individual: 322</w:t>
      </w:r>
    </w:p>
    <w:p w14:paraId="541A9698" w14:textId="77777777" w:rsidR="004843D4" w:rsidRPr="004843D4" w:rsidRDefault="004843D4" w:rsidP="004843D4">
      <w:pPr>
        <w:numPr>
          <w:ilvl w:val="0"/>
          <w:numId w:val="67"/>
        </w:numPr>
        <w:jc w:val="both"/>
        <w:rPr>
          <w:rFonts w:ascii="Verdana" w:hAnsi="Verdana"/>
          <w:sz w:val="18"/>
          <w:szCs w:val="18"/>
        </w:rPr>
      </w:pPr>
      <w:r w:rsidRPr="004843D4">
        <w:rPr>
          <w:rFonts w:ascii="Verdana" w:hAnsi="Verdana"/>
          <w:sz w:val="18"/>
          <w:szCs w:val="18"/>
        </w:rPr>
        <w:t>Enero 2026. Grupo de entidades, modelo agregado: 353</w:t>
      </w:r>
    </w:p>
    <w:p w14:paraId="1B10335E" w14:textId="77777777" w:rsidR="004843D4" w:rsidRPr="004843D4" w:rsidRDefault="004843D4" w:rsidP="004843D4">
      <w:pPr>
        <w:numPr>
          <w:ilvl w:val="0"/>
          <w:numId w:val="67"/>
        </w:numPr>
        <w:jc w:val="both"/>
        <w:rPr>
          <w:rFonts w:ascii="Verdana" w:hAnsi="Verdana"/>
          <w:sz w:val="18"/>
          <w:szCs w:val="18"/>
        </w:rPr>
      </w:pPr>
      <w:r w:rsidRPr="004843D4">
        <w:rPr>
          <w:rFonts w:ascii="Verdana" w:hAnsi="Verdana"/>
          <w:sz w:val="18"/>
          <w:szCs w:val="18"/>
        </w:rPr>
        <w:t>Enero 2026. Operaciones asimiladas a las importaciones: 380</w:t>
      </w:r>
    </w:p>
    <w:p w14:paraId="578F5113"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Impuesto sobre Sociedades</w:t>
      </w:r>
    </w:p>
    <w:p w14:paraId="30261B06" w14:textId="77777777" w:rsidR="004843D4" w:rsidRPr="004843D4" w:rsidRDefault="004843D4" w:rsidP="004843D4">
      <w:pPr>
        <w:numPr>
          <w:ilvl w:val="0"/>
          <w:numId w:val="68"/>
        </w:numPr>
        <w:jc w:val="both"/>
        <w:rPr>
          <w:rFonts w:ascii="Verdana" w:hAnsi="Verdana"/>
          <w:sz w:val="18"/>
          <w:szCs w:val="18"/>
        </w:rPr>
      </w:pPr>
      <w:r w:rsidRPr="004843D4">
        <w:rPr>
          <w:rFonts w:ascii="Verdana" w:hAnsi="Verdana"/>
          <w:sz w:val="18"/>
          <w:szCs w:val="18"/>
        </w:rPr>
        <w:t>Entidades cuyo ejercicio coincida con el año natural: opción/renuncia a la opción para el cálculo de los pagos fraccionados sobre la parte de base imponible del período de los tres, nueve u once meses de cada año natural: 036</w:t>
      </w:r>
    </w:p>
    <w:p w14:paraId="40E775D8" w14:textId="77777777" w:rsidR="004843D4" w:rsidRPr="004843D4" w:rsidRDefault="004843D4" w:rsidP="004843D4">
      <w:pPr>
        <w:numPr>
          <w:ilvl w:val="0"/>
          <w:numId w:val="68"/>
        </w:numPr>
        <w:jc w:val="both"/>
        <w:rPr>
          <w:rFonts w:ascii="Verdana" w:hAnsi="Verdana"/>
          <w:sz w:val="18"/>
          <w:szCs w:val="18"/>
        </w:rPr>
      </w:pPr>
      <w:r w:rsidRPr="004843D4">
        <w:rPr>
          <w:rFonts w:ascii="Verdana" w:hAnsi="Verdana"/>
          <w:sz w:val="18"/>
          <w:szCs w:val="18"/>
        </w:rPr>
        <w:t>Si el período impositivo no coincide con el año natural, la opción/renuncia por esta modalidad de pagos fraccionados se ejercerá, en los primeros dos meses de cada periodo impositivo o entre el inicio de dicho periodo impositivo y el fin del plazo para efectuar el primer pago fraccionado, si este plazo es inferior a dos meses: 036</w:t>
      </w:r>
    </w:p>
    <w:p w14:paraId="0AA0AFF2"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Impuestos Medioambientales</w:t>
      </w:r>
    </w:p>
    <w:p w14:paraId="518A8D89" w14:textId="77777777" w:rsidR="004843D4" w:rsidRPr="004843D4" w:rsidRDefault="004843D4" w:rsidP="004843D4">
      <w:pPr>
        <w:numPr>
          <w:ilvl w:val="0"/>
          <w:numId w:val="69"/>
        </w:numPr>
        <w:jc w:val="both"/>
        <w:rPr>
          <w:rFonts w:ascii="Verdana" w:hAnsi="Verdana"/>
          <w:sz w:val="18"/>
          <w:szCs w:val="18"/>
        </w:rPr>
      </w:pPr>
      <w:r w:rsidRPr="004843D4">
        <w:rPr>
          <w:rFonts w:ascii="Verdana" w:hAnsi="Verdana"/>
          <w:sz w:val="18"/>
          <w:szCs w:val="18"/>
        </w:rPr>
        <w:t>Enero 2026. Impuesto especial sobre los envases de plástico no reutilizables. Presentación contabilidad y libro registro de existencias</w:t>
      </w:r>
    </w:p>
    <w:p w14:paraId="4B64AA91"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anual de consumo de energía eléctrica</w:t>
      </w:r>
    </w:p>
    <w:p w14:paraId="6FF068CB" w14:textId="77777777" w:rsidR="004843D4" w:rsidRPr="004843D4" w:rsidRDefault="004843D4" w:rsidP="004843D4">
      <w:pPr>
        <w:numPr>
          <w:ilvl w:val="0"/>
          <w:numId w:val="70"/>
        </w:numPr>
        <w:jc w:val="both"/>
        <w:rPr>
          <w:rFonts w:ascii="Verdana" w:hAnsi="Verdana"/>
          <w:sz w:val="18"/>
          <w:szCs w:val="18"/>
        </w:rPr>
      </w:pPr>
      <w:r w:rsidRPr="004843D4">
        <w:rPr>
          <w:rFonts w:ascii="Verdana" w:hAnsi="Verdana"/>
          <w:sz w:val="18"/>
          <w:szCs w:val="18"/>
        </w:rPr>
        <w:t>Año 2025: 159</w:t>
      </w:r>
    </w:p>
    <w:p w14:paraId="74F13811"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informativa anual de operaciones realizadas por empresarios o profesionales adheridos al sistema de gestión de cobros a través de tarjetas de crédito o débito</w:t>
      </w:r>
    </w:p>
    <w:p w14:paraId="6500DBFC" w14:textId="77777777" w:rsidR="004843D4" w:rsidRPr="004843D4" w:rsidRDefault="004843D4" w:rsidP="004843D4">
      <w:pPr>
        <w:numPr>
          <w:ilvl w:val="0"/>
          <w:numId w:val="71"/>
        </w:numPr>
        <w:jc w:val="both"/>
        <w:rPr>
          <w:rFonts w:ascii="Verdana" w:hAnsi="Verdana"/>
          <w:sz w:val="18"/>
          <w:szCs w:val="18"/>
        </w:rPr>
      </w:pPr>
      <w:r w:rsidRPr="004843D4">
        <w:rPr>
          <w:rFonts w:ascii="Verdana" w:hAnsi="Verdana"/>
          <w:sz w:val="18"/>
          <w:szCs w:val="18"/>
        </w:rPr>
        <w:t>Año 2025: 170</w:t>
      </w:r>
    </w:p>
    <w:p w14:paraId="6D043D78"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56B70626" w14:textId="77777777" w:rsidR="004843D4" w:rsidRPr="004843D4" w:rsidRDefault="004843D4" w:rsidP="004843D4">
      <w:pPr>
        <w:numPr>
          <w:ilvl w:val="0"/>
          <w:numId w:val="72"/>
        </w:numPr>
        <w:jc w:val="both"/>
        <w:rPr>
          <w:rFonts w:ascii="Verdana" w:hAnsi="Verdana"/>
          <w:sz w:val="18"/>
          <w:szCs w:val="18"/>
        </w:rPr>
      </w:pPr>
      <w:r w:rsidRPr="004843D4">
        <w:rPr>
          <w:rFonts w:ascii="Verdana" w:hAnsi="Verdana"/>
          <w:sz w:val="18"/>
          <w:szCs w:val="18"/>
        </w:rPr>
        <w:t>Enero 2026: 170</w:t>
      </w:r>
    </w:p>
    <w:p w14:paraId="4673CCD3"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63859F81" w14:textId="77777777" w:rsidR="004843D4" w:rsidRPr="004843D4" w:rsidRDefault="004843D4" w:rsidP="004843D4">
      <w:pPr>
        <w:numPr>
          <w:ilvl w:val="0"/>
          <w:numId w:val="73"/>
        </w:numPr>
        <w:jc w:val="both"/>
        <w:rPr>
          <w:rFonts w:ascii="Verdana" w:hAnsi="Verdana"/>
          <w:sz w:val="18"/>
          <w:szCs w:val="18"/>
        </w:rPr>
      </w:pPr>
      <w:r w:rsidRPr="004843D4">
        <w:rPr>
          <w:rFonts w:ascii="Verdana" w:hAnsi="Verdana"/>
          <w:sz w:val="18"/>
          <w:szCs w:val="18"/>
        </w:rPr>
        <w:t>Enero 2026: 196</w:t>
      </w:r>
    </w:p>
    <w:p w14:paraId="18450470"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informativa anual de planes de ahorro a largo plazo</w:t>
      </w:r>
    </w:p>
    <w:p w14:paraId="2AC7F7BC" w14:textId="77777777" w:rsidR="004843D4" w:rsidRPr="004843D4" w:rsidRDefault="004843D4" w:rsidP="004843D4">
      <w:pPr>
        <w:numPr>
          <w:ilvl w:val="0"/>
          <w:numId w:val="74"/>
        </w:numPr>
        <w:jc w:val="both"/>
        <w:rPr>
          <w:rFonts w:ascii="Verdana" w:hAnsi="Verdana"/>
          <w:sz w:val="18"/>
          <w:szCs w:val="18"/>
        </w:rPr>
      </w:pPr>
      <w:r w:rsidRPr="004843D4">
        <w:rPr>
          <w:rFonts w:ascii="Verdana" w:hAnsi="Verdana"/>
          <w:sz w:val="18"/>
          <w:szCs w:val="18"/>
        </w:rPr>
        <w:t>Año 2025: 280</w:t>
      </w:r>
    </w:p>
    <w:p w14:paraId="54779FDE"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Declaración anual de operaciones con terceras personas</w:t>
      </w:r>
    </w:p>
    <w:p w14:paraId="0C3CE6D0" w14:textId="77777777" w:rsidR="004843D4" w:rsidRPr="004843D4" w:rsidRDefault="004843D4" w:rsidP="004843D4">
      <w:pPr>
        <w:numPr>
          <w:ilvl w:val="0"/>
          <w:numId w:val="75"/>
        </w:numPr>
        <w:jc w:val="both"/>
        <w:rPr>
          <w:rFonts w:ascii="Verdana" w:hAnsi="Verdana"/>
          <w:sz w:val="18"/>
          <w:szCs w:val="18"/>
        </w:rPr>
      </w:pPr>
      <w:r w:rsidRPr="004843D4">
        <w:rPr>
          <w:rFonts w:ascii="Verdana" w:hAnsi="Verdana"/>
          <w:sz w:val="18"/>
          <w:szCs w:val="18"/>
        </w:rPr>
        <w:t>Año 2025: 347</w:t>
      </w:r>
    </w:p>
    <w:p w14:paraId="176F60E7" w14:textId="77777777" w:rsidR="004843D4" w:rsidRPr="004843D4" w:rsidRDefault="004843D4" w:rsidP="004843D4">
      <w:pPr>
        <w:jc w:val="both"/>
        <w:rPr>
          <w:rFonts w:ascii="Verdana" w:hAnsi="Verdana"/>
          <w:sz w:val="18"/>
          <w:szCs w:val="18"/>
        </w:rPr>
      </w:pPr>
      <w:r w:rsidRPr="004843D4">
        <w:rPr>
          <w:rFonts w:ascii="Verdana" w:hAnsi="Verdana"/>
          <w:b/>
          <w:bCs/>
          <w:sz w:val="18"/>
          <w:szCs w:val="18"/>
        </w:rPr>
        <w:t>Autoliquidación de la aportación a realizar por los prestadores del servicio de comunicación audiovisual televisivo y por los prestadores del servicio de intercambio de videos a través de plataforma de ámbito geográfico estatal o superior al de una Comunidad Autónoma</w:t>
      </w:r>
    </w:p>
    <w:p w14:paraId="26E53F42" w14:textId="77777777" w:rsidR="004843D4" w:rsidRDefault="004843D4" w:rsidP="004843D4">
      <w:pPr>
        <w:numPr>
          <w:ilvl w:val="0"/>
          <w:numId w:val="76"/>
        </w:numPr>
        <w:jc w:val="both"/>
        <w:rPr>
          <w:rFonts w:ascii="Verdana" w:hAnsi="Verdana"/>
          <w:sz w:val="18"/>
          <w:szCs w:val="18"/>
        </w:rPr>
      </w:pPr>
      <w:r w:rsidRPr="004843D4">
        <w:rPr>
          <w:rFonts w:ascii="Verdana" w:hAnsi="Verdana"/>
          <w:sz w:val="18"/>
          <w:szCs w:val="18"/>
        </w:rPr>
        <w:t>Año 2025: 792</w:t>
      </w:r>
    </w:p>
    <w:p w14:paraId="55368E36" w14:textId="77777777" w:rsidR="004843D4" w:rsidRPr="004843D4" w:rsidRDefault="004843D4" w:rsidP="004843D4">
      <w:pPr>
        <w:ind w:left="720"/>
        <w:jc w:val="both"/>
        <w:rPr>
          <w:rFonts w:ascii="Verdana" w:hAnsi="Verdana"/>
          <w:sz w:val="18"/>
          <w:szCs w:val="18"/>
        </w:rPr>
      </w:pPr>
    </w:p>
    <w:p w14:paraId="151922AA" w14:textId="53BEA421" w:rsidR="004843D4" w:rsidRDefault="00346A51" w:rsidP="004843D4">
      <w:pPr>
        <w:pStyle w:val="Ttulo1"/>
        <w:shd w:val="clear" w:color="auto" w:fill="FFFFFF"/>
        <w:rPr>
          <w:rFonts w:ascii="Verdana" w:hAnsi="Verdana" w:cs="Arial"/>
          <w:i w:val="0"/>
          <w:iCs w:val="0"/>
          <w:color w:val="000000"/>
          <w:sz w:val="20"/>
          <w:szCs w:val="20"/>
        </w:rPr>
      </w:pPr>
      <w:r w:rsidRPr="003813A6">
        <w:rPr>
          <w:rFonts w:ascii="Verdana" w:hAnsi="Verdana" w:cs="Arial"/>
          <w:i w:val="0"/>
          <w:iCs w:val="0"/>
          <w:color w:val="000000"/>
          <w:sz w:val="20"/>
          <w:szCs w:val="20"/>
        </w:rPr>
        <w:t>HASTA EL 12 DE MARZO</w:t>
      </w:r>
    </w:p>
    <w:p w14:paraId="7675F137" w14:textId="77777777" w:rsidR="003813A6" w:rsidRPr="003813A6" w:rsidRDefault="003813A6" w:rsidP="003813A6"/>
    <w:p w14:paraId="00538D4F" w14:textId="77777777" w:rsidR="004843D4" w:rsidRPr="004843D4" w:rsidRDefault="004843D4" w:rsidP="004843D4">
      <w:pPr>
        <w:pStyle w:val="Ttulo3"/>
        <w:shd w:val="clear" w:color="auto" w:fill="FFFFFF"/>
        <w:jc w:val="left"/>
        <w:rPr>
          <w:rFonts w:ascii="Verdana" w:hAnsi="Verdana"/>
          <w:i w:val="0"/>
          <w:iCs w:val="0"/>
          <w:sz w:val="18"/>
          <w:szCs w:val="18"/>
          <w:u w:val="none"/>
        </w:rPr>
      </w:pPr>
      <w:r w:rsidRPr="004843D4">
        <w:rPr>
          <w:rFonts w:ascii="Verdana" w:hAnsi="Verdana"/>
          <w:i w:val="0"/>
          <w:iCs w:val="0"/>
          <w:sz w:val="18"/>
          <w:szCs w:val="18"/>
          <w:u w:val="none"/>
        </w:rPr>
        <w:t>INTRASTAT - Estadística Comercio Intracomunitario</w:t>
      </w:r>
    </w:p>
    <w:p w14:paraId="2060AFFF" w14:textId="77777777" w:rsidR="004843D4" w:rsidRPr="00110EA2" w:rsidRDefault="004843D4" w:rsidP="004843D4">
      <w:pPr>
        <w:pStyle w:val="NormalWeb"/>
        <w:numPr>
          <w:ilvl w:val="0"/>
          <w:numId w:val="77"/>
        </w:numPr>
        <w:shd w:val="clear" w:color="auto" w:fill="FFFFFF"/>
        <w:spacing w:before="0" w:beforeAutospacing="0"/>
        <w:rPr>
          <w:rFonts w:ascii="Verdana" w:eastAsia="Times New Roman" w:hAnsi="Verdana" w:cs="Times New Roman"/>
          <w:sz w:val="18"/>
          <w:szCs w:val="18"/>
        </w:rPr>
      </w:pPr>
      <w:r w:rsidRPr="00110EA2">
        <w:rPr>
          <w:rFonts w:ascii="Verdana" w:eastAsia="Times New Roman" w:hAnsi="Verdana" w:cs="Times New Roman"/>
          <w:sz w:val="18"/>
          <w:szCs w:val="18"/>
        </w:rPr>
        <w:t>Febrero 2026. Obligados a suministrar información estadística</w:t>
      </w:r>
    </w:p>
    <w:p w14:paraId="17F006B5" w14:textId="5E8F6E12" w:rsidR="004843D4" w:rsidRPr="00110EA2" w:rsidRDefault="003813A6" w:rsidP="00110EA2">
      <w:pPr>
        <w:pStyle w:val="Ttulo1"/>
        <w:shd w:val="clear" w:color="auto" w:fill="FFFFFF"/>
        <w:rPr>
          <w:rFonts w:ascii="Arial" w:hAnsi="Arial" w:cs="Arial"/>
          <w:i w:val="0"/>
          <w:iCs w:val="0"/>
          <w:color w:val="000000"/>
        </w:rPr>
      </w:pPr>
      <w:r w:rsidRPr="00110EA2">
        <w:rPr>
          <w:rFonts w:ascii="Arial" w:hAnsi="Arial" w:cs="Arial"/>
          <w:i w:val="0"/>
          <w:iCs w:val="0"/>
          <w:color w:val="000000"/>
        </w:rPr>
        <w:t>HASTA EL 20 DE MARZO</w:t>
      </w:r>
    </w:p>
    <w:p w14:paraId="6E3E0DD1"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Renta y Sociedades</w:t>
      </w:r>
    </w:p>
    <w:p w14:paraId="5DA4F061"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1BA690FB" w14:textId="77777777" w:rsidR="004843D4" w:rsidRPr="004843D4" w:rsidRDefault="004843D4" w:rsidP="004843D4">
      <w:pPr>
        <w:pStyle w:val="NormalWeb"/>
        <w:numPr>
          <w:ilvl w:val="0"/>
          <w:numId w:val="78"/>
        </w:numPr>
        <w:rPr>
          <w:rFonts w:ascii="Verdana" w:hAnsi="Verdana"/>
          <w:sz w:val="18"/>
          <w:szCs w:val="18"/>
        </w:rPr>
      </w:pPr>
      <w:r w:rsidRPr="004843D4">
        <w:rPr>
          <w:rFonts w:ascii="Verdana" w:hAnsi="Verdana"/>
          <w:sz w:val="18"/>
          <w:szCs w:val="18"/>
        </w:rPr>
        <w:lastRenderedPageBreak/>
        <w:t>Febrero 2026. Grandes empresas: 111, 115, 117, 123, 124, 126, 128, 216, 230</w:t>
      </w:r>
    </w:p>
    <w:p w14:paraId="6014BB8F"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IVA</w:t>
      </w:r>
    </w:p>
    <w:p w14:paraId="166C36A4" w14:textId="77777777" w:rsidR="004843D4" w:rsidRPr="004843D4" w:rsidRDefault="004843D4" w:rsidP="004843D4">
      <w:pPr>
        <w:pStyle w:val="NormalWeb"/>
        <w:numPr>
          <w:ilvl w:val="0"/>
          <w:numId w:val="79"/>
        </w:numPr>
        <w:rPr>
          <w:rFonts w:ascii="Verdana" w:hAnsi="Verdana"/>
          <w:sz w:val="18"/>
          <w:szCs w:val="18"/>
        </w:rPr>
      </w:pPr>
      <w:r w:rsidRPr="004843D4">
        <w:rPr>
          <w:rFonts w:ascii="Verdana" w:hAnsi="Verdana"/>
          <w:sz w:val="18"/>
          <w:szCs w:val="18"/>
        </w:rPr>
        <w:t>Febrero 2026. Declaración recapitulativa de operaciones intracomunitarias: 349</w:t>
      </w:r>
    </w:p>
    <w:p w14:paraId="5078F550" w14:textId="77777777" w:rsidR="004843D4" w:rsidRPr="004843D4" w:rsidRDefault="004843D4" w:rsidP="004843D4">
      <w:pPr>
        <w:pStyle w:val="NormalWeb"/>
        <w:numPr>
          <w:ilvl w:val="0"/>
          <w:numId w:val="79"/>
        </w:numPr>
        <w:rPr>
          <w:rFonts w:ascii="Verdana" w:hAnsi="Verdana"/>
          <w:sz w:val="18"/>
          <w:szCs w:val="18"/>
        </w:rPr>
      </w:pPr>
      <w:r w:rsidRPr="004843D4">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4B67DFB2"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 sobre las Primas de Seguros</w:t>
      </w:r>
    </w:p>
    <w:p w14:paraId="6AFD7D23" w14:textId="77777777" w:rsidR="004843D4" w:rsidRPr="004843D4" w:rsidRDefault="004843D4" w:rsidP="004843D4">
      <w:pPr>
        <w:pStyle w:val="NormalWeb"/>
        <w:numPr>
          <w:ilvl w:val="0"/>
          <w:numId w:val="80"/>
        </w:numPr>
        <w:rPr>
          <w:rFonts w:ascii="Verdana" w:hAnsi="Verdana"/>
          <w:sz w:val="18"/>
          <w:szCs w:val="18"/>
        </w:rPr>
      </w:pPr>
      <w:r w:rsidRPr="004843D4">
        <w:rPr>
          <w:rFonts w:ascii="Verdana" w:hAnsi="Verdana"/>
          <w:sz w:val="18"/>
          <w:szCs w:val="18"/>
        </w:rPr>
        <w:t>Febrero 2026: 430</w:t>
      </w:r>
    </w:p>
    <w:p w14:paraId="19B6A0E0"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Impuestos Especiales de Fabricación</w:t>
      </w:r>
    </w:p>
    <w:p w14:paraId="0E468047" w14:textId="77777777" w:rsidR="004843D4" w:rsidRPr="004843D4" w:rsidRDefault="004843D4" w:rsidP="004843D4">
      <w:pPr>
        <w:pStyle w:val="NormalWeb"/>
        <w:numPr>
          <w:ilvl w:val="0"/>
          <w:numId w:val="81"/>
        </w:numPr>
        <w:rPr>
          <w:rFonts w:ascii="Verdana" w:hAnsi="Verdana"/>
          <w:sz w:val="18"/>
          <w:szCs w:val="18"/>
        </w:rPr>
      </w:pPr>
      <w:r w:rsidRPr="004843D4">
        <w:rPr>
          <w:rFonts w:ascii="Verdana" w:hAnsi="Verdana"/>
          <w:sz w:val="18"/>
          <w:szCs w:val="18"/>
        </w:rPr>
        <w:t>Diciembre 2025. Grandes empresas: 561, 562, 563</w:t>
      </w:r>
    </w:p>
    <w:p w14:paraId="41B3E189" w14:textId="77777777" w:rsidR="004843D4" w:rsidRPr="004843D4" w:rsidRDefault="004843D4" w:rsidP="004843D4">
      <w:pPr>
        <w:pStyle w:val="NormalWeb"/>
        <w:numPr>
          <w:ilvl w:val="0"/>
          <w:numId w:val="81"/>
        </w:numPr>
        <w:rPr>
          <w:rFonts w:ascii="Verdana" w:hAnsi="Verdana"/>
          <w:sz w:val="18"/>
          <w:szCs w:val="18"/>
        </w:rPr>
      </w:pPr>
      <w:r w:rsidRPr="004843D4">
        <w:rPr>
          <w:rFonts w:ascii="Verdana" w:hAnsi="Verdana"/>
          <w:sz w:val="18"/>
          <w:szCs w:val="18"/>
        </w:rPr>
        <w:t>Febrero 2026: 548, 566, 581</w:t>
      </w:r>
    </w:p>
    <w:p w14:paraId="2CE01206" w14:textId="77777777" w:rsidR="004843D4" w:rsidRPr="004843D4" w:rsidRDefault="004843D4" w:rsidP="004843D4">
      <w:pPr>
        <w:pStyle w:val="NormalWeb"/>
        <w:numPr>
          <w:ilvl w:val="0"/>
          <w:numId w:val="81"/>
        </w:numPr>
        <w:rPr>
          <w:rFonts w:ascii="Verdana" w:hAnsi="Verdana"/>
          <w:sz w:val="18"/>
          <w:szCs w:val="18"/>
        </w:rPr>
      </w:pPr>
      <w:r w:rsidRPr="004843D4">
        <w:rPr>
          <w:rFonts w:ascii="Verdana" w:hAnsi="Verdana"/>
          <w:sz w:val="18"/>
          <w:szCs w:val="18"/>
        </w:rPr>
        <w:t>Febrero 2026: 573 (Autoliquidación), A24 (Solicitud de devolución)</w:t>
      </w:r>
    </w:p>
    <w:p w14:paraId="2B202E12" w14:textId="77777777" w:rsidR="004843D4" w:rsidRPr="004843D4" w:rsidRDefault="004843D4" w:rsidP="004843D4">
      <w:pPr>
        <w:pStyle w:val="NormalWeb"/>
        <w:numPr>
          <w:ilvl w:val="0"/>
          <w:numId w:val="81"/>
        </w:numPr>
        <w:rPr>
          <w:rFonts w:ascii="Verdana" w:hAnsi="Verdana"/>
          <w:sz w:val="18"/>
          <w:szCs w:val="18"/>
        </w:rPr>
      </w:pPr>
      <w:r w:rsidRPr="004843D4">
        <w:rPr>
          <w:rFonts w:ascii="Verdana" w:hAnsi="Verdana"/>
          <w:sz w:val="18"/>
          <w:szCs w:val="18"/>
        </w:rPr>
        <w:t>Declaración de operaciones por los destinatarios registrados y representantes fiscales: 510</w:t>
      </w:r>
    </w:p>
    <w:p w14:paraId="0C9443BB"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 Especial sobre la Electricidad</w:t>
      </w:r>
    </w:p>
    <w:p w14:paraId="2EF71295" w14:textId="77777777" w:rsidR="004843D4" w:rsidRPr="004843D4" w:rsidRDefault="004843D4" w:rsidP="004843D4">
      <w:pPr>
        <w:pStyle w:val="NormalWeb"/>
        <w:numPr>
          <w:ilvl w:val="0"/>
          <w:numId w:val="82"/>
        </w:numPr>
        <w:rPr>
          <w:rFonts w:ascii="Verdana" w:hAnsi="Verdana"/>
          <w:sz w:val="18"/>
          <w:szCs w:val="18"/>
        </w:rPr>
      </w:pPr>
      <w:r w:rsidRPr="004843D4">
        <w:rPr>
          <w:rFonts w:ascii="Verdana" w:hAnsi="Verdana"/>
          <w:sz w:val="18"/>
          <w:szCs w:val="18"/>
        </w:rPr>
        <w:t>Febrero 2026. Grandes empresas: 560</w:t>
      </w:r>
    </w:p>
    <w:p w14:paraId="5790BA11"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Impuestos Medioambientales</w:t>
      </w:r>
    </w:p>
    <w:p w14:paraId="663EF324" w14:textId="77777777" w:rsidR="004843D4" w:rsidRPr="004843D4" w:rsidRDefault="004843D4" w:rsidP="004843D4">
      <w:pPr>
        <w:pStyle w:val="NormalWeb"/>
        <w:numPr>
          <w:ilvl w:val="0"/>
          <w:numId w:val="83"/>
        </w:numPr>
        <w:rPr>
          <w:rFonts w:ascii="Verdana" w:hAnsi="Verdana"/>
          <w:sz w:val="18"/>
          <w:szCs w:val="18"/>
        </w:rPr>
      </w:pPr>
      <w:r w:rsidRPr="004843D4">
        <w:rPr>
          <w:rFonts w:ascii="Verdana" w:hAnsi="Verdana"/>
          <w:sz w:val="18"/>
          <w:szCs w:val="18"/>
        </w:rPr>
        <w:t>Febrero 2026. Impuesto especial sobre los envases de plástico no reutilizables. Autoliquidación: 592</w:t>
      </w:r>
    </w:p>
    <w:p w14:paraId="1802AB89"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 Especial sobre las Transacciones Financieras</w:t>
      </w:r>
    </w:p>
    <w:p w14:paraId="397B591F" w14:textId="77777777" w:rsidR="004843D4" w:rsidRPr="004843D4" w:rsidRDefault="004843D4" w:rsidP="004843D4">
      <w:pPr>
        <w:pStyle w:val="NormalWeb"/>
        <w:numPr>
          <w:ilvl w:val="0"/>
          <w:numId w:val="84"/>
        </w:numPr>
        <w:rPr>
          <w:rFonts w:ascii="Verdana" w:hAnsi="Verdana"/>
          <w:sz w:val="18"/>
          <w:szCs w:val="18"/>
        </w:rPr>
      </w:pPr>
      <w:r w:rsidRPr="004843D4">
        <w:rPr>
          <w:rFonts w:ascii="Verdana" w:hAnsi="Verdana"/>
          <w:sz w:val="18"/>
          <w:szCs w:val="18"/>
        </w:rPr>
        <w:t>Febrero 2026: 604</w:t>
      </w:r>
    </w:p>
    <w:p w14:paraId="17AF84F6" w14:textId="6FA7E3C6" w:rsidR="004843D4" w:rsidRPr="004843D4" w:rsidRDefault="00346A51" w:rsidP="004843D4">
      <w:pPr>
        <w:pStyle w:val="Ttulo1"/>
        <w:shd w:val="clear" w:color="auto" w:fill="FFFFFF"/>
        <w:rPr>
          <w:rFonts w:ascii="Verdana" w:eastAsia="Arial Unicode MS" w:hAnsi="Verdana" w:cs="Arial Unicode MS"/>
          <w:i w:val="0"/>
          <w:iCs w:val="0"/>
          <w:sz w:val="18"/>
          <w:szCs w:val="18"/>
        </w:rPr>
      </w:pPr>
      <w:r w:rsidRPr="004843D4">
        <w:rPr>
          <w:rFonts w:ascii="Verdana" w:eastAsia="Arial Unicode MS" w:hAnsi="Verdana" w:cs="Arial Unicode MS"/>
          <w:i w:val="0"/>
          <w:iCs w:val="0"/>
          <w:sz w:val="18"/>
          <w:szCs w:val="18"/>
        </w:rPr>
        <w:t>HASTA EL 30 DE MARZO</w:t>
      </w:r>
    </w:p>
    <w:p w14:paraId="438CA177" w14:textId="77777777" w:rsidR="004843D4" w:rsidRPr="004843D4" w:rsidRDefault="004843D4" w:rsidP="00346A51">
      <w:pPr>
        <w:pStyle w:val="Ttulo3"/>
        <w:shd w:val="clear" w:color="auto" w:fill="FFFFFF"/>
        <w:jc w:val="left"/>
        <w:rPr>
          <w:rFonts w:ascii="Verdana" w:eastAsia="Arial Unicode MS" w:hAnsi="Verdana" w:cs="Arial Unicode MS"/>
          <w:i w:val="0"/>
          <w:iCs w:val="0"/>
          <w:sz w:val="18"/>
          <w:szCs w:val="18"/>
          <w:u w:val="none"/>
        </w:rPr>
      </w:pPr>
      <w:r w:rsidRPr="004843D4">
        <w:rPr>
          <w:rFonts w:ascii="Verdana" w:eastAsia="Arial Unicode MS" w:hAnsi="Verdana" w:cs="Arial Unicode MS"/>
          <w:i w:val="0"/>
          <w:iCs w:val="0"/>
          <w:sz w:val="18"/>
          <w:szCs w:val="18"/>
          <w:u w:val="none"/>
        </w:rPr>
        <w:t>IVA</w:t>
      </w:r>
    </w:p>
    <w:p w14:paraId="051B32BE" w14:textId="77777777" w:rsidR="004843D4" w:rsidRPr="004843D4" w:rsidRDefault="004843D4" w:rsidP="004843D4">
      <w:pPr>
        <w:pStyle w:val="NormalWeb"/>
        <w:numPr>
          <w:ilvl w:val="0"/>
          <w:numId w:val="85"/>
        </w:numPr>
        <w:shd w:val="clear" w:color="auto" w:fill="FFFFFF"/>
        <w:spacing w:before="0" w:beforeAutospacing="0"/>
        <w:rPr>
          <w:rFonts w:ascii="Verdana" w:hAnsi="Verdana"/>
          <w:sz w:val="18"/>
          <w:szCs w:val="18"/>
        </w:rPr>
      </w:pPr>
      <w:r w:rsidRPr="004843D4">
        <w:rPr>
          <w:rFonts w:ascii="Verdana" w:hAnsi="Verdana"/>
          <w:sz w:val="18"/>
          <w:szCs w:val="18"/>
        </w:rPr>
        <w:t>Febrero 2026. Autoliquidación: 303</w:t>
      </w:r>
    </w:p>
    <w:p w14:paraId="7F7654B3" w14:textId="77777777" w:rsidR="004843D4" w:rsidRPr="004843D4" w:rsidRDefault="004843D4" w:rsidP="004843D4">
      <w:pPr>
        <w:pStyle w:val="NormalWeb"/>
        <w:numPr>
          <w:ilvl w:val="0"/>
          <w:numId w:val="85"/>
        </w:numPr>
        <w:shd w:val="clear" w:color="auto" w:fill="FFFFFF"/>
        <w:spacing w:before="0" w:beforeAutospacing="0"/>
        <w:rPr>
          <w:rFonts w:ascii="Verdana" w:hAnsi="Verdana"/>
          <w:sz w:val="18"/>
          <w:szCs w:val="18"/>
        </w:rPr>
      </w:pPr>
      <w:r w:rsidRPr="004843D4">
        <w:rPr>
          <w:rFonts w:ascii="Verdana" w:hAnsi="Verdana"/>
          <w:sz w:val="18"/>
          <w:szCs w:val="18"/>
        </w:rPr>
        <w:t>Febrero 2026. Grupo de entidades, modelo individual: 322</w:t>
      </w:r>
    </w:p>
    <w:p w14:paraId="799C4146" w14:textId="77777777" w:rsidR="004843D4" w:rsidRPr="004843D4" w:rsidRDefault="004843D4" w:rsidP="004843D4">
      <w:pPr>
        <w:pStyle w:val="NormalWeb"/>
        <w:numPr>
          <w:ilvl w:val="0"/>
          <w:numId w:val="85"/>
        </w:numPr>
        <w:shd w:val="clear" w:color="auto" w:fill="FFFFFF"/>
        <w:spacing w:before="0" w:beforeAutospacing="0"/>
        <w:rPr>
          <w:rFonts w:ascii="Verdana" w:hAnsi="Verdana"/>
          <w:sz w:val="18"/>
          <w:szCs w:val="18"/>
        </w:rPr>
      </w:pPr>
      <w:r w:rsidRPr="004843D4">
        <w:rPr>
          <w:rFonts w:ascii="Verdana" w:hAnsi="Verdana"/>
          <w:sz w:val="18"/>
          <w:szCs w:val="18"/>
        </w:rPr>
        <w:t>Febrero 2026. Grupo de entidades, modelo agregado: 353</w:t>
      </w:r>
    </w:p>
    <w:p w14:paraId="7A810A25" w14:textId="77777777" w:rsidR="004843D4" w:rsidRPr="004843D4" w:rsidRDefault="004843D4" w:rsidP="004843D4">
      <w:pPr>
        <w:pStyle w:val="NormalWeb"/>
        <w:numPr>
          <w:ilvl w:val="0"/>
          <w:numId w:val="85"/>
        </w:numPr>
        <w:shd w:val="clear" w:color="auto" w:fill="FFFFFF"/>
        <w:spacing w:before="0" w:beforeAutospacing="0"/>
        <w:rPr>
          <w:rFonts w:ascii="Verdana" w:hAnsi="Verdana"/>
          <w:sz w:val="18"/>
          <w:szCs w:val="18"/>
        </w:rPr>
      </w:pPr>
      <w:r w:rsidRPr="004843D4">
        <w:rPr>
          <w:rFonts w:ascii="Verdana" w:hAnsi="Verdana"/>
          <w:sz w:val="18"/>
          <w:szCs w:val="18"/>
        </w:rPr>
        <w:t>Febrero 2026. Operaciones asimiladas a las importaciones: 380</w:t>
      </w:r>
    </w:p>
    <w:p w14:paraId="3727ABE1" w14:textId="45DF4B00" w:rsidR="004843D4" w:rsidRPr="004843D4" w:rsidRDefault="00346A51" w:rsidP="004843D4">
      <w:pPr>
        <w:pStyle w:val="NormalWeb"/>
        <w:rPr>
          <w:rFonts w:ascii="Verdana" w:hAnsi="Verdana"/>
          <w:b/>
          <w:bCs/>
          <w:sz w:val="18"/>
          <w:szCs w:val="18"/>
        </w:rPr>
      </w:pPr>
      <w:r w:rsidRPr="004843D4">
        <w:rPr>
          <w:rFonts w:ascii="Verdana" w:hAnsi="Verdana"/>
          <w:b/>
          <w:bCs/>
          <w:sz w:val="18"/>
          <w:szCs w:val="18"/>
        </w:rPr>
        <w:t>HASTA EL 31 DE MARZO</w:t>
      </w:r>
    </w:p>
    <w:p w14:paraId="07F996E1"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IVA</w:t>
      </w:r>
    </w:p>
    <w:p w14:paraId="0D1DFBCD" w14:textId="77777777" w:rsidR="004843D4" w:rsidRPr="004843D4" w:rsidRDefault="004843D4" w:rsidP="004843D4">
      <w:pPr>
        <w:pStyle w:val="NormalWeb"/>
        <w:numPr>
          <w:ilvl w:val="0"/>
          <w:numId w:val="86"/>
        </w:numPr>
        <w:rPr>
          <w:rFonts w:ascii="Verdana" w:hAnsi="Verdana"/>
          <w:sz w:val="18"/>
          <w:szCs w:val="18"/>
        </w:rPr>
      </w:pPr>
      <w:r w:rsidRPr="004843D4">
        <w:rPr>
          <w:rFonts w:ascii="Verdana" w:hAnsi="Verdana"/>
          <w:sz w:val="18"/>
          <w:szCs w:val="18"/>
        </w:rPr>
        <w:t>Febrero 2026. Ventanilla única - Régimen de importación: 369</w:t>
      </w:r>
    </w:p>
    <w:p w14:paraId="52519494" w14:textId="77777777" w:rsidR="004843D4" w:rsidRPr="004843D4" w:rsidRDefault="004843D4" w:rsidP="004843D4">
      <w:pPr>
        <w:pStyle w:val="NormalWeb"/>
        <w:numPr>
          <w:ilvl w:val="0"/>
          <w:numId w:val="86"/>
        </w:numPr>
        <w:rPr>
          <w:rFonts w:ascii="Verdana" w:hAnsi="Verdana"/>
          <w:sz w:val="18"/>
          <w:szCs w:val="18"/>
        </w:rPr>
      </w:pPr>
      <w:r w:rsidRPr="004843D4">
        <w:rPr>
          <w:rFonts w:ascii="Verdana" w:hAnsi="Verdana"/>
          <w:sz w:val="18"/>
          <w:szCs w:val="18"/>
        </w:rPr>
        <w:t>Tercer trimestre 2025: solicitud de reembolso en el marco de las relaciones diplomáticas, consulares y de los Organismos Internacionales reconocidos por España: 362</w:t>
      </w:r>
    </w:p>
    <w:p w14:paraId="1EBDD8F2" w14:textId="77777777" w:rsidR="004843D4" w:rsidRPr="004843D4" w:rsidRDefault="004843D4" w:rsidP="004843D4">
      <w:pPr>
        <w:pStyle w:val="NormalWeb"/>
        <w:numPr>
          <w:ilvl w:val="0"/>
          <w:numId w:val="86"/>
        </w:numPr>
        <w:rPr>
          <w:rFonts w:ascii="Verdana" w:hAnsi="Verdana"/>
          <w:sz w:val="18"/>
          <w:szCs w:val="18"/>
        </w:rPr>
      </w:pPr>
      <w:r w:rsidRPr="004843D4">
        <w:rPr>
          <w:rFonts w:ascii="Verdana" w:hAnsi="Verdana"/>
          <w:sz w:val="18"/>
          <w:szCs w:val="18"/>
        </w:rPr>
        <w:t>Tercer trimestre 2025: solicitud de reembolso de las cuotas tributarias soportadas relativas a la Organización del Tratado del Atlántico Norte, a los Cuarteles Generales Internacionales de dicha Organización y a los Estados parte en dicho Tratado: 364</w:t>
      </w:r>
    </w:p>
    <w:p w14:paraId="743873F5" w14:textId="77777777" w:rsidR="004843D4" w:rsidRPr="004843D4" w:rsidRDefault="004843D4" w:rsidP="004843D4">
      <w:pPr>
        <w:pStyle w:val="NormalWeb"/>
        <w:numPr>
          <w:ilvl w:val="0"/>
          <w:numId w:val="86"/>
        </w:numPr>
        <w:rPr>
          <w:rFonts w:ascii="Verdana" w:hAnsi="Verdana"/>
          <w:sz w:val="18"/>
          <w:szCs w:val="18"/>
        </w:rPr>
      </w:pPr>
      <w:r w:rsidRPr="004843D4">
        <w:rPr>
          <w:rFonts w:ascii="Verdana" w:hAnsi="Verdana"/>
          <w:sz w:val="18"/>
          <w:szCs w:val="18"/>
        </w:rPr>
        <w:t>Tercer trimestre 2025: solicitud de reembolso de las cuotas tributarias soportadas por las fuerzas armadas de los Estados miembros de la UE: 381</w:t>
      </w:r>
    </w:p>
    <w:p w14:paraId="34C5791D"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 sobre Hidrocarburos</w:t>
      </w:r>
    </w:p>
    <w:p w14:paraId="16C411CC" w14:textId="77777777" w:rsidR="004843D4" w:rsidRPr="004843D4" w:rsidRDefault="004843D4" w:rsidP="004843D4">
      <w:pPr>
        <w:pStyle w:val="NormalWeb"/>
        <w:numPr>
          <w:ilvl w:val="0"/>
          <w:numId w:val="87"/>
        </w:numPr>
        <w:rPr>
          <w:rFonts w:ascii="Verdana" w:hAnsi="Verdana"/>
          <w:sz w:val="18"/>
          <w:szCs w:val="18"/>
        </w:rPr>
      </w:pPr>
      <w:r w:rsidRPr="004843D4">
        <w:rPr>
          <w:rFonts w:ascii="Verdana" w:hAnsi="Verdana"/>
          <w:sz w:val="18"/>
          <w:szCs w:val="18"/>
        </w:rPr>
        <w:lastRenderedPageBreak/>
        <w:t>Año 2025. Relación anual de destinatarios de productos de la tarifa segunda: 512</w:t>
      </w:r>
    </w:p>
    <w:p w14:paraId="7AEB84CA" w14:textId="77777777" w:rsidR="004843D4" w:rsidRPr="004843D4" w:rsidRDefault="004843D4" w:rsidP="004843D4">
      <w:pPr>
        <w:pStyle w:val="NormalWeb"/>
        <w:numPr>
          <w:ilvl w:val="0"/>
          <w:numId w:val="87"/>
        </w:numPr>
        <w:rPr>
          <w:rFonts w:ascii="Verdana" w:hAnsi="Verdana"/>
          <w:sz w:val="18"/>
          <w:szCs w:val="18"/>
        </w:rPr>
      </w:pPr>
      <w:r w:rsidRPr="004843D4">
        <w:rPr>
          <w:rFonts w:ascii="Verdana" w:hAnsi="Verdana"/>
          <w:sz w:val="18"/>
          <w:szCs w:val="18"/>
        </w:rPr>
        <w:t>Año 2025. Relación anual de kilómetros realizados</w:t>
      </w:r>
    </w:p>
    <w:p w14:paraId="385236BD"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Impuestos Medioambientales</w:t>
      </w:r>
    </w:p>
    <w:p w14:paraId="450AC627" w14:textId="77777777" w:rsidR="004843D4" w:rsidRPr="004843D4" w:rsidRDefault="004843D4" w:rsidP="004843D4">
      <w:pPr>
        <w:pStyle w:val="NormalWeb"/>
        <w:numPr>
          <w:ilvl w:val="0"/>
          <w:numId w:val="88"/>
        </w:numPr>
        <w:rPr>
          <w:rFonts w:ascii="Verdana" w:hAnsi="Verdana"/>
          <w:sz w:val="18"/>
          <w:szCs w:val="18"/>
        </w:rPr>
      </w:pPr>
      <w:r w:rsidRPr="004843D4">
        <w:rPr>
          <w:rFonts w:ascii="Verdana" w:hAnsi="Verdana"/>
          <w:sz w:val="18"/>
          <w:szCs w:val="18"/>
        </w:rPr>
        <w:t>Febrero 2026. Impuesto especial sobre los envases de plástico no reutilizables. Presentación contabilidad y libro registro de existencias</w:t>
      </w:r>
    </w:p>
    <w:p w14:paraId="4960A9AC"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mensual de las operaciones realizadas por los empresarios o profesionales adheridos al sistema de gestión de cobros a través de cualquier tipo de tarjetas y mediante pagos asociados a números de teléfono móvil</w:t>
      </w:r>
    </w:p>
    <w:p w14:paraId="1C5A0DB8" w14:textId="77777777" w:rsidR="004843D4" w:rsidRPr="004843D4" w:rsidRDefault="004843D4" w:rsidP="004843D4">
      <w:pPr>
        <w:pStyle w:val="NormalWeb"/>
        <w:numPr>
          <w:ilvl w:val="0"/>
          <w:numId w:val="89"/>
        </w:numPr>
        <w:rPr>
          <w:rFonts w:ascii="Verdana" w:hAnsi="Verdana"/>
          <w:sz w:val="18"/>
          <w:szCs w:val="18"/>
        </w:rPr>
      </w:pPr>
      <w:r w:rsidRPr="004843D4">
        <w:rPr>
          <w:rFonts w:ascii="Verdana" w:hAnsi="Verdana"/>
          <w:sz w:val="18"/>
          <w:szCs w:val="18"/>
        </w:rPr>
        <w:t>Febrero 2026: 170</w:t>
      </w:r>
    </w:p>
    <w:p w14:paraId="45CD0457"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de valores, seguros y rentas</w:t>
      </w:r>
    </w:p>
    <w:p w14:paraId="652C55CB" w14:textId="77777777" w:rsidR="004843D4" w:rsidRPr="004843D4" w:rsidRDefault="004843D4" w:rsidP="004843D4">
      <w:pPr>
        <w:pStyle w:val="NormalWeb"/>
        <w:numPr>
          <w:ilvl w:val="0"/>
          <w:numId w:val="90"/>
        </w:numPr>
        <w:rPr>
          <w:rFonts w:ascii="Verdana" w:hAnsi="Verdana"/>
          <w:sz w:val="18"/>
          <w:szCs w:val="18"/>
        </w:rPr>
      </w:pPr>
      <w:r w:rsidRPr="004843D4">
        <w:rPr>
          <w:rFonts w:ascii="Verdana" w:hAnsi="Verdana"/>
          <w:sz w:val="18"/>
          <w:szCs w:val="18"/>
        </w:rPr>
        <w:t>Año 2025: 189</w:t>
      </w:r>
    </w:p>
    <w:p w14:paraId="70E444EE"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mensual de cuentas en toda clase de instituciones financieras y resumen anual de retenciones e ingresos a cuenta sobre rendimientos del capital mobiliario y rentas obtenidas por la contraprestación derivada de cuentas en toda clase de instituciones financieras</w:t>
      </w:r>
    </w:p>
    <w:p w14:paraId="003545CB" w14:textId="77777777" w:rsidR="004843D4" w:rsidRPr="004843D4" w:rsidRDefault="004843D4" w:rsidP="004843D4">
      <w:pPr>
        <w:pStyle w:val="NormalWeb"/>
        <w:numPr>
          <w:ilvl w:val="0"/>
          <w:numId w:val="91"/>
        </w:numPr>
        <w:rPr>
          <w:rFonts w:ascii="Verdana" w:hAnsi="Verdana"/>
          <w:sz w:val="18"/>
          <w:szCs w:val="18"/>
        </w:rPr>
      </w:pPr>
      <w:r w:rsidRPr="004843D4">
        <w:rPr>
          <w:rFonts w:ascii="Verdana" w:hAnsi="Verdana"/>
          <w:sz w:val="18"/>
          <w:szCs w:val="18"/>
        </w:rPr>
        <w:t>Febrero 2026: 196</w:t>
      </w:r>
    </w:p>
    <w:p w14:paraId="16C31C72"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sobre clientes perceptores de beneficios distribuidos por Instituciones de Inversión Colectiva españolas, así como de aquellos por cuenta de los cuales la entidad comercializadora haya efectuado reembolsos o transmisiones de acciones o participaciones</w:t>
      </w:r>
    </w:p>
    <w:p w14:paraId="5626EE85" w14:textId="77777777" w:rsidR="004843D4" w:rsidRPr="004843D4" w:rsidRDefault="004843D4" w:rsidP="004843D4">
      <w:pPr>
        <w:pStyle w:val="NormalWeb"/>
        <w:numPr>
          <w:ilvl w:val="0"/>
          <w:numId w:val="92"/>
        </w:numPr>
        <w:rPr>
          <w:rFonts w:ascii="Verdana" w:hAnsi="Verdana"/>
          <w:sz w:val="18"/>
          <w:szCs w:val="18"/>
        </w:rPr>
      </w:pPr>
      <w:r w:rsidRPr="004843D4">
        <w:rPr>
          <w:rFonts w:ascii="Verdana" w:hAnsi="Verdana"/>
          <w:sz w:val="18"/>
          <w:szCs w:val="18"/>
        </w:rPr>
        <w:t>Año 2025: 294</w:t>
      </w:r>
    </w:p>
    <w:p w14:paraId="2E9959DD"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sobre clientes con posición inversora en Instituciones de Inversión Colectiva españolas, referida a fecha 31 de diciembre del ejercicio, en los supuestos de comercialización transfronteriza de acciones o participaciones en Instituciones de Inversión Colectiva españolas</w:t>
      </w:r>
    </w:p>
    <w:p w14:paraId="4C192E67" w14:textId="77777777" w:rsidR="004843D4" w:rsidRPr="004843D4" w:rsidRDefault="004843D4" w:rsidP="004843D4">
      <w:pPr>
        <w:pStyle w:val="NormalWeb"/>
        <w:numPr>
          <w:ilvl w:val="0"/>
          <w:numId w:val="93"/>
        </w:numPr>
        <w:rPr>
          <w:rFonts w:ascii="Verdana" w:hAnsi="Verdana"/>
          <w:sz w:val="18"/>
          <w:szCs w:val="18"/>
        </w:rPr>
      </w:pPr>
      <w:r w:rsidRPr="004843D4">
        <w:rPr>
          <w:rFonts w:ascii="Verdana" w:hAnsi="Verdana"/>
          <w:sz w:val="18"/>
          <w:szCs w:val="18"/>
        </w:rPr>
        <w:t>Año 2025: 295</w:t>
      </w:r>
    </w:p>
    <w:p w14:paraId="7D160B51"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sobre bienes y derechos en el extranjero</w:t>
      </w:r>
    </w:p>
    <w:p w14:paraId="51BD23D4" w14:textId="77777777" w:rsidR="004843D4" w:rsidRPr="004843D4" w:rsidRDefault="004843D4" w:rsidP="004843D4">
      <w:pPr>
        <w:pStyle w:val="NormalWeb"/>
        <w:numPr>
          <w:ilvl w:val="0"/>
          <w:numId w:val="94"/>
        </w:numPr>
        <w:rPr>
          <w:rFonts w:ascii="Verdana" w:hAnsi="Verdana"/>
          <w:sz w:val="18"/>
          <w:szCs w:val="18"/>
        </w:rPr>
      </w:pPr>
      <w:r w:rsidRPr="004843D4">
        <w:rPr>
          <w:rFonts w:ascii="Verdana" w:hAnsi="Verdana"/>
          <w:sz w:val="18"/>
          <w:szCs w:val="18"/>
        </w:rPr>
        <w:t>Año 2025: 720</w:t>
      </w:r>
    </w:p>
    <w:p w14:paraId="60144A2A" w14:textId="77777777" w:rsidR="004843D4" w:rsidRPr="004843D4" w:rsidRDefault="004843D4" w:rsidP="004843D4">
      <w:pPr>
        <w:pStyle w:val="NormalWeb"/>
        <w:rPr>
          <w:rFonts w:ascii="Verdana" w:hAnsi="Verdana"/>
          <w:b/>
          <w:bCs/>
          <w:sz w:val="18"/>
          <w:szCs w:val="18"/>
        </w:rPr>
      </w:pPr>
      <w:r w:rsidRPr="004843D4">
        <w:rPr>
          <w:rFonts w:ascii="Verdana" w:hAnsi="Verdana"/>
          <w:b/>
          <w:bCs/>
          <w:sz w:val="18"/>
          <w:szCs w:val="18"/>
        </w:rPr>
        <w:t>Declaración informativa sobre monedas virtuales situadas en el extranjero</w:t>
      </w:r>
    </w:p>
    <w:p w14:paraId="056E1869" w14:textId="77777777" w:rsidR="004843D4" w:rsidRPr="004843D4" w:rsidRDefault="004843D4" w:rsidP="004843D4">
      <w:pPr>
        <w:pStyle w:val="NormalWeb"/>
        <w:numPr>
          <w:ilvl w:val="0"/>
          <w:numId w:val="95"/>
        </w:numPr>
        <w:rPr>
          <w:rFonts w:ascii="Verdana" w:hAnsi="Verdana"/>
          <w:sz w:val="18"/>
          <w:szCs w:val="18"/>
        </w:rPr>
      </w:pPr>
      <w:r w:rsidRPr="004843D4">
        <w:rPr>
          <w:rFonts w:ascii="Verdana" w:hAnsi="Verdana"/>
          <w:sz w:val="18"/>
          <w:szCs w:val="18"/>
        </w:rPr>
        <w:t>Año 2025: 721</w:t>
      </w:r>
    </w:p>
    <w:p w14:paraId="140FB5DD" w14:textId="77777777" w:rsidR="004843D4" w:rsidRPr="004843D4" w:rsidRDefault="004843D4" w:rsidP="004843D4">
      <w:pPr>
        <w:pStyle w:val="NormalWeb"/>
        <w:shd w:val="clear" w:color="auto" w:fill="FFFFFF"/>
        <w:spacing w:before="0" w:beforeAutospacing="0"/>
        <w:rPr>
          <w:rFonts w:ascii="Verdana" w:hAnsi="Verdana"/>
          <w:b/>
          <w:bCs/>
          <w:sz w:val="18"/>
          <w:szCs w:val="18"/>
        </w:rPr>
      </w:pPr>
    </w:p>
    <w:p w14:paraId="1320728B" w14:textId="77777777" w:rsidR="004843D4" w:rsidRPr="004843D4" w:rsidRDefault="004843D4" w:rsidP="004843D4">
      <w:pPr>
        <w:pStyle w:val="NormalWeb"/>
        <w:shd w:val="clear" w:color="auto" w:fill="FFFFFF"/>
        <w:spacing w:before="0" w:beforeAutospacing="0"/>
        <w:rPr>
          <w:rFonts w:ascii="Verdana" w:eastAsia="Times New Roman" w:hAnsi="Verdana" w:cs="Times New Roman"/>
          <w:b/>
          <w:bCs/>
          <w:sz w:val="18"/>
          <w:szCs w:val="18"/>
        </w:rPr>
      </w:pPr>
    </w:p>
    <w:p w14:paraId="7AA41B5B" w14:textId="77777777" w:rsidR="0035154F" w:rsidRPr="00776E79" w:rsidRDefault="0035154F" w:rsidP="0035154F">
      <w:pPr>
        <w:jc w:val="both"/>
        <w:rPr>
          <w:rFonts w:ascii="Verdana" w:hAnsi="Verdana"/>
          <w:sz w:val="18"/>
          <w:szCs w:val="18"/>
        </w:rPr>
      </w:pPr>
    </w:p>
    <w:sectPr w:rsidR="0035154F" w:rsidRPr="00776E79" w:rsidSect="00F84492">
      <w:pgSz w:w="11906" w:h="16838" w:code="9"/>
      <w:pgMar w:top="1560" w:right="1558" w:bottom="1418" w:left="1701" w:header="709" w:footer="96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2120" w14:textId="77777777" w:rsidR="005A004F" w:rsidRDefault="005A004F">
      <w:r>
        <w:separator/>
      </w:r>
    </w:p>
  </w:endnote>
  <w:endnote w:type="continuationSeparator" w:id="0">
    <w:p w14:paraId="782DC214" w14:textId="77777777" w:rsidR="005A004F" w:rsidRDefault="005A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0137" w14:textId="77777777" w:rsidR="005A004F" w:rsidRDefault="005A004F">
      <w:r>
        <w:separator/>
      </w:r>
    </w:p>
  </w:footnote>
  <w:footnote w:type="continuationSeparator" w:id="0">
    <w:p w14:paraId="4DDB3087" w14:textId="77777777" w:rsidR="005A004F" w:rsidRDefault="005A0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0270D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D881A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EF38CE86"/>
    <w:lvl w:ilvl="0">
      <w:numFmt w:val="decimal"/>
      <w:lvlText w:val="*"/>
      <w:lvlJc w:val="left"/>
    </w:lvl>
  </w:abstractNum>
  <w:abstractNum w:abstractNumId="3" w15:restartNumberingAfterBreak="0">
    <w:nsid w:val="00D511C3"/>
    <w:multiLevelType w:val="multilevel"/>
    <w:tmpl w:val="5476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47941"/>
    <w:multiLevelType w:val="multilevel"/>
    <w:tmpl w:val="FB6E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A82665"/>
    <w:multiLevelType w:val="multilevel"/>
    <w:tmpl w:val="680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AE02CA"/>
    <w:multiLevelType w:val="multilevel"/>
    <w:tmpl w:val="7E5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546417"/>
    <w:multiLevelType w:val="hybridMultilevel"/>
    <w:tmpl w:val="763C7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35C0A6B"/>
    <w:multiLevelType w:val="multilevel"/>
    <w:tmpl w:val="A5AE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350EB7"/>
    <w:multiLevelType w:val="multilevel"/>
    <w:tmpl w:val="4E207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351547"/>
    <w:multiLevelType w:val="multilevel"/>
    <w:tmpl w:val="01E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517CD"/>
    <w:multiLevelType w:val="multilevel"/>
    <w:tmpl w:val="6BE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136317"/>
    <w:multiLevelType w:val="hybridMultilevel"/>
    <w:tmpl w:val="51744C32"/>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06A51533"/>
    <w:multiLevelType w:val="hybridMultilevel"/>
    <w:tmpl w:val="AF1A2C04"/>
    <w:lvl w:ilvl="0" w:tplc="EF38CE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9FE0860"/>
    <w:multiLevelType w:val="multilevel"/>
    <w:tmpl w:val="F5C0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D5575"/>
    <w:multiLevelType w:val="multilevel"/>
    <w:tmpl w:val="4A0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212640"/>
    <w:multiLevelType w:val="multilevel"/>
    <w:tmpl w:val="192C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9D2D79"/>
    <w:multiLevelType w:val="multilevel"/>
    <w:tmpl w:val="83F2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C82590"/>
    <w:multiLevelType w:val="multilevel"/>
    <w:tmpl w:val="6BF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0C5B69"/>
    <w:multiLevelType w:val="multilevel"/>
    <w:tmpl w:val="4F8E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4E2E4F"/>
    <w:multiLevelType w:val="hybridMultilevel"/>
    <w:tmpl w:val="C540D7C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0CDE5459"/>
    <w:multiLevelType w:val="multilevel"/>
    <w:tmpl w:val="2C6A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185ED3"/>
    <w:multiLevelType w:val="multilevel"/>
    <w:tmpl w:val="1DA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C275C2"/>
    <w:multiLevelType w:val="multilevel"/>
    <w:tmpl w:val="EAE0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38223A"/>
    <w:multiLevelType w:val="multilevel"/>
    <w:tmpl w:val="78F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557D91"/>
    <w:multiLevelType w:val="multilevel"/>
    <w:tmpl w:val="0A3C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880398"/>
    <w:multiLevelType w:val="multilevel"/>
    <w:tmpl w:val="2946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0111A4"/>
    <w:multiLevelType w:val="multilevel"/>
    <w:tmpl w:val="CAFA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816021"/>
    <w:multiLevelType w:val="multilevel"/>
    <w:tmpl w:val="2BB0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4B6891"/>
    <w:multiLevelType w:val="multilevel"/>
    <w:tmpl w:val="A662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893FAB"/>
    <w:multiLevelType w:val="hybridMultilevel"/>
    <w:tmpl w:val="2966B7DA"/>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170C53A4"/>
    <w:multiLevelType w:val="multilevel"/>
    <w:tmpl w:val="3574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2C3088"/>
    <w:multiLevelType w:val="multilevel"/>
    <w:tmpl w:val="385A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C91F37"/>
    <w:multiLevelType w:val="hybridMultilevel"/>
    <w:tmpl w:val="7B64420C"/>
    <w:lvl w:ilvl="0" w:tplc="EF38CE86">
      <w:start w:val="13"/>
      <w:numFmt w:val="bullet"/>
      <w:lvlText w:val="-"/>
      <w:lvlJc w:val="left"/>
      <w:pPr>
        <w:ind w:left="1004" w:hanging="360"/>
      </w:pPr>
      <w:rPr>
        <w:rFonts w:ascii="Times New Roman" w:hAnsi="Times New Roman" w:hint="default"/>
      </w:rPr>
    </w:lvl>
    <w:lvl w:ilvl="1" w:tplc="B142E42A">
      <w:numFmt w:val="bullet"/>
      <w:lvlText w:val=""/>
      <w:lvlJc w:val="left"/>
      <w:pPr>
        <w:ind w:left="1724" w:hanging="360"/>
      </w:pPr>
      <w:rPr>
        <w:rFonts w:ascii="Wingdings" w:eastAsia="Times New Roman" w:hAnsi="Wingdings"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15:restartNumberingAfterBreak="0">
    <w:nsid w:val="18911F43"/>
    <w:multiLevelType w:val="hybridMultilevel"/>
    <w:tmpl w:val="EA741090"/>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5" w15:restartNumberingAfterBreak="0">
    <w:nsid w:val="1A9C09E9"/>
    <w:multiLevelType w:val="hybridMultilevel"/>
    <w:tmpl w:val="BBF40938"/>
    <w:lvl w:ilvl="0" w:tplc="EF38CE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1CB873CA"/>
    <w:multiLevelType w:val="multilevel"/>
    <w:tmpl w:val="ACC6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3400A1"/>
    <w:multiLevelType w:val="multilevel"/>
    <w:tmpl w:val="BEF6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2F1438"/>
    <w:multiLevelType w:val="hybridMultilevel"/>
    <w:tmpl w:val="BDBAFD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20580140"/>
    <w:multiLevelType w:val="multilevel"/>
    <w:tmpl w:val="339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FF7DE9"/>
    <w:multiLevelType w:val="multilevel"/>
    <w:tmpl w:val="700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DF3FA4"/>
    <w:multiLevelType w:val="hybridMultilevel"/>
    <w:tmpl w:val="AC6E85AA"/>
    <w:lvl w:ilvl="0" w:tplc="EF38CE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5B42996"/>
    <w:multiLevelType w:val="multilevel"/>
    <w:tmpl w:val="4A3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16481F"/>
    <w:multiLevelType w:val="hybridMultilevel"/>
    <w:tmpl w:val="5E02E890"/>
    <w:lvl w:ilvl="0" w:tplc="EF38CE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278C4CD1"/>
    <w:multiLevelType w:val="hybridMultilevel"/>
    <w:tmpl w:val="B908FC8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5" w15:restartNumberingAfterBreak="0">
    <w:nsid w:val="27C56326"/>
    <w:multiLevelType w:val="multilevel"/>
    <w:tmpl w:val="F98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5511DB"/>
    <w:multiLevelType w:val="multilevel"/>
    <w:tmpl w:val="6D84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D62CE2"/>
    <w:multiLevelType w:val="multilevel"/>
    <w:tmpl w:val="27F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51752A"/>
    <w:multiLevelType w:val="hybridMultilevel"/>
    <w:tmpl w:val="28E09596"/>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9" w15:restartNumberingAfterBreak="0">
    <w:nsid w:val="340A1225"/>
    <w:multiLevelType w:val="multilevel"/>
    <w:tmpl w:val="A86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982547"/>
    <w:multiLevelType w:val="multilevel"/>
    <w:tmpl w:val="872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D0145D"/>
    <w:multiLevelType w:val="multilevel"/>
    <w:tmpl w:val="C3AE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7C419CF"/>
    <w:multiLevelType w:val="multilevel"/>
    <w:tmpl w:val="BCD0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8F25891"/>
    <w:multiLevelType w:val="multilevel"/>
    <w:tmpl w:val="DE9A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7338CB"/>
    <w:multiLevelType w:val="hybridMultilevel"/>
    <w:tmpl w:val="E2FA241C"/>
    <w:lvl w:ilvl="0" w:tplc="EF38CE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39BA59C6"/>
    <w:multiLevelType w:val="multilevel"/>
    <w:tmpl w:val="9E1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213FD0"/>
    <w:multiLevelType w:val="hybridMultilevel"/>
    <w:tmpl w:val="5D62F8A0"/>
    <w:lvl w:ilvl="0" w:tplc="EF38CE86">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7" w15:restartNumberingAfterBreak="0">
    <w:nsid w:val="3A367A5E"/>
    <w:multiLevelType w:val="multilevel"/>
    <w:tmpl w:val="5FE0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A4522F6"/>
    <w:multiLevelType w:val="hybridMultilevel"/>
    <w:tmpl w:val="C8920BB0"/>
    <w:lvl w:ilvl="0" w:tplc="B9FA28F6">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9" w15:restartNumberingAfterBreak="0">
    <w:nsid w:val="3CCF182D"/>
    <w:multiLevelType w:val="hybridMultilevel"/>
    <w:tmpl w:val="7D78C17E"/>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0" w15:restartNumberingAfterBreak="0">
    <w:nsid w:val="3F6424BD"/>
    <w:multiLevelType w:val="multilevel"/>
    <w:tmpl w:val="2784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B849F2"/>
    <w:multiLevelType w:val="singleLevel"/>
    <w:tmpl w:val="EF38CE86"/>
    <w:lvl w:ilvl="0">
      <w:numFmt w:val="decimal"/>
      <w:lvlText w:val="*"/>
      <w:lvlJc w:val="left"/>
    </w:lvl>
  </w:abstractNum>
  <w:abstractNum w:abstractNumId="62" w15:restartNumberingAfterBreak="0">
    <w:nsid w:val="42114A1C"/>
    <w:multiLevelType w:val="multilevel"/>
    <w:tmpl w:val="9E16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1F6921"/>
    <w:multiLevelType w:val="multilevel"/>
    <w:tmpl w:val="DA7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67477D"/>
    <w:multiLevelType w:val="multilevel"/>
    <w:tmpl w:val="AAAC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0C2C81"/>
    <w:multiLevelType w:val="multilevel"/>
    <w:tmpl w:val="0A4A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8A0592C"/>
    <w:multiLevelType w:val="hybridMultilevel"/>
    <w:tmpl w:val="4F3644CE"/>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7" w15:restartNumberingAfterBreak="0">
    <w:nsid w:val="4AC7662F"/>
    <w:multiLevelType w:val="multilevel"/>
    <w:tmpl w:val="A6D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9E3F3A"/>
    <w:multiLevelType w:val="multilevel"/>
    <w:tmpl w:val="BDC4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B807C9"/>
    <w:multiLevelType w:val="multilevel"/>
    <w:tmpl w:val="D38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A335A4"/>
    <w:multiLevelType w:val="hybridMultilevel"/>
    <w:tmpl w:val="402E7D28"/>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1" w15:restartNumberingAfterBreak="0">
    <w:nsid w:val="516264AF"/>
    <w:multiLevelType w:val="multilevel"/>
    <w:tmpl w:val="9A00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2C2256D"/>
    <w:multiLevelType w:val="hybridMultilevel"/>
    <w:tmpl w:val="2474E4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52E02CAE"/>
    <w:multiLevelType w:val="hybridMultilevel"/>
    <w:tmpl w:val="49E66A7E"/>
    <w:lvl w:ilvl="0" w:tplc="0C0A000F">
      <w:start w:val="1"/>
      <w:numFmt w:val="decimal"/>
      <w:lvlText w:val="%1."/>
      <w:lvlJc w:val="left"/>
      <w:pPr>
        <w:ind w:left="862" w:hanging="360"/>
      </w:pPr>
    </w:lvl>
    <w:lvl w:ilvl="1" w:tplc="790C30C4">
      <w:numFmt w:val="bullet"/>
      <w:lvlText w:val="-"/>
      <w:lvlJc w:val="left"/>
      <w:pPr>
        <w:ind w:left="1582" w:hanging="360"/>
      </w:pPr>
      <w:rPr>
        <w:rFonts w:ascii="Verdana" w:eastAsia="Times New Roman" w:hAnsi="Verdana" w:cs="Times New Roman" w:hint="default"/>
      </w:r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74" w15:restartNumberingAfterBreak="0">
    <w:nsid w:val="539B2FA4"/>
    <w:multiLevelType w:val="multilevel"/>
    <w:tmpl w:val="E290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2C5193"/>
    <w:multiLevelType w:val="multilevel"/>
    <w:tmpl w:val="7C34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6B5C90"/>
    <w:multiLevelType w:val="hybridMultilevel"/>
    <w:tmpl w:val="11F090A8"/>
    <w:lvl w:ilvl="0" w:tplc="EF38CE86">
      <w:start w:val="1"/>
      <w:numFmt w:val="bullet"/>
      <w:lvlText w:val=""/>
      <w:lvlJc w:val="left"/>
      <w:pPr>
        <w:ind w:left="502" w:hanging="360"/>
      </w:pPr>
      <w:rPr>
        <w:rFonts w:ascii="Symbol" w:hAnsi="Symbol"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7" w15:restartNumberingAfterBreak="0">
    <w:nsid w:val="5D4E530E"/>
    <w:multiLevelType w:val="multilevel"/>
    <w:tmpl w:val="1AEE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5C752B"/>
    <w:multiLevelType w:val="multilevel"/>
    <w:tmpl w:val="6C60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E359C6"/>
    <w:multiLevelType w:val="hybridMultilevel"/>
    <w:tmpl w:val="1D28DC08"/>
    <w:lvl w:ilvl="0" w:tplc="611835F0">
      <w:start w:val="1"/>
      <w:numFmt w:val="decimal"/>
      <w:lvlText w:val="%1."/>
      <w:lvlJc w:val="left"/>
      <w:pPr>
        <w:tabs>
          <w:tab w:val="num" w:pos="502"/>
        </w:tabs>
        <w:ind w:left="502" w:hanging="360"/>
      </w:pPr>
      <w:rPr>
        <w:rFonts w:hint="default"/>
      </w:rPr>
    </w:lvl>
    <w:lvl w:ilvl="1" w:tplc="EF38CE86">
      <w:start w:val="13"/>
      <w:numFmt w:val="bullet"/>
      <w:lvlText w:val="-"/>
      <w:legacy w:legacy="1" w:legacySpace="360" w:legacyIndent="360"/>
      <w:lvlJc w:val="left"/>
      <w:pPr>
        <w:ind w:left="1080" w:hanging="360"/>
      </w:pPr>
      <w:rPr>
        <w:rFonts w:ascii="Times New Roman" w:hAnsi="Times New Roman"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0" w15:restartNumberingAfterBreak="0">
    <w:nsid w:val="64321A44"/>
    <w:multiLevelType w:val="multilevel"/>
    <w:tmpl w:val="D5469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B36C67"/>
    <w:multiLevelType w:val="multilevel"/>
    <w:tmpl w:val="0598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F12DF2"/>
    <w:multiLevelType w:val="hybridMultilevel"/>
    <w:tmpl w:val="C14E719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3" w15:restartNumberingAfterBreak="0">
    <w:nsid w:val="661C0917"/>
    <w:multiLevelType w:val="multilevel"/>
    <w:tmpl w:val="CC6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6C326D0"/>
    <w:multiLevelType w:val="multilevel"/>
    <w:tmpl w:val="6F9AE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542D0A"/>
    <w:multiLevelType w:val="hybridMultilevel"/>
    <w:tmpl w:val="BEE26BD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6A212F2C"/>
    <w:multiLevelType w:val="multilevel"/>
    <w:tmpl w:val="C4E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821B2A"/>
    <w:multiLevelType w:val="hybridMultilevel"/>
    <w:tmpl w:val="8598A068"/>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8" w15:restartNumberingAfterBreak="0">
    <w:nsid w:val="709D7C5D"/>
    <w:multiLevelType w:val="multilevel"/>
    <w:tmpl w:val="C2441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257184"/>
    <w:multiLevelType w:val="multilevel"/>
    <w:tmpl w:val="46C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5E5B68"/>
    <w:multiLevelType w:val="multilevel"/>
    <w:tmpl w:val="BE4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36A78D5"/>
    <w:multiLevelType w:val="multilevel"/>
    <w:tmpl w:val="9AE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5E7B96"/>
    <w:multiLevelType w:val="multilevel"/>
    <w:tmpl w:val="E55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4924CD1"/>
    <w:multiLevelType w:val="hybridMultilevel"/>
    <w:tmpl w:val="588C4FA0"/>
    <w:lvl w:ilvl="0" w:tplc="EF38CE86">
      <w:start w:val="13"/>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4" w15:restartNumberingAfterBreak="0">
    <w:nsid w:val="74EB1BDF"/>
    <w:multiLevelType w:val="multilevel"/>
    <w:tmpl w:val="E7E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C72B11"/>
    <w:multiLevelType w:val="multilevel"/>
    <w:tmpl w:val="ED1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3633EC"/>
    <w:multiLevelType w:val="multilevel"/>
    <w:tmpl w:val="6B18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CC0C88"/>
    <w:multiLevelType w:val="hybridMultilevel"/>
    <w:tmpl w:val="DEE4771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8" w15:restartNumberingAfterBreak="0">
    <w:nsid w:val="786B685F"/>
    <w:multiLevelType w:val="multilevel"/>
    <w:tmpl w:val="8C3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965AA9"/>
    <w:multiLevelType w:val="hybridMultilevel"/>
    <w:tmpl w:val="9F2600F2"/>
    <w:lvl w:ilvl="0" w:tplc="B9FA28F6">
      <w:start w:val="1"/>
      <w:numFmt w:val="lowerLetter"/>
      <w:lvlText w:val="%1)"/>
      <w:lvlJc w:val="left"/>
      <w:pPr>
        <w:ind w:left="928"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0" w15:restartNumberingAfterBreak="0">
    <w:nsid w:val="7BB22B5A"/>
    <w:multiLevelType w:val="hybridMultilevel"/>
    <w:tmpl w:val="B0E01C02"/>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01" w15:restartNumberingAfterBreak="0">
    <w:nsid w:val="7E4F6744"/>
    <w:multiLevelType w:val="multilevel"/>
    <w:tmpl w:val="CC50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98674">
    <w:abstractNumId w:val="1"/>
  </w:num>
  <w:num w:numId="2" w16cid:durableId="1573153892">
    <w:abstractNumId w:val="0"/>
  </w:num>
  <w:num w:numId="3" w16cid:durableId="1727533118">
    <w:abstractNumId w:val="2"/>
    <w:lvlOverride w:ilvl="0">
      <w:lvl w:ilvl="0">
        <w:start w:val="1"/>
        <w:numFmt w:val="bullet"/>
        <w:lvlText w:val=""/>
        <w:lvlJc w:val="left"/>
        <w:pPr>
          <w:ind w:left="720" w:hanging="360"/>
        </w:pPr>
        <w:rPr>
          <w:rFonts w:ascii="Symbol" w:hAnsi="Symbol" w:hint="default"/>
        </w:rPr>
      </w:lvl>
    </w:lvlOverride>
  </w:num>
  <w:num w:numId="4" w16cid:durableId="1666203380">
    <w:abstractNumId w:val="79"/>
  </w:num>
  <w:num w:numId="5" w16cid:durableId="1194924213">
    <w:abstractNumId w:val="43"/>
  </w:num>
  <w:num w:numId="6" w16cid:durableId="626396416">
    <w:abstractNumId w:val="13"/>
  </w:num>
  <w:num w:numId="7" w16cid:durableId="1246257503">
    <w:abstractNumId w:val="73"/>
  </w:num>
  <w:num w:numId="8" w16cid:durableId="47844892">
    <w:abstractNumId w:val="61"/>
  </w:num>
  <w:num w:numId="9" w16cid:durableId="1257907935">
    <w:abstractNumId w:val="56"/>
  </w:num>
  <w:num w:numId="10" w16cid:durableId="365259774">
    <w:abstractNumId w:val="76"/>
  </w:num>
  <w:num w:numId="11" w16cid:durableId="688218323">
    <w:abstractNumId w:val="54"/>
  </w:num>
  <w:num w:numId="12" w16cid:durableId="1410158305">
    <w:abstractNumId w:val="35"/>
  </w:num>
  <w:num w:numId="13" w16cid:durableId="171653789">
    <w:abstractNumId w:val="30"/>
  </w:num>
  <w:num w:numId="14" w16cid:durableId="1163353140">
    <w:abstractNumId w:val="34"/>
  </w:num>
  <w:num w:numId="15" w16cid:durableId="915937425">
    <w:abstractNumId w:val="66"/>
  </w:num>
  <w:num w:numId="16" w16cid:durableId="756903068">
    <w:abstractNumId w:val="87"/>
  </w:num>
  <w:num w:numId="17" w16cid:durableId="682244687">
    <w:abstractNumId w:val="12"/>
  </w:num>
  <w:num w:numId="18" w16cid:durableId="674262980">
    <w:abstractNumId w:val="33"/>
  </w:num>
  <w:num w:numId="19" w16cid:durableId="139882790">
    <w:abstractNumId w:val="72"/>
  </w:num>
  <w:num w:numId="20" w16cid:durableId="1260021317">
    <w:abstractNumId w:val="41"/>
  </w:num>
  <w:num w:numId="21" w16cid:durableId="239563721">
    <w:abstractNumId w:val="48"/>
  </w:num>
  <w:num w:numId="22" w16cid:durableId="1784038054">
    <w:abstractNumId w:val="38"/>
  </w:num>
  <w:num w:numId="23" w16cid:durableId="1736928275">
    <w:abstractNumId w:val="70"/>
  </w:num>
  <w:num w:numId="24" w16cid:durableId="869026789">
    <w:abstractNumId w:val="82"/>
  </w:num>
  <w:num w:numId="25" w16cid:durableId="900409681">
    <w:abstractNumId w:val="59"/>
  </w:num>
  <w:num w:numId="26" w16cid:durableId="1677657938">
    <w:abstractNumId w:val="93"/>
  </w:num>
  <w:num w:numId="27" w16cid:durableId="113209401">
    <w:abstractNumId w:val="100"/>
  </w:num>
  <w:num w:numId="28" w16cid:durableId="1575891813">
    <w:abstractNumId w:val="85"/>
  </w:num>
  <w:num w:numId="29" w16cid:durableId="1865633556">
    <w:abstractNumId w:val="7"/>
  </w:num>
  <w:num w:numId="30" w16cid:durableId="49429061">
    <w:abstractNumId w:val="67"/>
  </w:num>
  <w:num w:numId="31" w16cid:durableId="1541819663">
    <w:abstractNumId w:val="52"/>
  </w:num>
  <w:num w:numId="32" w16cid:durableId="294800906">
    <w:abstractNumId w:val="20"/>
  </w:num>
  <w:num w:numId="33" w16cid:durableId="756560987">
    <w:abstractNumId w:val="31"/>
  </w:num>
  <w:num w:numId="34" w16cid:durableId="1927692007">
    <w:abstractNumId w:val="101"/>
  </w:num>
  <w:num w:numId="35" w16cid:durableId="1183202927">
    <w:abstractNumId w:val="75"/>
  </w:num>
  <w:num w:numId="36" w16cid:durableId="1488744637">
    <w:abstractNumId w:val="92"/>
  </w:num>
  <w:num w:numId="37" w16cid:durableId="250091887">
    <w:abstractNumId w:val="88"/>
  </w:num>
  <w:num w:numId="38" w16cid:durableId="802506855">
    <w:abstractNumId w:val="84"/>
  </w:num>
  <w:num w:numId="39" w16cid:durableId="10575141">
    <w:abstractNumId w:val="83"/>
  </w:num>
  <w:num w:numId="40" w16cid:durableId="147598534">
    <w:abstractNumId w:val="58"/>
  </w:num>
  <w:num w:numId="41" w16cid:durableId="342825307">
    <w:abstractNumId w:val="80"/>
  </w:num>
  <w:num w:numId="42" w16cid:durableId="2051606325">
    <w:abstractNumId w:val="3"/>
  </w:num>
  <w:num w:numId="43" w16cid:durableId="2029134112">
    <w:abstractNumId w:val="45"/>
  </w:num>
  <w:num w:numId="44" w16cid:durableId="1276670343">
    <w:abstractNumId w:val="91"/>
  </w:num>
  <w:num w:numId="45" w16cid:durableId="1857649748">
    <w:abstractNumId w:val="40"/>
  </w:num>
  <w:num w:numId="46" w16cid:durableId="893660242">
    <w:abstractNumId w:val="5"/>
  </w:num>
  <w:num w:numId="47" w16cid:durableId="200016328">
    <w:abstractNumId w:val="98"/>
  </w:num>
  <w:num w:numId="48" w16cid:durableId="813567719">
    <w:abstractNumId w:val="94"/>
  </w:num>
  <w:num w:numId="49" w16cid:durableId="418328025">
    <w:abstractNumId w:val="89"/>
  </w:num>
  <w:num w:numId="50" w16cid:durableId="254175183">
    <w:abstractNumId w:val="14"/>
  </w:num>
  <w:num w:numId="51" w16cid:durableId="60101856">
    <w:abstractNumId w:val="99"/>
  </w:num>
  <w:num w:numId="52" w16cid:durableId="1929266663">
    <w:abstractNumId w:val="97"/>
  </w:num>
  <w:num w:numId="53" w16cid:durableId="631980608">
    <w:abstractNumId w:val="6"/>
  </w:num>
  <w:num w:numId="54" w16cid:durableId="2086296865">
    <w:abstractNumId w:val="63"/>
  </w:num>
  <w:num w:numId="55" w16cid:durableId="472674233">
    <w:abstractNumId w:val="29"/>
  </w:num>
  <w:num w:numId="56" w16cid:durableId="287321638">
    <w:abstractNumId w:val="11"/>
  </w:num>
  <w:num w:numId="57" w16cid:durableId="332339550">
    <w:abstractNumId w:val="50"/>
  </w:num>
  <w:num w:numId="58" w16cid:durableId="1941446257">
    <w:abstractNumId w:val="78"/>
  </w:num>
  <w:num w:numId="59" w16cid:durableId="437532258">
    <w:abstractNumId w:val="4"/>
  </w:num>
  <w:num w:numId="60" w16cid:durableId="1151092347">
    <w:abstractNumId w:val="96"/>
  </w:num>
  <w:num w:numId="61" w16cid:durableId="1794517455">
    <w:abstractNumId w:val="36"/>
  </w:num>
  <w:num w:numId="62" w16cid:durableId="856119260">
    <w:abstractNumId w:val="47"/>
  </w:num>
  <w:num w:numId="63" w16cid:durableId="517622134">
    <w:abstractNumId w:val="68"/>
  </w:num>
  <w:num w:numId="64" w16cid:durableId="1049109811">
    <w:abstractNumId w:val="90"/>
  </w:num>
  <w:num w:numId="65" w16cid:durableId="1494250988">
    <w:abstractNumId w:val="44"/>
  </w:num>
  <w:num w:numId="66" w16cid:durableId="848105594">
    <w:abstractNumId w:val="46"/>
  </w:num>
  <w:num w:numId="67" w16cid:durableId="179707504">
    <w:abstractNumId w:val="27"/>
  </w:num>
  <w:num w:numId="68" w16cid:durableId="2059350987">
    <w:abstractNumId w:val="95"/>
  </w:num>
  <w:num w:numId="69" w16cid:durableId="1374041929">
    <w:abstractNumId w:val="60"/>
  </w:num>
  <w:num w:numId="70" w16cid:durableId="1331909438">
    <w:abstractNumId w:val="55"/>
  </w:num>
  <w:num w:numId="71" w16cid:durableId="1566456655">
    <w:abstractNumId w:val="64"/>
  </w:num>
  <w:num w:numId="72" w16cid:durableId="1286884268">
    <w:abstractNumId w:val="32"/>
  </w:num>
  <w:num w:numId="73" w16cid:durableId="381909079">
    <w:abstractNumId w:val="62"/>
  </w:num>
  <w:num w:numId="74" w16cid:durableId="975839735">
    <w:abstractNumId w:val="10"/>
  </w:num>
  <w:num w:numId="75" w16cid:durableId="2111121596">
    <w:abstractNumId w:val="49"/>
  </w:num>
  <w:num w:numId="76" w16cid:durableId="1972782226">
    <w:abstractNumId w:val="77"/>
  </w:num>
  <w:num w:numId="77" w16cid:durableId="2031878212">
    <w:abstractNumId w:val="51"/>
  </w:num>
  <w:num w:numId="78" w16cid:durableId="1413622202">
    <w:abstractNumId w:val="86"/>
  </w:num>
  <w:num w:numId="79" w16cid:durableId="1180663023">
    <w:abstractNumId w:val="17"/>
  </w:num>
  <w:num w:numId="80" w16cid:durableId="176888860">
    <w:abstractNumId w:val="42"/>
  </w:num>
  <w:num w:numId="81" w16cid:durableId="1642998753">
    <w:abstractNumId w:val="26"/>
  </w:num>
  <w:num w:numId="82" w16cid:durableId="226720640">
    <w:abstractNumId w:val="22"/>
  </w:num>
  <w:num w:numId="83" w16cid:durableId="888759319">
    <w:abstractNumId w:val="39"/>
  </w:num>
  <w:num w:numId="84" w16cid:durableId="351222075">
    <w:abstractNumId w:val="24"/>
  </w:num>
  <w:num w:numId="85" w16cid:durableId="1546256445">
    <w:abstractNumId w:val="19"/>
  </w:num>
  <w:num w:numId="86" w16cid:durableId="1635713966">
    <w:abstractNumId w:val="16"/>
  </w:num>
  <w:num w:numId="87" w16cid:durableId="792559497">
    <w:abstractNumId w:val="71"/>
  </w:num>
  <w:num w:numId="88" w16cid:durableId="1210797678">
    <w:abstractNumId w:val="18"/>
  </w:num>
  <w:num w:numId="89" w16cid:durableId="1986356287">
    <w:abstractNumId w:val="25"/>
  </w:num>
  <w:num w:numId="90" w16cid:durableId="910693795">
    <w:abstractNumId w:val="21"/>
  </w:num>
  <w:num w:numId="91" w16cid:durableId="676541524">
    <w:abstractNumId w:val="74"/>
  </w:num>
  <w:num w:numId="92" w16cid:durableId="541407765">
    <w:abstractNumId w:val="15"/>
  </w:num>
  <w:num w:numId="93" w16cid:durableId="961573997">
    <w:abstractNumId w:val="8"/>
  </w:num>
  <w:num w:numId="94" w16cid:durableId="1603345074">
    <w:abstractNumId w:val="65"/>
  </w:num>
  <w:num w:numId="95" w16cid:durableId="2015918728">
    <w:abstractNumId w:val="69"/>
  </w:num>
  <w:num w:numId="96" w16cid:durableId="187107101">
    <w:abstractNumId w:val="9"/>
  </w:num>
  <w:num w:numId="97" w16cid:durableId="165944585">
    <w:abstractNumId w:val="28"/>
  </w:num>
  <w:num w:numId="98" w16cid:durableId="2045910667">
    <w:abstractNumId w:val="53"/>
  </w:num>
  <w:num w:numId="99" w16cid:durableId="1820461574">
    <w:abstractNumId w:val="81"/>
  </w:num>
  <w:num w:numId="100" w16cid:durableId="1314720845">
    <w:abstractNumId w:val="57"/>
  </w:num>
  <w:num w:numId="101" w16cid:durableId="886642336">
    <w:abstractNumId w:val="23"/>
  </w:num>
  <w:num w:numId="102" w16cid:durableId="1711488721">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D"/>
    <w:rsid w:val="0000093E"/>
    <w:rsid w:val="00001E2C"/>
    <w:rsid w:val="00002ADD"/>
    <w:rsid w:val="00003D87"/>
    <w:rsid w:val="00005308"/>
    <w:rsid w:val="000056A5"/>
    <w:rsid w:val="00006146"/>
    <w:rsid w:val="00006805"/>
    <w:rsid w:val="000069CD"/>
    <w:rsid w:val="00006E27"/>
    <w:rsid w:val="0000724B"/>
    <w:rsid w:val="00012575"/>
    <w:rsid w:val="000139EB"/>
    <w:rsid w:val="00013F9A"/>
    <w:rsid w:val="000142AD"/>
    <w:rsid w:val="00015A2E"/>
    <w:rsid w:val="000163F1"/>
    <w:rsid w:val="000173D5"/>
    <w:rsid w:val="000176D1"/>
    <w:rsid w:val="00020120"/>
    <w:rsid w:val="000224E0"/>
    <w:rsid w:val="00023872"/>
    <w:rsid w:val="000262E8"/>
    <w:rsid w:val="0003242E"/>
    <w:rsid w:val="00032B53"/>
    <w:rsid w:val="00034E38"/>
    <w:rsid w:val="00041D44"/>
    <w:rsid w:val="00041D69"/>
    <w:rsid w:val="0004243A"/>
    <w:rsid w:val="00043281"/>
    <w:rsid w:val="00046DC9"/>
    <w:rsid w:val="0004757D"/>
    <w:rsid w:val="00052543"/>
    <w:rsid w:val="000555BF"/>
    <w:rsid w:val="00060AD1"/>
    <w:rsid w:val="0006121C"/>
    <w:rsid w:val="00061840"/>
    <w:rsid w:val="00061C0D"/>
    <w:rsid w:val="0006228E"/>
    <w:rsid w:val="000627D1"/>
    <w:rsid w:val="00062F3B"/>
    <w:rsid w:val="00063343"/>
    <w:rsid w:val="00063480"/>
    <w:rsid w:val="00063748"/>
    <w:rsid w:val="00063779"/>
    <w:rsid w:val="00063F8A"/>
    <w:rsid w:val="0006599A"/>
    <w:rsid w:val="00065A68"/>
    <w:rsid w:val="00066264"/>
    <w:rsid w:val="0007198B"/>
    <w:rsid w:val="00075BBB"/>
    <w:rsid w:val="00083DB3"/>
    <w:rsid w:val="00083DC1"/>
    <w:rsid w:val="00084039"/>
    <w:rsid w:val="00084AEF"/>
    <w:rsid w:val="00084FE7"/>
    <w:rsid w:val="00085894"/>
    <w:rsid w:val="000858B7"/>
    <w:rsid w:val="00087527"/>
    <w:rsid w:val="00087CBC"/>
    <w:rsid w:val="00087D1C"/>
    <w:rsid w:val="00093334"/>
    <w:rsid w:val="00096A6B"/>
    <w:rsid w:val="00097018"/>
    <w:rsid w:val="000A08EB"/>
    <w:rsid w:val="000A099D"/>
    <w:rsid w:val="000A0B67"/>
    <w:rsid w:val="000A0D77"/>
    <w:rsid w:val="000A11A4"/>
    <w:rsid w:val="000A1D1D"/>
    <w:rsid w:val="000A1FCD"/>
    <w:rsid w:val="000A3993"/>
    <w:rsid w:val="000A5708"/>
    <w:rsid w:val="000A666A"/>
    <w:rsid w:val="000A6910"/>
    <w:rsid w:val="000A76EA"/>
    <w:rsid w:val="000A7876"/>
    <w:rsid w:val="000B0833"/>
    <w:rsid w:val="000B0DC9"/>
    <w:rsid w:val="000B30BB"/>
    <w:rsid w:val="000B3657"/>
    <w:rsid w:val="000B49F8"/>
    <w:rsid w:val="000B5853"/>
    <w:rsid w:val="000B5B8C"/>
    <w:rsid w:val="000B61F9"/>
    <w:rsid w:val="000B77A6"/>
    <w:rsid w:val="000B7A8B"/>
    <w:rsid w:val="000B7C2C"/>
    <w:rsid w:val="000B7D92"/>
    <w:rsid w:val="000C2812"/>
    <w:rsid w:val="000C2F71"/>
    <w:rsid w:val="000C35A8"/>
    <w:rsid w:val="000C4C72"/>
    <w:rsid w:val="000D06B9"/>
    <w:rsid w:val="000D1566"/>
    <w:rsid w:val="000D29C0"/>
    <w:rsid w:val="000E01BC"/>
    <w:rsid w:val="000E2048"/>
    <w:rsid w:val="000E255E"/>
    <w:rsid w:val="000E287E"/>
    <w:rsid w:val="000E29F8"/>
    <w:rsid w:val="000E2B55"/>
    <w:rsid w:val="000E38C1"/>
    <w:rsid w:val="000E38EF"/>
    <w:rsid w:val="000E45B4"/>
    <w:rsid w:val="000E635C"/>
    <w:rsid w:val="000F1B70"/>
    <w:rsid w:val="000F3904"/>
    <w:rsid w:val="000F5B48"/>
    <w:rsid w:val="000F77E5"/>
    <w:rsid w:val="0010165B"/>
    <w:rsid w:val="00106409"/>
    <w:rsid w:val="00107B3F"/>
    <w:rsid w:val="00110EA2"/>
    <w:rsid w:val="00116B1F"/>
    <w:rsid w:val="00116C0D"/>
    <w:rsid w:val="00117364"/>
    <w:rsid w:val="0011754C"/>
    <w:rsid w:val="0011777C"/>
    <w:rsid w:val="00122B58"/>
    <w:rsid w:val="00125705"/>
    <w:rsid w:val="00125F73"/>
    <w:rsid w:val="00126CC2"/>
    <w:rsid w:val="00133047"/>
    <w:rsid w:val="00133B63"/>
    <w:rsid w:val="001351C9"/>
    <w:rsid w:val="00135324"/>
    <w:rsid w:val="0013549A"/>
    <w:rsid w:val="00136995"/>
    <w:rsid w:val="00136BD9"/>
    <w:rsid w:val="001411FD"/>
    <w:rsid w:val="00142FEB"/>
    <w:rsid w:val="0014449A"/>
    <w:rsid w:val="00145240"/>
    <w:rsid w:val="001501D6"/>
    <w:rsid w:val="00153DFF"/>
    <w:rsid w:val="00155526"/>
    <w:rsid w:val="00155F07"/>
    <w:rsid w:val="00157ECA"/>
    <w:rsid w:val="00160497"/>
    <w:rsid w:val="00161F35"/>
    <w:rsid w:val="00162DA3"/>
    <w:rsid w:val="00163CCB"/>
    <w:rsid w:val="00164811"/>
    <w:rsid w:val="00164A4D"/>
    <w:rsid w:val="00165361"/>
    <w:rsid w:val="00170306"/>
    <w:rsid w:val="00172740"/>
    <w:rsid w:val="00174647"/>
    <w:rsid w:val="00174C14"/>
    <w:rsid w:val="00174CAE"/>
    <w:rsid w:val="001774CD"/>
    <w:rsid w:val="00177B5F"/>
    <w:rsid w:val="00177FCE"/>
    <w:rsid w:val="0018092B"/>
    <w:rsid w:val="001815F9"/>
    <w:rsid w:val="0018171D"/>
    <w:rsid w:val="00182D85"/>
    <w:rsid w:val="00182F30"/>
    <w:rsid w:val="001857F2"/>
    <w:rsid w:val="001873D7"/>
    <w:rsid w:val="00191209"/>
    <w:rsid w:val="00191AF1"/>
    <w:rsid w:val="00193562"/>
    <w:rsid w:val="00195916"/>
    <w:rsid w:val="00196484"/>
    <w:rsid w:val="001A09B5"/>
    <w:rsid w:val="001A0B95"/>
    <w:rsid w:val="001A2926"/>
    <w:rsid w:val="001A3EAB"/>
    <w:rsid w:val="001A43F8"/>
    <w:rsid w:val="001A4C11"/>
    <w:rsid w:val="001A7CAA"/>
    <w:rsid w:val="001B2658"/>
    <w:rsid w:val="001B3DA6"/>
    <w:rsid w:val="001B51D7"/>
    <w:rsid w:val="001B6475"/>
    <w:rsid w:val="001B6FB9"/>
    <w:rsid w:val="001B7A54"/>
    <w:rsid w:val="001B7C58"/>
    <w:rsid w:val="001B7D97"/>
    <w:rsid w:val="001C16B9"/>
    <w:rsid w:val="001C5F4E"/>
    <w:rsid w:val="001D183A"/>
    <w:rsid w:val="001D1A64"/>
    <w:rsid w:val="001D2A70"/>
    <w:rsid w:val="001D4BFA"/>
    <w:rsid w:val="001D5751"/>
    <w:rsid w:val="001D75F0"/>
    <w:rsid w:val="001D7D8A"/>
    <w:rsid w:val="001E0367"/>
    <w:rsid w:val="001E2020"/>
    <w:rsid w:val="001E341E"/>
    <w:rsid w:val="001E570F"/>
    <w:rsid w:val="001E5AFB"/>
    <w:rsid w:val="001E6AC5"/>
    <w:rsid w:val="001E7307"/>
    <w:rsid w:val="001E7873"/>
    <w:rsid w:val="001E7A23"/>
    <w:rsid w:val="001F14A9"/>
    <w:rsid w:val="001F1EDF"/>
    <w:rsid w:val="001F3929"/>
    <w:rsid w:val="001F49C0"/>
    <w:rsid w:val="001F4DFD"/>
    <w:rsid w:val="001F58C0"/>
    <w:rsid w:val="002001B5"/>
    <w:rsid w:val="00200BE4"/>
    <w:rsid w:val="00202FBA"/>
    <w:rsid w:val="002055FB"/>
    <w:rsid w:val="00206998"/>
    <w:rsid w:val="00207881"/>
    <w:rsid w:val="002101F8"/>
    <w:rsid w:val="0021062B"/>
    <w:rsid w:val="00210C85"/>
    <w:rsid w:val="00210F1C"/>
    <w:rsid w:val="002110BB"/>
    <w:rsid w:val="00211998"/>
    <w:rsid w:val="00211C49"/>
    <w:rsid w:val="00212170"/>
    <w:rsid w:val="00216312"/>
    <w:rsid w:val="00220529"/>
    <w:rsid w:val="002222FB"/>
    <w:rsid w:val="002225A9"/>
    <w:rsid w:val="00222F8E"/>
    <w:rsid w:val="002240EB"/>
    <w:rsid w:val="0022504B"/>
    <w:rsid w:val="00225914"/>
    <w:rsid w:val="00227345"/>
    <w:rsid w:val="00230F29"/>
    <w:rsid w:val="002317D8"/>
    <w:rsid w:val="00231F93"/>
    <w:rsid w:val="00235477"/>
    <w:rsid w:val="00235587"/>
    <w:rsid w:val="002357E8"/>
    <w:rsid w:val="00236B45"/>
    <w:rsid w:val="002371A3"/>
    <w:rsid w:val="002379C4"/>
    <w:rsid w:val="00240CEF"/>
    <w:rsid w:val="00244242"/>
    <w:rsid w:val="00247EB0"/>
    <w:rsid w:val="00250360"/>
    <w:rsid w:val="0025437F"/>
    <w:rsid w:val="002550D0"/>
    <w:rsid w:val="0025659D"/>
    <w:rsid w:val="00257DBA"/>
    <w:rsid w:val="00257DF0"/>
    <w:rsid w:val="00261222"/>
    <w:rsid w:val="00261317"/>
    <w:rsid w:val="00270BA6"/>
    <w:rsid w:val="00270FDC"/>
    <w:rsid w:val="00273492"/>
    <w:rsid w:val="002737D2"/>
    <w:rsid w:val="00276044"/>
    <w:rsid w:val="0027797E"/>
    <w:rsid w:val="002820DE"/>
    <w:rsid w:val="00282623"/>
    <w:rsid w:val="00284267"/>
    <w:rsid w:val="00285FBC"/>
    <w:rsid w:val="00286539"/>
    <w:rsid w:val="00286CF3"/>
    <w:rsid w:val="002876A7"/>
    <w:rsid w:val="002877F2"/>
    <w:rsid w:val="00287FC8"/>
    <w:rsid w:val="00290D47"/>
    <w:rsid w:val="00291A73"/>
    <w:rsid w:val="00292519"/>
    <w:rsid w:val="00292935"/>
    <w:rsid w:val="00293276"/>
    <w:rsid w:val="0029491E"/>
    <w:rsid w:val="0029596D"/>
    <w:rsid w:val="00295F36"/>
    <w:rsid w:val="00296CD6"/>
    <w:rsid w:val="00296DB9"/>
    <w:rsid w:val="002A016C"/>
    <w:rsid w:val="002A04A6"/>
    <w:rsid w:val="002A3AD6"/>
    <w:rsid w:val="002A41FC"/>
    <w:rsid w:val="002A5F46"/>
    <w:rsid w:val="002A745B"/>
    <w:rsid w:val="002A7D79"/>
    <w:rsid w:val="002B0E87"/>
    <w:rsid w:val="002B278A"/>
    <w:rsid w:val="002B7A07"/>
    <w:rsid w:val="002C2537"/>
    <w:rsid w:val="002C3A2E"/>
    <w:rsid w:val="002C3E14"/>
    <w:rsid w:val="002D09E5"/>
    <w:rsid w:val="002D15EA"/>
    <w:rsid w:val="002D34E6"/>
    <w:rsid w:val="002E0520"/>
    <w:rsid w:val="002E062B"/>
    <w:rsid w:val="002E068E"/>
    <w:rsid w:val="002E1E7E"/>
    <w:rsid w:val="002E6A7B"/>
    <w:rsid w:val="002F3E62"/>
    <w:rsid w:val="0030054D"/>
    <w:rsid w:val="00305829"/>
    <w:rsid w:val="00305953"/>
    <w:rsid w:val="00306C88"/>
    <w:rsid w:val="003104CC"/>
    <w:rsid w:val="00311099"/>
    <w:rsid w:val="00312159"/>
    <w:rsid w:val="00312D93"/>
    <w:rsid w:val="00314910"/>
    <w:rsid w:val="00314D14"/>
    <w:rsid w:val="00316B18"/>
    <w:rsid w:val="003175F8"/>
    <w:rsid w:val="00317DF1"/>
    <w:rsid w:val="00325115"/>
    <w:rsid w:val="00325B2B"/>
    <w:rsid w:val="00326229"/>
    <w:rsid w:val="00326F5E"/>
    <w:rsid w:val="00327557"/>
    <w:rsid w:val="00331925"/>
    <w:rsid w:val="00331B38"/>
    <w:rsid w:val="003321AE"/>
    <w:rsid w:val="003344D7"/>
    <w:rsid w:val="00334AE6"/>
    <w:rsid w:val="003354A9"/>
    <w:rsid w:val="00336856"/>
    <w:rsid w:val="0034053E"/>
    <w:rsid w:val="00341767"/>
    <w:rsid w:val="003417B1"/>
    <w:rsid w:val="00341EDF"/>
    <w:rsid w:val="003420D4"/>
    <w:rsid w:val="00343CEF"/>
    <w:rsid w:val="003448D4"/>
    <w:rsid w:val="003452D6"/>
    <w:rsid w:val="00345A47"/>
    <w:rsid w:val="00345BBF"/>
    <w:rsid w:val="00346A51"/>
    <w:rsid w:val="00347AC8"/>
    <w:rsid w:val="00347C0F"/>
    <w:rsid w:val="00347F8F"/>
    <w:rsid w:val="0035024A"/>
    <w:rsid w:val="0035154F"/>
    <w:rsid w:val="00354A59"/>
    <w:rsid w:val="003617EB"/>
    <w:rsid w:val="003618C3"/>
    <w:rsid w:val="003629D4"/>
    <w:rsid w:val="00362E64"/>
    <w:rsid w:val="00362E8C"/>
    <w:rsid w:val="003636B5"/>
    <w:rsid w:val="00364948"/>
    <w:rsid w:val="00365CBA"/>
    <w:rsid w:val="00366336"/>
    <w:rsid w:val="0036691A"/>
    <w:rsid w:val="00367E3F"/>
    <w:rsid w:val="003701F2"/>
    <w:rsid w:val="00373594"/>
    <w:rsid w:val="00374359"/>
    <w:rsid w:val="00374C42"/>
    <w:rsid w:val="003769D5"/>
    <w:rsid w:val="003813A6"/>
    <w:rsid w:val="00382FC9"/>
    <w:rsid w:val="00384069"/>
    <w:rsid w:val="0039037D"/>
    <w:rsid w:val="00390AB7"/>
    <w:rsid w:val="00394CDE"/>
    <w:rsid w:val="003A0BE6"/>
    <w:rsid w:val="003A4185"/>
    <w:rsid w:val="003B1833"/>
    <w:rsid w:val="003B3D71"/>
    <w:rsid w:val="003B6E98"/>
    <w:rsid w:val="003B7C71"/>
    <w:rsid w:val="003C20E8"/>
    <w:rsid w:val="003C243C"/>
    <w:rsid w:val="003C3BE8"/>
    <w:rsid w:val="003D0818"/>
    <w:rsid w:val="003D19AA"/>
    <w:rsid w:val="003D2991"/>
    <w:rsid w:val="003D40FA"/>
    <w:rsid w:val="003D42A6"/>
    <w:rsid w:val="003D5192"/>
    <w:rsid w:val="003D556F"/>
    <w:rsid w:val="003D57E2"/>
    <w:rsid w:val="003D64DB"/>
    <w:rsid w:val="003E0315"/>
    <w:rsid w:val="003E073B"/>
    <w:rsid w:val="003E0D8E"/>
    <w:rsid w:val="003E1479"/>
    <w:rsid w:val="003E1C6E"/>
    <w:rsid w:val="003E368E"/>
    <w:rsid w:val="003E715D"/>
    <w:rsid w:val="003F1A2D"/>
    <w:rsid w:val="003F2404"/>
    <w:rsid w:val="003F32AB"/>
    <w:rsid w:val="003F6032"/>
    <w:rsid w:val="003F65CF"/>
    <w:rsid w:val="003F744E"/>
    <w:rsid w:val="004004EF"/>
    <w:rsid w:val="004017E1"/>
    <w:rsid w:val="0040437F"/>
    <w:rsid w:val="00412277"/>
    <w:rsid w:val="004144EF"/>
    <w:rsid w:val="0041476C"/>
    <w:rsid w:val="0041763C"/>
    <w:rsid w:val="0042324B"/>
    <w:rsid w:val="00423601"/>
    <w:rsid w:val="00424141"/>
    <w:rsid w:val="00432083"/>
    <w:rsid w:val="004324C8"/>
    <w:rsid w:val="004346C8"/>
    <w:rsid w:val="00434A14"/>
    <w:rsid w:val="00440090"/>
    <w:rsid w:val="00440E8F"/>
    <w:rsid w:val="0044107A"/>
    <w:rsid w:val="0044134B"/>
    <w:rsid w:val="00441763"/>
    <w:rsid w:val="004419F0"/>
    <w:rsid w:val="004425E8"/>
    <w:rsid w:val="004435AC"/>
    <w:rsid w:val="00443CF0"/>
    <w:rsid w:val="00444F05"/>
    <w:rsid w:val="0044710E"/>
    <w:rsid w:val="00450C31"/>
    <w:rsid w:val="0045207E"/>
    <w:rsid w:val="004524B1"/>
    <w:rsid w:val="0045261C"/>
    <w:rsid w:val="00455457"/>
    <w:rsid w:val="004558FD"/>
    <w:rsid w:val="004570A6"/>
    <w:rsid w:val="004575AB"/>
    <w:rsid w:val="00460303"/>
    <w:rsid w:val="00461ADD"/>
    <w:rsid w:val="0046247A"/>
    <w:rsid w:val="00463953"/>
    <w:rsid w:val="00466085"/>
    <w:rsid w:val="004663CE"/>
    <w:rsid w:val="00467234"/>
    <w:rsid w:val="004673BD"/>
    <w:rsid w:val="004676CB"/>
    <w:rsid w:val="00471B80"/>
    <w:rsid w:val="00472014"/>
    <w:rsid w:val="0047341B"/>
    <w:rsid w:val="0047787A"/>
    <w:rsid w:val="00477FA1"/>
    <w:rsid w:val="00480949"/>
    <w:rsid w:val="004843D4"/>
    <w:rsid w:val="0049025A"/>
    <w:rsid w:val="0049109B"/>
    <w:rsid w:val="0049266F"/>
    <w:rsid w:val="004953C2"/>
    <w:rsid w:val="004A51BC"/>
    <w:rsid w:val="004A754C"/>
    <w:rsid w:val="004A7743"/>
    <w:rsid w:val="004B0B3A"/>
    <w:rsid w:val="004B2648"/>
    <w:rsid w:val="004B34B7"/>
    <w:rsid w:val="004B699F"/>
    <w:rsid w:val="004C082E"/>
    <w:rsid w:val="004C1D3E"/>
    <w:rsid w:val="004C6E9E"/>
    <w:rsid w:val="004D14E6"/>
    <w:rsid w:val="004D25C6"/>
    <w:rsid w:val="004D4B53"/>
    <w:rsid w:val="004D5DB8"/>
    <w:rsid w:val="004D5EAC"/>
    <w:rsid w:val="004D7106"/>
    <w:rsid w:val="004D7E41"/>
    <w:rsid w:val="004E017A"/>
    <w:rsid w:val="004E044A"/>
    <w:rsid w:val="004E08FC"/>
    <w:rsid w:val="004E297C"/>
    <w:rsid w:val="004E2A97"/>
    <w:rsid w:val="004E2FFF"/>
    <w:rsid w:val="004E5591"/>
    <w:rsid w:val="004E57F3"/>
    <w:rsid w:val="004E5BFE"/>
    <w:rsid w:val="004E670E"/>
    <w:rsid w:val="004F4A5B"/>
    <w:rsid w:val="004F4E50"/>
    <w:rsid w:val="004F5181"/>
    <w:rsid w:val="004F6505"/>
    <w:rsid w:val="00503E32"/>
    <w:rsid w:val="00505177"/>
    <w:rsid w:val="0051068B"/>
    <w:rsid w:val="0051377A"/>
    <w:rsid w:val="00513AF7"/>
    <w:rsid w:val="005145C6"/>
    <w:rsid w:val="00515A90"/>
    <w:rsid w:val="00516ED0"/>
    <w:rsid w:val="005242CE"/>
    <w:rsid w:val="005249E3"/>
    <w:rsid w:val="00524BD1"/>
    <w:rsid w:val="00527733"/>
    <w:rsid w:val="005349FB"/>
    <w:rsid w:val="00536228"/>
    <w:rsid w:val="00536B7D"/>
    <w:rsid w:val="00542220"/>
    <w:rsid w:val="005435A0"/>
    <w:rsid w:val="005528F0"/>
    <w:rsid w:val="00552CF6"/>
    <w:rsid w:val="00554576"/>
    <w:rsid w:val="00555F48"/>
    <w:rsid w:val="005604B2"/>
    <w:rsid w:val="0056097A"/>
    <w:rsid w:val="0056176B"/>
    <w:rsid w:val="005633EC"/>
    <w:rsid w:val="00564581"/>
    <w:rsid w:val="005679C5"/>
    <w:rsid w:val="00575528"/>
    <w:rsid w:val="00576AA4"/>
    <w:rsid w:val="00576BCE"/>
    <w:rsid w:val="00580966"/>
    <w:rsid w:val="00581CF8"/>
    <w:rsid w:val="005821B5"/>
    <w:rsid w:val="005833CF"/>
    <w:rsid w:val="00583783"/>
    <w:rsid w:val="00583DC7"/>
    <w:rsid w:val="00585C35"/>
    <w:rsid w:val="00590241"/>
    <w:rsid w:val="0059056D"/>
    <w:rsid w:val="00591FF5"/>
    <w:rsid w:val="00592702"/>
    <w:rsid w:val="00592C8C"/>
    <w:rsid w:val="00593D13"/>
    <w:rsid w:val="00596588"/>
    <w:rsid w:val="00597145"/>
    <w:rsid w:val="005972D7"/>
    <w:rsid w:val="005A004F"/>
    <w:rsid w:val="005A1F27"/>
    <w:rsid w:val="005A295C"/>
    <w:rsid w:val="005A6242"/>
    <w:rsid w:val="005B2C21"/>
    <w:rsid w:val="005B6A2F"/>
    <w:rsid w:val="005B7F35"/>
    <w:rsid w:val="005C1BD4"/>
    <w:rsid w:val="005C20CD"/>
    <w:rsid w:val="005C4447"/>
    <w:rsid w:val="005C4681"/>
    <w:rsid w:val="005D3E87"/>
    <w:rsid w:val="005E444A"/>
    <w:rsid w:val="005E5A91"/>
    <w:rsid w:val="005E7EB7"/>
    <w:rsid w:val="005F11EE"/>
    <w:rsid w:val="005F3BD7"/>
    <w:rsid w:val="005F3FA3"/>
    <w:rsid w:val="005F468E"/>
    <w:rsid w:val="00602855"/>
    <w:rsid w:val="006043D7"/>
    <w:rsid w:val="006047A4"/>
    <w:rsid w:val="00605680"/>
    <w:rsid w:val="00605CA1"/>
    <w:rsid w:val="00605CD8"/>
    <w:rsid w:val="00605D5C"/>
    <w:rsid w:val="00612C3D"/>
    <w:rsid w:val="0061338E"/>
    <w:rsid w:val="006158B7"/>
    <w:rsid w:val="006163FD"/>
    <w:rsid w:val="00616A78"/>
    <w:rsid w:val="0062071E"/>
    <w:rsid w:val="00624334"/>
    <w:rsid w:val="00632F3F"/>
    <w:rsid w:val="00632FC2"/>
    <w:rsid w:val="00633FF3"/>
    <w:rsid w:val="006358DA"/>
    <w:rsid w:val="00635A3F"/>
    <w:rsid w:val="00636650"/>
    <w:rsid w:val="006403EA"/>
    <w:rsid w:val="00640911"/>
    <w:rsid w:val="00640B6C"/>
    <w:rsid w:val="006421D8"/>
    <w:rsid w:val="00642275"/>
    <w:rsid w:val="0064297B"/>
    <w:rsid w:val="00643970"/>
    <w:rsid w:val="00644A33"/>
    <w:rsid w:val="0064717F"/>
    <w:rsid w:val="00647304"/>
    <w:rsid w:val="00647B41"/>
    <w:rsid w:val="00652333"/>
    <w:rsid w:val="00654B7C"/>
    <w:rsid w:val="00660C05"/>
    <w:rsid w:val="006663AC"/>
    <w:rsid w:val="00666727"/>
    <w:rsid w:val="00666A41"/>
    <w:rsid w:val="00666F50"/>
    <w:rsid w:val="00667A0B"/>
    <w:rsid w:val="00670151"/>
    <w:rsid w:val="006712E5"/>
    <w:rsid w:val="006727A3"/>
    <w:rsid w:val="0067405B"/>
    <w:rsid w:val="0067573C"/>
    <w:rsid w:val="00677881"/>
    <w:rsid w:val="00680637"/>
    <w:rsid w:val="00682614"/>
    <w:rsid w:val="00683693"/>
    <w:rsid w:val="006848F2"/>
    <w:rsid w:val="006872D0"/>
    <w:rsid w:val="00691309"/>
    <w:rsid w:val="0069208A"/>
    <w:rsid w:val="006935B9"/>
    <w:rsid w:val="00694811"/>
    <w:rsid w:val="00695C4C"/>
    <w:rsid w:val="006966A0"/>
    <w:rsid w:val="00697ABF"/>
    <w:rsid w:val="006A0EAE"/>
    <w:rsid w:val="006A30E0"/>
    <w:rsid w:val="006A33B9"/>
    <w:rsid w:val="006A4EF4"/>
    <w:rsid w:val="006A63BF"/>
    <w:rsid w:val="006A641D"/>
    <w:rsid w:val="006A6D6C"/>
    <w:rsid w:val="006A7BF4"/>
    <w:rsid w:val="006B0303"/>
    <w:rsid w:val="006B03BE"/>
    <w:rsid w:val="006B0431"/>
    <w:rsid w:val="006B1274"/>
    <w:rsid w:val="006B3DE0"/>
    <w:rsid w:val="006B3DE3"/>
    <w:rsid w:val="006B5A11"/>
    <w:rsid w:val="006B5DD0"/>
    <w:rsid w:val="006B6F71"/>
    <w:rsid w:val="006C213D"/>
    <w:rsid w:val="006C4D68"/>
    <w:rsid w:val="006C588D"/>
    <w:rsid w:val="006C7F87"/>
    <w:rsid w:val="006D0509"/>
    <w:rsid w:val="006D2E36"/>
    <w:rsid w:val="006D3594"/>
    <w:rsid w:val="006D455C"/>
    <w:rsid w:val="006D4DD6"/>
    <w:rsid w:val="006D7518"/>
    <w:rsid w:val="006E07A8"/>
    <w:rsid w:val="006E16CE"/>
    <w:rsid w:val="006E23F8"/>
    <w:rsid w:val="006E462B"/>
    <w:rsid w:val="006E4663"/>
    <w:rsid w:val="006F0CBE"/>
    <w:rsid w:val="006F413E"/>
    <w:rsid w:val="006F539A"/>
    <w:rsid w:val="006F76D4"/>
    <w:rsid w:val="007005B4"/>
    <w:rsid w:val="00701904"/>
    <w:rsid w:val="0070291A"/>
    <w:rsid w:val="007030D3"/>
    <w:rsid w:val="00705D89"/>
    <w:rsid w:val="0070655D"/>
    <w:rsid w:val="00706BE5"/>
    <w:rsid w:val="00707BBE"/>
    <w:rsid w:val="0071009A"/>
    <w:rsid w:val="00710C48"/>
    <w:rsid w:val="00713567"/>
    <w:rsid w:val="00715733"/>
    <w:rsid w:val="0072013C"/>
    <w:rsid w:val="00722136"/>
    <w:rsid w:val="007240E2"/>
    <w:rsid w:val="00725B17"/>
    <w:rsid w:val="007265A2"/>
    <w:rsid w:val="00727D5D"/>
    <w:rsid w:val="007311C1"/>
    <w:rsid w:val="007311F7"/>
    <w:rsid w:val="00733D08"/>
    <w:rsid w:val="00734360"/>
    <w:rsid w:val="00734AEC"/>
    <w:rsid w:val="0073623E"/>
    <w:rsid w:val="0074021D"/>
    <w:rsid w:val="0074242C"/>
    <w:rsid w:val="00742459"/>
    <w:rsid w:val="00742B5B"/>
    <w:rsid w:val="00743C22"/>
    <w:rsid w:val="00744583"/>
    <w:rsid w:val="00745437"/>
    <w:rsid w:val="00752209"/>
    <w:rsid w:val="00752DBE"/>
    <w:rsid w:val="00754417"/>
    <w:rsid w:val="00754714"/>
    <w:rsid w:val="00754E67"/>
    <w:rsid w:val="007551DD"/>
    <w:rsid w:val="007626A4"/>
    <w:rsid w:val="00766B56"/>
    <w:rsid w:val="00772B96"/>
    <w:rsid w:val="0077330C"/>
    <w:rsid w:val="007734DF"/>
    <w:rsid w:val="00773D8F"/>
    <w:rsid w:val="00774193"/>
    <w:rsid w:val="00774CE8"/>
    <w:rsid w:val="00774F40"/>
    <w:rsid w:val="00776277"/>
    <w:rsid w:val="007767F9"/>
    <w:rsid w:val="00776E79"/>
    <w:rsid w:val="0078300C"/>
    <w:rsid w:val="00785CB9"/>
    <w:rsid w:val="00790D59"/>
    <w:rsid w:val="00790FC5"/>
    <w:rsid w:val="00791263"/>
    <w:rsid w:val="00792757"/>
    <w:rsid w:val="00792F66"/>
    <w:rsid w:val="00793B76"/>
    <w:rsid w:val="00794BF0"/>
    <w:rsid w:val="007952DA"/>
    <w:rsid w:val="00796E84"/>
    <w:rsid w:val="00797A2B"/>
    <w:rsid w:val="007A14AD"/>
    <w:rsid w:val="007A27AF"/>
    <w:rsid w:val="007A2F9F"/>
    <w:rsid w:val="007A38A8"/>
    <w:rsid w:val="007A3DE8"/>
    <w:rsid w:val="007A44C7"/>
    <w:rsid w:val="007A5B21"/>
    <w:rsid w:val="007A7926"/>
    <w:rsid w:val="007B1559"/>
    <w:rsid w:val="007B1D08"/>
    <w:rsid w:val="007B5596"/>
    <w:rsid w:val="007C205A"/>
    <w:rsid w:val="007C3080"/>
    <w:rsid w:val="007C617A"/>
    <w:rsid w:val="007C6AB6"/>
    <w:rsid w:val="007C708A"/>
    <w:rsid w:val="007C7F1E"/>
    <w:rsid w:val="007D32C7"/>
    <w:rsid w:val="007D5298"/>
    <w:rsid w:val="007D5843"/>
    <w:rsid w:val="007D5AE0"/>
    <w:rsid w:val="007D5CEB"/>
    <w:rsid w:val="007E411D"/>
    <w:rsid w:val="007E47D6"/>
    <w:rsid w:val="007F00D2"/>
    <w:rsid w:val="007F1AF8"/>
    <w:rsid w:val="007F26D7"/>
    <w:rsid w:val="007F3735"/>
    <w:rsid w:val="00802100"/>
    <w:rsid w:val="00802E0C"/>
    <w:rsid w:val="0080334E"/>
    <w:rsid w:val="00804055"/>
    <w:rsid w:val="0080793A"/>
    <w:rsid w:val="00807E3C"/>
    <w:rsid w:val="00810A02"/>
    <w:rsid w:val="00811031"/>
    <w:rsid w:val="00817BE6"/>
    <w:rsid w:val="00821839"/>
    <w:rsid w:val="00822F70"/>
    <w:rsid w:val="00823855"/>
    <w:rsid w:val="0082393E"/>
    <w:rsid w:val="00824327"/>
    <w:rsid w:val="00831E27"/>
    <w:rsid w:val="00834576"/>
    <w:rsid w:val="008354CB"/>
    <w:rsid w:val="00836B69"/>
    <w:rsid w:val="00836CA0"/>
    <w:rsid w:val="00842BC6"/>
    <w:rsid w:val="0084726A"/>
    <w:rsid w:val="00847702"/>
    <w:rsid w:val="00847937"/>
    <w:rsid w:val="00847AB0"/>
    <w:rsid w:val="008500B6"/>
    <w:rsid w:val="00850BBC"/>
    <w:rsid w:val="00851B95"/>
    <w:rsid w:val="008532DB"/>
    <w:rsid w:val="00853AB6"/>
    <w:rsid w:val="00854614"/>
    <w:rsid w:val="00854CDF"/>
    <w:rsid w:val="00856AC6"/>
    <w:rsid w:val="00856CE2"/>
    <w:rsid w:val="00861185"/>
    <w:rsid w:val="0086192F"/>
    <w:rsid w:val="00861DA7"/>
    <w:rsid w:val="0086404A"/>
    <w:rsid w:val="00864085"/>
    <w:rsid w:val="008650A2"/>
    <w:rsid w:val="008679F9"/>
    <w:rsid w:val="008727F7"/>
    <w:rsid w:val="00874580"/>
    <w:rsid w:val="00875467"/>
    <w:rsid w:val="00876A8B"/>
    <w:rsid w:val="00877988"/>
    <w:rsid w:val="00877CB1"/>
    <w:rsid w:val="00880500"/>
    <w:rsid w:val="008830C2"/>
    <w:rsid w:val="00883259"/>
    <w:rsid w:val="008850AE"/>
    <w:rsid w:val="0088521D"/>
    <w:rsid w:val="00886A58"/>
    <w:rsid w:val="00890527"/>
    <w:rsid w:val="00890D1A"/>
    <w:rsid w:val="00891FA0"/>
    <w:rsid w:val="00892EDE"/>
    <w:rsid w:val="00893CC7"/>
    <w:rsid w:val="008949F8"/>
    <w:rsid w:val="00895819"/>
    <w:rsid w:val="00896476"/>
    <w:rsid w:val="00896E98"/>
    <w:rsid w:val="00896F5B"/>
    <w:rsid w:val="008A0B75"/>
    <w:rsid w:val="008A0E26"/>
    <w:rsid w:val="008A14E9"/>
    <w:rsid w:val="008A1E4C"/>
    <w:rsid w:val="008A443C"/>
    <w:rsid w:val="008A5118"/>
    <w:rsid w:val="008A60DD"/>
    <w:rsid w:val="008A6966"/>
    <w:rsid w:val="008A770B"/>
    <w:rsid w:val="008A7A27"/>
    <w:rsid w:val="008B188E"/>
    <w:rsid w:val="008B1A38"/>
    <w:rsid w:val="008B1D35"/>
    <w:rsid w:val="008B2E55"/>
    <w:rsid w:val="008B3064"/>
    <w:rsid w:val="008B5DAA"/>
    <w:rsid w:val="008B7053"/>
    <w:rsid w:val="008B73E7"/>
    <w:rsid w:val="008B7C8E"/>
    <w:rsid w:val="008C13B0"/>
    <w:rsid w:val="008C30A2"/>
    <w:rsid w:val="008C354D"/>
    <w:rsid w:val="008C3717"/>
    <w:rsid w:val="008C3E16"/>
    <w:rsid w:val="008C5102"/>
    <w:rsid w:val="008C54B9"/>
    <w:rsid w:val="008D2945"/>
    <w:rsid w:val="008D6C2B"/>
    <w:rsid w:val="008E0490"/>
    <w:rsid w:val="008E41BA"/>
    <w:rsid w:val="008E464D"/>
    <w:rsid w:val="008E4D3F"/>
    <w:rsid w:val="008E767C"/>
    <w:rsid w:val="008E7727"/>
    <w:rsid w:val="008F342C"/>
    <w:rsid w:val="008F5714"/>
    <w:rsid w:val="008F5F2E"/>
    <w:rsid w:val="00901299"/>
    <w:rsid w:val="009034BC"/>
    <w:rsid w:val="00903B25"/>
    <w:rsid w:val="00910B6E"/>
    <w:rsid w:val="009113E0"/>
    <w:rsid w:val="00911D4A"/>
    <w:rsid w:val="00913A5E"/>
    <w:rsid w:val="00914351"/>
    <w:rsid w:val="00914548"/>
    <w:rsid w:val="009150CA"/>
    <w:rsid w:val="00915D36"/>
    <w:rsid w:val="009171EA"/>
    <w:rsid w:val="00920F11"/>
    <w:rsid w:val="009212E0"/>
    <w:rsid w:val="0092212C"/>
    <w:rsid w:val="009229B2"/>
    <w:rsid w:val="00922BA2"/>
    <w:rsid w:val="00922E22"/>
    <w:rsid w:val="00925515"/>
    <w:rsid w:val="00925A8C"/>
    <w:rsid w:val="00926EC8"/>
    <w:rsid w:val="00935D4B"/>
    <w:rsid w:val="00936BDA"/>
    <w:rsid w:val="009377C5"/>
    <w:rsid w:val="00951980"/>
    <w:rsid w:val="00953057"/>
    <w:rsid w:val="0095459A"/>
    <w:rsid w:val="00954B12"/>
    <w:rsid w:val="00955366"/>
    <w:rsid w:val="009605D8"/>
    <w:rsid w:val="00961972"/>
    <w:rsid w:val="00962FFC"/>
    <w:rsid w:val="00963643"/>
    <w:rsid w:val="009636CC"/>
    <w:rsid w:val="0096486B"/>
    <w:rsid w:val="00966032"/>
    <w:rsid w:val="0096706F"/>
    <w:rsid w:val="009701FB"/>
    <w:rsid w:val="009731D3"/>
    <w:rsid w:val="0097389E"/>
    <w:rsid w:val="0097531C"/>
    <w:rsid w:val="00975C8A"/>
    <w:rsid w:val="00975D37"/>
    <w:rsid w:val="00977BE2"/>
    <w:rsid w:val="0098024B"/>
    <w:rsid w:val="00980C6A"/>
    <w:rsid w:val="00980CE5"/>
    <w:rsid w:val="009818C8"/>
    <w:rsid w:val="00981A74"/>
    <w:rsid w:val="009836E9"/>
    <w:rsid w:val="00983A06"/>
    <w:rsid w:val="00984ACB"/>
    <w:rsid w:val="00986B19"/>
    <w:rsid w:val="00987235"/>
    <w:rsid w:val="009924F7"/>
    <w:rsid w:val="00993766"/>
    <w:rsid w:val="009959AE"/>
    <w:rsid w:val="00996F33"/>
    <w:rsid w:val="009A2D3C"/>
    <w:rsid w:val="009A5FAA"/>
    <w:rsid w:val="009A700F"/>
    <w:rsid w:val="009A76A0"/>
    <w:rsid w:val="009B0A8C"/>
    <w:rsid w:val="009B22CF"/>
    <w:rsid w:val="009B33A2"/>
    <w:rsid w:val="009B4290"/>
    <w:rsid w:val="009B5452"/>
    <w:rsid w:val="009B61F1"/>
    <w:rsid w:val="009B63DD"/>
    <w:rsid w:val="009C00C8"/>
    <w:rsid w:val="009C19E7"/>
    <w:rsid w:val="009C2757"/>
    <w:rsid w:val="009C34F1"/>
    <w:rsid w:val="009C5B96"/>
    <w:rsid w:val="009D0631"/>
    <w:rsid w:val="009D071E"/>
    <w:rsid w:val="009D1520"/>
    <w:rsid w:val="009D2A8D"/>
    <w:rsid w:val="009D5310"/>
    <w:rsid w:val="009D56EB"/>
    <w:rsid w:val="009D5FF3"/>
    <w:rsid w:val="009D692D"/>
    <w:rsid w:val="009D6F97"/>
    <w:rsid w:val="009E01E9"/>
    <w:rsid w:val="009E0884"/>
    <w:rsid w:val="009E1704"/>
    <w:rsid w:val="009E1BA6"/>
    <w:rsid w:val="009E31DA"/>
    <w:rsid w:val="009E3F12"/>
    <w:rsid w:val="009E560A"/>
    <w:rsid w:val="009E597E"/>
    <w:rsid w:val="009F04C1"/>
    <w:rsid w:val="009F0AEC"/>
    <w:rsid w:val="009F1AC8"/>
    <w:rsid w:val="009F2988"/>
    <w:rsid w:val="009F35B9"/>
    <w:rsid w:val="009F390E"/>
    <w:rsid w:val="009F5A96"/>
    <w:rsid w:val="009F78A2"/>
    <w:rsid w:val="00A011B8"/>
    <w:rsid w:val="00A01E0A"/>
    <w:rsid w:val="00A07DD4"/>
    <w:rsid w:val="00A100C9"/>
    <w:rsid w:val="00A1250B"/>
    <w:rsid w:val="00A1501D"/>
    <w:rsid w:val="00A1517A"/>
    <w:rsid w:val="00A16F7A"/>
    <w:rsid w:val="00A17988"/>
    <w:rsid w:val="00A205ED"/>
    <w:rsid w:val="00A2329B"/>
    <w:rsid w:val="00A233FB"/>
    <w:rsid w:val="00A238BA"/>
    <w:rsid w:val="00A240C7"/>
    <w:rsid w:val="00A245F1"/>
    <w:rsid w:val="00A252F8"/>
    <w:rsid w:val="00A25E1C"/>
    <w:rsid w:val="00A30E21"/>
    <w:rsid w:val="00A313C8"/>
    <w:rsid w:val="00A32D91"/>
    <w:rsid w:val="00A3327F"/>
    <w:rsid w:val="00A37E32"/>
    <w:rsid w:val="00A41295"/>
    <w:rsid w:val="00A4156D"/>
    <w:rsid w:val="00A42F17"/>
    <w:rsid w:val="00A433C7"/>
    <w:rsid w:val="00A439A6"/>
    <w:rsid w:val="00A44CC2"/>
    <w:rsid w:val="00A50A52"/>
    <w:rsid w:val="00A516CE"/>
    <w:rsid w:val="00A51E9A"/>
    <w:rsid w:val="00A520DE"/>
    <w:rsid w:val="00A53520"/>
    <w:rsid w:val="00A56065"/>
    <w:rsid w:val="00A5699F"/>
    <w:rsid w:val="00A579D4"/>
    <w:rsid w:val="00A605DC"/>
    <w:rsid w:val="00A6345F"/>
    <w:rsid w:val="00A63C42"/>
    <w:rsid w:val="00A63FC8"/>
    <w:rsid w:val="00A66A35"/>
    <w:rsid w:val="00A678C0"/>
    <w:rsid w:val="00A67CF9"/>
    <w:rsid w:val="00A70BCD"/>
    <w:rsid w:val="00A72266"/>
    <w:rsid w:val="00A7253F"/>
    <w:rsid w:val="00A743D2"/>
    <w:rsid w:val="00A80383"/>
    <w:rsid w:val="00A82FB5"/>
    <w:rsid w:val="00A84016"/>
    <w:rsid w:val="00A852C0"/>
    <w:rsid w:val="00A86AE5"/>
    <w:rsid w:val="00A8758F"/>
    <w:rsid w:val="00A90EF8"/>
    <w:rsid w:val="00A9237F"/>
    <w:rsid w:val="00A933D8"/>
    <w:rsid w:val="00A93F8A"/>
    <w:rsid w:val="00A94CB6"/>
    <w:rsid w:val="00A96E5B"/>
    <w:rsid w:val="00AA078A"/>
    <w:rsid w:val="00AA2D67"/>
    <w:rsid w:val="00AA7F22"/>
    <w:rsid w:val="00AB0DF8"/>
    <w:rsid w:val="00AB0FEB"/>
    <w:rsid w:val="00AB23C4"/>
    <w:rsid w:val="00AB2834"/>
    <w:rsid w:val="00AB2D0D"/>
    <w:rsid w:val="00AB3830"/>
    <w:rsid w:val="00AC225A"/>
    <w:rsid w:val="00AC425F"/>
    <w:rsid w:val="00AD0392"/>
    <w:rsid w:val="00AD11BC"/>
    <w:rsid w:val="00AD416D"/>
    <w:rsid w:val="00AD5A50"/>
    <w:rsid w:val="00AD65E4"/>
    <w:rsid w:val="00AE0AE0"/>
    <w:rsid w:val="00AE1DE5"/>
    <w:rsid w:val="00AE6D8B"/>
    <w:rsid w:val="00AE7D78"/>
    <w:rsid w:val="00AF044C"/>
    <w:rsid w:val="00AF30CB"/>
    <w:rsid w:val="00B01AA4"/>
    <w:rsid w:val="00B01DFD"/>
    <w:rsid w:val="00B03AD3"/>
    <w:rsid w:val="00B072E2"/>
    <w:rsid w:val="00B100B0"/>
    <w:rsid w:val="00B11B34"/>
    <w:rsid w:val="00B12D71"/>
    <w:rsid w:val="00B1514A"/>
    <w:rsid w:val="00B1550A"/>
    <w:rsid w:val="00B15DB2"/>
    <w:rsid w:val="00B168D0"/>
    <w:rsid w:val="00B209C0"/>
    <w:rsid w:val="00B21118"/>
    <w:rsid w:val="00B23EED"/>
    <w:rsid w:val="00B250C2"/>
    <w:rsid w:val="00B26B0F"/>
    <w:rsid w:val="00B3055C"/>
    <w:rsid w:val="00B31399"/>
    <w:rsid w:val="00B33961"/>
    <w:rsid w:val="00B33CB9"/>
    <w:rsid w:val="00B3414B"/>
    <w:rsid w:val="00B3429A"/>
    <w:rsid w:val="00B3543B"/>
    <w:rsid w:val="00B430EC"/>
    <w:rsid w:val="00B4320F"/>
    <w:rsid w:val="00B50782"/>
    <w:rsid w:val="00B51B51"/>
    <w:rsid w:val="00B5309D"/>
    <w:rsid w:val="00B534E3"/>
    <w:rsid w:val="00B54D2B"/>
    <w:rsid w:val="00B60BA0"/>
    <w:rsid w:val="00B61C85"/>
    <w:rsid w:val="00B634FF"/>
    <w:rsid w:val="00B64981"/>
    <w:rsid w:val="00B7125A"/>
    <w:rsid w:val="00B716E3"/>
    <w:rsid w:val="00B7184B"/>
    <w:rsid w:val="00B71F8E"/>
    <w:rsid w:val="00B72059"/>
    <w:rsid w:val="00B73F55"/>
    <w:rsid w:val="00B7407F"/>
    <w:rsid w:val="00B74BAD"/>
    <w:rsid w:val="00B74C00"/>
    <w:rsid w:val="00B803AF"/>
    <w:rsid w:val="00B80449"/>
    <w:rsid w:val="00B810A5"/>
    <w:rsid w:val="00B8158C"/>
    <w:rsid w:val="00B82F53"/>
    <w:rsid w:val="00B851D6"/>
    <w:rsid w:val="00B9034E"/>
    <w:rsid w:val="00B90F7E"/>
    <w:rsid w:val="00B94828"/>
    <w:rsid w:val="00B95611"/>
    <w:rsid w:val="00B95EF9"/>
    <w:rsid w:val="00B9750F"/>
    <w:rsid w:val="00BA0706"/>
    <w:rsid w:val="00BA1CB9"/>
    <w:rsid w:val="00BA25A9"/>
    <w:rsid w:val="00BA2AFA"/>
    <w:rsid w:val="00BA35D2"/>
    <w:rsid w:val="00BA475D"/>
    <w:rsid w:val="00BA5B4F"/>
    <w:rsid w:val="00BB0E9C"/>
    <w:rsid w:val="00BB1264"/>
    <w:rsid w:val="00BB293F"/>
    <w:rsid w:val="00BB2F57"/>
    <w:rsid w:val="00BB367C"/>
    <w:rsid w:val="00BB4246"/>
    <w:rsid w:val="00BB4C9B"/>
    <w:rsid w:val="00BB5879"/>
    <w:rsid w:val="00BB5D4F"/>
    <w:rsid w:val="00BB67BD"/>
    <w:rsid w:val="00BB6B60"/>
    <w:rsid w:val="00BB7A57"/>
    <w:rsid w:val="00BB7DBB"/>
    <w:rsid w:val="00BC1499"/>
    <w:rsid w:val="00BC50E3"/>
    <w:rsid w:val="00BC5317"/>
    <w:rsid w:val="00BC6866"/>
    <w:rsid w:val="00BC7571"/>
    <w:rsid w:val="00BD0116"/>
    <w:rsid w:val="00BD0AF0"/>
    <w:rsid w:val="00BD425E"/>
    <w:rsid w:val="00BD47FE"/>
    <w:rsid w:val="00BD56F0"/>
    <w:rsid w:val="00BD7E2D"/>
    <w:rsid w:val="00BE2331"/>
    <w:rsid w:val="00BE36AD"/>
    <w:rsid w:val="00BE3DF2"/>
    <w:rsid w:val="00BE497C"/>
    <w:rsid w:val="00BF2A06"/>
    <w:rsid w:val="00BF3803"/>
    <w:rsid w:val="00BF4389"/>
    <w:rsid w:val="00BF7421"/>
    <w:rsid w:val="00BF761F"/>
    <w:rsid w:val="00C027E7"/>
    <w:rsid w:val="00C03617"/>
    <w:rsid w:val="00C049DA"/>
    <w:rsid w:val="00C052BB"/>
    <w:rsid w:val="00C070DA"/>
    <w:rsid w:val="00C104C3"/>
    <w:rsid w:val="00C12D0A"/>
    <w:rsid w:val="00C132BA"/>
    <w:rsid w:val="00C14D1D"/>
    <w:rsid w:val="00C15FE8"/>
    <w:rsid w:val="00C17909"/>
    <w:rsid w:val="00C209A7"/>
    <w:rsid w:val="00C21155"/>
    <w:rsid w:val="00C23BED"/>
    <w:rsid w:val="00C253DB"/>
    <w:rsid w:val="00C25D82"/>
    <w:rsid w:val="00C30A9E"/>
    <w:rsid w:val="00C31569"/>
    <w:rsid w:val="00C32281"/>
    <w:rsid w:val="00C3248E"/>
    <w:rsid w:val="00C32E90"/>
    <w:rsid w:val="00C33461"/>
    <w:rsid w:val="00C33F69"/>
    <w:rsid w:val="00C35AB5"/>
    <w:rsid w:val="00C37086"/>
    <w:rsid w:val="00C41844"/>
    <w:rsid w:val="00C42C6C"/>
    <w:rsid w:val="00C42C91"/>
    <w:rsid w:val="00C45E24"/>
    <w:rsid w:val="00C5279A"/>
    <w:rsid w:val="00C53979"/>
    <w:rsid w:val="00C539F2"/>
    <w:rsid w:val="00C57B1E"/>
    <w:rsid w:val="00C602F4"/>
    <w:rsid w:val="00C60AA5"/>
    <w:rsid w:val="00C65930"/>
    <w:rsid w:val="00C65AED"/>
    <w:rsid w:val="00C72C4C"/>
    <w:rsid w:val="00C7428D"/>
    <w:rsid w:val="00C74D7A"/>
    <w:rsid w:val="00C75B5C"/>
    <w:rsid w:val="00C76ACF"/>
    <w:rsid w:val="00C76F58"/>
    <w:rsid w:val="00C82823"/>
    <w:rsid w:val="00C86A6A"/>
    <w:rsid w:val="00C86D18"/>
    <w:rsid w:val="00C8725D"/>
    <w:rsid w:val="00C90C68"/>
    <w:rsid w:val="00C94FB8"/>
    <w:rsid w:val="00C95CA2"/>
    <w:rsid w:val="00C965BF"/>
    <w:rsid w:val="00C96BE1"/>
    <w:rsid w:val="00C96CBB"/>
    <w:rsid w:val="00C975F4"/>
    <w:rsid w:val="00CA0D50"/>
    <w:rsid w:val="00CA1275"/>
    <w:rsid w:val="00CA1AD8"/>
    <w:rsid w:val="00CA350B"/>
    <w:rsid w:val="00CA4974"/>
    <w:rsid w:val="00CA6011"/>
    <w:rsid w:val="00CB1AD5"/>
    <w:rsid w:val="00CB2418"/>
    <w:rsid w:val="00CB580D"/>
    <w:rsid w:val="00CB6AB4"/>
    <w:rsid w:val="00CB760D"/>
    <w:rsid w:val="00CB7C4B"/>
    <w:rsid w:val="00CC014E"/>
    <w:rsid w:val="00CC2C4A"/>
    <w:rsid w:val="00CC4790"/>
    <w:rsid w:val="00CC62E3"/>
    <w:rsid w:val="00CC6376"/>
    <w:rsid w:val="00CD0B5A"/>
    <w:rsid w:val="00CD226E"/>
    <w:rsid w:val="00CD3096"/>
    <w:rsid w:val="00CD4983"/>
    <w:rsid w:val="00CD54C9"/>
    <w:rsid w:val="00CD7CB3"/>
    <w:rsid w:val="00CF02D8"/>
    <w:rsid w:val="00CF260D"/>
    <w:rsid w:val="00CF2A79"/>
    <w:rsid w:val="00CF2F63"/>
    <w:rsid w:val="00CF45C9"/>
    <w:rsid w:val="00CF5267"/>
    <w:rsid w:val="00D00199"/>
    <w:rsid w:val="00D0168A"/>
    <w:rsid w:val="00D027E1"/>
    <w:rsid w:val="00D04F4A"/>
    <w:rsid w:val="00D051F0"/>
    <w:rsid w:val="00D05D27"/>
    <w:rsid w:val="00D06AFE"/>
    <w:rsid w:val="00D06DB9"/>
    <w:rsid w:val="00D10974"/>
    <w:rsid w:val="00D114EC"/>
    <w:rsid w:val="00D1380C"/>
    <w:rsid w:val="00D163EB"/>
    <w:rsid w:val="00D17797"/>
    <w:rsid w:val="00D17E1C"/>
    <w:rsid w:val="00D21B27"/>
    <w:rsid w:val="00D220BD"/>
    <w:rsid w:val="00D22B9E"/>
    <w:rsid w:val="00D22D3C"/>
    <w:rsid w:val="00D23A95"/>
    <w:rsid w:val="00D2498F"/>
    <w:rsid w:val="00D24CEB"/>
    <w:rsid w:val="00D24EC9"/>
    <w:rsid w:val="00D26758"/>
    <w:rsid w:val="00D2684E"/>
    <w:rsid w:val="00D2696C"/>
    <w:rsid w:val="00D26B44"/>
    <w:rsid w:val="00D27EF3"/>
    <w:rsid w:val="00D317BB"/>
    <w:rsid w:val="00D31A12"/>
    <w:rsid w:val="00D32262"/>
    <w:rsid w:val="00D322D8"/>
    <w:rsid w:val="00D36771"/>
    <w:rsid w:val="00D367B9"/>
    <w:rsid w:val="00D402EB"/>
    <w:rsid w:val="00D41428"/>
    <w:rsid w:val="00D41CF3"/>
    <w:rsid w:val="00D45DA5"/>
    <w:rsid w:val="00D469C8"/>
    <w:rsid w:val="00D47DAB"/>
    <w:rsid w:val="00D51214"/>
    <w:rsid w:val="00D51758"/>
    <w:rsid w:val="00D524B2"/>
    <w:rsid w:val="00D52514"/>
    <w:rsid w:val="00D53338"/>
    <w:rsid w:val="00D54BFC"/>
    <w:rsid w:val="00D60CB9"/>
    <w:rsid w:val="00D621E3"/>
    <w:rsid w:val="00D623D5"/>
    <w:rsid w:val="00D6266C"/>
    <w:rsid w:val="00D64585"/>
    <w:rsid w:val="00D6621C"/>
    <w:rsid w:val="00D66DB3"/>
    <w:rsid w:val="00D670C9"/>
    <w:rsid w:val="00D71841"/>
    <w:rsid w:val="00D74202"/>
    <w:rsid w:val="00D74B3F"/>
    <w:rsid w:val="00D750B4"/>
    <w:rsid w:val="00D759F1"/>
    <w:rsid w:val="00D80D4B"/>
    <w:rsid w:val="00D854CD"/>
    <w:rsid w:val="00D85D2D"/>
    <w:rsid w:val="00D86990"/>
    <w:rsid w:val="00D876D9"/>
    <w:rsid w:val="00D9050E"/>
    <w:rsid w:val="00D91B64"/>
    <w:rsid w:val="00D95FA3"/>
    <w:rsid w:val="00D979BC"/>
    <w:rsid w:val="00DA1F40"/>
    <w:rsid w:val="00DA1F78"/>
    <w:rsid w:val="00DA1FB6"/>
    <w:rsid w:val="00DA21D2"/>
    <w:rsid w:val="00DA276D"/>
    <w:rsid w:val="00DB0118"/>
    <w:rsid w:val="00DB01F4"/>
    <w:rsid w:val="00DB3CC8"/>
    <w:rsid w:val="00DB43DD"/>
    <w:rsid w:val="00DB6737"/>
    <w:rsid w:val="00DB7906"/>
    <w:rsid w:val="00DC01DF"/>
    <w:rsid w:val="00DC1EF0"/>
    <w:rsid w:val="00DC24A2"/>
    <w:rsid w:val="00DC2784"/>
    <w:rsid w:val="00DC4230"/>
    <w:rsid w:val="00DC52F7"/>
    <w:rsid w:val="00DC5499"/>
    <w:rsid w:val="00DC5C0F"/>
    <w:rsid w:val="00DC6600"/>
    <w:rsid w:val="00DC7B93"/>
    <w:rsid w:val="00DC7D9C"/>
    <w:rsid w:val="00DD1291"/>
    <w:rsid w:val="00DD17A3"/>
    <w:rsid w:val="00DD240E"/>
    <w:rsid w:val="00DD3481"/>
    <w:rsid w:val="00DD3D9E"/>
    <w:rsid w:val="00DD41DC"/>
    <w:rsid w:val="00DD6109"/>
    <w:rsid w:val="00DD6923"/>
    <w:rsid w:val="00DE3878"/>
    <w:rsid w:val="00DE4D78"/>
    <w:rsid w:val="00DE4DD9"/>
    <w:rsid w:val="00DE5B85"/>
    <w:rsid w:val="00DE6A24"/>
    <w:rsid w:val="00DE776F"/>
    <w:rsid w:val="00DE7D86"/>
    <w:rsid w:val="00DF199F"/>
    <w:rsid w:val="00DF1BFF"/>
    <w:rsid w:val="00DF27D6"/>
    <w:rsid w:val="00DF309B"/>
    <w:rsid w:val="00DF4093"/>
    <w:rsid w:val="00DF5C47"/>
    <w:rsid w:val="00E01BAA"/>
    <w:rsid w:val="00E0291C"/>
    <w:rsid w:val="00E02CF1"/>
    <w:rsid w:val="00E02EF3"/>
    <w:rsid w:val="00E067F5"/>
    <w:rsid w:val="00E076BB"/>
    <w:rsid w:val="00E11E3A"/>
    <w:rsid w:val="00E13111"/>
    <w:rsid w:val="00E157D5"/>
    <w:rsid w:val="00E15C00"/>
    <w:rsid w:val="00E162FE"/>
    <w:rsid w:val="00E16C1E"/>
    <w:rsid w:val="00E2105C"/>
    <w:rsid w:val="00E256CC"/>
    <w:rsid w:val="00E26F27"/>
    <w:rsid w:val="00E273F9"/>
    <w:rsid w:val="00E315B8"/>
    <w:rsid w:val="00E3337A"/>
    <w:rsid w:val="00E346D1"/>
    <w:rsid w:val="00E348DC"/>
    <w:rsid w:val="00E35195"/>
    <w:rsid w:val="00E40100"/>
    <w:rsid w:val="00E40F3C"/>
    <w:rsid w:val="00E43A44"/>
    <w:rsid w:val="00E45074"/>
    <w:rsid w:val="00E47821"/>
    <w:rsid w:val="00E501E4"/>
    <w:rsid w:val="00E50759"/>
    <w:rsid w:val="00E51D02"/>
    <w:rsid w:val="00E5434B"/>
    <w:rsid w:val="00E56033"/>
    <w:rsid w:val="00E57045"/>
    <w:rsid w:val="00E61E36"/>
    <w:rsid w:val="00E6366D"/>
    <w:rsid w:val="00E70E70"/>
    <w:rsid w:val="00E71038"/>
    <w:rsid w:val="00E7278D"/>
    <w:rsid w:val="00E7430F"/>
    <w:rsid w:val="00E74353"/>
    <w:rsid w:val="00E7441B"/>
    <w:rsid w:val="00E746D9"/>
    <w:rsid w:val="00E74D0B"/>
    <w:rsid w:val="00E75745"/>
    <w:rsid w:val="00E76357"/>
    <w:rsid w:val="00E76BEC"/>
    <w:rsid w:val="00E805DB"/>
    <w:rsid w:val="00E807A9"/>
    <w:rsid w:val="00E80BBC"/>
    <w:rsid w:val="00E84D89"/>
    <w:rsid w:val="00E8623D"/>
    <w:rsid w:val="00E864A7"/>
    <w:rsid w:val="00E8726A"/>
    <w:rsid w:val="00E87FC0"/>
    <w:rsid w:val="00E90264"/>
    <w:rsid w:val="00E90974"/>
    <w:rsid w:val="00E92266"/>
    <w:rsid w:val="00E93821"/>
    <w:rsid w:val="00E93A47"/>
    <w:rsid w:val="00E94577"/>
    <w:rsid w:val="00E966C0"/>
    <w:rsid w:val="00EA0DD9"/>
    <w:rsid w:val="00EA1FFB"/>
    <w:rsid w:val="00EA36BC"/>
    <w:rsid w:val="00EA74FD"/>
    <w:rsid w:val="00EA7748"/>
    <w:rsid w:val="00EB0CDD"/>
    <w:rsid w:val="00EB11B9"/>
    <w:rsid w:val="00EB1C3E"/>
    <w:rsid w:val="00EB3F85"/>
    <w:rsid w:val="00EB46C8"/>
    <w:rsid w:val="00EB501D"/>
    <w:rsid w:val="00EB6241"/>
    <w:rsid w:val="00EC23D2"/>
    <w:rsid w:val="00EC3A71"/>
    <w:rsid w:val="00EC4787"/>
    <w:rsid w:val="00EC4BA7"/>
    <w:rsid w:val="00EC4C53"/>
    <w:rsid w:val="00EC57D2"/>
    <w:rsid w:val="00EC5F1A"/>
    <w:rsid w:val="00EC6BA3"/>
    <w:rsid w:val="00EC7632"/>
    <w:rsid w:val="00ED01D1"/>
    <w:rsid w:val="00ED0584"/>
    <w:rsid w:val="00ED11B7"/>
    <w:rsid w:val="00ED2024"/>
    <w:rsid w:val="00ED2947"/>
    <w:rsid w:val="00ED4C8D"/>
    <w:rsid w:val="00ED6792"/>
    <w:rsid w:val="00ED78A5"/>
    <w:rsid w:val="00ED7A01"/>
    <w:rsid w:val="00EE2A4F"/>
    <w:rsid w:val="00EE4A6D"/>
    <w:rsid w:val="00EF2CFB"/>
    <w:rsid w:val="00EF3062"/>
    <w:rsid w:val="00EF38DF"/>
    <w:rsid w:val="00EF4DBF"/>
    <w:rsid w:val="00EF5D3A"/>
    <w:rsid w:val="00EF6336"/>
    <w:rsid w:val="00EF6E10"/>
    <w:rsid w:val="00F00D93"/>
    <w:rsid w:val="00F02B91"/>
    <w:rsid w:val="00F0411D"/>
    <w:rsid w:val="00F06A32"/>
    <w:rsid w:val="00F07D9A"/>
    <w:rsid w:val="00F11846"/>
    <w:rsid w:val="00F123D9"/>
    <w:rsid w:val="00F13243"/>
    <w:rsid w:val="00F243E3"/>
    <w:rsid w:val="00F2493C"/>
    <w:rsid w:val="00F25549"/>
    <w:rsid w:val="00F26E8C"/>
    <w:rsid w:val="00F27422"/>
    <w:rsid w:val="00F27EC3"/>
    <w:rsid w:val="00F30FA2"/>
    <w:rsid w:val="00F312E9"/>
    <w:rsid w:val="00F314C9"/>
    <w:rsid w:val="00F3285C"/>
    <w:rsid w:val="00F32A0B"/>
    <w:rsid w:val="00F34763"/>
    <w:rsid w:val="00F3505C"/>
    <w:rsid w:val="00F3550E"/>
    <w:rsid w:val="00F36D5C"/>
    <w:rsid w:val="00F37EF1"/>
    <w:rsid w:val="00F4151C"/>
    <w:rsid w:val="00F43344"/>
    <w:rsid w:val="00F43B50"/>
    <w:rsid w:val="00F454CB"/>
    <w:rsid w:val="00F50AE5"/>
    <w:rsid w:val="00F527C0"/>
    <w:rsid w:val="00F545DD"/>
    <w:rsid w:val="00F5465A"/>
    <w:rsid w:val="00F56C16"/>
    <w:rsid w:val="00F5700F"/>
    <w:rsid w:val="00F61DF7"/>
    <w:rsid w:val="00F6321B"/>
    <w:rsid w:val="00F638AA"/>
    <w:rsid w:val="00F649D8"/>
    <w:rsid w:val="00F670D6"/>
    <w:rsid w:val="00F67696"/>
    <w:rsid w:val="00F67AAF"/>
    <w:rsid w:val="00F72797"/>
    <w:rsid w:val="00F72E4B"/>
    <w:rsid w:val="00F74209"/>
    <w:rsid w:val="00F7572A"/>
    <w:rsid w:val="00F75E76"/>
    <w:rsid w:val="00F76374"/>
    <w:rsid w:val="00F76B5F"/>
    <w:rsid w:val="00F76BFC"/>
    <w:rsid w:val="00F77FC1"/>
    <w:rsid w:val="00F80434"/>
    <w:rsid w:val="00F80F73"/>
    <w:rsid w:val="00F81F97"/>
    <w:rsid w:val="00F83D76"/>
    <w:rsid w:val="00F84492"/>
    <w:rsid w:val="00F848C4"/>
    <w:rsid w:val="00F8741B"/>
    <w:rsid w:val="00F911A5"/>
    <w:rsid w:val="00F93CC9"/>
    <w:rsid w:val="00F95B78"/>
    <w:rsid w:val="00F96E9A"/>
    <w:rsid w:val="00FA112D"/>
    <w:rsid w:val="00FA1DC1"/>
    <w:rsid w:val="00FA269B"/>
    <w:rsid w:val="00FA4D54"/>
    <w:rsid w:val="00FA4D99"/>
    <w:rsid w:val="00FA62FA"/>
    <w:rsid w:val="00FA68E5"/>
    <w:rsid w:val="00FB1001"/>
    <w:rsid w:val="00FB1970"/>
    <w:rsid w:val="00FB415C"/>
    <w:rsid w:val="00FB45EB"/>
    <w:rsid w:val="00FB4B0A"/>
    <w:rsid w:val="00FB5837"/>
    <w:rsid w:val="00FB6B7C"/>
    <w:rsid w:val="00FB7111"/>
    <w:rsid w:val="00FB75D6"/>
    <w:rsid w:val="00FB7754"/>
    <w:rsid w:val="00FB7836"/>
    <w:rsid w:val="00FB7FF9"/>
    <w:rsid w:val="00FC0541"/>
    <w:rsid w:val="00FC20C2"/>
    <w:rsid w:val="00FC2DE5"/>
    <w:rsid w:val="00FC4B6C"/>
    <w:rsid w:val="00FD2658"/>
    <w:rsid w:val="00FD2C67"/>
    <w:rsid w:val="00FD770E"/>
    <w:rsid w:val="00FE0701"/>
    <w:rsid w:val="00FE0CD6"/>
    <w:rsid w:val="00FE0E76"/>
    <w:rsid w:val="00FE0E9F"/>
    <w:rsid w:val="00FE2A62"/>
    <w:rsid w:val="00FE2B9E"/>
    <w:rsid w:val="00FE3DBA"/>
    <w:rsid w:val="00FE3E52"/>
    <w:rsid w:val="00FE5474"/>
    <w:rsid w:val="00FE5CD8"/>
    <w:rsid w:val="00FE5FA8"/>
    <w:rsid w:val="00FE5FAD"/>
    <w:rsid w:val="00FF1C29"/>
    <w:rsid w:val="00FF4E30"/>
    <w:rsid w:val="00FF5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75E7B"/>
  <w15:docId w15:val="{63C5FF86-ED71-4C76-AEF9-E01F6F73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5F4"/>
    <w:rPr>
      <w:rFonts w:ascii="Arial" w:hAnsi="Arial"/>
      <w:szCs w:val="24"/>
    </w:rPr>
  </w:style>
  <w:style w:type="paragraph" w:styleId="Ttulo1">
    <w:name w:val="heading 1"/>
    <w:basedOn w:val="Normal"/>
    <w:next w:val="Normal"/>
    <w:qFormat/>
    <w:pPr>
      <w:keepNext/>
      <w:tabs>
        <w:tab w:val="left" w:pos="5739"/>
      </w:tabs>
      <w:jc w:val="both"/>
      <w:outlineLvl w:val="0"/>
    </w:pPr>
    <w:rPr>
      <w:rFonts w:ascii="Times New Roman" w:hAnsi="Times New Roman"/>
      <w:b/>
      <w:bCs/>
      <w:i/>
      <w:iCs/>
      <w:sz w:val="22"/>
      <w:szCs w:val="22"/>
    </w:rPr>
  </w:style>
  <w:style w:type="paragraph" w:styleId="Ttulo2">
    <w:name w:val="heading 2"/>
    <w:basedOn w:val="Normal"/>
    <w:next w:val="Normal"/>
    <w:qFormat/>
    <w:pPr>
      <w:keepNext/>
      <w:widowControl w:val="0"/>
      <w:autoSpaceDE w:val="0"/>
      <w:autoSpaceDN w:val="0"/>
      <w:adjustRightInd w:val="0"/>
      <w:jc w:val="both"/>
      <w:outlineLvl w:val="1"/>
    </w:pPr>
    <w:rPr>
      <w:rFonts w:ascii="Times New Roman" w:hAnsi="Times New Roman"/>
      <w:b/>
      <w:bCs/>
      <w:sz w:val="22"/>
      <w:szCs w:val="22"/>
      <w:lang w:val="es-ES_tradnl"/>
    </w:rPr>
  </w:style>
  <w:style w:type="paragraph" w:styleId="Ttulo3">
    <w:name w:val="heading 3"/>
    <w:basedOn w:val="Normal"/>
    <w:next w:val="Normal"/>
    <w:qFormat/>
    <w:pPr>
      <w:keepNext/>
      <w:widowControl w:val="0"/>
      <w:autoSpaceDE w:val="0"/>
      <w:autoSpaceDN w:val="0"/>
      <w:adjustRightInd w:val="0"/>
      <w:jc w:val="center"/>
      <w:outlineLvl w:val="2"/>
    </w:pPr>
    <w:rPr>
      <w:rFonts w:ascii="Times New Roman" w:hAnsi="Times New Roman"/>
      <w:b/>
      <w:bCs/>
      <w:i/>
      <w:iCs/>
      <w:u w:val="single"/>
    </w:rPr>
  </w:style>
  <w:style w:type="paragraph" w:styleId="Ttulo4">
    <w:name w:val="heading 4"/>
    <w:basedOn w:val="Normal"/>
    <w:next w:val="Normal"/>
    <w:qFormat/>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rFonts w:ascii="Times New Roman" w:hAnsi="Times New Roman"/>
      <w:b/>
      <w:bCs/>
      <w:sz w:val="28"/>
      <w:szCs w:val="28"/>
    </w:rPr>
  </w:style>
  <w:style w:type="paragraph" w:styleId="Ttulo5">
    <w:name w:val="heading 5"/>
    <w:basedOn w:val="Normal"/>
    <w:next w:val="Normal"/>
    <w:qFormat/>
    <w:pPr>
      <w:keepNext/>
      <w:jc w:val="both"/>
      <w:outlineLvl w:val="4"/>
    </w:pPr>
    <w:rPr>
      <w:rFonts w:ascii="Times New Roman" w:hAnsi="Times New Roman"/>
      <w:sz w:val="24"/>
      <w:szCs w:val="28"/>
    </w:rPr>
  </w:style>
  <w:style w:type="paragraph" w:styleId="Ttulo6">
    <w:name w:val="heading 6"/>
    <w:basedOn w:val="Normal"/>
    <w:next w:val="Normal"/>
    <w:qFormat/>
    <w:pPr>
      <w:keepNext/>
      <w:jc w:val="both"/>
      <w:outlineLvl w:val="5"/>
    </w:pPr>
    <w:rPr>
      <w:rFonts w:ascii="Times New Roman" w:hAnsi="Times New Roman"/>
      <w:sz w:val="24"/>
      <w:u w:val="single"/>
    </w:rPr>
  </w:style>
  <w:style w:type="paragraph" w:styleId="Ttulo7">
    <w:name w:val="heading 7"/>
    <w:basedOn w:val="Normal"/>
    <w:next w:val="Normal"/>
    <w:qFormat/>
    <w:pPr>
      <w:keepNext/>
      <w:jc w:val="both"/>
      <w:outlineLvl w:val="6"/>
    </w:pPr>
    <w:rPr>
      <w:rFonts w:ascii="Times New Roman" w:hAnsi="Times New Roman"/>
      <w:i/>
      <w:iCs/>
      <w:sz w:val="24"/>
    </w:rPr>
  </w:style>
  <w:style w:type="paragraph" w:styleId="Ttulo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360"/>
      </w:tabs>
      <w:jc w:val="both"/>
      <w:outlineLvl w:val="7"/>
    </w:pPr>
    <w:rPr>
      <w:b/>
      <w:bCs/>
      <w:sz w:val="24"/>
    </w:rPr>
  </w:style>
  <w:style w:type="paragraph" w:styleId="Ttulo9">
    <w:name w:val="heading 9"/>
    <w:basedOn w:val="Normal"/>
    <w:next w:val="Normal"/>
    <w:qFormat/>
    <w:pPr>
      <w:keepNext/>
      <w:tabs>
        <w:tab w:val="left" w:pos="360"/>
      </w:tabs>
      <w:jc w:val="both"/>
      <w:outlineLvl w:val="8"/>
    </w:pPr>
    <w:rPr>
      <w:rFonts w:ascii="Times New Roman" w:hAnsi="Times New Roman"/>
      <w:b/>
      <w:bCs/>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overflowPunct w:val="0"/>
      <w:autoSpaceDE w:val="0"/>
      <w:autoSpaceDN w:val="0"/>
      <w:adjustRightInd w:val="0"/>
      <w:jc w:val="both"/>
      <w:textAlignment w:val="baseline"/>
    </w:pPr>
    <w:rPr>
      <w:rFonts w:ascii="Times New Roman" w:hAnsi="Times New Roman"/>
      <w:szCs w:val="20"/>
      <w:lang w:val="es-ES_tradnl"/>
    </w:rPr>
  </w:style>
  <w:style w:type="paragraph" w:styleId="Textoindependiente">
    <w:name w:val="Body Text"/>
    <w:basedOn w:val="Normal"/>
    <w:link w:val="TextoindependienteCar"/>
    <w:pPr>
      <w:tabs>
        <w:tab w:val="left" w:pos="360"/>
      </w:tabs>
      <w:jc w:val="both"/>
    </w:pPr>
    <w:rPr>
      <w:rFonts w:ascii="Times New Roman" w:hAnsi="Times New Roman"/>
      <w:b/>
      <w:bCs/>
      <w:sz w:val="22"/>
      <w:szCs w:val="22"/>
      <w:lang w:val="x-none" w:eastAsia="x-none"/>
    </w:rPr>
  </w:style>
  <w:style w:type="paragraph" w:styleId="Ttulo">
    <w:name w:val="Title"/>
    <w:basedOn w:val="Normal"/>
    <w:qFormat/>
    <w:pPr>
      <w:widowControl w:val="0"/>
      <w:pBdr>
        <w:top w:val="single" w:sz="6" w:space="1" w:color="auto"/>
        <w:left w:val="single" w:sz="6" w:space="1" w:color="auto"/>
        <w:bottom w:val="single" w:sz="6" w:space="1" w:color="auto"/>
        <w:right w:val="single" w:sz="6" w:space="1" w:color="auto"/>
      </w:pBdr>
      <w:shd w:val="pct5" w:color="auto" w:fill="auto"/>
      <w:autoSpaceDE w:val="0"/>
      <w:autoSpaceDN w:val="0"/>
      <w:adjustRightInd w:val="0"/>
      <w:jc w:val="center"/>
    </w:pPr>
    <w:rPr>
      <w:rFonts w:ascii="Times New Roman" w:hAnsi="Times New Roman"/>
      <w:b/>
      <w:bCs/>
      <w:lang w:val="es-ES_tradnl"/>
    </w:rPr>
  </w:style>
  <w:style w:type="paragraph" w:styleId="Subttulo">
    <w:name w:val="Subtitle"/>
    <w:basedOn w:val="Normal"/>
    <w:qFormat/>
    <w:pPr>
      <w:widowControl w:val="0"/>
      <w:autoSpaceDE w:val="0"/>
      <w:autoSpaceDN w:val="0"/>
      <w:adjustRightInd w:val="0"/>
      <w:jc w:val="both"/>
    </w:pPr>
    <w:rPr>
      <w:rFonts w:ascii="Times New Roman" w:hAnsi="Times New Roman"/>
      <w:b/>
      <w:bCs/>
      <w:sz w:val="28"/>
      <w:szCs w:val="28"/>
      <w:lang w:val="es-ES_tradnl"/>
    </w:rPr>
  </w:style>
  <w:style w:type="paragraph" w:styleId="Textoindependiente3">
    <w:name w:val="Body Text 3"/>
    <w:basedOn w:val="Normal"/>
    <w:pPr>
      <w:widowControl w:val="0"/>
      <w:autoSpaceDE w:val="0"/>
      <w:autoSpaceDN w:val="0"/>
      <w:adjustRightInd w:val="0"/>
      <w:jc w:val="both"/>
    </w:pPr>
    <w:rPr>
      <w:rFonts w:ascii="Times New Roman" w:hAnsi="Times New Roman"/>
      <w:lang w:val="es-ES_tradnl"/>
    </w:rPr>
  </w:style>
  <w:style w:type="paragraph" w:styleId="Textoindependiente2">
    <w:name w:val="Body Text 2"/>
    <w:basedOn w:val="Normal"/>
    <w:pPr>
      <w:tabs>
        <w:tab w:val="left" w:pos="5739"/>
      </w:tabs>
      <w:jc w:val="both"/>
    </w:pPr>
    <w:rPr>
      <w:rFonts w:ascii="Times New Roman" w:hAnsi="Times New Roman"/>
      <w:i/>
      <w:iCs/>
      <w:sz w:val="22"/>
      <w:szCs w:val="22"/>
    </w:rPr>
  </w:style>
  <w:style w:type="paragraph" w:styleId="Sangradetextonormal">
    <w:name w:val="Body Text Indent"/>
    <w:basedOn w:val="Normal"/>
    <w:link w:val="SangradetextonormalCar"/>
    <w:pPr>
      <w:ind w:left="360"/>
      <w:jc w:val="both"/>
    </w:pPr>
    <w:rPr>
      <w:rFonts w:ascii="Times New Roman" w:hAnsi="Times New Roman"/>
      <w:sz w:val="24"/>
    </w:rPr>
  </w:style>
  <w:style w:type="paragraph" w:styleId="Sangra2detindependiente">
    <w:name w:val="Body Text Indent 2"/>
    <w:basedOn w:val="Normal"/>
    <w:pPr>
      <w:tabs>
        <w:tab w:val="left" w:pos="360"/>
      </w:tabs>
      <w:ind w:left="720"/>
      <w:jc w:val="both"/>
    </w:pPr>
    <w:rPr>
      <w:rFonts w:ascii="Times New Roman" w:hAnsi="Times New Roman"/>
      <w:sz w:val="24"/>
      <w:szCs w:val="22"/>
    </w:rPr>
  </w:style>
  <w:style w:type="paragraph" w:styleId="Sangra3detindependiente">
    <w:name w:val="Body Text Indent 3"/>
    <w:basedOn w:val="Normal"/>
    <w:pPr>
      <w:tabs>
        <w:tab w:val="left" w:pos="540"/>
      </w:tabs>
      <w:ind w:left="540" w:hanging="180"/>
      <w:jc w:val="both"/>
    </w:pPr>
    <w:rPr>
      <w:rFonts w:ascii="Times New Roman" w:hAnsi="Times New Roman"/>
      <w:b/>
      <w:bCs/>
      <w:i/>
      <w:iCs/>
      <w:sz w:val="24"/>
      <w:szCs w:val="22"/>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styleId="Refdecomentario">
    <w:name w:val="annotation reference"/>
    <w:semiHidden/>
    <w:rPr>
      <w:sz w:val="16"/>
      <w:szCs w:val="16"/>
    </w:rPr>
  </w:style>
  <w:style w:type="paragraph" w:styleId="Textocomentario">
    <w:name w:val="annotation text"/>
    <w:basedOn w:val="Normal"/>
    <w:semiHidden/>
    <w:rPr>
      <w:sz w:val="16"/>
      <w:szCs w:val="20"/>
    </w:r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Continuarlista">
    <w:name w:val="List Continue"/>
    <w:basedOn w:val="Normal"/>
    <w:pPr>
      <w:spacing w:after="120"/>
      <w:ind w:left="283"/>
    </w:pPr>
  </w:style>
  <w:style w:type="paragraph" w:customStyle="1" w:styleId="Textoindependiente31">
    <w:name w:val="Texto independiente 31"/>
    <w:basedOn w:val="Normal"/>
    <w:pPr>
      <w:pBdr>
        <w:top w:val="single" w:sz="6" w:space="1" w:color="auto"/>
        <w:left w:val="single" w:sz="6" w:space="0" w:color="auto"/>
        <w:bottom w:val="single" w:sz="6" w:space="1" w:color="auto"/>
        <w:right w:val="single" w:sz="6" w:space="1" w:color="auto"/>
      </w:pBdr>
      <w:overflowPunct w:val="0"/>
      <w:autoSpaceDE w:val="0"/>
      <w:autoSpaceDN w:val="0"/>
      <w:adjustRightInd w:val="0"/>
      <w:jc w:val="both"/>
      <w:textAlignment w:val="baseline"/>
    </w:pPr>
    <w:rPr>
      <w:rFonts w:ascii="Times New Roman" w:hAnsi="Times New Roman"/>
      <w:b/>
      <w:sz w:val="28"/>
      <w:szCs w:val="20"/>
    </w:rPr>
  </w:style>
  <w:style w:type="paragraph" w:customStyle="1" w:styleId="Sangra2detindependiente1">
    <w:name w:val="Sangría 2 de t. independiente1"/>
    <w:basedOn w:val="Normal"/>
    <w:pPr>
      <w:overflowPunct w:val="0"/>
      <w:autoSpaceDE w:val="0"/>
      <w:autoSpaceDN w:val="0"/>
      <w:adjustRightInd w:val="0"/>
      <w:ind w:left="283"/>
      <w:jc w:val="both"/>
      <w:textAlignment w:val="baseline"/>
    </w:pPr>
    <w:rPr>
      <w:rFonts w:ascii="Times New Roman" w:hAnsi="Times New Roman"/>
      <w:sz w:val="22"/>
      <w:szCs w:val="20"/>
    </w:rPr>
  </w:style>
  <w:style w:type="character" w:customStyle="1" w:styleId="verde11b1">
    <w:name w:val="verde_11b1"/>
    <w:rPr>
      <w:rFonts w:ascii="Arial" w:hAnsi="Arial" w:cs="Arial" w:hint="default"/>
      <w:b/>
      <w:bCs/>
      <w:strike w:val="0"/>
      <w:dstrike w:val="0"/>
      <w:color w:val="104850"/>
      <w:sz w:val="17"/>
      <w:szCs w:val="17"/>
      <w:u w:val="none"/>
      <w:effect w:val="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character" w:styleId="Hipervnculo">
    <w:name w:val="Hyperlink"/>
    <w:rPr>
      <w:rFonts w:ascii="Arial" w:hAnsi="Arial" w:cs="Arial" w:hint="default"/>
      <w:strike w:val="0"/>
      <w:dstrike w:val="0"/>
      <w:color w:val="0000FF"/>
      <w:sz w:val="17"/>
      <w:szCs w:val="17"/>
      <w:u w:val="none"/>
      <w:effect w:val="none"/>
    </w:rPr>
  </w:style>
  <w:style w:type="paragraph" w:customStyle="1" w:styleId="Ttulo34">
    <w:name w:val="Título 34"/>
    <w:basedOn w:val="Normal"/>
    <w:pPr>
      <w:pBdr>
        <w:top w:val="single" w:sz="6" w:space="2" w:color="000000"/>
      </w:pBdr>
      <w:spacing w:before="75"/>
      <w:jc w:val="both"/>
      <w:outlineLvl w:val="3"/>
    </w:pPr>
    <w:rPr>
      <w:rFonts w:ascii="Times New Roman" w:hAnsi="Times New Roman"/>
      <w:color w:val="000000"/>
      <w:sz w:val="18"/>
      <w:szCs w:val="18"/>
    </w:rPr>
  </w:style>
  <w:style w:type="character" w:styleId="nfasis">
    <w:name w:val="Emphasis"/>
    <w:qFormat/>
    <w:rPr>
      <w:i/>
      <w:iCs/>
    </w:rPr>
  </w:style>
  <w:style w:type="paragraph" w:styleId="Asuntodelcomentario">
    <w:name w:val="annotation subject"/>
    <w:basedOn w:val="Textocomentario"/>
    <w:next w:val="Textocomentario"/>
    <w:semiHidden/>
    <w:rPr>
      <w:b/>
      <w:bCs/>
      <w:sz w:val="20"/>
    </w:rPr>
  </w:style>
  <w:style w:type="paragraph" w:styleId="Textodeglobo">
    <w:name w:val="Balloon Text"/>
    <w:basedOn w:val="Normal"/>
    <w:semiHidden/>
    <w:rPr>
      <w:rFonts w:ascii="Tahoma" w:hAnsi="Tahoma" w:cs="Tahoma"/>
      <w:sz w:val="16"/>
      <w:szCs w:val="16"/>
    </w:rPr>
  </w:style>
  <w:style w:type="character" w:styleId="Fuerte">
    <w:name w:val="Strong"/>
    <w:uiPriority w:val="22"/>
    <w:qFormat/>
    <w:rPr>
      <w:b/>
      <w:bCs/>
    </w:rPr>
  </w:style>
  <w:style w:type="paragraph" w:styleId="Mapadeldocumento">
    <w:name w:val="Document Map"/>
    <w:basedOn w:val="Normal"/>
    <w:semiHidden/>
    <w:pPr>
      <w:shd w:val="clear" w:color="auto" w:fill="000080"/>
    </w:pPr>
    <w:rPr>
      <w:rFonts w:ascii="Tahoma" w:hAnsi="Tahoma" w:cs="Tahoma"/>
      <w:szCs w:val="20"/>
    </w:rPr>
  </w:style>
  <w:style w:type="paragraph" w:styleId="Textodebloque">
    <w:name w:val="Block Text"/>
    <w:basedOn w:val="Normal"/>
    <w:pPr>
      <w:ind w:left="181" w:right="-113"/>
      <w:jc w:val="both"/>
    </w:pPr>
    <w:rPr>
      <w:rFonts w:ascii="Times New Roman" w:hAnsi="Times New Roman"/>
      <w:sz w:val="24"/>
      <w:szCs w:val="22"/>
    </w:rPr>
  </w:style>
  <w:style w:type="table" w:styleId="Tablaconcuadrcula">
    <w:name w:val="Table Grid"/>
    <w:basedOn w:val="Tablanormal"/>
    <w:rsid w:val="00BA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DA1F78"/>
    <w:rPr>
      <w:szCs w:val="20"/>
      <w:lang w:val="x-none" w:eastAsia="x-none"/>
    </w:rPr>
  </w:style>
  <w:style w:type="character" w:customStyle="1" w:styleId="TextonotaalfinalCar">
    <w:name w:val="Texto nota al final Car"/>
    <w:link w:val="Textonotaalfinal"/>
    <w:rsid w:val="00DA1F78"/>
    <w:rPr>
      <w:rFonts w:ascii="Arial" w:hAnsi="Arial"/>
    </w:rPr>
  </w:style>
  <w:style w:type="character" w:styleId="Refdenotaalfinal">
    <w:name w:val="endnote reference"/>
    <w:rsid w:val="00DA1F78"/>
    <w:rPr>
      <w:vertAlign w:val="superscript"/>
    </w:rPr>
  </w:style>
  <w:style w:type="character" w:customStyle="1" w:styleId="TextoindependienteCar">
    <w:name w:val="Texto independiente Car"/>
    <w:link w:val="Textoindependiente"/>
    <w:rsid w:val="00D22D3C"/>
    <w:rPr>
      <w:b/>
      <w:bCs/>
      <w:sz w:val="22"/>
      <w:szCs w:val="22"/>
    </w:rPr>
  </w:style>
  <w:style w:type="paragraph" w:styleId="Prrafodelista">
    <w:name w:val="List Paragraph"/>
    <w:basedOn w:val="Normal"/>
    <w:uiPriority w:val="34"/>
    <w:qFormat/>
    <w:rsid w:val="004004EF"/>
    <w:pPr>
      <w:ind w:left="708"/>
    </w:pPr>
  </w:style>
  <w:style w:type="paragraph" w:styleId="Textonotapie">
    <w:name w:val="footnote text"/>
    <w:basedOn w:val="Normal"/>
    <w:link w:val="TextonotapieCar"/>
    <w:rsid w:val="00ED6792"/>
    <w:rPr>
      <w:rFonts w:ascii="Times New Roman" w:hAnsi="Times New Roman"/>
      <w:szCs w:val="20"/>
    </w:rPr>
  </w:style>
  <w:style w:type="character" w:customStyle="1" w:styleId="TextonotapieCar">
    <w:name w:val="Texto nota pie Car"/>
    <w:basedOn w:val="Fuentedeprrafopredeter"/>
    <w:link w:val="Textonotapie"/>
    <w:rsid w:val="00ED6792"/>
  </w:style>
  <w:style w:type="character" w:customStyle="1" w:styleId="apple-converted-space">
    <w:name w:val="apple-converted-space"/>
    <w:basedOn w:val="Fuentedeprrafopredeter"/>
    <w:rsid w:val="00E3337A"/>
  </w:style>
  <w:style w:type="character" w:customStyle="1" w:styleId="SangradetextonormalCar">
    <w:name w:val="Sangría de texto normal Car"/>
    <w:link w:val="Sangradetextonormal"/>
    <w:rsid w:val="003448D4"/>
    <w:rPr>
      <w:sz w:val="24"/>
      <w:szCs w:val="24"/>
    </w:rPr>
  </w:style>
  <w:style w:type="character" w:styleId="Mencinsinresolver">
    <w:name w:val="Unresolved Mention"/>
    <w:basedOn w:val="Fuentedeprrafopredeter"/>
    <w:uiPriority w:val="99"/>
    <w:semiHidden/>
    <w:unhideWhenUsed/>
    <w:rsid w:val="003D42A6"/>
    <w:rPr>
      <w:color w:val="605E5C"/>
      <w:shd w:val="clear" w:color="auto" w:fill="E1DFDD"/>
    </w:rPr>
  </w:style>
  <w:style w:type="paragraph" w:styleId="Revisin">
    <w:name w:val="Revision"/>
    <w:hidden/>
    <w:uiPriority w:val="99"/>
    <w:semiHidden/>
    <w:rsid w:val="00C104C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250">
      <w:bodyDiv w:val="1"/>
      <w:marLeft w:val="0"/>
      <w:marRight w:val="0"/>
      <w:marTop w:val="0"/>
      <w:marBottom w:val="0"/>
      <w:divBdr>
        <w:top w:val="single" w:sz="2" w:space="0" w:color="CC3640"/>
        <w:left w:val="none" w:sz="0" w:space="0" w:color="auto"/>
        <w:bottom w:val="none" w:sz="0" w:space="0" w:color="auto"/>
        <w:right w:val="none" w:sz="0" w:space="0" w:color="auto"/>
      </w:divBdr>
      <w:divsChild>
        <w:div w:id="1443525884">
          <w:marLeft w:val="0"/>
          <w:marRight w:val="0"/>
          <w:marTop w:val="0"/>
          <w:marBottom w:val="0"/>
          <w:divBdr>
            <w:top w:val="single" w:sz="2" w:space="0" w:color="FF0000"/>
            <w:left w:val="single" w:sz="2" w:space="0" w:color="FF0000"/>
            <w:bottom w:val="single" w:sz="2" w:space="0" w:color="FF0000"/>
            <w:right w:val="single" w:sz="2" w:space="0" w:color="FF0000"/>
          </w:divBdr>
          <w:divsChild>
            <w:div w:id="2066370131">
              <w:marLeft w:val="0"/>
              <w:marRight w:val="0"/>
              <w:marTop w:val="0"/>
              <w:marBottom w:val="0"/>
              <w:divBdr>
                <w:top w:val="none" w:sz="0" w:space="0" w:color="auto"/>
                <w:left w:val="single" w:sz="6" w:space="0" w:color="DDDDDD"/>
                <w:bottom w:val="none" w:sz="0" w:space="0" w:color="auto"/>
                <w:right w:val="none" w:sz="0" w:space="0" w:color="auto"/>
              </w:divBdr>
              <w:divsChild>
                <w:div w:id="952831250">
                  <w:marLeft w:val="0"/>
                  <w:marRight w:val="0"/>
                  <w:marTop w:val="0"/>
                  <w:marBottom w:val="0"/>
                  <w:divBdr>
                    <w:top w:val="single" w:sz="2" w:space="0" w:color="008000"/>
                    <w:left w:val="single" w:sz="2" w:space="0" w:color="008000"/>
                    <w:bottom w:val="single" w:sz="2" w:space="0" w:color="008000"/>
                    <w:right w:val="single" w:sz="2" w:space="0" w:color="008000"/>
                  </w:divBdr>
                  <w:divsChild>
                    <w:div w:id="1370374507">
                      <w:marLeft w:val="0"/>
                      <w:marRight w:val="0"/>
                      <w:marTop w:val="0"/>
                      <w:marBottom w:val="0"/>
                      <w:divBdr>
                        <w:top w:val="none" w:sz="0" w:space="0" w:color="auto"/>
                        <w:left w:val="none" w:sz="0" w:space="0" w:color="auto"/>
                        <w:bottom w:val="none" w:sz="0" w:space="0" w:color="auto"/>
                        <w:right w:val="none" w:sz="0" w:space="0" w:color="auto"/>
                      </w:divBdr>
                      <w:divsChild>
                        <w:div w:id="214581798">
                          <w:marLeft w:val="0"/>
                          <w:marRight w:val="0"/>
                          <w:marTop w:val="0"/>
                          <w:marBottom w:val="0"/>
                          <w:divBdr>
                            <w:top w:val="none" w:sz="0" w:space="0" w:color="auto"/>
                            <w:left w:val="none" w:sz="0" w:space="0" w:color="auto"/>
                            <w:bottom w:val="none" w:sz="0" w:space="0" w:color="auto"/>
                            <w:right w:val="none" w:sz="0" w:space="0" w:color="auto"/>
                          </w:divBdr>
                          <w:divsChild>
                            <w:div w:id="14339643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4181783">
      <w:bodyDiv w:val="1"/>
      <w:marLeft w:val="0"/>
      <w:marRight w:val="0"/>
      <w:marTop w:val="0"/>
      <w:marBottom w:val="0"/>
      <w:divBdr>
        <w:top w:val="single" w:sz="2" w:space="0" w:color="CC3640"/>
        <w:left w:val="none" w:sz="0" w:space="0" w:color="auto"/>
        <w:bottom w:val="none" w:sz="0" w:space="0" w:color="auto"/>
        <w:right w:val="none" w:sz="0" w:space="0" w:color="auto"/>
      </w:divBdr>
      <w:divsChild>
        <w:div w:id="2129470426">
          <w:marLeft w:val="0"/>
          <w:marRight w:val="0"/>
          <w:marTop w:val="0"/>
          <w:marBottom w:val="0"/>
          <w:divBdr>
            <w:top w:val="single" w:sz="2" w:space="0" w:color="FF0000"/>
            <w:left w:val="single" w:sz="2" w:space="0" w:color="FF0000"/>
            <w:bottom w:val="single" w:sz="2" w:space="0" w:color="FF0000"/>
            <w:right w:val="single" w:sz="2" w:space="0" w:color="FF0000"/>
          </w:divBdr>
          <w:divsChild>
            <w:div w:id="2096395299">
              <w:marLeft w:val="0"/>
              <w:marRight w:val="0"/>
              <w:marTop w:val="0"/>
              <w:marBottom w:val="0"/>
              <w:divBdr>
                <w:top w:val="none" w:sz="0" w:space="0" w:color="auto"/>
                <w:left w:val="single" w:sz="6" w:space="0" w:color="DDDDDD"/>
                <w:bottom w:val="none" w:sz="0" w:space="0" w:color="auto"/>
                <w:right w:val="none" w:sz="0" w:space="0" w:color="auto"/>
              </w:divBdr>
              <w:divsChild>
                <w:div w:id="2037659962">
                  <w:marLeft w:val="0"/>
                  <w:marRight w:val="0"/>
                  <w:marTop w:val="0"/>
                  <w:marBottom w:val="0"/>
                  <w:divBdr>
                    <w:top w:val="single" w:sz="2" w:space="0" w:color="008000"/>
                    <w:left w:val="single" w:sz="2" w:space="0" w:color="008000"/>
                    <w:bottom w:val="single" w:sz="2" w:space="0" w:color="008000"/>
                    <w:right w:val="single" w:sz="2" w:space="0" w:color="008000"/>
                  </w:divBdr>
                  <w:divsChild>
                    <w:div w:id="244151681">
                      <w:marLeft w:val="0"/>
                      <w:marRight w:val="0"/>
                      <w:marTop w:val="0"/>
                      <w:marBottom w:val="0"/>
                      <w:divBdr>
                        <w:top w:val="none" w:sz="0" w:space="0" w:color="auto"/>
                        <w:left w:val="none" w:sz="0" w:space="0" w:color="auto"/>
                        <w:bottom w:val="none" w:sz="0" w:space="0" w:color="auto"/>
                        <w:right w:val="none" w:sz="0" w:space="0" w:color="auto"/>
                      </w:divBdr>
                      <w:divsChild>
                        <w:div w:id="2119130536">
                          <w:marLeft w:val="0"/>
                          <w:marRight w:val="0"/>
                          <w:marTop w:val="0"/>
                          <w:marBottom w:val="0"/>
                          <w:divBdr>
                            <w:top w:val="none" w:sz="0" w:space="0" w:color="auto"/>
                            <w:left w:val="none" w:sz="0" w:space="0" w:color="auto"/>
                            <w:bottom w:val="none" w:sz="0" w:space="0" w:color="auto"/>
                            <w:right w:val="none" w:sz="0" w:space="0" w:color="auto"/>
                          </w:divBdr>
                          <w:divsChild>
                            <w:div w:id="123916975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6194586">
      <w:bodyDiv w:val="1"/>
      <w:marLeft w:val="0"/>
      <w:marRight w:val="0"/>
      <w:marTop w:val="0"/>
      <w:marBottom w:val="0"/>
      <w:divBdr>
        <w:top w:val="none" w:sz="0" w:space="0" w:color="auto"/>
        <w:left w:val="none" w:sz="0" w:space="0" w:color="auto"/>
        <w:bottom w:val="none" w:sz="0" w:space="0" w:color="auto"/>
        <w:right w:val="none" w:sz="0" w:space="0" w:color="auto"/>
      </w:divBdr>
    </w:div>
    <w:div w:id="69157573">
      <w:bodyDiv w:val="1"/>
      <w:marLeft w:val="0"/>
      <w:marRight w:val="0"/>
      <w:marTop w:val="0"/>
      <w:marBottom w:val="0"/>
      <w:divBdr>
        <w:top w:val="single" w:sz="2" w:space="0" w:color="CC3640"/>
        <w:left w:val="none" w:sz="0" w:space="0" w:color="auto"/>
        <w:bottom w:val="none" w:sz="0" w:space="0" w:color="auto"/>
        <w:right w:val="none" w:sz="0" w:space="0" w:color="auto"/>
      </w:divBdr>
      <w:divsChild>
        <w:div w:id="615261827">
          <w:marLeft w:val="0"/>
          <w:marRight w:val="0"/>
          <w:marTop w:val="0"/>
          <w:marBottom w:val="0"/>
          <w:divBdr>
            <w:top w:val="single" w:sz="2" w:space="0" w:color="FF0000"/>
            <w:left w:val="single" w:sz="2" w:space="0" w:color="FF0000"/>
            <w:bottom w:val="single" w:sz="2" w:space="0" w:color="FF0000"/>
            <w:right w:val="single" w:sz="2" w:space="0" w:color="FF0000"/>
          </w:divBdr>
          <w:divsChild>
            <w:div w:id="1048261540">
              <w:marLeft w:val="0"/>
              <w:marRight w:val="0"/>
              <w:marTop w:val="0"/>
              <w:marBottom w:val="0"/>
              <w:divBdr>
                <w:top w:val="none" w:sz="0" w:space="0" w:color="auto"/>
                <w:left w:val="single" w:sz="6" w:space="0" w:color="DDDDDD"/>
                <w:bottom w:val="none" w:sz="0" w:space="0" w:color="auto"/>
                <w:right w:val="none" w:sz="0" w:space="0" w:color="auto"/>
              </w:divBdr>
              <w:divsChild>
                <w:div w:id="877471291">
                  <w:marLeft w:val="0"/>
                  <w:marRight w:val="0"/>
                  <w:marTop w:val="0"/>
                  <w:marBottom w:val="0"/>
                  <w:divBdr>
                    <w:top w:val="single" w:sz="2" w:space="0" w:color="008000"/>
                    <w:left w:val="single" w:sz="2" w:space="0" w:color="008000"/>
                    <w:bottom w:val="single" w:sz="2" w:space="0" w:color="008000"/>
                    <w:right w:val="single" w:sz="2" w:space="0" w:color="008000"/>
                  </w:divBdr>
                  <w:divsChild>
                    <w:div w:id="1002396213">
                      <w:marLeft w:val="0"/>
                      <w:marRight w:val="0"/>
                      <w:marTop w:val="0"/>
                      <w:marBottom w:val="0"/>
                      <w:divBdr>
                        <w:top w:val="none" w:sz="0" w:space="0" w:color="auto"/>
                        <w:left w:val="none" w:sz="0" w:space="0" w:color="auto"/>
                        <w:bottom w:val="none" w:sz="0" w:space="0" w:color="auto"/>
                        <w:right w:val="none" w:sz="0" w:space="0" w:color="auto"/>
                      </w:divBdr>
                      <w:divsChild>
                        <w:div w:id="1342320698">
                          <w:marLeft w:val="0"/>
                          <w:marRight w:val="0"/>
                          <w:marTop w:val="0"/>
                          <w:marBottom w:val="0"/>
                          <w:divBdr>
                            <w:top w:val="none" w:sz="0" w:space="0" w:color="auto"/>
                            <w:left w:val="none" w:sz="0" w:space="0" w:color="auto"/>
                            <w:bottom w:val="none" w:sz="0" w:space="0" w:color="auto"/>
                            <w:right w:val="none" w:sz="0" w:space="0" w:color="auto"/>
                          </w:divBdr>
                          <w:divsChild>
                            <w:div w:id="153160731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6709371">
      <w:bodyDiv w:val="1"/>
      <w:marLeft w:val="0"/>
      <w:marRight w:val="0"/>
      <w:marTop w:val="0"/>
      <w:marBottom w:val="0"/>
      <w:divBdr>
        <w:top w:val="none" w:sz="0" w:space="0" w:color="auto"/>
        <w:left w:val="none" w:sz="0" w:space="0" w:color="auto"/>
        <w:bottom w:val="none" w:sz="0" w:space="0" w:color="auto"/>
        <w:right w:val="none" w:sz="0" w:space="0" w:color="auto"/>
      </w:divBdr>
    </w:div>
    <w:div w:id="77943830">
      <w:bodyDiv w:val="1"/>
      <w:marLeft w:val="0"/>
      <w:marRight w:val="0"/>
      <w:marTop w:val="0"/>
      <w:marBottom w:val="0"/>
      <w:divBdr>
        <w:top w:val="single" w:sz="2" w:space="0" w:color="CC3640"/>
        <w:left w:val="none" w:sz="0" w:space="0" w:color="auto"/>
        <w:bottom w:val="none" w:sz="0" w:space="0" w:color="auto"/>
        <w:right w:val="none" w:sz="0" w:space="0" w:color="auto"/>
      </w:divBdr>
      <w:divsChild>
        <w:div w:id="1023900240">
          <w:marLeft w:val="0"/>
          <w:marRight w:val="0"/>
          <w:marTop w:val="0"/>
          <w:marBottom w:val="0"/>
          <w:divBdr>
            <w:top w:val="single" w:sz="2" w:space="0" w:color="FF0000"/>
            <w:left w:val="single" w:sz="2" w:space="0" w:color="FF0000"/>
            <w:bottom w:val="single" w:sz="2" w:space="0" w:color="FF0000"/>
            <w:right w:val="single" w:sz="2" w:space="0" w:color="FF0000"/>
          </w:divBdr>
          <w:divsChild>
            <w:div w:id="1265727781">
              <w:marLeft w:val="0"/>
              <w:marRight w:val="0"/>
              <w:marTop w:val="0"/>
              <w:marBottom w:val="0"/>
              <w:divBdr>
                <w:top w:val="none" w:sz="0" w:space="0" w:color="auto"/>
                <w:left w:val="single" w:sz="6" w:space="0" w:color="DDDDDD"/>
                <w:bottom w:val="none" w:sz="0" w:space="0" w:color="auto"/>
                <w:right w:val="none" w:sz="0" w:space="0" w:color="auto"/>
              </w:divBdr>
              <w:divsChild>
                <w:div w:id="1066759408">
                  <w:marLeft w:val="0"/>
                  <w:marRight w:val="0"/>
                  <w:marTop w:val="0"/>
                  <w:marBottom w:val="0"/>
                  <w:divBdr>
                    <w:top w:val="single" w:sz="2" w:space="0" w:color="008000"/>
                    <w:left w:val="single" w:sz="2" w:space="0" w:color="008000"/>
                    <w:bottom w:val="single" w:sz="2" w:space="0" w:color="008000"/>
                    <w:right w:val="single" w:sz="2" w:space="0" w:color="008000"/>
                  </w:divBdr>
                  <w:divsChild>
                    <w:div w:id="260722238">
                      <w:marLeft w:val="0"/>
                      <w:marRight w:val="0"/>
                      <w:marTop w:val="0"/>
                      <w:marBottom w:val="0"/>
                      <w:divBdr>
                        <w:top w:val="none" w:sz="0" w:space="0" w:color="auto"/>
                        <w:left w:val="none" w:sz="0" w:space="0" w:color="auto"/>
                        <w:bottom w:val="none" w:sz="0" w:space="0" w:color="auto"/>
                        <w:right w:val="none" w:sz="0" w:space="0" w:color="auto"/>
                      </w:divBdr>
                      <w:divsChild>
                        <w:div w:id="975574601">
                          <w:marLeft w:val="0"/>
                          <w:marRight w:val="0"/>
                          <w:marTop w:val="0"/>
                          <w:marBottom w:val="0"/>
                          <w:divBdr>
                            <w:top w:val="none" w:sz="0" w:space="0" w:color="auto"/>
                            <w:left w:val="none" w:sz="0" w:space="0" w:color="auto"/>
                            <w:bottom w:val="none" w:sz="0" w:space="0" w:color="auto"/>
                            <w:right w:val="none" w:sz="0" w:space="0" w:color="auto"/>
                          </w:divBdr>
                          <w:divsChild>
                            <w:div w:id="7397185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2265729">
      <w:bodyDiv w:val="1"/>
      <w:marLeft w:val="0"/>
      <w:marRight w:val="0"/>
      <w:marTop w:val="0"/>
      <w:marBottom w:val="0"/>
      <w:divBdr>
        <w:top w:val="none" w:sz="0" w:space="0" w:color="auto"/>
        <w:left w:val="none" w:sz="0" w:space="0" w:color="auto"/>
        <w:bottom w:val="none" w:sz="0" w:space="0" w:color="auto"/>
        <w:right w:val="none" w:sz="0" w:space="0" w:color="auto"/>
      </w:divBdr>
      <w:divsChild>
        <w:div w:id="1342659023">
          <w:marLeft w:val="0"/>
          <w:marRight w:val="0"/>
          <w:marTop w:val="0"/>
          <w:marBottom w:val="0"/>
          <w:divBdr>
            <w:top w:val="none" w:sz="0" w:space="0" w:color="auto"/>
            <w:left w:val="none" w:sz="0" w:space="0" w:color="auto"/>
            <w:bottom w:val="none" w:sz="0" w:space="0" w:color="auto"/>
            <w:right w:val="none" w:sz="0" w:space="0" w:color="auto"/>
          </w:divBdr>
          <w:divsChild>
            <w:div w:id="689330431">
              <w:marLeft w:val="0"/>
              <w:marRight w:val="0"/>
              <w:marTop w:val="0"/>
              <w:marBottom w:val="0"/>
              <w:divBdr>
                <w:top w:val="none" w:sz="0" w:space="0" w:color="auto"/>
                <w:left w:val="none" w:sz="0" w:space="0" w:color="auto"/>
                <w:bottom w:val="none" w:sz="0" w:space="0" w:color="auto"/>
                <w:right w:val="none" w:sz="0" w:space="0" w:color="auto"/>
              </w:divBdr>
              <w:divsChild>
                <w:div w:id="64619097">
                  <w:marLeft w:val="0"/>
                  <w:marRight w:val="0"/>
                  <w:marTop w:val="0"/>
                  <w:marBottom w:val="0"/>
                  <w:divBdr>
                    <w:top w:val="none" w:sz="0" w:space="0" w:color="auto"/>
                    <w:left w:val="none" w:sz="0" w:space="0" w:color="auto"/>
                    <w:bottom w:val="none" w:sz="0" w:space="0" w:color="auto"/>
                    <w:right w:val="none" w:sz="0" w:space="0" w:color="auto"/>
                  </w:divBdr>
                  <w:divsChild>
                    <w:div w:id="1226643881">
                      <w:marLeft w:val="0"/>
                      <w:marRight w:val="0"/>
                      <w:marTop w:val="0"/>
                      <w:marBottom w:val="0"/>
                      <w:divBdr>
                        <w:top w:val="none" w:sz="0" w:space="0" w:color="auto"/>
                        <w:left w:val="none" w:sz="0" w:space="0" w:color="auto"/>
                        <w:bottom w:val="none" w:sz="0" w:space="0" w:color="auto"/>
                        <w:right w:val="none" w:sz="0" w:space="0" w:color="auto"/>
                      </w:divBdr>
                      <w:divsChild>
                        <w:div w:id="19169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98590">
      <w:bodyDiv w:val="1"/>
      <w:marLeft w:val="0"/>
      <w:marRight w:val="0"/>
      <w:marTop w:val="0"/>
      <w:marBottom w:val="0"/>
      <w:divBdr>
        <w:top w:val="single" w:sz="2" w:space="0" w:color="CC3640"/>
        <w:left w:val="none" w:sz="0" w:space="0" w:color="auto"/>
        <w:bottom w:val="none" w:sz="0" w:space="0" w:color="auto"/>
        <w:right w:val="none" w:sz="0" w:space="0" w:color="auto"/>
      </w:divBdr>
      <w:divsChild>
        <w:div w:id="1272935656">
          <w:marLeft w:val="0"/>
          <w:marRight w:val="0"/>
          <w:marTop w:val="0"/>
          <w:marBottom w:val="0"/>
          <w:divBdr>
            <w:top w:val="single" w:sz="2" w:space="0" w:color="FF0000"/>
            <w:left w:val="single" w:sz="2" w:space="0" w:color="FF0000"/>
            <w:bottom w:val="single" w:sz="2" w:space="0" w:color="FF0000"/>
            <w:right w:val="single" w:sz="2" w:space="0" w:color="FF0000"/>
          </w:divBdr>
          <w:divsChild>
            <w:div w:id="923955677">
              <w:marLeft w:val="0"/>
              <w:marRight w:val="0"/>
              <w:marTop w:val="0"/>
              <w:marBottom w:val="0"/>
              <w:divBdr>
                <w:top w:val="none" w:sz="0" w:space="0" w:color="auto"/>
                <w:left w:val="single" w:sz="6" w:space="0" w:color="DDDDDD"/>
                <w:bottom w:val="none" w:sz="0" w:space="0" w:color="auto"/>
                <w:right w:val="none" w:sz="0" w:space="0" w:color="auto"/>
              </w:divBdr>
              <w:divsChild>
                <w:div w:id="530648870">
                  <w:marLeft w:val="0"/>
                  <w:marRight w:val="0"/>
                  <w:marTop w:val="0"/>
                  <w:marBottom w:val="0"/>
                  <w:divBdr>
                    <w:top w:val="single" w:sz="2" w:space="0" w:color="008000"/>
                    <w:left w:val="single" w:sz="2" w:space="0" w:color="008000"/>
                    <w:bottom w:val="single" w:sz="2" w:space="0" w:color="008000"/>
                    <w:right w:val="single" w:sz="2" w:space="0" w:color="008000"/>
                  </w:divBdr>
                  <w:divsChild>
                    <w:div w:id="1630477108">
                      <w:marLeft w:val="0"/>
                      <w:marRight w:val="0"/>
                      <w:marTop w:val="0"/>
                      <w:marBottom w:val="0"/>
                      <w:divBdr>
                        <w:top w:val="none" w:sz="0" w:space="0" w:color="auto"/>
                        <w:left w:val="none" w:sz="0" w:space="0" w:color="auto"/>
                        <w:bottom w:val="none" w:sz="0" w:space="0" w:color="auto"/>
                        <w:right w:val="none" w:sz="0" w:space="0" w:color="auto"/>
                      </w:divBdr>
                      <w:divsChild>
                        <w:div w:id="1416978595">
                          <w:marLeft w:val="0"/>
                          <w:marRight w:val="0"/>
                          <w:marTop w:val="0"/>
                          <w:marBottom w:val="0"/>
                          <w:divBdr>
                            <w:top w:val="none" w:sz="0" w:space="0" w:color="auto"/>
                            <w:left w:val="none" w:sz="0" w:space="0" w:color="auto"/>
                            <w:bottom w:val="none" w:sz="0" w:space="0" w:color="auto"/>
                            <w:right w:val="none" w:sz="0" w:space="0" w:color="auto"/>
                          </w:divBdr>
                          <w:divsChild>
                            <w:div w:id="69738962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2895250">
      <w:bodyDiv w:val="1"/>
      <w:marLeft w:val="0"/>
      <w:marRight w:val="0"/>
      <w:marTop w:val="0"/>
      <w:marBottom w:val="0"/>
      <w:divBdr>
        <w:top w:val="single" w:sz="2" w:space="0" w:color="CC3640"/>
        <w:left w:val="none" w:sz="0" w:space="0" w:color="auto"/>
        <w:bottom w:val="none" w:sz="0" w:space="0" w:color="auto"/>
        <w:right w:val="none" w:sz="0" w:space="0" w:color="auto"/>
      </w:divBdr>
      <w:divsChild>
        <w:div w:id="1824659655">
          <w:marLeft w:val="0"/>
          <w:marRight w:val="0"/>
          <w:marTop w:val="0"/>
          <w:marBottom w:val="0"/>
          <w:divBdr>
            <w:top w:val="single" w:sz="2" w:space="0" w:color="FF0000"/>
            <w:left w:val="single" w:sz="2" w:space="0" w:color="FF0000"/>
            <w:bottom w:val="single" w:sz="2" w:space="0" w:color="FF0000"/>
            <w:right w:val="single" w:sz="2" w:space="0" w:color="FF0000"/>
          </w:divBdr>
          <w:divsChild>
            <w:div w:id="1231846695">
              <w:marLeft w:val="0"/>
              <w:marRight w:val="0"/>
              <w:marTop w:val="0"/>
              <w:marBottom w:val="0"/>
              <w:divBdr>
                <w:top w:val="none" w:sz="0" w:space="0" w:color="auto"/>
                <w:left w:val="single" w:sz="6" w:space="0" w:color="DDDDDD"/>
                <w:bottom w:val="none" w:sz="0" w:space="0" w:color="auto"/>
                <w:right w:val="none" w:sz="0" w:space="0" w:color="auto"/>
              </w:divBdr>
              <w:divsChild>
                <w:div w:id="1071582838">
                  <w:marLeft w:val="0"/>
                  <w:marRight w:val="0"/>
                  <w:marTop w:val="0"/>
                  <w:marBottom w:val="0"/>
                  <w:divBdr>
                    <w:top w:val="single" w:sz="2" w:space="0" w:color="008000"/>
                    <w:left w:val="single" w:sz="2" w:space="0" w:color="008000"/>
                    <w:bottom w:val="single" w:sz="2" w:space="0" w:color="008000"/>
                    <w:right w:val="single" w:sz="2" w:space="0" w:color="008000"/>
                  </w:divBdr>
                  <w:divsChild>
                    <w:div w:id="136803238">
                      <w:marLeft w:val="0"/>
                      <w:marRight w:val="0"/>
                      <w:marTop w:val="0"/>
                      <w:marBottom w:val="0"/>
                      <w:divBdr>
                        <w:top w:val="none" w:sz="0" w:space="0" w:color="auto"/>
                        <w:left w:val="none" w:sz="0" w:space="0" w:color="auto"/>
                        <w:bottom w:val="none" w:sz="0" w:space="0" w:color="auto"/>
                        <w:right w:val="none" w:sz="0" w:space="0" w:color="auto"/>
                      </w:divBdr>
                      <w:divsChild>
                        <w:div w:id="1351299823">
                          <w:marLeft w:val="0"/>
                          <w:marRight w:val="0"/>
                          <w:marTop w:val="0"/>
                          <w:marBottom w:val="0"/>
                          <w:divBdr>
                            <w:top w:val="none" w:sz="0" w:space="0" w:color="auto"/>
                            <w:left w:val="none" w:sz="0" w:space="0" w:color="auto"/>
                            <w:bottom w:val="none" w:sz="0" w:space="0" w:color="auto"/>
                            <w:right w:val="none" w:sz="0" w:space="0" w:color="auto"/>
                          </w:divBdr>
                          <w:divsChild>
                            <w:div w:id="65877479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23223125">
      <w:bodyDiv w:val="1"/>
      <w:marLeft w:val="0"/>
      <w:marRight w:val="0"/>
      <w:marTop w:val="0"/>
      <w:marBottom w:val="0"/>
      <w:divBdr>
        <w:top w:val="single" w:sz="2" w:space="0" w:color="CC3640"/>
        <w:left w:val="none" w:sz="0" w:space="0" w:color="auto"/>
        <w:bottom w:val="none" w:sz="0" w:space="0" w:color="auto"/>
        <w:right w:val="none" w:sz="0" w:space="0" w:color="auto"/>
      </w:divBdr>
      <w:divsChild>
        <w:div w:id="1101217553">
          <w:marLeft w:val="0"/>
          <w:marRight w:val="0"/>
          <w:marTop w:val="0"/>
          <w:marBottom w:val="0"/>
          <w:divBdr>
            <w:top w:val="single" w:sz="2" w:space="0" w:color="FF0000"/>
            <w:left w:val="single" w:sz="2" w:space="0" w:color="FF0000"/>
            <w:bottom w:val="single" w:sz="2" w:space="0" w:color="FF0000"/>
            <w:right w:val="single" w:sz="2" w:space="0" w:color="FF0000"/>
          </w:divBdr>
          <w:divsChild>
            <w:div w:id="751438383">
              <w:marLeft w:val="0"/>
              <w:marRight w:val="0"/>
              <w:marTop w:val="0"/>
              <w:marBottom w:val="0"/>
              <w:divBdr>
                <w:top w:val="none" w:sz="0" w:space="0" w:color="auto"/>
                <w:left w:val="single" w:sz="6" w:space="0" w:color="DDDDDD"/>
                <w:bottom w:val="none" w:sz="0" w:space="0" w:color="auto"/>
                <w:right w:val="none" w:sz="0" w:space="0" w:color="auto"/>
              </w:divBdr>
              <w:divsChild>
                <w:div w:id="1936135651">
                  <w:marLeft w:val="0"/>
                  <w:marRight w:val="0"/>
                  <w:marTop w:val="0"/>
                  <w:marBottom w:val="0"/>
                  <w:divBdr>
                    <w:top w:val="single" w:sz="2" w:space="0" w:color="008000"/>
                    <w:left w:val="single" w:sz="2" w:space="0" w:color="008000"/>
                    <w:bottom w:val="single" w:sz="2" w:space="0" w:color="008000"/>
                    <w:right w:val="single" w:sz="2" w:space="0" w:color="008000"/>
                  </w:divBdr>
                  <w:divsChild>
                    <w:div w:id="1212306774">
                      <w:marLeft w:val="0"/>
                      <w:marRight w:val="0"/>
                      <w:marTop w:val="0"/>
                      <w:marBottom w:val="0"/>
                      <w:divBdr>
                        <w:top w:val="none" w:sz="0" w:space="0" w:color="auto"/>
                        <w:left w:val="none" w:sz="0" w:space="0" w:color="auto"/>
                        <w:bottom w:val="none" w:sz="0" w:space="0" w:color="auto"/>
                        <w:right w:val="none" w:sz="0" w:space="0" w:color="auto"/>
                      </w:divBdr>
                      <w:divsChild>
                        <w:div w:id="1591625011">
                          <w:marLeft w:val="0"/>
                          <w:marRight w:val="0"/>
                          <w:marTop w:val="0"/>
                          <w:marBottom w:val="0"/>
                          <w:divBdr>
                            <w:top w:val="none" w:sz="0" w:space="0" w:color="auto"/>
                            <w:left w:val="none" w:sz="0" w:space="0" w:color="auto"/>
                            <w:bottom w:val="none" w:sz="0" w:space="0" w:color="auto"/>
                            <w:right w:val="none" w:sz="0" w:space="0" w:color="auto"/>
                          </w:divBdr>
                          <w:divsChild>
                            <w:div w:id="105627180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29653781">
      <w:bodyDiv w:val="1"/>
      <w:marLeft w:val="0"/>
      <w:marRight w:val="0"/>
      <w:marTop w:val="0"/>
      <w:marBottom w:val="0"/>
      <w:divBdr>
        <w:top w:val="none" w:sz="0" w:space="0" w:color="auto"/>
        <w:left w:val="none" w:sz="0" w:space="0" w:color="auto"/>
        <w:bottom w:val="none" w:sz="0" w:space="0" w:color="auto"/>
        <w:right w:val="none" w:sz="0" w:space="0" w:color="auto"/>
      </w:divBdr>
    </w:div>
    <w:div w:id="232282014">
      <w:bodyDiv w:val="1"/>
      <w:marLeft w:val="0"/>
      <w:marRight w:val="0"/>
      <w:marTop w:val="0"/>
      <w:marBottom w:val="0"/>
      <w:divBdr>
        <w:top w:val="none" w:sz="0" w:space="0" w:color="auto"/>
        <w:left w:val="none" w:sz="0" w:space="0" w:color="auto"/>
        <w:bottom w:val="none" w:sz="0" w:space="0" w:color="auto"/>
        <w:right w:val="none" w:sz="0" w:space="0" w:color="auto"/>
      </w:divBdr>
    </w:div>
    <w:div w:id="275984372">
      <w:bodyDiv w:val="1"/>
      <w:marLeft w:val="0"/>
      <w:marRight w:val="0"/>
      <w:marTop w:val="0"/>
      <w:marBottom w:val="0"/>
      <w:divBdr>
        <w:top w:val="single" w:sz="2" w:space="0" w:color="CC3640"/>
        <w:left w:val="none" w:sz="0" w:space="0" w:color="auto"/>
        <w:bottom w:val="none" w:sz="0" w:space="0" w:color="auto"/>
        <w:right w:val="none" w:sz="0" w:space="0" w:color="auto"/>
      </w:divBdr>
      <w:divsChild>
        <w:div w:id="1417824208">
          <w:marLeft w:val="0"/>
          <w:marRight w:val="0"/>
          <w:marTop w:val="0"/>
          <w:marBottom w:val="0"/>
          <w:divBdr>
            <w:top w:val="single" w:sz="2" w:space="0" w:color="FF0000"/>
            <w:left w:val="single" w:sz="2" w:space="0" w:color="FF0000"/>
            <w:bottom w:val="single" w:sz="2" w:space="0" w:color="FF0000"/>
            <w:right w:val="single" w:sz="2" w:space="0" w:color="FF0000"/>
          </w:divBdr>
          <w:divsChild>
            <w:div w:id="1506021212">
              <w:marLeft w:val="0"/>
              <w:marRight w:val="0"/>
              <w:marTop w:val="0"/>
              <w:marBottom w:val="0"/>
              <w:divBdr>
                <w:top w:val="none" w:sz="0" w:space="0" w:color="auto"/>
                <w:left w:val="single" w:sz="6" w:space="0" w:color="DDDDDD"/>
                <w:bottom w:val="none" w:sz="0" w:space="0" w:color="auto"/>
                <w:right w:val="none" w:sz="0" w:space="0" w:color="auto"/>
              </w:divBdr>
              <w:divsChild>
                <w:div w:id="2122609704">
                  <w:marLeft w:val="0"/>
                  <w:marRight w:val="0"/>
                  <w:marTop w:val="0"/>
                  <w:marBottom w:val="0"/>
                  <w:divBdr>
                    <w:top w:val="single" w:sz="2" w:space="0" w:color="008000"/>
                    <w:left w:val="single" w:sz="2" w:space="0" w:color="008000"/>
                    <w:bottom w:val="single" w:sz="2" w:space="0" w:color="008000"/>
                    <w:right w:val="single" w:sz="2" w:space="0" w:color="008000"/>
                  </w:divBdr>
                  <w:divsChild>
                    <w:div w:id="1145859306">
                      <w:marLeft w:val="0"/>
                      <w:marRight w:val="0"/>
                      <w:marTop w:val="0"/>
                      <w:marBottom w:val="0"/>
                      <w:divBdr>
                        <w:top w:val="none" w:sz="0" w:space="0" w:color="auto"/>
                        <w:left w:val="none" w:sz="0" w:space="0" w:color="auto"/>
                        <w:bottom w:val="none" w:sz="0" w:space="0" w:color="auto"/>
                        <w:right w:val="none" w:sz="0" w:space="0" w:color="auto"/>
                      </w:divBdr>
                      <w:divsChild>
                        <w:div w:id="2054114087">
                          <w:marLeft w:val="0"/>
                          <w:marRight w:val="0"/>
                          <w:marTop w:val="0"/>
                          <w:marBottom w:val="0"/>
                          <w:divBdr>
                            <w:top w:val="none" w:sz="0" w:space="0" w:color="auto"/>
                            <w:left w:val="none" w:sz="0" w:space="0" w:color="auto"/>
                            <w:bottom w:val="none" w:sz="0" w:space="0" w:color="auto"/>
                            <w:right w:val="none" w:sz="0" w:space="0" w:color="auto"/>
                          </w:divBdr>
                          <w:divsChild>
                            <w:div w:id="20890369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358239578">
      <w:bodyDiv w:val="1"/>
      <w:marLeft w:val="0"/>
      <w:marRight w:val="0"/>
      <w:marTop w:val="0"/>
      <w:marBottom w:val="0"/>
      <w:divBdr>
        <w:top w:val="none" w:sz="0" w:space="0" w:color="auto"/>
        <w:left w:val="none" w:sz="0" w:space="0" w:color="auto"/>
        <w:bottom w:val="none" w:sz="0" w:space="0" w:color="auto"/>
        <w:right w:val="none" w:sz="0" w:space="0" w:color="auto"/>
      </w:divBdr>
    </w:div>
    <w:div w:id="385957269">
      <w:bodyDiv w:val="1"/>
      <w:marLeft w:val="0"/>
      <w:marRight w:val="0"/>
      <w:marTop w:val="0"/>
      <w:marBottom w:val="0"/>
      <w:divBdr>
        <w:top w:val="none" w:sz="0" w:space="0" w:color="auto"/>
        <w:left w:val="none" w:sz="0" w:space="0" w:color="auto"/>
        <w:bottom w:val="none" w:sz="0" w:space="0" w:color="auto"/>
        <w:right w:val="none" w:sz="0" w:space="0" w:color="auto"/>
      </w:divBdr>
      <w:divsChild>
        <w:div w:id="365641790">
          <w:marLeft w:val="0"/>
          <w:marRight w:val="0"/>
          <w:marTop w:val="0"/>
          <w:marBottom w:val="0"/>
          <w:divBdr>
            <w:top w:val="none" w:sz="0" w:space="0" w:color="auto"/>
            <w:left w:val="none" w:sz="0" w:space="0" w:color="auto"/>
            <w:bottom w:val="none" w:sz="0" w:space="0" w:color="auto"/>
            <w:right w:val="none" w:sz="0" w:space="0" w:color="auto"/>
          </w:divBdr>
        </w:div>
        <w:div w:id="1661349258">
          <w:marLeft w:val="0"/>
          <w:marRight w:val="0"/>
          <w:marTop w:val="0"/>
          <w:marBottom w:val="0"/>
          <w:divBdr>
            <w:top w:val="none" w:sz="0" w:space="0" w:color="auto"/>
            <w:left w:val="none" w:sz="0" w:space="0" w:color="auto"/>
            <w:bottom w:val="none" w:sz="0" w:space="0" w:color="auto"/>
            <w:right w:val="none" w:sz="0" w:space="0" w:color="auto"/>
          </w:divBdr>
          <w:divsChild>
            <w:div w:id="1011568967">
              <w:marLeft w:val="0"/>
              <w:marRight w:val="0"/>
              <w:marTop w:val="0"/>
              <w:marBottom w:val="0"/>
              <w:divBdr>
                <w:top w:val="none" w:sz="0" w:space="0" w:color="auto"/>
                <w:left w:val="none" w:sz="0" w:space="0" w:color="auto"/>
                <w:bottom w:val="none" w:sz="0" w:space="0" w:color="auto"/>
                <w:right w:val="none" w:sz="0" w:space="0" w:color="auto"/>
              </w:divBdr>
            </w:div>
            <w:div w:id="1066486902">
              <w:marLeft w:val="0"/>
              <w:marRight w:val="0"/>
              <w:marTop w:val="0"/>
              <w:marBottom w:val="0"/>
              <w:divBdr>
                <w:top w:val="none" w:sz="0" w:space="0" w:color="auto"/>
                <w:left w:val="none" w:sz="0" w:space="0" w:color="auto"/>
                <w:bottom w:val="none" w:sz="0" w:space="0" w:color="auto"/>
                <w:right w:val="none" w:sz="0" w:space="0" w:color="auto"/>
              </w:divBdr>
            </w:div>
          </w:divsChild>
        </w:div>
        <w:div w:id="1955289322">
          <w:marLeft w:val="0"/>
          <w:marRight w:val="0"/>
          <w:marTop w:val="0"/>
          <w:marBottom w:val="0"/>
          <w:divBdr>
            <w:top w:val="none" w:sz="0" w:space="0" w:color="auto"/>
            <w:left w:val="none" w:sz="0" w:space="0" w:color="auto"/>
            <w:bottom w:val="none" w:sz="0" w:space="0" w:color="auto"/>
            <w:right w:val="none" w:sz="0" w:space="0" w:color="auto"/>
          </w:divBdr>
          <w:divsChild>
            <w:div w:id="365252900">
              <w:marLeft w:val="0"/>
              <w:marRight w:val="0"/>
              <w:marTop w:val="0"/>
              <w:marBottom w:val="0"/>
              <w:divBdr>
                <w:top w:val="none" w:sz="0" w:space="0" w:color="auto"/>
                <w:left w:val="none" w:sz="0" w:space="0" w:color="auto"/>
                <w:bottom w:val="none" w:sz="0" w:space="0" w:color="auto"/>
                <w:right w:val="none" w:sz="0" w:space="0" w:color="auto"/>
              </w:divBdr>
            </w:div>
            <w:div w:id="462427609">
              <w:marLeft w:val="0"/>
              <w:marRight w:val="0"/>
              <w:marTop w:val="0"/>
              <w:marBottom w:val="0"/>
              <w:divBdr>
                <w:top w:val="none" w:sz="0" w:space="0" w:color="auto"/>
                <w:left w:val="none" w:sz="0" w:space="0" w:color="auto"/>
                <w:bottom w:val="none" w:sz="0" w:space="0" w:color="auto"/>
                <w:right w:val="none" w:sz="0" w:space="0" w:color="auto"/>
              </w:divBdr>
            </w:div>
            <w:div w:id="958948008">
              <w:marLeft w:val="0"/>
              <w:marRight w:val="0"/>
              <w:marTop w:val="0"/>
              <w:marBottom w:val="0"/>
              <w:divBdr>
                <w:top w:val="none" w:sz="0" w:space="0" w:color="auto"/>
                <w:left w:val="none" w:sz="0" w:space="0" w:color="auto"/>
                <w:bottom w:val="none" w:sz="0" w:space="0" w:color="auto"/>
                <w:right w:val="none" w:sz="0" w:space="0" w:color="auto"/>
              </w:divBdr>
            </w:div>
            <w:div w:id="1012993459">
              <w:marLeft w:val="0"/>
              <w:marRight w:val="0"/>
              <w:marTop w:val="0"/>
              <w:marBottom w:val="0"/>
              <w:divBdr>
                <w:top w:val="none" w:sz="0" w:space="0" w:color="auto"/>
                <w:left w:val="none" w:sz="0" w:space="0" w:color="auto"/>
                <w:bottom w:val="none" w:sz="0" w:space="0" w:color="auto"/>
                <w:right w:val="none" w:sz="0" w:space="0" w:color="auto"/>
              </w:divBdr>
            </w:div>
            <w:div w:id="1034118167">
              <w:marLeft w:val="0"/>
              <w:marRight w:val="0"/>
              <w:marTop w:val="0"/>
              <w:marBottom w:val="0"/>
              <w:divBdr>
                <w:top w:val="none" w:sz="0" w:space="0" w:color="auto"/>
                <w:left w:val="none" w:sz="0" w:space="0" w:color="auto"/>
                <w:bottom w:val="none" w:sz="0" w:space="0" w:color="auto"/>
                <w:right w:val="none" w:sz="0" w:space="0" w:color="auto"/>
              </w:divBdr>
            </w:div>
            <w:div w:id="1958028440">
              <w:marLeft w:val="0"/>
              <w:marRight w:val="0"/>
              <w:marTop w:val="0"/>
              <w:marBottom w:val="0"/>
              <w:divBdr>
                <w:top w:val="none" w:sz="0" w:space="0" w:color="auto"/>
                <w:left w:val="none" w:sz="0" w:space="0" w:color="auto"/>
                <w:bottom w:val="none" w:sz="0" w:space="0" w:color="auto"/>
                <w:right w:val="none" w:sz="0" w:space="0" w:color="auto"/>
              </w:divBdr>
            </w:div>
            <w:div w:id="1970742863">
              <w:marLeft w:val="0"/>
              <w:marRight w:val="0"/>
              <w:marTop w:val="0"/>
              <w:marBottom w:val="0"/>
              <w:divBdr>
                <w:top w:val="none" w:sz="0" w:space="0" w:color="auto"/>
                <w:left w:val="none" w:sz="0" w:space="0" w:color="auto"/>
                <w:bottom w:val="none" w:sz="0" w:space="0" w:color="auto"/>
                <w:right w:val="none" w:sz="0" w:space="0" w:color="auto"/>
              </w:divBdr>
            </w:div>
            <w:div w:id="20893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2859">
      <w:bodyDiv w:val="1"/>
      <w:marLeft w:val="0"/>
      <w:marRight w:val="0"/>
      <w:marTop w:val="0"/>
      <w:marBottom w:val="0"/>
      <w:divBdr>
        <w:top w:val="none" w:sz="0" w:space="0" w:color="auto"/>
        <w:left w:val="none" w:sz="0" w:space="0" w:color="auto"/>
        <w:bottom w:val="none" w:sz="0" w:space="0" w:color="auto"/>
        <w:right w:val="none" w:sz="0" w:space="0" w:color="auto"/>
      </w:divBdr>
      <w:divsChild>
        <w:div w:id="1300039512">
          <w:marLeft w:val="0"/>
          <w:marRight w:val="0"/>
          <w:marTop w:val="0"/>
          <w:marBottom w:val="170"/>
          <w:divBdr>
            <w:top w:val="none" w:sz="0" w:space="0" w:color="auto"/>
            <w:left w:val="none" w:sz="0" w:space="0" w:color="auto"/>
            <w:bottom w:val="none" w:sz="0" w:space="0" w:color="auto"/>
            <w:right w:val="none" w:sz="0" w:space="0" w:color="auto"/>
          </w:divBdr>
          <w:divsChild>
            <w:div w:id="1106580757">
              <w:marLeft w:val="0"/>
              <w:marRight w:val="0"/>
              <w:marTop w:val="170"/>
              <w:marBottom w:val="170"/>
              <w:divBdr>
                <w:top w:val="none" w:sz="0" w:space="0" w:color="auto"/>
                <w:left w:val="none" w:sz="0" w:space="0" w:color="auto"/>
                <w:bottom w:val="none" w:sz="0" w:space="0" w:color="auto"/>
                <w:right w:val="none" w:sz="0" w:space="0" w:color="auto"/>
              </w:divBdr>
            </w:div>
          </w:divsChild>
        </w:div>
        <w:div w:id="1374574401">
          <w:marLeft w:val="0"/>
          <w:marRight w:val="0"/>
          <w:marTop w:val="0"/>
          <w:marBottom w:val="0"/>
          <w:divBdr>
            <w:top w:val="none" w:sz="0" w:space="0" w:color="auto"/>
            <w:left w:val="none" w:sz="0" w:space="0" w:color="auto"/>
            <w:bottom w:val="none" w:sz="0" w:space="0" w:color="auto"/>
            <w:right w:val="none" w:sz="0" w:space="0" w:color="auto"/>
          </w:divBdr>
        </w:div>
        <w:div w:id="1980643776">
          <w:marLeft w:val="0"/>
          <w:marRight w:val="0"/>
          <w:marTop w:val="0"/>
          <w:marBottom w:val="0"/>
          <w:divBdr>
            <w:top w:val="none" w:sz="0" w:space="0" w:color="auto"/>
            <w:left w:val="none" w:sz="0" w:space="0" w:color="auto"/>
            <w:bottom w:val="none" w:sz="0" w:space="0" w:color="auto"/>
            <w:right w:val="none" w:sz="0" w:space="0" w:color="auto"/>
          </w:divBdr>
          <w:divsChild>
            <w:div w:id="542063773">
              <w:marLeft w:val="0"/>
              <w:marRight w:val="0"/>
              <w:marTop w:val="0"/>
              <w:marBottom w:val="0"/>
              <w:divBdr>
                <w:top w:val="none" w:sz="0" w:space="0" w:color="auto"/>
                <w:left w:val="none" w:sz="0" w:space="0" w:color="auto"/>
                <w:bottom w:val="none" w:sz="0" w:space="0" w:color="auto"/>
                <w:right w:val="none" w:sz="0" w:space="0" w:color="auto"/>
              </w:divBdr>
              <w:divsChild>
                <w:div w:id="348675759">
                  <w:marLeft w:val="0"/>
                  <w:marRight w:val="0"/>
                  <w:marTop w:val="0"/>
                  <w:marBottom w:val="0"/>
                  <w:divBdr>
                    <w:top w:val="none" w:sz="0" w:space="0" w:color="auto"/>
                    <w:left w:val="none" w:sz="0" w:space="0" w:color="auto"/>
                    <w:bottom w:val="none" w:sz="0" w:space="0" w:color="auto"/>
                    <w:right w:val="none" w:sz="0" w:space="0" w:color="auto"/>
                  </w:divBdr>
                </w:div>
                <w:div w:id="950892775">
                  <w:marLeft w:val="0"/>
                  <w:marRight w:val="0"/>
                  <w:marTop w:val="0"/>
                  <w:marBottom w:val="0"/>
                  <w:divBdr>
                    <w:top w:val="none" w:sz="0" w:space="0" w:color="auto"/>
                    <w:left w:val="none" w:sz="0" w:space="0" w:color="auto"/>
                    <w:bottom w:val="none" w:sz="0" w:space="0" w:color="auto"/>
                    <w:right w:val="none" w:sz="0" w:space="0" w:color="auto"/>
                  </w:divBdr>
                </w:div>
                <w:div w:id="1292711783">
                  <w:marLeft w:val="0"/>
                  <w:marRight w:val="0"/>
                  <w:marTop w:val="0"/>
                  <w:marBottom w:val="0"/>
                  <w:divBdr>
                    <w:top w:val="none" w:sz="0" w:space="0" w:color="auto"/>
                    <w:left w:val="none" w:sz="0" w:space="0" w:color="auto"/>
                    <w:bottom w:val="none" w:sz="0" w:space="0" w:color="auto"/>
                    <w:right w:val="none" w:sz="0" w:space="0" w:color="auto"/>
                  </w:divBdr>
                </w:div>
                <w:div w:id="1501235205">
                  <w:marLeft w:val="0"/>
                  <w:marRight w:val="0"/>
                  <w:marTop w:val="0"/>
                  <w:marBottom w:val="0"/>
                  <w:divBdr>
                    <w:top w:val="none" w:sz="0" w:space="0" w:color="auto"/>
                    <w:left w:val="none" w:sz="0" w:space="0" w:color="auto"/>
                    <w:bottom w:val="none" w:sz="0" w:space="0" w:color="auto"/>
                    <w:right w:val="none" w:sz="0" w:space="0" w:color="auto"/>
                  </w:divBdr>
                </w:div>
                <w:div w:id="1589848744">
                  <w:marLeft w:val="0"/>
                  <w:marRight w:val="0"/>
                  <w:marTop w:val="0"/>
                  <w:marBottom w:val="0"/>
                  <w:divBdr>
                    <w:top w:val="none" w:sz="0" w:space="0" w:color="auto"/>
                    <w:left w:val="none" w:sz="0" w:space="0" w:color="auto"/>
                    <w:bottom w:val="none" w:sz="0" w:space="0" w:color="auto"/>
                    <w:right w:val="none" w:sz="0" w:space="0" w:color="auto"/>
                  </w:divBdr>
                </w:div>
                <w:div w:id="1909530553">
                  <w:marLeft w:val="0"/>
                  <w:marRight w:val="0"/>
                  <w:marTop w:val="0"/>
                  <w:marBottom w:val="0"/>
                  <w:divBdr>
                    <w:top w:val="none" w:sz="0" w:space="0" w:color="auto"/>
                    <w:left w:val="none" w:sz="0" w:space="0" w:color="auto"/>
                    <w:bottom w:val="none" w:sz="0" w:space="0" w:color="auto"/>
                    <w:right w:val="none" w:sz="0" w:space="0" w:color="auto"/>
                  </w:divBdr>
                </w:div>
                <w:div w:id="1914314596">
                  <w:marLeft w:val="0"/>
                  <w:marRight w:val="0"/>
                  <w:marTop w:val="0"/>
                  <w:marBottom w:val="0"/>
                  <w:divBdr>
                    <w:top w:val="none" w:sz="0" w:space="0" w:color="auto"/>
                    <w:left w:val="none" w:sz="0" w:space="0" w:color="auto"/>
                    <w:bottom w:val="none" w:sz="0" w:space="0" w:color="auto"/>
                    <w:right w:val="none" w:sz="0" w:space="0" w:color="auto"/>
                  </w:divBdr>
                </w:div>
                <w:div w:id="1932082301">
                  <w:marLeft w:val="0"/>
                  <w:marRight w:val="0"/>
                  <w:marTop w:val="0"/>
                  <w:marBottom w:val="0"/>
                  <w:divBdr>
                    <w:top w:val="none" w:sz="0" w:space="0" w:color="auto"/>
                    <w:left w:val="none" w:sz="0" w:space="0" w:color="auto"/>
                    <w:bottom w:val="none" w:sz="0" w:space="0" w:color="auto"/>
                    <w:right w:val="none" w:sz="0" w:space="0" w:color="auto"/>
                  </w:divBdr>
                </w:div>
                <w:div w:id="1947881664">
                  <w:marLeft w:val="0"/>
                  <w:marRight w:val="0"/>
                  <w:marTop w:val="0"/>
                  <w:marBottom w:val="0"/>
                  <w:divBdr>
                    <w:top w:val="none" w:sz="0" w:space="0" w:color="auto"/>
                    <w:left w:val="none" w:sz="0" w:space="0" w:color="auto"/>
                    <w:bottom w:val="none" w:sz="0" w:space="0" w:color="auto"/>
                    <w:right w:val="none" w:sz="0" w:space="0" w:color="auto"/>
                  </w:divBdr>
                </w:div>
                <w:div w:id="194957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6081">
      <w:bodyDiv w:val="1"/>
      <w:marLeft w:val="0"/>
      <w:marRight w:val="0"/>
      <w:marTop w:val="0"/>
      <w:marBottom w:val="0"/>
      <w:divBdr>
        <w:top w:val="single" w:sz="2" w:space="0" w:color="CC3640"/>
        <w:left w:val="none" w:sz="0" w:space="0" w:color="auto"/>
        <w:bottom w:val="none" w:sz="0" w:space="0" w:color="auto"/>
        <w:right w:val="none" w:sz="0" w:space="0" w:color="auto"/>
      </w:divBdr>
      <w:divsChild>
        <w:div w:id="1973710082">
          <w:marLeft w:val="0"/>
          <w:marRight w:val="0"/>
          <w:marTop w:val="0"/>
          <w:marBottom w:val="0"/>
          <w:divBdr>
            <w:top w:val="single" w:sz="2" w:space="0" w:color="FF0000"/>
            <w:left w:val="single" w:sz="2" w:space="0" w:color="FF0000"/>
            <w:bottom w:val="single" w:sz="2" w:space="0" w:color="FF0000"/>
            <w:right w:val="single" w:sz="2" w:space="0" w:color="FF0000"/>
          </w:divBdr>
          <w:divsChild>
            <w:div w:id="127208859">
              <w:marLeft w:val="0"/>
              <w:marRight w:val="0"/>
              <w:marTop w:val="0"/>
              <w:marBottom w:val="0"/>
              <w:divBdr>
                <w:top w:val="none" w:sz="0" w:space="0" w:color="auto"/>
                <w:left w:val="single" w:sz="6" w:space="0" w:color="DDDDDD"/>
                <w:bottom w:val="none" w:sz="0" w:space="0" w:color="auto"/>
                <w:right w:val="none" w:sz="0" w:space="0" w:color="auto"/>
              </w:divBdr>
              <w:divsChild>
                <w:div w:id="401803622">
                  <w:marLeft w:val="0"/>
                  <w:marRight w:val="0"/>
                  <w:marTop w:val="0"/>
                  <w:marBottom w:val="0"/>
                  <w:divBdr>
                    <w:top w:val="single" w:sz="2" w:space="0" w:color="008000"/>
                    <w:left w:val="single" w:sz="2" w:space="0" w:color="008000"/>
                    <w:bottom w:val="single" w:sz="2" w:space="0" w:color="008000"/>
                    <w:right w:val="single" w:sz="2" w:space="0" w:color="008000"/>
                  </w:divBdr>
                  <w:divsChild>
                    <w:div w:id="469177476">
                      <w:marLeft w:val="0"/>
                      <w:marRight w:val="0"/>
                      <w:marTop w:val="0"/>
                      <w:marBottom w:val="0"/>
                      <w:divBdr>
                        <w:top w:val="none" w:sz="0" w:space="0" w:color="auto"/>
                        <w:left w:val="none" w:sz="0" w:space="0" w:color="auto"/>
                        <w:bottom w:val="none" w:sz="0" w:space="0" w:color="auto"/>
                        <w:right w:val="none" w:sz="0" w:space="0" w:color="auto"/>
                      </w:divBdr>
                      <w:divsChild>
                        <w:div w:id="601883912">
                          <w:marLeft w:val="0"/>
                          <w:marRight w:val="0"/>
                          <w:marTop w:val="0"/>
                          <w:marBottom w:val="0"/>
                          <w:divBdr>
                            <w:top w:val="none" w:sz="0" w:space="0" w:color="auto"/>
                            <w:left w:val="none" w:sz="0" w:space="0" w:color="auto"/>
                            <w:bottom w:val="none" w:sz="0" w:space="0" w:color="auto"/>
                            <w:right w:val="none" w:sz="0" w:space="0" w:color="auto"/>
                          </w:divBdr>
                          <w:divsChild>
                            <w:div w:id="175663246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58593182">
      <w:bodyDiv w:val="1"/>
      <w:marLeft w:val="0"/>
      <w:marRight w:val="0"/>
      <w:marTop w:val="0"/>
      <w:marBottom w:val="0"/>
      <w:divBdr>
        <w:top w:val="none" w:sz="0" w:space="0" w:color="auto"/>
        <w:left w:val="none" w:sz="0" w:space="0" w:color="auto"/>
        <w:bottom w:val="none" w:sz="0" w:space="0" w:color="auto"/>
        <w:right w:val="none" w:sz="0" w:space="0" w:color="auto"/>
      </w:divBdr>
    </w:div>
    <w:div w:id="612056649">
      <w:bodyDiv w:val="1"/>
      <w:marLeft w:val="0"/>
      <w:marRight w:val="0"/>
      <w:marTop w:val="0"/>
      <w:marBottom w:val="0"/>
      <w:divBdr>
        <w:top w:val="none" w:sz="0" w:space="0" w:color="auto"/>
        <w:left w:val="none" w:sz="0" w:space="0" w:color="auto"/>
        <w:bottom w:val="none" w:sz="0" w:space="0" w:color="auto"/>
        <w:right w:val="none" w:sz="0" w:space="0" w:color="auto"/>
      </w:divBdr>
      <w:divsChild>
        <w:div w:id="1155334942">
          <w:marLeft w:val="0"/>
          <w:marRight w:val="0"/>
          <w:marTop w:val="120"/>
          <w:marBottom w:val="0"/>
          <w:divBdr>
            <w:top w:val="none" w:sz="0" w:space="0" w:color="auto"/>
            <w:left w:val="none" w:sz="0" w:space="0" w:color="auto"/>
            <w:bottom w:val="none" w:sz="0" w:space="0" w:color="auto"/>
            <w:right w:val="none" w:sz="0" w:space="0" w:color="auto"/>
          </w:divBdr>
        </w:div>
      </w:divsChild>
    </w:div>
    <w:div w:id="624770980">
      <w:bodyDiv w:val="1"/>
      <w:marLeft w:val="0"/>
      <w:marRight w:val="0"/>
      <w:marTop w:val="0"/>
      <w:marBottom w:val="0"/>
      <w:divBdr>
        <w:top w:val="single" w:sz="2" w:space="0" w:color="CC3640"/>
        <w:left w:val="none" w:sz="0" w:space="0" w:color="auto"/>
        <w:bottom w:val="none" w:sz="0" w:space="0" w:color="auto"/>
        <w:right w:val="none" w:sz="0" w:space="0" w:color="auto"/>
      </w:divBdr>
      <w:divsChild>
        <w:div w:id="914584985">
          <w:marLeft w:val="0"/>
          <w:marRight w:val="0"/>
          <w:marTop w:val="0"/>
          <w:marBottom w:val="0"/>
          <w:divBdr>
            <w:top w:val="single" w:sz="2" w:space="0" w:color="FF0000"/>
            <w:left w:val="single" w:sz="2" w:space="0" w:color="FF0000"/>
            <w:bottom w:val="single" w:sz="2" w:space="0" w:color="FF0000"/>
            <w:right w:val="single" w:sz="2" w:space="0" w:color="FF0000"/>
          </w:divBdr>
          <w:divsChild>
            <w:div w:id="1761873555">
              <w:marLeft w:val="0"/>
              <w:marRight w:val="0"/>
              <w:marTop w:val="0"/>
              <w:marBottom w:val="0"/>
              <w:divBdr>
                <w:top w:val="none" w:sz="0" w:space="0" w:color="auto"/>
                <w:left w:val="single" w:sz="6" w:space="0" w:color="DDDDDD"/>
                <w:bottom w:val="none" w:sz="0" w:space="0" w:color="auto"/>
                <w:right w:val="none" w:sz="0" w:space="0" w:color="auto"/>
              </w:divBdr>
              <w:divsChild>
                <w:div w:id="529881147">
                  <w:marLeft w:val="0"/>
                  <w:marRight w:val="0"/>
                  <w:marTop w:val="0"/>
                  <w:marBottom w:val="0"/>
                  <w:divBdr>
                    <w:top w:val="single" w:sz="2" w:space="0" w:color="008000"/>
                    <w:left w:val="single" w:sz="2" w:space="0" w:color="008000"/>
                    <w:bottom w:val="single" w:sz="2" w:space="0" w:color="008000"/>
                    <w:right w:val="single" w:sz="2" w:space="0" w:color="008000"/>
                  </w:divBdr>
                  <w:divsChild>
                    <w:div w:id="1886133798">
                      <w:marLeft w:val="0"/>
                      <w:marRight w:val="0"/>
                      <w:marTop w:val="0"/>
                      <w:marBottom w:val="0"/>
                      <w:divBdr>
                        <w:top w:val="none" w:sz="0" w:space="0" w:color="auto"/>
                        <w:left w:val="none" w:sz="0" w:space="0" w:color="auto"/>
                        <w:bottom w:val="none" w:sz="0" w:space="0" w:color="auto"/>
                        <w:right w:val="none" w:sz="0" w:space="0" w:color="auto"/>
                      </w:divBdr>
                      <w:divsChild>
                        <w:div w:id="1542281422">
                          <w:marLeft w:val="0"/>
                          <w:marRight w:val="0"/>
                          <w:marTop w:val="0"/>
                          <w:marBottom w:val="0"/>
                          <w:divBdr>
                            <w:top w:val="none" w:sz="0" w:space="0" w:color="auto"/>
                            <w:left w:val="none" w:sz="0" w:space="0" w:color="auto"/>
                            <w:bottom w:val="none" w:sz="0" w:space="0" w:color="auto"/>
                            <w:right w:val="none" w:sz="0" w:space="0" w:color="auto"/>
                          </w:divBdr>
                          <w:divsChild>
                            <w:div w:id="91628448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48900008">
      <w:bodyDiv w:val="1"/>
      <w:marLeft w:val="0"/>
      <w:marRight w:val="0"/>
      <w:marTop w:val="0"/>
      <w:marBottom w:val="0"/>
      <w:divBdr>
        <w:top w:val="none" w:sz="0" w:space="0" w:color="auto"/>
        <w:left w:val="none" w:sz="0" w:space="0" w:color="auto"/>
        <w:bottom w:val="none" w:sz="0" w:space="0" w:color="auto"/>
        <w:right w:val="none" w:sz="0" w:space="0" w:color="auto"/>
      </w:divBdr>
    </w:div>
    <w:div w:id="762409306">
      <w:bodyDiv w:val="1"/>
      <w:marLeft w:val="0"/>
      <w:marRight w:val="0"/>
      <w:marTop w:val="0"/>
      <w:marBottom w:val="0"/>
      <w:divBdr>
        <w:top w:val="single" w:sz="2" w:space="0" w:color="CC3640"/>
        <w:left w:val="none" w:sz="0" w:space="0" w:color="auto"/>
        <w:bottom w:val="none" w:sz="0" w:space="0" w:color="auto"/>
        <w:right w:val="none" w:sz="0" w:space="0" w:color="auto"/>
      </w:divBdr>
      <w:divsChild>
        <w:div w:id="1929581050">
          <w:marLeft w:val="0"/>
          <w:marRight w:val="0"/>
          <w:marTop w:val="0"/>
          <w:marBottom w:val="0"/>
          <w:divBdr>
            <w:top w:val="single" w:sz="2" w:space="0" w:color="FF0000"/>
            <w:left w:val="single" w:sz="2" w:space="0" w:color="FF0000"/>
            <w:bottom w:val="single" w:sz="2" w:space="0" w:color="FF0000"/>
            <w:right w:val="single" w:sz="2" w:space="0" w:color="FF0000"/>
          </w:divBdr>
          <w:divsChild>
            <w:div w:id="1986079827">
              <w:marLeft w:val="0"/>
              <w:marRight w:val="0"/>
              <w:marTop w:val="0"/>
              <w:marBottom w:val="0"/>
              <w:divBdr>
                <w:top w:val="none" w:sz="0" w:space="0" w:color="auto"/>
                <w:left w:val="single" w:sz="6" w:space="0" w:color="DDDDDD"/>
                <w:bottom w:val="none" w:sz="0" w:space="0" w:color="auto"/>
                <w:right w:val="none" w:sz="0" w:space="0" w:color="auto"/>
              </w:divBdr>
              <w:divsChild>
                <w:div w:id="1226406807">
                  <w:marLeft w:val="0"/>
                  <w:marRight w:val="0"/>
                  <w:marTop w:val="0"/>
                  <w:marBottom w:val="0"/>
                  <w:divBdr>
                    <w:top w:val="single" w:sz="2" w:space="0" w:color="008000"/>
                    <w:left w:val="single" w:sz="2" w:space="0" w:color="008000"/>
                    <w:bottom w:val="single" w:sz="2" w:space="0" w:color="008000"/>
                    <w:right w:val="single" w:sz="2" w:space="0" w:color="008000"/>
                  </w:divBdr>
                  <w:divsChild>
                    <w:div w:id="811673851">
                      <w:marLeft w:val="0"/>
                      <w:marRight w:val="0"/>
                      <w:marTop w:val="0"/>
                      <w:marBottom w:val="0"/>
                      <w:divBdr>
                        <w:top w:val="none" w:sz="0" w:space="0" w:color="auto"/>
                        <w:left w:val="none" w:sz="0" w:space="0" w:color="auto"/>
                        <w:bottom w:val="none" w:sz="0" w:space="0" w:color="auto"/>
                        <w:right w:val="none" w:sz="0" w:space="0" w:color="auto"/>
                      </w:divBdr>
                      <w:divsChild>
                        <w:div w:id="572202174">
                          <w:marLeft w:val="0"/>
                          <w:marRight w:val="0"/>
                          <w:marTop w:val="0"/>
                          <w:marBottom w:val="0"/>
                          <w:divBdr>
                            <w:top w:val="none" w:sz="0" w:space="0" w:color="auto"/>
                            <w:left w:val="none" w:sz="0" w:space="0" w:color="auto"/>
                            <w:bottom w:val="none" w:sz="0" w:space="0" w:color="auto"/>
                            <w:right w:val="none" w:sz="0" w:space="0" w:color="auto"/>
                          </w:divBdr>
                          <w:divsChild>
                            <w:div w:id="208614966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04588664">
      <w:bodyDiv w:val="1"/>
      <w:marLeft w:val="0"/>
      <w:marRight w:val="0"/>
      <w:marTop w:val="0"/>
      <w:marBottom w:val="0"/>
      <w:divBdr>
        <w:top w:val="none" w:sz="0" w:space="0" w:color="auto"/>
        <w:left w:val="none" w:sz="0" w:space="0" w:color="auto"/>
        <w:bottom w:val="none" w:sz="0" w:space="0" w:color="auto"/>
        <w:right w:val="none" w:sz="0" w:space="0" w:color="auto"/>
      </w:divBdr>
      <w:divsChild>
        <w:div w:id="1778598314">
          <w:blockQuote w:val="1"/>
          <w:marLeft w:val="0"/>
          <w:marRight w:val="0"/>
          <w:marTop w:val="750"/>
          <w:marBottom w:val="750"/>
          <w:divBdr>
            <w:top w:val="none" w:sz="0" w:space="0" w:color="auto"/>
            <w:left w:val="none" w:sz="0" w:space="0" w:color="auto"/>
            <w:bottom w:val="none" w:sz="0" w:space="0" w:color="auto"/>
            <w:right w:val="none" w:sz="0" w:space="0" w:color="auto"/>
          </w:divBdr>
        </w:div>
      </w:divsChild>
    </w:div>
    <w:div w:id="836190403">
      <w:bodyDiv w:val="1"/>
      <w:marLeft w:val="0"/>
      <w:marRight w:val="0"/>
      <w:marTop w:val="0"/>
      <w:marBottom w:val="0"/>
      <w:divBdr>
        <w:top w:val="none" w:sz="0" w:space="0" w:color="auto"/>
        <w:left w:val="none" w:sz="0" w:space="0" w:color="auto"/>
        <w:bottom w:val="none" w:sz="0" w:space="0" w:color="auto"/>
        <w:right w:val="none" w:sz="0" w:space="0" w:color="auto"/>
      </w:divBdr>
    </w:div>
    <w:div w:id="854882901">
      <w:bodyDiv w:val="1"/>
      <w:marLeft w:val="0"/>
      <w:marRight w:val="0"/>
      <w:marTop w:val="0"/>
      <w:marBottom w:val="0"/>
      <w:divBdr>
        <w:top w:val="single" w:sz="2" w:space="0" w:color="CC3640"/>
        <w:left w:val="none" w:sz="0" w:space="0" w:color="auto"/>
        <w:bottom w:val="none" w:sz="0" w:space="0" w:color="auto"/>
        <w:right w:val="none" w:sz="0" w:space="0" w:color="auto"/>
      </w:divBdr>
      <w:divsChild>
        <w:div w:id="1293944287">
          <w:marLeft w:val="0"/>
          <w:marRight w:val="0"/>
          <w:marTop w:val="0"/>
          <w:marBottom w:val="0"/>
          <w:divBdr>
            <w:top w:val="single" w:sz="2" w:space="0" w:color="FF0000"/>
            <w:left w:val="single" w:sz="2" w:space="0" w:color="FF0000"/>
            <w:bottom w:val="single" w:sz="2" w:space="0" w:color="FF0000"/>
            <w:right w:val="single" w:sz="2" w:space="0" w:color="FF0000"/>
          </w:divBdr>
          <w:divsChild>
            <w:div w:id="184025981">
              <w:marLeft w:val="0"/>
              <w:marRight w:val="0"/>
              <w:marTop w:val="0"/>
              <w:marBottom w:val="0"/>
              <w:divBdr>
                <w:top w:val="none" w:sz="0" w:space="0" w:color="auto"/>
                <w:left w:val="single" w:sz="6" w:space="0" w:color="DDDDDD"/>
                <w:bottom w:val="none" w:sz="0" w:space="0" w:color="auto"/>
                <w:right w:val="none" w:sz="0" w:space="0" w:color="auto"/>
              </w:divBdr>
              <w:divsChild>
                <w:div w:id="916747843">
                  <w:marLeft w:val="0"/>
                  <w:marRight w:val="0"/>
                  <w:marTop w:val="0"/>
                  <w:marBottom w:val="0"/>
                  <w:divBdr>
                    <w:top w:val="single" w:sz="2" w:space="0" w:color="008000"/>
                    <w:left w:val="single" w:sz="2" w:space="0" w:color="008000"/>
                    <w:bottom w:val="single" w:sz="2" w:space="0" w:color="008000"/>
                    <w:right w:val="single" w:sz="2" w:space="0" w:color="008000"/>
                  </w:divBdr>
                  <w:divsChild>
                    <w:div w:id="2097823156">
                      <w:marLeft w:val="0"/>
                      <w:marRight w:val="0"/>
                      <w:marTop w:val="0"/>
                      <w:marBottom w:val="0"/>
                      <w:divBdr>
                        <w:top w:val="none" w:sz="0" w:space="0" w:color="auto"/>
                        <w:left w:val="none" w:sz="0" w:space="0" w:color="auto"/>
                        <w:bottom w:val="none" w:sz="0" w:space="0" w:color="auto"/>
                        <w:right w:val="none" w:sz="0" w:space="0" w:color="auto"/>
                      </w:divBdr>
                      <w:divsChild>
                        <w:div w:id="786312452">
                          <w:marLeft w:val="0"/>
                          <w:marRight w:val="0"/>
                          <w:marTop w:val="0"/>
                          <w:marBottom w:val="0"/>
                          <w:divBdr>
                            <w:top w:val="none" w:sz="0" w:space="0" w:color="auto"/>
                            <w:left w:val="none" w:sz="0" w:space="0" w:color="auto"/>
                            <w:bottom w:val="none" w:sz="0" w:space="0" w:color="auto"/>
                            <w:right w:val="none" w:sz="0" w:space="0" w:color="auto"/>
                          </w:divBdr>
                          <w:divsChild>
                            <w:div w:id="119152799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67912644">
      <w:bodyDiv w:val="1"/>
      <w:marLeft w:val="0"/>
      <w:marRight w:val="0"/>
      <w:marTop w:val="0"/>
      <w:marBottom w:val="0"/>
      <w:divBdr>
        <w:top w:val="single" w:sz="2" w:space="0" w:color="CC3640"/>
        <w:left w:val="none" w:sz="0" w:space="0" w:color="auto"/>
        <w:bottom w:val="none" w:sz="0" w:space="0" w:color="auto"/>
        <w:right w:val="none" w:sz="0" w:space="0" w:color="auto"/>
      </w:divBdr>
      <w:divsChild>
        <w:div w:id="757023737">
          <w:marLeft w:val="0"/>
          <w:marRight w:val="0"/>
          <w:marTop w:val="0"/>
          <w:marBottom w:val="0"/>
          <w:divBdr>
            <w:top w:val="single" w:sz="2" w:space="0" w:color="FF0000"/>
            <w:left w:val="single" w:sz="2" w:space="0" w:color="FF0000"/>
            <w:bottom w:val="single" w:sz="2" w:space="0" w:color="FF0000"/>
            <w:right w:val="single" w:sz="2" w:space="0" w:color="FF0000"/>
          </w:divBdr>
          <w:divsChild>
            <w:div w:id="987051426">
              <w:marLeft w:val="0"/>
              <w:marRight w:val="0"/>
              <w:marTop w:val="0"/>
              <w:marBottom w:val="0"/>
              <w:divBdr>
                <w:top w:val="none" w:sz="0" w:space="0" w:color="auto"/>
                <w:left w:val="single" w:sz="6" w:space="0" w:color="DDDDDD"/>
                <w:bottom w:val="none" w:sz="0" w:space="0" w:color="auto"/>
                <w:right w:val="none" w:sz="0" w:space="0" w:color="auto"/>
              </w:divBdr>
              <w:divsChild>
                <w:div w:id="1756970230">
                  <w:marLeft w:val="0"/>
                  <w:marRight w:val="0"/>
                  <w:marTop w:val="0"/>
                  <w:marBottom w:val="0"/>
                  <w:divBdr>
                    <w:top w:val="single" w:sz="2" w:space="0" w:color="008000"/>
                    <w:left w:val="single" w:sz="2" w:space="0" w:color="008000"/>
                    <w:bottom w:val="single" w:sz="2" w:space="0" w:color="008000"/>
                    <w:right w:val="single" w:sz="2" w:space="0" w:color="008000"/>
                  </w:divBdr>
                  <w:divsChild>
                    <w:div w:id="1735351719">
                      <w:marLeft w:val="0"/>
                      <w:marRight w:val="0"/>
                      <w:marTop w:val="0"/>
                      <w:marBottom w:val="0"/>
                      <w:divBdr>
                        <w:top w:val="none" w:sz="0" w:space="0" w:color="auto"/>
                        <w:left w:val="none" w:sz="0" w:space="0" w:color="auto"/>
                        <w:bottom w:val="none" w:sz="0" w:space="0" w:color="auto"/>
                        <w:right w:val="none" w:sz="0" w:space="0" w:color="auto"/>
                      </w:divBdr>
                      <w:divsChild>
                        <w:div w:id="1545367199">
                          <w:marLeft w:val="0"/>
                          <w:marRight w:val="0"/>
                          <w:marTop w:val="0"/>
                          <w:marBottom w:val="0"/>
                          <w:divBdr>
                            <w:top w:val="none" w:sz="0" w:space="0" w:color="auto"/>
                            <w:left w:val="none" w:sz="0" w:space="0" w:color="auto"/>
                            <w:bottom w:val="none" w:sz="0" w:space="0" w:color="auto"/>
                            <w:right w:val="none" w:sz="0" w:space="0" w:color="auto"/>
                          </w:divBdr>
                          <w:divsChild>
                            <w:div w:id="29610773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81795772">
      <w:bodyDiv w:val="1"/>
      <w:marLeft w:val="0"/>
      <w:marRight w:val="0"/>
      <w:marTop w:val="0"/>
      <w:marBottom w:val="0"/>
      <w:divBdr>
        <w:top w:val="none" w:sz="0" w:space="0" w:color="auto"/>
        <w:left w:val="none" w:sz="0" w:space="0" w:color="auto"/>
        <w:bottom w:val="none" w:sz="0" w:space="0" w:color="auto"/>
        <w:right w:val="none" w:sz="0" w:space="0" w:color="auto"/>
      </w:divBdr>
    </w:div>
    <w:div w:id="898828579">
      <w:bodyDiv w:val="1"/>
      <w:marLeft w:val="0"/>
      <w:marRight w:val="0"/>
      <w:marTop w:val="0"/>
      <w:marBottom w:val="0"/>
      <w:divBdr>
        <w:top w:val="none" w:sz="0" w:space="0" w:color="auto"/>
        <w:left w:val="none" w:sz="0" w:space="0" w:color="auto"/>
        <w:bottom w:val="none" w:sz="0" w:space="0" w:color="auto"/>
        <w:right w:val="none" w:sz="0" w:space="0" w:color="auto"/>
      </w:divBdr>
    </w:div>
    <w:div w:id="907225955">
      <w:bodyDiv w:val="1"/>
      <w:marLeft w:val="0"/>
      <w:marRight w:val="0"/>
      <w:marTop w:val="0"/>
      <w:marBottom w:val="0"/>
      <w:divBdr>
        <w:top w:val="none" w:sz="0" w:space="0" w:color="auto"/>
        <w:left w:val="none" w:sz="0" w:space="0" w:color="auto"/>
        <w:bottom w:val="none" w:sz="0" w:space="0" w:color="auto"/>
        <w:right w:val="none" w:sz="0" w:space="0" w:color="auto"/>
      </w:divBdr>
      <w:divsChild>
        <w:div w:id="355471232">
          <w:marLeft w:val="0"/>
          <w:marRight w:val="0"/>
          <w:marTop w:val="0"/>
          <w:marBottom w:val="0"/>
          <w:divBdr>
            <w:top w:val="none" w:sz="0" w:space="0" w:color="auto"/>
            <w:left w:val="none" w:sz="0" w:space="0" w:color="auto"/>
            <w:bottom w:val="none" w:sz="0" w:space="0" w:color="auto"/>
            <w:right w:val="none" w:sz="0" w:space="0" w:color="auto"/>
          </w:divBdr>
          <w:divsChild>
            <w:div w:id="30111496">
              <w:marLeft w:val="600"/>
              <w:marRight w:val="0"/>
              <w:marTop w:val="0"/>
              <w:marBottom w:val="0"/>
              <w:divBdr>
                <w:top w:val="none" w:sz="0" w:space="0" w:color="auto"/>
                <w:left w:val="none" w:sz="0" w:space="0" w:color="auto"/>
                <w:bottom w:val="none" w:sz="0" w:space="0" w:color="auto"/>
                <w:right w:val="none" w:sz="0" w:space="0" w:color="auto"/>
              </w:divBdr>
              <w:divsChild>
                <w:div w:id="160850479">
                  <w:marLeft w:val="600"/>
                  <w:marRight w:val="0"/>
                  <w:marTop w:val="0"/>
                  <w:marBottom w:val="0"/>
                  <w:divBdr>
                    <w:top w:val="none" w:sz="0" w:space="0" w:color="auto"/>
                    <w:left w:val="none" w:sz="0" w:space="0" w:color="auto"/>
                    <w:bottom w:val="none" w:sz="0" w:space="0" w:color="auto"/>
                    <w:right w:val="none" w:sz="0" w:space="0" w:color="auto"/>
                  </w:divBdr>
                </w:div>
                <w:div w:id="544760672">
                  <w:marLeft w:val="900"/>
                  <w:marRight w:val="0"/>
                  <w:marTop w:val="0"/>
                  <w:marBottom w:val="0"/>
                  <w:divBdr>
                    <w:top w:val="none" w:sz="0" w:space="0" w:color="auto"/>
                    <w:left w:val="none" w:sz="0" w:space="0" w:color="auto"/>
                    <w:bottom w:val="none" w:sz="0" w:space="0" w:color="auto"/>
                    <w:right w:val="none" w:sz="0" w:space="0" w:color="auto"/>
                  </w:divBdr>
                  <w:divsChild>
                    <w:div w:id="1535574507">
                      <w:marLeft w:val="-150"/>
                      <w:marRight w:val="0"/>
                      <w:marTop w:val="0"/>
                      <w:marBottom w:val="0"/>
                      <w:divBdr>
                        <w:top w:val="none" w:sz="0" w:space="0" w:color="auto"/>
                        <w:left w:val="none" w:sz="0" w:space="0" w:color="auto"/>
                        <w:bottom w:val="none" w:sz="0" w:space="0" w:color="auto"/>
                        <w:right w:val="none" w:sz="0" w:space="0" w:color="auto"/>
                      </w:divBdr>
                      <w:divsChild>
                        <w:div w:id="1059860028">
                          <w:marLeft w:val="-300"/>
                          <w:marRight w:val="0"/>
                          <w:marTop w:val="0"/>
                          <w:marBottom w:val="0"/>
                          <w:divBdr>
                            <w:top w:val="none" w:sz="0" w:space="0" w:color="auto"/>
                            <w:left w:val="none" w:sz="0" w:space="0" w:color="auto"/>
                            <w:bottom w:val="none" w:sz="0" w:space="0" w:color="auto"/>
                            <w:right w:val="none" w:sz="0" w:space="0" w:color="auto"/>
                          </w:divBdr>
                          <w:divsChild>
                            <w:div w:id="12985611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510821">
      <w:bodyDiv w:val="1"/>
      <w:marLeft w:val="0"/>
      <w:marRight w:val="0"/>
      <w:marTop w:val="0"/>
      <w:marBottom w:val="0"/>
      <w:divBdr>
        <w:top w:val="none" w:sz="0" w:space="0" w:color="auto"/>
        <w:left w:val="none" w:sz="0" w:space="0" w:color="auto"/>
        <w:bottom w:val="none" w:sz="0" w:space="0" w:color="auto"/>
        <w:right w:val="none" w:sz="0" w:space="0" w:color="auto"/>
      </w:divBdr>
      <w:divsChild>
        <w:div w:id="186725789">
          <w:marLeft w:val="0"/>
          <w:marRight w:val="0"/>
          <w:marTop w:val="0"/>
          <w:marBottom w:val="0"/>
          <w:divBdr>
            <w:top w:val="none" w:sz="0" w:space="0" w:color="auto"/>
            <w:left w:val="none" w:sz="0" w:space="0" w:color="auto"/>
            <w:bottom w:val="none" w:sz="0" w:space="0" w:color="auto"/>
            <w:right w:val="none" w:sz="0" w:space="0" w:color="auto"/>
          </w:divBdr>
        </w:div>
        <w:div w:id="214657478">
          <w:marLeft w:val="0"/>
          <w:marRight w:val="0"/>
          <w:marTop w:val="0"/>
          <w:marBottom w:val="0"/>
          <w:divBdr>
            <w:top w:val="none" w:sz="0" w:space="0" w:color="auto"/>
            <w:left w:val="none" w:sz="0" w:space="0" w:color="auto"/>
            <w:bottom w:val="none" w:sz="0" w:space="0" w:color="auto"/>
            <w:right w:val="none" w:sz="0" w:space="0" w:color="auto"/>
          </w:divBdr>
        </w:div>
        <w:div w:id="623970790">
          <w:marLeft w:val="0"/>
          <w:marRight w:val="0"/>
          <w:marTop w:val="0"/>
          <w:marBottom w:val="0"/>
          <w:divBdr>
            <w:top w:val="none" w:sz="0" w:space="0" w:color="auto"/>
            <w:left w:val="none" w:sz="0" w:space="0" w:color="auto"/>
            <w:bottom w:val="none" w:sz="0" w:space="0" w:color="auto"/>
            <w:right w:val="none" w:sz="0" w:space="0" w:color="auto"/>
          </w:divBdr>
        </w:div>
        <w:div w:id="826478408">
          <w:marLeft w:val="0"/>
          <w:marRight w:val="0"/>
          <w:marTop w:val="0"/>
          <w:marBottom w:val="0"/>
          <w:divBdr>
            <w:top w:val="none" w:sz="0" w:space="0" w:color="auto"/>
            <w:left w:val="none" w:sz="0" w:space="0" w:color="auto"/>
            <w:bottom w:val="none" w:sz="0" w:space="0" w:color="auto"/>
            <w:right w:val="none" w:sz="0" w:space="0" w:color="auto"/>
          </w:divBdr>
          <w:divsChild>
            <w:div w:id="120654964">
              <w:marLeft w:val="0"/>
              <w:marRight w:val="0"/>
              <w:marTop w:val="0"/>
              <w:marBottom w:val="0"/>
              <w:divBdr>
                <w:top w:val="none" w:sz="0" w:space="0" w:color="auto"/>
                <w:left w:val="none" w:sz="0" w:space="0" w:color="auto"/>
                <w:bottom w:val="none" w:sz="0" w:space="0" w:color="auto"/>
                <w:right w:val="none" w:sz="0" w:space="0" w:color="auto"/>
              </w:divBdr>
            </w:div>
            <w:div w:id="1057053144">
              <w:marLeft w:val="0"/>
              <w:marRight w:val="0"/>
              <w:marTop w:val="0"/>
              <w:marBottom w:val="0"/>
              <w:divBdr>
                <w:top w:val="none" w:sz="0" w:space="0" w:color="auto"/>
                <w:left w:val="none" w:sz="0" w:space="0" w:color="auto"/>
                <w:bottom w:val="none" w:sz="0" w:space="0" w:color="auto"/>
                <w:right w:val="none" w:sz="0" w:space="0" w:color="auto"/>
              </w:divBdr>
            </w:div>
            <w:div w:id="1138691851">
              <w:marLeft w:val="0"/>
              <w:marRight w:val="0"/>
              <w:marTop w:val="0"/>
              <w:marBottom w:val="0"/>
              <w:divBdr>
                <w:top w:val="none" w:sz="0" w:space="0" w:color="auto"/>
                <w:left w:val="none" w:sz="0" w:space="0" w:color="auto"/>
                <w:bottom w:val="none" w:sz="0" w:space="0" w:color="auto"/>
                <w:right w:val="none" w:sz="0" w:space="0" w:color="auto"/>
              </w:divBdr>
            </w:div>
            <w:div w:id="1298802279">
              <w:marLeft w:val="0"/>
              <w:marRight w:val="0"/>
              <w:marTop w:val="0"/>
              <w:marBottom w:val="0"/>
              <w:divBdr>
                <w:top w:val="none" w:sz="0" w:space="0" w:color="auto"/>
                <w:left w:val="none" w:sz="0" w:space="0" w:color="auto"/>
                <w:bottom w:val="none" w:sz="0" w:space="0" w:color="auto"/>
                <w:right w:val="none" w:sz="0" w:space="0" w:color="auto"/>
              </w:divBdr>
            </w:div>
          </w:divsChild>
        </w:div>
        <w:div w:id="857040960">
          <w:marLeft w:val="0"/>
          <w:marRight w:val="0"/>
          <w:marTop w:val="0"/>
          <w:marBottom w:val="0"/>
          <w:divBdr>
            <w:top w:val="none" w:sz="0" w:space="0" w:color="auto"/>
            <w:left w:val="none" w:sz="0" w:space="0" w:color="auto"/>
            <w:bottom w:val="none" w:sz="0" w:space="0" w:color="auto"/>
            <w:right w:val="none" w:sz="0" w:space="0" w:color="auto"/>
          </w:divBdr>
        </w:div>
        <w:div w:id="865220053">
          <w:marLeft w:val="0"/>
          <w:marRight w:val="0"/>
          <w:marTop w:val="0"/>
          <w:marBottom w:val="0"/>
          <w:divBdr>
            <w:top w:val="none" w:sz="0" w:space="0" w:color="auto"/>
            <w:left w:val="none" w:sz="0" w:space="0" w:color="auto"/>
            <w:bottom w:val="none" w:sz="0" w:space="0" w:color="auto"/>
            <w:right w:val="none" w:sz="0" w:space="0" w:color="auto"/>
          </w:divBdr>
        </w:div>
        <w:div w:id="1125655090">
          <w:marLeft w:val="0"/>
          <w:marRight w:val="0"/>
          <w:marTop w:val="0"/>
          <w:marBottom w:val="0"/>
          <w:divBdr>
            <w:top w:val="none" w:sz="0" w:space="0" w:color="auto"/>
            <w:left w:val="none" w:sz="0" w:space="0" w:color="auto"/>
            <w:bottom w:val="none" w:sz="0" w:space="0" w:color="auto"/>
            <w:right w:val="none" w:sz="0" w:space="0" w:color="auto"/>
          </w:divBdr>
        </w:div>
        <w:div w:id="1353341136">
          <w:marLeft w:val="0"/>
          <w:marRight w:val="0"/>
          <w:marTop w:val="0"/>
          <w:marBottom w:val="0"/>
          <w:divBdr>
            <w:top w:val="none" w:sz="0" w:space="0" w:color="auto"/>
            <w:left w:val="none" w:sz="0" w:space="0" w:color="auto"/>
            <w:bottom w:val="none" w:sz="0" w:space="0" w:color="auto"/>
            <w:right w:val="none" w:sz="0" w:space="0" w:color="auto"/>
          </w:divBdr>
        </w:div>
        <w:div w:id="1389914434">
          <w:marLeft w:val="0"/>
          <w:marRight w:val="0"/>
          <w:marTop w:val="0"/>
          <w:marBottom w:val="0"/>
          <w:divBdr>
            <w:top w:val="none" w:sz="0" w:space="0" w:color="auto"/>
            <w:left w:val="none" w:sz="0" w:space="0" w:color="auto"/>
            <w:bottom w:val="none" w:sz="0" w:space="0" w:color="auto"/>
            <w:right w:val="none" w:sz="0" w:space="0" w:color="auto"/>
          </w:divBdr>
        </w:div>
        <w:div w:id="1509711101">
          <w:marLeft w:val="0"/>
          <w:marRight w:val="0"/>
          <w:marTop w:val="0"/>
          <w:marBottom w:val="0"/>
          <w:divBdr>
            <w:top w:val="none" w:sz="0" w:space="0" w:color="auto"/>
            <w:left w:val="none" w:sz="0" w:space="0" w:color="auto"/>
            <w:bottom w:val="none" w:sz="0" w:space="0" w:color="auto"/>
            <w:right w:val="none" w:sz="0" w:space="0" w:color="auto"/>
          </w:divBdr>
        </w:div>
        <w:div w:id="1521241100">
          <w:marLeft w:val="0"/>
          <w:marRight w:val="0"/>
          <w:marTop w:val="0"/>
          <w:marBottom w:val="0"/>
          <w:divBdr>
            <w:top w:val="none" w:sz="0" w:space="0" w:color="auto"/>
            <w:left w:val="none" w:sz="0" w:space="0" w:color="auto"/>
            <w:bottom w:val="none" w:sz="0" w:space="0" w:color="auto"/>
            <w:right w:val="none" w:sz="0" w:space="0" w:color="auto"/>
          </w:divBdr>
        </w:div>
        <w:div w:id="1733039462">
          <w:marLeft w:val="0"/>
          <w:marRight w:val="0"/>
          <w:marTop w:val="0"/>
          <w:marBottom w:val="170"/>
          <w:divBdr>
            <w:top w:val="none" w:sz="0" w:space="0" w:color="auto"/>
            <w:left w:val="none" w:sz="0" w:space="0" w:color="auto"/>
            <w:bottom w:val="none" w:sz="0" w:space="0" w:color="auto"/>
            <w:right w:val="none" w:sz="0" w:space="0" w:color="auto"/>
          </w:divBdr>
          <w:divsChild>
            <w:div w:id="1230073169">
              <w:marLeft w:val="0"/>
              <w:marRight w:val="0"/>
              <w:marTop w:val="170"/>
              <w:marBottom w:val="170"/>
              <w:divBdr>
                <w:top w:val="none" w:sz="0" w:space="0" w:color="auto"/>
                <w:left w:val="none" w:sz="0" w:space="0" w:color="auto"/>
                <w:bottom w:val="none" w:sz="0" w:space="0" w:color="auto"/>
                <w:right w:val="none" w:sz="0" w:space="0" w:color="auto"/>
              </w:divBdr>
            </w:div>
          </w:divsChild>
        </w:div>
        <w:div w:id="2026667589">
          <w:marLeft w:val="0"/>
          <w:marRight w:val="0"/>
          <w:marTop w:val="0"/>
          <w:marBottom w:val="0"/>
          <w:divBdr>
            <w:top w:val="none" w:sz="0" w:space="0" w:color="auto"/>
            <w:left w:val="none" w:sz="0" w:space="0" w:color="auto"/>
            <w:bottom w:val="none" w:sz="0" w:space="0" w:color="auto"/>
            <w:right w:val="none" w:sz="0" w:space="0" w:color="auto"/>
          </w:divBdr>
        </w:div>
        <w:div w:id="2029676759">
          <w:marLeft w:val="0"/>
          <w:marRight w:val="0"/>
          <w:marTop w:val="0"/>
          <w:marBottom w:val="0"/>
          <w:divBdr>
            <w:top w:val="none" w:sz="0" w:space="0" w:color="auto"/>
            <w:left w:val="none" w:sz="0" w:space="0" w:color="auto"/>
            <w:bottom w:val="none" w:sz="0" w:space="0" w:color="auto"/>
            <w:right w:val="none" w:sz="0" w:space="0" w:color="auto"/>
          </w:divBdr>
        </w:div>
        <w:div w:id="2036879256">
          <w:marLeft w:val="0"/>
          <w:marRight w:val="0"/>
          <w:marTop w:val="0"/>
          <w:marBottom w:val="0"/>
          <w:divBdr>
            <w:top w:val="none" w:sz="0" w:space="0" w:color="auto"/>
            <w:left w:val="none" w:sz="0" w:space="0" w:color="auto"/>
            <w:bottom w:val="none" w:sz="0" w:space="0" w:color="auto"/>
            <w:right w:val="none" w:sz="0" w:space="0" w:color="auto"/>
          </w:divBdr>
        </w:div>
        <w:div w:id="2145736516">
          <w:marLeft w:val="0"/>
          <w:marRight w:val="0"/>
          <w:marTop w:val="0"/>
          <w:marBottom w:val="0"/>
          <w:divBdr>
            <w:top w:val="none" w:sz="0" w:space="0" w:color="auto"/>
            <w:left w:val="none" w:sz="0" w:space="0" w:color="auto"/>
            <w:bottom w:val="none" w:sz="0" w:space="0" w:color="auto"/>
            <w:right w:val="none" w:sz="0" w:space="0" w:color="auto"/>
          </w:divBdr>
        </w:div>
      </w:divsChild>
    </w:div>
    <w:div w:id="995761514">
      <w:bodyDiv w:val="1"/>
      <w:marLeft w:val="0"/>
      <w:marRight w:val="0"/>
      <w:marTop w:val="0"/>
      <w:marBottom w:val="0"/>
      <w:divBdr>
        <w:top w:val="none" w:sz="0" w:space="0" w:color="auto"/>
        <w:left w:val="none" w:sz="0" w:space="0" w:color="auto"/>
        <w:bottom w:val="none" w:sz="0" w:space="0" w:color="auto"/>
        <w:right w:val="none" w:sz="0" w:space="0" w:color="auto"/>
      </w:divBdr>
    </w:div>
    <w:div w:id="1006396831">
      <w:bodyDiv w:val="1"/>
      <w:marLeft w:val="0"/>
      <w:marRight w:val="0"/>
      <w:marTop w:val="0"/>
      <w:marBottom w:val="0"/>
      <w:divBdr>
        <w:top w:val="none" w:sz="0" w:space="0" w:color="auto"/>
        <w:left w:val="none" w:sz="0" w:space="0" w:color="auto"/>
        <w:bottom w:val="none" w:sz="0" w:space="0" w:color="auto"/>
        <w:right w:val="none" w:sz="0" w:space="0" w:color="auto"/>
      </w:divBdr>
      <w:divsChild>
        <w:div w:id="903562409">
          <w:marLeft w:val="0"/>
          <w:marRight w:val="0"/>
          <w:marTop w:val="120"/>
          <w:marBottom w:val="120"/>
          <w:divBdr>
            <w:top w:val="none" w:sz="0" w:space="0" w:color="auto"/>
            <w:left w:val="none" w:sz="0" w:space="0" w:color="auto"/>
            <w:bottom w:val="none" w:sz="0" w:space="0" w:color="auto"/>
            <w:right w:val="none" w:sz="0" w:space="0" w:color="auto"/>
          </w:divBdr>
        </w:div>
      </w:divsChild>
    </w:div>
    <w:div w:id="1033044216">
      <w:bodyDiv w:val="1"/>
      <w:marLeft w:val="0"/>
      <w:marRight w:val="0"/>
      <w:marTop w:val="0"/>
      <w:marBottom w:val="0"/>
      <w:divBdr>
        <w:top w:val="single" w:sz="2" w:space="0" w:color="CC3640"/>
        <w:left w:val="none" w:sz="0" w:space="0" w:color="auto"/>
        <w:bottom w:val="none" w:sz="0" w:space="0" w:color="auto"/>
        <w:right w:val="none" w:sz="0" w:space="0" w:color="auto"/>
      </w:divBdr>
      <w:divsChild>
        <w:div w:id="1268391516">
          <w:marLeft w:val="0"/>
          <w:marRight w:val="0"/>
          <w:marTop w:val="0"/>
          <w:marBottom w:val="0"/>
          <w:divBdr>
            <w:top w:val="single" w:sz="2" w:space="0" w:color="FF0000"/>
            <w:left w:val="single" w:sz="2" w:space="0" w:color="FF0000"/>
            <w:bottom w:val="single" w:sz="2" w:space="0" w:color="FF0000"/>
            <w:right w:val="single" w:sz="2" w:space="0" w:color="FF0000"/>
          </w:divBdr>
          <w:divsChild>
            <w:div w:id="201022352">
              <w:marLeft w:val="0"/>
              <w:marRight w:val="0"/>
              <w:marTop w:val="0"/>
              <w:marBottom w:val="0"/>
              <w:divBdr>
                <w:top w:val="none" w:sz="0" w:space="0" w:color="auto"/>
                <w:left w:val="single" w:sz="6" w:space="0" w:color="DDDDDD"/>
                <w:bottom w:val="none" w:sz="0" w:space="0" w:color="auto"/>
                <w:right w:val="none" w:sz="0" w:space="0" w:color="auto"/>
              </w:divBdr>
              <w:divsChild>
                <w:div w:id="135950898">
                  <w:marLeft w:val="0"/>
                  <w:marRight w:val="0"/>
                  <w:marTop w:val="0"/>
                  <w:marBottom w:val="0"/>
                  <w:divBdr>
                    <w:top w:val="single" w:sz="2" w:space="0" w:color="008000"/>
                    <w:left w:val="single" w:sz="2" w:space="0" w:color="008000"/>
                    <w:bottom w:val="single" w:sz="2" w:space="0" w:color="008000"/>
                    <w:right w:val="single" w:sz="2" w:space="0" w:color="008000"/>
                  </w:divBdr>
                  <w:divsChild>
                    <w:div w:id="1293438051">
                      <w:marLeft w:val="0"/>
                      <w:marRight w:val="0"/>
                      <w:marTop w:val="0"/>
                      <w:marBottom w:val="0"/>
                      <w:divBdr>
                        <w:top w:val="none" w:sz="0" w:space="0" w:color="auto"/>
                        <w:left w:val="none" w:sz="0" w:space="0" w:color="auto"/>
                        <w:bottom w:val="none" w:sz="0" w:space="0" w:color="auto"/>
                        <w:right w:val="none" w:sz="0" w:space="0" w:color="auto"/>
                      </w:divBdr>
                      <w:divsChild>
                        <w:div w:id="346174479">
                          <w:marLeft w:val="0"/>
                          <w:marRight w:val="0"/>
                          <w:marTop w:val="0"/>
                          <w:marBottom w:val="0"/>
                          <w:divBdr>
                            <w:top w:val="none" w:sz="0" w:space="0" w:color="auto"/>
                            <w:left w:val="none" w:sz="0" w:space="0" w:color="auto"/>
                            <w:bottom w:val="none" w:sz="0" w:space="0" w:color="auto"/>
                            <w:right w:val="none" w:sz="0" w:space="0" w:color="auto"/>
                          </w:divBdr>
                          <w:divsChild>
                            <w:div w:id="126622897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074622027">
      <w:bodyDiv w:val="1"/>
      <w:marLeft w:val="0"/>
      <w:marRight w:val="0"/>
      <w:marTop w:val="0"/>
      <w:marBottom w:val="0"/>
      <w:divBdr>
        <w:top w:val="single" w:sz="2" w:space="0" w:color="CC3640"/>
        <w:left w:val="none" w:sz="0" w:space="0" w:color="auto"/>
        <w:bottom w:val="none" w:sz="0" w:space="0" w:color="auto"/>
        <w:right w:val="none" w:sz="0" w:space="0" w:color="auto"/>
      </w:divBdr>
      <w:divsChild>
        <w:div w:id="604727932">
          <w:marLeft w:val="0"/>
          <w:marRight w:val="0"/>
          <w:marTop w:val="0"/>
          <w:marBottom w:val="0"/>
          <w:divBdr>
            <w:top w:val="single" w:sz="2" w:space="0" w:color="FF0000"/>
            <w:left w:val="single" w:sz="2" w:space="0" w:color="FF0000"/>
            <w:bottom w:val="single" w:sz="2" w:space="0" w:color="FF0000"/>
            <w:right w:val="single" w:sz="2" w:space="0" w:color="FF0000"/>
          </w:divBdr>
          <w:divsChild>
            <w:div w:id="2141723407">
              <w:marLeft w:val="0"/>
              <w:marRight w:val="0"/>
              <w:marTop w:val="0"/>
              <w:marBottom w:val="0"/>
              <w:divBdr>
                <w:top w:val="none" w:sz="0" w:space="0" w:color="auto"/>
                <w:left w:val="single" w:sz="6" w:space="0" w:color="DDDDDD"/>
                <w:bottom w:val="none" w:sz="0" w:space="0" w:color="auto"/>
                <w:right w:val="none" w:sz="0" w:space="0" w:color="auto"/>
              </w:divBdr>
              <w:divsChild>
                <w:div w:id="151261489">
                  <w:marLeft w:val="0"/>
                  <w:marRight w:val="0"/>
                  <w:marTop w:val="0"/>
                  <w:marBottom w:val="0"/>
                  <w:divBdr>
                    <w:top w:val="single" w:sz="2" w:space="0" w:color="008000"/>
                    <w:left w:val="single" w:sz="2" w:space="0" w:color="008000"/>
                    <w:bottom w:val="single" w:sz="2" w:space="0" w:color="008000"/>
                    <w:right w:val="single" w:sz="2" w:space="0" w:color="008000"/>
                  </w:divBdr>
                  <w:divsChild>
                    <w:div w:id="1939826008">
                      <w:marLeft w:val="0"/>
                      <w:marRight w:val="0"/>
                      <w:marTop w:val="0"/>
                      <w:marBottom w:val="0"/>
                      <w:divBdr>
                        <w:top w:val="none" w:sz="0" w:space="0" w:color="auto"/>
                        <w:left w:val="none" w:sz="0" w:space="0" w:color="auto"/>
                        <w:bottom w:val="none" w:sz="0" w:space="0" w:color="auto"/>
                        <w:right w:val="none" w:sz="0" w:space="0" w:color="auto"/>
                      </w:divBdr>
                      <w:divsChild>
                        <w:div w:id="186144323">
                          <w:marLeft w:val="0"/>
                          <w:marRight w:val="0"/>
                          <w:marTop w:val="0"/>
                          <w:marBottom w:val="0"/>
                          <w:divBdr>
                            <w:top w:val="none" w:sz="0" w:space="0" w:color="auto"/>
                            <w:left w:val="none" w:sz="0" w:space="0" w:color="auto"/>
                            <w:bottom w:val="none" w:sz="0" w:space="0" w:color="auto"/>
                            <w:right w:val="none" w:sz="0" w:space="0" w:color="auto"/>
                          </w:divBdr>
                          <w:divsChild>
                            <w:div w:id="54075088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01949095">
      <w:bodyDiv w:val="1"/>
      <w:marLeft w:val="0"/>
      <w:marRight w:val="0"/>
      <w:marTop w:val="0"/>
      <w:marBottom w:val="0"/>
      <w:divBdr>
        <w:top w:val="single" w:sz="2" w:space="0" w:color="CC3640"/>
        <w:left w:val="none" w:sz="0" w:space="0" w:color="auto"/>
        <w:bottom w:val="none" w:sz="0" w:space="0" w:color="auto"/>
        <w:right w:val="none" w:sz="0" w:space="0" w:color="auto"/>
      </w:divBdr>
      <w:divsChild>
        <w:div w:id="1027293470">
          <w:marLeft w:val="0"/>
          <w:marRight w:val="0"/>
          <w:marTop w:val="0"/>
          <w:marBottom w:val="0"/>
          <w:divBdr>
            <w:top w:val="single" w:sz="2" w:space="0" w:color="FF0000"/>
            <w:left w:val="single" w:sz="2" w:space="0" w:color="FF0000"/>
            <w:bottom w:val="single" w:sz="2" w:space="0" w:color="FF0000"/>
            <w:right w:val="single" w:sz="2" w:space="0" w:color="FF0000"/>
          </w:divBdr>
          <w:divsChild>
            <w:div w:id="1577085611">
              <w:marLeft w:val="0"/>
              <w:marRight w:val="0"/>
              <w:marTop w:val="0"/>
              <w:marBottom w:val="0"/>
              <w:divBdr>
                <w:top w:val="none" w:sz="0" w:space="0" w:color="auto"/>
                <w:left w:val="single" w:sz="6" w:space="0" w:color="DDDDDD"/>
                <w:bottom w:val="none" w:sz="0" w:space="0" w:color="auto"/>
                <w:right w:val="none" w:sz="0" w:space="0" w:color="auto"/>
              </w:divBdr>
              <w:divsChild>
                <w:div w:id="2104109068">
                  <w:marLeft w:val="0"/>
                  <w:marRight w:val="0"/>
                  <w:marTop w:val="0"/>
                  <w:marBottom w:val="0"/>
                  <w:divBdr>
                    <w:top w:val="single" w:sz="2" w:space="0" w:color="008000"/>
                    <w:left w:val="single" w:sz="2" w:space="0" w:color="008000"/>
                    <w:bottom w:val="single" w:sz="2" w:space="0" w:color="008000"/>
                    <w:right w:val="single" w:sz="2" w:space="0" w:color="008000"/>
                  </w:divBdr>
                  <w:divsChild>
                    <w:div w:id="959410714">
                      <w:marLeft w:val="0"/>
                      <w:marRight w:val="0"/>
                      <w:marTop w:val="0"/>
                      <w:marBottom w:val="0"/>
                      <w:divBdr>
                        <w:top w:val="none" w:sz="0" w:space="0" w:color="auto"/>
                        <w:left w:val="none" w:sz="0" w:space="0" w:color="auto"/>
                        <w:bottom w:val="none" w:sz="0" w:space="0" w:color="auto"/>
                        <w:right w:val="none" w:sz="0" w:space="0" w:color="auto"/>
                      </w:divBdr>
                      <w:divsChild>
                        <w:div w:id="1563907510">
                          <w:marLeft w:val="0"/>
                          <w:marRight w:val="0"/>
                          <w:marTop w:val="0"/>
                          <w:marBottom w:val="0"/>
                          <w:divBdr>
                            <w:top w:val="none" w:sz="0" w:space="0" w:color="auto"/>
                            <w:left w:val="none" w:sz="0" w:space="0" w:color="auto"/>
                            <w:bottom w:val="none" w:sz="0" w:space="0" w:color="auto"/>
                            <w:right w:val="none" w:sz="0" w:space="0" w:color="auto"/>
                          </w:divBdr>
                          <w:divsChild>
                            <w:div w:id="54579483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08164618">
      <w:bodyDiv w:val="1"/>
      <w:marLeft w:val="0"/>
      <w:marRight w:val="0"/>
      <w:marTop w:val="0"/>
      <w:marBottom w:val="0"/>
      <w:divBdr>
        <w:top w:val="single" w:sz="2" w:space="0" w:color="CC3640"/>
        <w:left w:val="none" w:sz="0" w:space="0" w:color="auto"/>
        <w:bottom w:val="none" w:sz="0" w:space="0" w:color="auto"/>
        <w:right w:val="none" w:sz="0" w:space="0" w:color="auto"/>
      </w:divBdr>
      <w:divsChild>
        <w:div w:id="262224481">
          <w:marLeft w:val="0"/>
          <w:marRight w:val="0"/>
          <w:marTop w:val="0"/>
          <w:marBottom w:val="0"/>
          <w:divBdr>
            <w:top w:val="single" w:sz="2" w:space="0" w:color="FF0000"/>
            <w:left w:val="single" w:sz="2" w:space="0" w:color="FF0000"/>
            <w:bottom w:val="single" w:sz="2" w:space="0" w:color="FF0000"/>
            <w:right w:val="single" w:sz="2" w:space="0" w:color="FF0000"/>
          </w:divBdr>
          <w:divsChild>
            <w:div w:id="897714847">
              <w:marLeft w:val="0"/>
              <w:marRight w:val="0"/>
              <w:marTop w:val="0"/>
              <w:marBottom w:val="0"/>
              <w:divBdr>
                <w:top w:val="none" w:sz="0" w:space="0" w:color="auto"/>
                <w:left w:val="single" w:sz="6" w:space="0" w:color="DDDDDD"/>
                <w:bottom w:val="none" w:sz="0" w:space="0" w:color="auto"/>
                <w:right w:val="none" w:sz="0" w:space="0" w:color="auto"/>
              </w:divBdr>
              <w:divsChild>
                <w:div w:id="2134247966">
                  <w:marLeft w:val="0"/>
                  <w:marRight w:val="0"/>
                  <w:marTop w:val="0"/>
                  <w:marBottom w:val="0"/>
                  <w:divBdr>
                    <w:top w:val="single" w:sz="2" w:space="0" w:color="008000"/>
                    <w:left w:val="single" w:sz="2" w:space="0" w:color="008000"/>
                    <w:bottom w:val="single" w:sz="2" w:space="0" w:color="008000"/>
                    <w:right w:val="single" w:sz="2" w:space="0" w:color="008000"/>
                  </w:divBdr>
                  <w:divsChild>
                    <w:div w:id="603459104">
                      <w:marLeft w:val="0"/>
                      <w:marRight w:val="0"/>
                      <w:marTop w:val="0"/>
                      <w:marBottom w:val="0"/>
                      <w:divBdr>
                        <w:top w:val="none" w:sz="0" w:space="0" w:color="auto"/>
                        <w:left w:val="none" w:sz="0" w:space="0" w:color="auto"/>
                        <w:bottom w:val="none" w:sz="0" w:space="0" w:color="auto"/>
                        <w:right w:val="none" w:sz="0" w:space="0" w:color="auto"/>
                      </w:divBdr>
                      <w:divsChild>
                        <w:div w:id="1651514391">
                          <w:marLeft w:val="0"/>
                          <w:marRight w:val="0"/>
                          <w:marTop w:val="0"/>
                          <w:marBottom w:val="0"/>
                          <w:divBdr>
                            <w:top w:val="none" w:sz="0" w:space="0" w:color="auto"/>
                            <w:left w:val="none" w:sz="0" w:space="0" w:color="auto"/>
                            <w:bottom w:val="none" w:sz="0" w:space="0" w:color="auto"/>
                            <w:right w:val="none" w:sz="0" w:space="0" w:color="auto"/>
                          </w:divBdr>
                          <w:divsChild>
                            <w:div w:id="134547533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17411437">
      <w:bodyDiv w:val="1"/>
      <w:marLeft w:val="0"/>
      <w:marRight w:val="0"/>
      <w:marTop w:val="0"/>
      <w:marBottom w:val="0"/>
      <w:divBdr>
        <w:top w:val="none" w:sz="0" w:space="0" w:color="auto"/>
        <w:left w:val="none" w:sz="0" w:space="0" w:color="auto"/>
        <w:bottom w:val="none" w:sz="0" w:space="0" w:color="auto"/>
        <w:right w:val="none" w:sz="0" w:space="0" w:color="auto"/>
      </w:divBdr>
    </w:div>
    <w:div w:id="1122069907">
      <w:bodyDiv w:val="1"/>
      <w:marLeft w:val="0"/>
      <w:marRight w:val="0"/>
      <w:marTop w:val="0"/>
      <w:marBottom w:val="0"/>
      <w:divBdr>
        <w:top w:val="single" w:sz="2" w:space="0" w:color="CC3640"/>
        <w:left w:val="none" w:sz="0" w:space="0" w:color="auto"/>
        <w:bottom w:val="none" w:sz="0" w:space="0" w:color="auto"/>
        <w:right w:val="none" w:sz="0" w:space="0" w:color="auto"/>
      </w:divBdr>
      <w:divsChild>
        <w:div w:id="884290545">
          <w:marLeft w:val="0"/>
          <w:marRight w:val="0"/>
          <w:marTop w:val="0"/>
          <w:marBottom w:val="0"/>
          <w:divBdr>
            <w:top w:val="single" w:sz="2" w:space="0" w:color="FF0000"/>
            <w:left w:val="single" w:sz="2" w:space="0" w:color="FF0000"/>
            <w:bottom w:val="single" w:sz="2" w:space="0" w:color="FF0000"/>
            <w:right w:val="single" w:sz="2" w:space="0" w:color="FF0000"/>
          </w:divBdr>
          <w:divsChild>
            <w:div w:id="884833543">
              <w:marLeft w:val="0"/>
              <w:marRight w:val="0"/>
              <w:marTop w:val="0"/>
              <w:marBottom w:val="0"/>
              <w:divBdr>
                <w:top w:val="none" w:sz="0" w:space="0" w:color="auto"/>
                <w:left w:val="single" w:sz="6" w:space="0" w:color="DDDDDD"/>
                <w:bottom w:val="none" w:sz="0" w:space="0" w:color="auto"/>
                <w:right w:val="none" w:sz="0" w:space="0" w:color="auto"/>
              </w:divBdr>
              <w:divsChild>
                <w:div w:id="2131119474">
                  <w:marLeft w:val="0"/>
                  <w:marRight w:val="0"/>
                  <w:marTop w:val="0"/>
                  <w:marBottom w:val="0"/>
                  <w:divBdr>
                    <w:top w:val="single" w:sz="2" w:space="0" w:color="008000"/>
                    <w:left w:val="single" w:sz="2" w:space="0" w:color="008000"/>
                    <w:bottom w:val="single" w:sz="2" w:space="0" w:color="008000"/>
                    <w:right w:val="single" w:sz="2" w:space="0" w:color="008000"/>
                  </w:divBdr>
                  <w:divsChild>
                    <w:div w:id="1327055136">
                      <w:marLeft w:val="0"/>
                      <w:marRight w:val="0"/>
                      <w:marTop w:val="0"/>
                      <w:marBottom w:val="0"/>
                      <w:divBdr>
                        <w:top w:val="none" w:sz="0" w:space="0" w:color="auto"/>
                        <w:left w:val="none" w:sz="0" w:space="0" w:color="auto"/>
                        <w:bottom w:val="none" w:sz="0" w:space="0" w:color="auto"/>
                        <w:right w:val="none" w:sz="0" w:space="0" w:color="auto"/>
                      </w:divBdr>
                      <w:divsChild>
                        <w:div w:id="20740417">
                          <w:marLeft w:val="0"/>
                          <w:marRight w:val="0"/>
                          <w:marTop w:val="0"/>
                          <w:marBottom w:val="0"/>
                          <w:divBdr>
                            <w:top w:val="none" w:sz="0" w:space="0" w:color="auto"/>
                            <w:left w:val="none" w:sz="0" w:space="0" w:color="auto"/>
                            <w:bottom w:val="none" w:sz="0" w:space="0" w:color="auto"/>
                            <w:right w:val="none" w:sz="0" w:space="0" w:color="auto"/>
                          </w:divBdr>
                          <w:divsChild>
                            <w:div w:id="87296175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24427929">
      <w:bodyDiv w:val="1"/>
      <w:marLeft w:val="0"/>
      <w:marRight w:val="0"/>
      <w:marTop w:val="0"/>
      <w:marBottom w:val="0"/>
      <w:divBdr>
        <w:top w:val="single" w:sz="2" w:space="0" w:color="CC3640"/>
        <w:left w:val="none" w:sz="0" w:space="0" w:color="auto"/>
        <w:bottom w:val="none" w:sz="0" w:space="0" w:color="auto"/>
        <w:right w:val="none" w:sz="0" w:space="0" w:color="auto"/>
      </w:divBdr>
      <w:divsChild>
        <w:div w:id="1551263513">
          <w:marLeft w:val="0"/>
          <w:marRight w:val="0"/>
          <w:marTop w:val="0"/>
          <w:marBottom w:val="0"/>
          <w:divBdr>
            <w:top w:val="single" w:sz="2" w:space="0" w:color="FF0000"/>
            <w:left w:val="single" w:sz="2" w:space="0" w:color="FF0000"/>
            <w:bottom w:val="single" w:sz="2" w:space="0" w:color="FF0000"/>
            <w:right w:val="single" w:sz="2" w:space="0" w:color="FF0000"/>
          </w:divBdr>
          <w:divsChild>
            <w:div w:id="249824599">
              <w:marLeft w:val="0"/>
              <w:marRight w:val="0"/>
              <w:marTop w:val="0"/>
              <w:marBottom w:val="0"/>
              <w:divBdr>
                <w:top w:val="none" w:sz="0" w:space="0" w:color="auto"/>
                <w:left w:val="single" w:sz="6" w:space="0" w:color="DDDDDD"/>
                <w:bottom w:val="none" w:sz="0" w:space="0" w:color="auto"/>
                <w:right w:val="none" w:sz="0" w:space="0" w:color="auto"/>
              </w:divBdr>
              <w:divsChild>
                <w:div w:id="1346133189">
                  <w:marLeft w:val="0"/>
                  <w:marRight w:val="0"/>
                  <w:marTop w:val="0"/>
                  <w:marBottom w:val="0"/>
                  <w:divBdr>
                    <w:top w:val="single" w:sz="2" w:space="0" w:color="008000"/>
                    <w:left w:val="single" w:sz="2" w:space="0" w:color="008000"/>
                    <w:bottom w:val="single" w:sz="2" w:space="0" w:color="008000"/>
                    <w:right w:val="single" w:sz="2" w:space="0" w:color="008000"/>
                  </w:divBdr>
                  <w:divsChild>
                    <w:div w:id="1735156912">
                      <w:marLeft w:val="0"/>
                      <w:marRight w:val="0"/>
                      <w:marTop w:val="0"/>
                      <w:marBottom w:val="0"/>
                      <w:divBdr>
                        <w:top w:val="none" w:sz="0" w:space="0" w:color="auto"/>
                        <w:left w:val="none" w:sz="0" w:space="0" w:color="auto"/>
                        <w:bottom w:val="none" w:sz="0" w:space="0" w:color="auto"/>
                        <w:right w:val="none" w:sz="0" w:space="0" w:color="auto"/>
                      </w:divBdr>
                      <w:divsChild>
                        <w:div w:id="924191050">
                          <w:marLeft w:val="0"/>
                          <w:marRight w:val="0"/>
                          <w:marTop w:val="0"/>
                          <w:marBottom w:val="0"/>
                          <w:divBdr>
                            <w:top w:val="none" w:sz="0" w:space="0" w:color="auto"/>
                            <w:left w:val="none" w:sz="0" w:space="0" w:color="auto"/>
                            <w:bottom w:val="none" w:sz="0" w:space="0" w:color="auto"/>
                            <w:right w:val="none" w:sz="0" w:space="0" w:color="auto"/>
                          </w:divBdr>
                          <w:divsChild>
                            <w:div w:id="76063932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26581482">
      <w:bodyDiv w:val="1"/>
      <w:marLeft w:val="0"/>
      <w:marRight w:val="0"/>
      <w:marTop w:val="0"/>
      <w:marBottom w:val="0"/>
      <w:divBdr>
        <w:top w:val="none" w:sz="0" w:space="0" w:color="auto"/>
        <w:left w:val="none" w:sz="0" w:space="0" w:color="auto"/>
        <w:bottom w:val="none" w:sz="0" w:space="0" w:color="auto"/>
        <w:right w:val="none" w:sz="0" w:space="0" w:color="auto"/>
      </w:divBdr>
    </w:div>
    <w:div w:id="1127048462">
      <w:bodyDiv w:val="1"/>
      <w:marLeft w:val="0"/>
      <w:marRight w:val="0"/>
      <w:marTop w:val="0"/>
      <w:marBottom w:val="0"/>
      <w:divBdr>
        <w:top w:val="single" w:sz="2" w:space="0" w:color="CC3640"/>
        <w:left w:val="none" w:sz="0" w:space="0" w:color="auto"/>
        <w:bottom w:val="none" w:sz="0" w:space="0" w:color="auto"/>
        <w:right w:val="none" w:sz="0" w:space="0" w:color="auto"/>
      </w:divBdr>
      <w:divsChild>
        <w:div w:id="1443307017">
          <w:marLeft w:val="0"/>
          <w:marRight w:val="0"/>
          <w:marTop w:val="0"/>
          <w:marBottom w:val="0"/>
          <w:divBdr>
            <w:top w:val="single" w:sz="2" w:space="0" w:color="FF0000"/>
            <w:left w:val="single" w:sz="2" w:space="0" w:color="FF0000"/>
            <w:bottom w:val="single" w:sz="2" w:space="0" w:color="FF0000"/>
            <w:right w:val="single" w:sz="2" w:space="0" w:color="FF0000"/>
          </w:divBdr>
          <w:divsChild>
            <w:div w:id="1385640058">
              <w:marLeft w:val="0"/>
              <w:marRight w:val="0"/>
              <w:marTop w:val="0"/>
              <w:marBottom w:val="0"/>
              <w:divBdr>
                <w:top w:val="none" w:sz="0" w:space="0" w:color="auto"/>
                <w:left w:val="single" w:sz="6" w:space="0" w:color="DDDDDD"/>
                <w:bottom w:val="none" w:sz="0" w:space="0" w:color="auto"/>
                <w:right w:val="none" w:sz="0" w:space="0" w:color="auto"/>
              </w:divBdr>
              <w:divsChild>
                <w:div w:id="364449438">
                  <w:marLeft w:val="0"/>
                  <w:marRight w:val="0"/>
                  <w:marTop w:val="0"/>
                  <w:marBottom w:val="0"/>
                  <w:divBdr>
                    <w:top w:val="single" w:sz="2" w:space="0" w:color="008000"/>
                    <w:left w:val="single" w:sz="2" w:space="0" w:color="008000"/>
                    <w:bottom w:val="single" w:sz="2" w:space="0" w:color="008000"/>
                    <w:right w:val="single" w:sz="2" w:space="0" w:color="008000"/>
                  </w:divBdr>
                  <w:divsChild>
                    <w:div w:id="429545452">
                      <w:marLeft w:val="0"/>
                      <w:marRight w:val="0"/>
                      <w:marTop w:val="0"/>
                      <w:marBottom w:val="0"/>
                      <w:divBdr>
                        <w:top w:val="none" w:sz="0" w:space="0" w:color="auto"/>
                        <w:left w:val="none" w:sz="0" w:space="0" w:color="auto"/>
                        <w:bottom w:val="none" w:sz="0" w:space="0" w:color="auto"/>
                        <w:right w:val="none" w:sz="0" w:space="0" w:color="auto"/>
                      </w:divBdr>
                      <w:divsChild>
                        <w:div w:id="554894754">
                          <w:marLeft w:val="0"/>
                          <w:marRight w:val="0"/>
                          <w:marTop w:val="0"/>
                          <w:marBottom w:val="0"/>
                          <w:divBdr>
                            <w:top w:val="none" w:sz="0" w:space="0" w:color="auto"/>
                            <w:left w:val="none" w:sz="0" w:space="0" w:color="auto"/>
                            <w:bottom w:val="none" w:sz="0" w:space="0" w:color="auto"/>
                            <w:right w:val="none" w:sz="0" w:space="0" w:color="auto"/>
                          </w:divBdr>
                          <w:divsChild>
                            <w:div w:id="2340971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36293475">
      <w:bodyDiv w:val="1"/>
      <w:marLeft w:val="0"/>
      <w:marRight w:val="0"/>
      <w:marTop w:val="0"/>
      <w:marBottom w:val="0"/>
      <w:divBdr>
        <w:top w:val="none" w:sz="0" w:space="0" w:color="auto"/>
        <w:left w:val="none" w:sz="0" w:space="0" w:color="auto"/>
        <w:bottom w:val="none" w:sz="0" w:space="0" w:color="auto"/>
        <w:right w:val="none" w:sz="0" w:space="0" w:color="auto"/>
      </w:divBdr>
    </w:div>
    <w:div w:id="1161433306">
      <w:bodyDiv w:val="1"/>
      <w:marLeft w:val="0"/>
      <w:marRight w:val="0"/>
      <w:marTop w:val="0"/>
      <w:marBottom w:val="0"/>
      <w:divBdr>
        <w:top w:val="single" w:sz="2" w:space="0" w:color="CC3640"/>
        <w:left w:val="none" w:sz="0" w:space="0" w:color="auto"/>
        <w:bottom w:val="none" w:sz="0" w:space="0" w:color="auto"/>
        <w:right w:val="none" w:sz="0" w:space="0" w:color="auto"/>
      </w:divBdr>
      <w:divsChild>
        <w:div w:id="1189025312">
          <w:marLeft w:val="0"/>
          <w:marRight w:val="0"/>
          <w:marTop w:val="0"/>
          <w:marBottom w:val="0"/>
          <w:divBdr>
            <w:top w:val="single" w:sz="2" w:space="0" w:color="FF0000"/>
            <w:left w:val="single" w:sz="2" w:space="0" w:color="FF0000"/>
            <w:bottom w:val="single" w:sz="2" w:space="0" w:color="FF0000"/>
            <w:right w:val="single" w:sz="2" w:space="0" w:color="FF0000"/>
          </w:divBdr>
          <w:divsChild>
            <w:div w:id="677851708">
              <w:marLeft w:val="0"/>
              <w:marRight w:val="0"/>
              <w:marTop w:val="0"/>
              <w:marBottom w:val="0"/>
              <w:divBdr>
                <w:top w:val="none" w:sz="0" w:space="0" w:color="auto"/>
                <w:left w:val="single" w:sz="6" w:space="0" w:color="DDDDDD"/>
                <w:bottom w:val="none" w:sz="0" w:space="0" w:color="auto"/>
                <w:right w:val="none" w:sz="0" w:space="0" w:color="auto"/>
              </w:divBdr>
              <w:divsChild>
                <w:div w:id="1188563873">
                  <w:marLeft w:val="0"/>
                  <w:marRight w:val="0"/>
                  <w:marTop w:val="0"/>
                  <w:marBottom w:val="0"/>
                  <w:divBdr>
                    <w:top w:val="single" w:sz="2" w:space="0" w:color="008000"/>
                    <w:left w:val="single" w:sz="2" w:space="0" w:color="008000"/>
                    <w:bottom w:val="single" w:sz="2" w:space="0" w:color="008000"/>
                    <w:right w:val="single" w:sz="2" w:space="0" w:color="008000"/>
                  </w:divBdr>
                  <w:divsChild>
                    <w:div w:id="747115526">
                      <w:marLeft w:val="0"/>
                      <w:marRight w:val="0"/>
                      <w:marTop w:val="0"/>
                      <w:marBottom w:val="0"/>
                      <w:divBdr>
                        <w:top w:val="none" w:sz="0" w:space="0" w:color="auto"/>
                        <w:left w:val="none" w:sz="0" w:space="0" w:color="auto"/>
                        <w:bottom w:val="none" w:sz="0" w:space="0" w:color="auto"/>
                        <w:right w:val="none" w:sz="0" w:space="0" w:color="auto"/>
                      </w:divBdr>
                      <w:divsChild>
                        <w:div w:id="886450490">
                          <w:marLeft w:val="0"/>
                          <w:marRight w:val="0"/>
                          <w:marTop w:val="0"/>
                          <w:marBottom w:val="0"/>
                          <w:divBdr>
                            <w:top w:val="none" w:sz="0" w:space="0" w:color="auto"/>
                            <w:left w:val="none" w:sz="0" w:space="0" w:color="auto"/>
                            <w:bottom w:val="none" w:sz="0" w:space="0" w:color="auto"/>
                            <w:right w:val="none" w:sz="0" w:space="0" w:color="auto"/>
                          </w:divBdr>
                          <w:divsChild>
                            <w:div w:id="165996580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90337081">
      <w:bodyDiv w:val="1"/>
      <w:marLeft w:val="0"/>
      <w:marRight w:val="0"/>
      <w:marTop w:val="0"/>
      <w:marBottom w:val="0"/>
      <w:divBdr>
        <w:top w:val="single" w:sz="2" w:space="0" w:color="CC3640"/>
        <w:left w:val="none" w:sz="0" w:space="0" w:color="auto"/>
        <w:bottom w:val="none" w:sz="0" w:space="0" w:color="auto"/>
        <w:right w:val="none" w:sz="0" w:space="0" w:color="auto"/>
      </w:divBdr>
      <w:divsChild>
        <w:div w:id="1936280099">
          <w:marLeft w:val="0"/>
          <w:marRight w:val="0"/>
          <w:marTop w:val="0"/>
          <w:marBottom w:val="0"/>
          <w:divBdr>
            <w:top w:val="single" w:sz="2" w:space="0" w:color="FF0000"/>
            <w:left w:val="single" w:sz="2" w:space="0" w:color="FF0000"/>
            <w:bottom w:val="single" w:sz="2" w:space="0" w:color="FF0000"/>
            <w:right w:val="single" w:sz="2" w:space="0" w:color="FF0000"/>
          </w:divBdr>
          <w:divsChild>
            <w:div w:id="1911770220">
              <w:marLeft w:val="0"/>
              <w:marRight w:val="0"/>
              <w:marTop w:val="0"/>
              <w:marBottom w:val="0"/>
              <w:divBdr>
                <w:top w:val="none" w:sz="0" w:space="0" w:color="auto"/>
                <w:left w:val="single" w:sz="6" w:space="0" w:color="DDDDDD"/>
                <w:bottom w:val="none" w:sz="0" w:space="0" w:color="auto"/>
                <w:right w:val="none" w:sz="0" w:space="0" w:color="auto"/>
              </w:divBdr>
              <w:divsChild>
                <w:div w:id="925378816">
                  <w:marLeft w:val="0"/>
                  <w:marRight w:val="0"/>
                  <w:marTop w:val="0"/>
                  <w:marBottom w:val="0"/>
                  <w:divBdr>
                    <w:top w:val="single" w:sz="2" w:space="0" w:color="008000"/>
                    <w:left w:val="single" w:sz="2" w:space="0" w:color="008000"/>
                    <w:bottom w:val="single" w:sz="2" w:space="0" w:color="008000"/>
                    <w:right w:val="single" w:sz="2" w:space="0" w:color="008000"/>
                  </w:divBdr>
                  <w:divsChild>
                    <w:div w:id="977076639">
                      <w:marLeft w:val="0"/>
                      <w:marRight w:val="0"/>
                      <w:marTop w:val="0"/>
                      <w:marBottom w:val="0"/>
                      <w:divBdr>
                        <w:top w:val="none" w:sz="0" w:space="0" w:color="auto"/>
                        <w:left w:val="none" w:sz="0" w:space="0" w:color="auto"/>
                        <w:bottom w:val="none" w:sz="0" w:space="0" w:color="auto"/>
                        <w:right w:val="none" w:sz="0" w:space="0" w:color="auto"/>
                      </w:divBdr>
                      <w:divsChild>
                        <w:div w:id="904141907">
                          <w:marLeft w:val="0"/>
                          <w:marRight w:val="0"/>
                          <w:marTop w:val="0"/>
                          <w:marBottom w:val="0"/>
                          <w:divBdr>
                            <w:top w:val="none" w:sz="0" w:space="0" w:color="auto"/>
                            <w:left w:val="none" w:sz="0" w:space="0" w:color="auto"/>
                            <w:bottom w:val="none" w:sz="0" w:space="0" w:color="auto"/>
                            <w:right w:val="none" w:sz="0" w:space="0" w:color="auto"/>
                          </w:divBdr>
                          <w:divsChild>
                            <w:div w:id="151722904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16160409">
      <w:bodyDiv w:val="1"/>
      <w:marLeft w:val="0"/>
      <w:marRight w:val="0"/>
      <w:marTop w:val="0"/>
      <w:marBottom w:val="0"/>
      <w:divBdr>
        <w:top w:val="single" w:sz="2" w:space="0" w:color="CC3640"/>
        <w:left w:val="none" w:sz="0" w:space="0" w:color="auto"/>
        <w:bottom w:val="none" w:sz="0" w:space="0" w:color="auto"/>
        <w:right w:val="none" w:sz="0" w:space="0" w:color="auto"/>
      </w:divBdr>
      <w:divsChild>
        <w:div w:id="164370405">
          <w:marLeft w:val="0"/>
          <w:marRight w:val="0"/>
          <w:marTop w:val="0"/>
          <w:marBottom w:val="0"/>
          <w:divBdr>
            <w:top w:val="single" w:sz="2" w:space="0" w:color="FF0000"/>
            <w:left w:val="single" w:sz="2" w:space="0" w:color="FF0000"/>
            <w:bottom w:val="single" w:sz="2" w:space="0" w:color="FF0000"/>
            <w:right w:val="single" w:sz="2" w:space="0" w:color="FF0000"/>
          </w:divBdr>
          <w:divsChild>
            <w:div w:id="716121748">
              <w:marLeft w:val="0"/>
              <w:marRight w:val="0"/>
              <w:marTop w:val="0"/>
              <w:marBottom w:val="0"/>
              <w:divBdr>
                <w:top w:val="none" w:sz="0" w:space="0" w:color="auto"/>
                <w:left w:val="single" w:sz="6" w:space="0" w:color="DDDDDD"/>
                <w:bottom w:val="none" w:sz="0" w:space="0" w:color="auto"/>
                <w:right w:val="none" w:sz="0" w:space="0" w:color="auto"/>
              </w:divBdr>
              <w:divsChild>
                <w:div w:id="2036036751">
                  <w:marLeft w:val="0"/>
                  <w:marRight w:val="0"/>
                  <w:marTop w:val="0"/>
                  <w:marBottom w:val="0"/>
                  <w:divBdr>
                    <w:top w:val="single" w:sz="2" w:space="0" w:color="008000"/>
                    <w:left w:val="single" w:sz="2" w:space="0" w:color="008000"/>
                    <w:bottom w:val="single" w:sz="2" w:space="0" w:color="008000"/>
                    <w:right w:val="single" w:sz="2" w:space="0" w:color="008000"/>
                  </w:divBdr>
                  <w:divsChild>
                    <w:div w:id="240990575">
                      <w:marLeft w:val="0"/>
                      <w:marRight w:val="0"/>
                      <w:marTop w:val="0"/>
                      <w:marBottom w:val="0"/>
                      <w:divBdr>
                        <w:top w:val="none" w:sz="0" w:space="0" w:color="auto"/>
                        <w:left w:val="none" w:sz="0" w:space="0" w:color="auto"/>
                        <w:bottom w:val="none" w:sz="0" w:space="0" w:color="auto"/>
                        <w:right w:val="none" w:sz="0" w:space="0" w:color="auto"/>
                      </w:divBdr>
                      <w:divsChild>
                        <w:div w:id="862550278">
                          <w:marLeft w:val="0"/>
                          <w:marRight w:val="0"/>
                          <w:marTop w:val="0"/>
                          <w:marBottom w:val="0"/>
                          <w:divBdr>
                            <w:top w:val="none" w:sz="0" w:space="0" w:color="auto"/>
                            <w:left w:val="none" w:sz="0" w:space="0" w:color="auto"/>
                            <w:bottom w:val="none" w:sz="0" w:space="0" w:color="auto"/>
                            <w:right w:val="none" w:sz="0" w:space="0" w:color="auto"/>
                          </w:divBdr>
                          <w:divsChild>
                            <w:div w:id="61120698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4873526">
      <w:bodyDiv w:val="1"/>
      <w:marLeft w:val="0"/>
      <w:marRight w:val="0"/>
      <w:marTop w:val="0"/>
      <w:marBottom w:val="0"/>
      <w:divBdr>
        <w:top w:val="none" w:sz="0" w:space="0" w:color="auto"/>
        <w:left w:val="none" w:sz="0" w:space="0" w:color="auto"/>
        <w:bottom w:val="none" w:sz="0" w:space="0" w:color="auto"/>
        <w:right w:val="none" w:sz="0" w:space="0" w:color="auto"/>
      </w:divBdr>
    </w:div>
    <w:div w:id="1225288476">
      <w:bodyDiv w:val="1"/>
      <w:marLeft w:val="0"/>
      <w:marRight w:val="0"/>
      <w:marTop w:val="0"/>
      <w:marBottom w:val="0"/>
      <w:divBdr>
        <w:top w:val="single" w:sz="2" w:space="0" w:color="CC3640"/>
        <w:left w:val="none" w:sz="0" w:space="0" w:color="auto"/>
        <w:bottom w:val="none" w:sz="0" w:space="0" w:color="auto"/>
        <w:right w:val="none" w:sz="0" w:space="0" w:color="auto"/>
      </w:divBdr>
      <w:divsChild>
        <w:div w:id="1018121820">
          <w:marLeft w:val="0"/>
          <w:marRight w:val="0"/>
          <w:marTop w:val="0"/>
          <w:marBottom w:val="0"/>
          <w:divBdr>
            <w:top w:val="single" w:sz="2" w:space="0" w:color="FF0000"/>
            <w:left w:val="single" w:sz="2" w:space="0" w:color="FF0000"/>
            <w:bottom w:val="single" w:sz="2" w:space="0" w:color="FF0000"/>
            <w:right w:val="single" w:sz="2" w:space="0" w:color="FF0000"/>
          </w:divBdr>
          <w:divsChild>
            <w:div w:id="1277903137">
              <w:marLeft w:val="0"/>
              <w:marRight w:val="0"/>
              <w:marTop w:val="0"/>
              <w:marBottom w:val="0"/>
              <w:divBdr>
                <w:top w:val="none" w:sz="0" w:space="0" w:color="auto"/>
                <w:left w:val="single" w:sz="6" w:space="0" w:color="DDDDDD"/>
                <w:bottom w:val="none" w:sz="0" w:space="0" w:color="auto"/>
                <w:right w:val="none" w:sz="0" w:space="0" w:color="auto"/>
              </w:divBdr>
              <w:divsChild>
                <w:div w:id="1722897232">
                  <w:marLeft w:val="0"/>
                  <w:marRight w:val="0"/>
                  <w:marTop w:val="0"/>
                  <w:marBottom w:val="0"/>
                  <w:divBdr>
                    <w:top w:val="single" w:sz="2" w:space="0" w:color="008000"/>
                    <w:left w:val="single" w:sz="2" w:space="0" w:color="008000"/>
                    <w:bottom w:val="single" w:sz="2" w:space="0" w:color="008000"/>
                    <w:right w:val="single" w:sz="2" w:space="0" w:color="008000"/>
                  </w:divBdr>
                  <w:divsChild>
                    <w:div w:id="1793592647">
                      <w:marLeft w:val="0"/>
                      <w:marRight w:val="0"/>
                      <w:marTop w:val="0"/>
                      <w:marBottom w:val="0"/>
                      <w:divBdr>
                        <w:top w:val="none" w:sz="0" w:space="0" w:color="auto"/>
                        <w:left w:val="none" w:sz="0" w:space="0" w:color="auto"/>
                        <w:bottom w:val="none" w:sz="0" w:space="0" w:color="auto"/>
                        <w:right w:val="none" w:sz="0" w:space="0" w:color="auto"/>
                      </w:divBdr>
                      <w:divsChild>
                        <w:div w:id="1519613252">
                          <w:marLeft w:val="0"/>
                          <w:marRight w:val="0"/>
                          <w:marTop w:val="0"/>
                          <w:marBottom w:val="0"/>
                          <w:divBdr>
                            <w:top w:val="none" w:sz="0" w:space="0" w:color="auto"/>
                            <w:left w:val="none" w:sz="0" w:space="0" w:color="auto"/>
                            <w:bottom w:val="none" w:sz="0" w:space="0" w:color="auto"/>
                            <w:right w:val="none" w:sz="0" w:space="0" w:color="auto"/>
                          </w:divBdr>
                          <w:divsChild>
                            <w:div w:id="381672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49995142">
      <w:bodyDiv w:val="1"/>
      <w:marLeft w:val="0"/>
      <w:marRight w:val="0"/>
      <w:marTop w:val="0"/>
      <w:marBottom w:val="0"/>
      <w:divBdr>
        <w:top w:val="none" w:sz="0" w:space="0" w:color="auto"/>
        <w:left w:val="none" w:sz="0" w:space="0" w:color="auto"/>
        <w:bottom w:val="none" w:sz="0" w:space="0" w:color="auto"/>
        <w:right w:val="none" w:sz="0" w:space="0" w:color="auto"/>
      </w:divBdr>
    </w:div>
    <w:div w:id="1255435661">
      <w:bodyDiv w:val="1"/>
      <w:marLeft w:val="0"/>
      <w:marRight w:val="0"/>
      <w:marTop w:val="0"/>
      <w:marBottom w:val="0"/>
      <w:divBdr>
        <w:top w:val="single" w:sz="2" w:space="0" w:color="CC3640"/>
        <w:left w:val="none" w:sz="0" w:space="0" w:color="auto"/>
        <w:bottom w:val="none" w:sz="0" w:space="0" w:color="auto"/>
        <w:right w:val="none" w:sz="0" w:space="0" w:color="auto"/>
      </w:divBdr>
      <w:divsChild>
        <w:div w:id="1712655943">
          <w:marLeft w:val="0"/>
          <w:marRight w:val="0"/>
          <w:marTop w:val="0"/>
          <w:marBottom w:val="0"/>
          <w:divBdr>
            <w:top w:val="single" w:sz="2" w:space="0" w:color="FF0000"/>
            <w:left w:val="single" w:sz="2" w:space="0" w:color="FF0000"/>
            <w:bottom w:val="single" w:sz="2" w:space="0" w:color="FF0000"/>
            <w:right w:val="single" w:sz="2" w:space="0" w:color="FF0000"/>
          </w:divBdr>
          <w:divsChild>
            <w:div w:id="1221357115">
              <w:marLeft w:val="0"/>
              <w:marRight w:val="0"/>
              <w:marTop w:val="0"/>
              <w:marBottom w:val="0"/>
              <w:divBdr>
                <w:top w:val="none" w:sz="0" w:space="0" w:color="auto"/>
                <w:left w:val="single" w:sz="6" w:space="0" w:color="DDDDDD"/>
                <w:bottom w:val="none" w:sz="0" w:space="0" w:color="auto"/>
                <w:right w:val="none" w:sz="0" w:space="0" w:color="auto"/>
              </w:divBdr>
              <w:divsChild>
                <w:div w:id="1929001002">
                  <w:marLeft w:val="0"/>
                  <w:marRight w:val="0"/>
                  <w:marTop w:val="0"/>
                  <w:marBottom w:val="0"/>
                  <w:divBdr>
                    <w:top w:val="single" w:sz="2" w:space="0" w:color="008000"/>
                    <w:left w:val="single" w:sz="2" w:space="0" w:color="008000"/>
                    <w:bottom w:val="single" w:sz="2" w:space="0" w:color="008000"/>
                    <w:right w:val="single" w:sz="2" w:space="0" w:color="008000"/>
                  </w:divBdr>
                  <w:divsChild>
                    <w:div w:id="796801471">
                      <w:marLeft w:val="0"/>
                      <w:marRight w:val="0"/>
                      <w:marTop w:val="0"/>
                      <w:marBottom w:val="0"/>
                      <w:divBdr>
                        <w:top w:val="none" w:sz="0" w:space="0" w:color="auto"/>
                        <w:left w:val="none" w:sz="0" w:space="0" w:color="auto"/>
                        <w:bottom w:val="none" w:sz="0" w:space="0" w:color="auto"/>
                        <w:right w:val="none" w:sz="0" w:space="0" w:color="auto"/>
                      </w:divBdr>
                      <w:divsChild>
                        <w:div w:id="260794877">
                          <w:marLeft w:val="0"/>
                          <w:marRight w:val="0"/>
                          <w:marTop w:val="0"/>
                          <w:marBottom w:val="0"/>
                          <w:divBdr>
                            <w:top w:val="none" w:sz="0" w:space="0" w:color="auto"/>
                            <w:left w:val="none" w:sz="0" w:space="0" w:color="auto"/>
                            <w:bottom w:val="none" w:sz="0" w:space="0" w:color="auto"/>
                            <w:right w:val="none" w:sz="0" w:space="0" w:color="auto"/>
                          </w:divBdr>
                          <w:divsChild>
                            <w:div w:id="203059747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67234172">
      <w:bodyDiv w:val="1"/>
      <w:marLeft w:val="0"/>
      <w:marRight w:val="0"/>
      <w:marTop w:val="0"/>
      <w:marBottom w:val="0"/>
      <w:divBdr>
        <w:top w:val="none" w:sz="0" w:space="0" w:color="auto"/>
        <w:left w:val="none" w:sz="0" w:space="0" w:color="auto"/>
        <w:bottom w:val="none" w:sz="0" w:space="0" w:color="auto"/>
        <w:right w:val="none" w:sz="0" w:space="0" w:color="auto"/>
      </w:divBdr>
    </w:div>
    <w:div w:id="1335450526">
      <w:bodyDiv w:val="1"/>
      <w:marLeft w:val="0"/>
      <w:marRight w:val="0"/>
      <w:marTop w:val="0"/>
      <w:marBottom w:val="0"/>
      <w:divBdr>
        <w:top w:val="single" w:sz="2" w:space="0" w:color="CC3640"/>
        <w:left w:val="none" w:sz="0" w:space="0" w:color="auto"/>
        <w:bottom w:val="none" w:sz="0" w:space="0" w:color="auto"/>
        <w:right w:val="none" w:sz="0" w:space="0" w:color="auto"/>
      </w:divBdr>
      <w:divsChild>
        <w:div w:id="1102532896">
          <w:marLeft w:val="0"/>
          <w:marRight w:val="0"/>
          <w:marTop w:val="0"/>
          <w:marBottom w:val="0"/>
          <w:divBdr>
            <w:top w:val="single" w:sz="2" w:space="0" w:color="FF0000"/>
            <w:left w:val="single" w:sz="2" w:space="0" w:color="FF0000"/>
            <w:bottom w:val="single" w:sz="2" w:space="0" w:color="FF0000"/>
            <w:right w:val="single" w:sz="2" w:space="0" w:color="FF0000"/>
          </w:divBdr>
          <w:divsChild>
            <w:div w:id="86536632">
              <w:marLeft w:val="0"/>
              <w:marRight w:val="0"/>
              <w:marTop w:val="0"/>
              <w:marBottom w:val="0"/>
              <w:divBdr>
                <w:top w:val="none" w:sz="0" w:space="0" w:color="auto"/>
                <w:left w:val="single" w:sz="6" w:space="0" w:color="DDDDDD"/>
                <w:bottom w:val="none" w:sz="0" w:space="0" w:color="auto"/>
                <w:right w:val="none" w:sz="0" w:space="0" w:color="auto"/>
              </w:divBdr>
              <w:divsChild>
                <w:div w:id="1118376721">
                  <w:marLeft w:val="0"/>
                  <w:marRight w:val="0"/>
                  <w:marTop w:val="0"/>
                  <w:marBottom w:val="0"/>
                  <w:divBdr>
                    <w:top w:val="single" w:sz="2" w:space="0" w:color="008000"/>
                    <w:left w:val="single" w:sz="2" w:space="0" w:color="008000"/>
                    <w:bottom w:val="single" w:sz="2" w:space="0" w:color="008000"/>
                    <w:right w:val="single" w:sz="2" w:space="0" w:color="008000"/>
                  </w:divBdr>
                  <w:divsChild>
                    <w:div w:id="272252013">
                      <w:marLeft w:val="0"/>
                      <w:marRight w:val="0"/>
                      <w:marTop w:val="0"/>
                      <w:marBottom w:val="0"/>
                      <w:divBdr>
                        <w:top w:val="none" w:sz="0" w:space="0" w:color="auto"/>
                        <w:left w:val="none" w:sz="0" w:space="0" w:color="auto"/>
                        <w:bottom w:val="none" w:sz="0" w:space="0" w:color="auto"/>
                        <w:right w:val="none" w:sz="0" w:space="0" w:color="auto"/>
                      </w:divBdr>
                      <w:divsChild>
                        <w:div w:id="982271528">
                          <w:marLeft w:val="0"/>
                          <w:marRight w:val="0"/>
                          <w:marTop w:val="0"/>
                          <w:marBottom w:val="0"/>
                          <w:divBdr>
                            <w:top w:val="none" w:sz="0" w:space="0" w:color="auto"/>
                            <w:left w:val="none" w:sz="0" w:space="0" w:color="auto"/>
                            <w:bottom w:val="none" w:sz="0" w:space="0" w:color="auto"/>
                            <w:right w:val="none" w:sz="0" w:space="0" w:color="auto"/>
                          </w:divBdr>
                          <w:divsChild>
                            <w:div w:id="50470822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58116354">
      <w:bodyDiv w:val="1"/>
      <w:marLeft w:val="0"/>
      <w:marRight w:val="0"/>
      <w:marTop w:val="0"/>
      <w:marBottom w:val="0"/>
      <w:divBdr>
        <w:top w:val="single" w:sz="2" w:space="0" w:color="CC3640"/>
        <w:left w:val="none" w:sz="0" w:space="0" w:color="auto"/>
        <w:bottom w:val="none" w:sz="0" w:space="0" w:color="auto"/>
        <w:right w:val="none" w:sz="0" w:space="0" w:color="auto"/>
      </w:divBdr>
      <w:divsChild>
        <w:div w:id="202525717">
          <w:marLeft w:val="0"/>
          <w:marRight w:val="0"/>
          <w:marTop w:val="0"/>
          <w:marBottom w:val="0"/>
          <w:divBdr>
            <w:top w:val="single" w:sz="2" w:space="0" w:color="FF0000"/>
            <w:left w:val="single" w:sz="2" w:space="0" w:color="FF0000"/>
            <w:bottom w:val="single" w:sz="2" w:space="0" w:color="FF0000"/>
            <w:right w:val="single" w:sz="2" w:space="0" w:color="FF0000"/>
          </w:divBdr>
          <w:divsChild>
            <w:div w:id="53507581">
              <w:marLeft w:val="0"/>
              <w:marRight w:val="0"/>
              <w:marTop w:val="0"/>
              <w:marBottom w:val="0"/>
              <w:divBdr>
                <w:top w:val="none" w:sz="0" w:space="0" w:color="auto"/>
                <w:left w:val="single" w:sz="6" w:space="0" w:color="DDDDDD"/>
                <w:bottom w:val="none" w:sz="0" w:space="0" w:color="auto"/>
                <w:right w:val="none" w:sz="0" w:space="0" w:color="auto"/>
              </w:divBdr>
              <w:divsChild>
                <w:div w:id="1418013088">
                  <w:marLeft w:val="0"/>
                  <w:marRight w:val="0"/>
                  <w:marTop w:val="0"/>
                  <w:marBottom w:val="0"/>
                  <w:divBdr>
                    <w:top w:val="single" w:sz="2" w:space="0" w:color="008000"/>
                    <w:left w:val="single" w:sz="2" w:space="0" w:color="008000"/>
                    <w:bottom w:val="single" w:sz="2" w:space="0" w:color="008000"/>
                    <w:right w:val="single" w:sz="2" w:space="0" w:color="008000"/>
                  </w:divBdr>
                  <w:divsChild>
                    <w:div w:id="1888445983">
                      <w:marLeft w:val="0"/>
                      <w:marRight w:val="0"/>
                      <w:marTop w:val="0"/>
                      <w:marBottom w:val="0"/>
                      <w:divBdr>
                        <w:top w:val="none" w:sz="0" w:space="0" w:color="auto"/>
                        <w:left w:val="none" w:sz="0" w:space="0" w:color="auto"/>
                        <w:bottom w:val="none" w:sz="0" w:space="0" w:color="auto"/>
                        <w:right w:val="none" w:sz="0" w:space="0" w:color="auto"/>
                      </w:divBdr>
                      <w:divsChild>
                        <w:div w:id="194775507">
                          <w:marLeft w:val="0"/>
                          <w:marRight w:val="0"/>
                          <w:marTop w:val="0"/>
                          <w:marBottom w:val="0"/>
                          <w:divBdr>
                            <w:top w:val="none" w:sz="0" w:space="0" w:color="auto"/>
                            <w:left w:val="none" w:sz="0" w:space="0" w:color="auto"/>
                            <w:bottom w:val="none" w:sz="0" w:space="0" w:color="auto"/>
                            <w:right w:val="none" w:sz="0" w:space="0" w:color="auto"/>
                          </w:divBdr>
                          <w:divsChild>
                            <w:div w:id="118871360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81056951">
      <w:bodyDiv w:val="1"/>
      <w:marLeft w:val="0"/>
      <w:marRight w:val="0"/>
      <w:marTop w:val="0"/>
      <w:marBottom w:val="0"/>
      <w:divBdr>
        <w:top w:val="none" w:sz="0" w:space="0" w:color="auto"/>
        <w:left w:val="none" w:sz="0" w:space="0" w:color="auto"/>
        <w:bottom w:val="none" w:sz="0" w:space="0" w:color="auto"/>
        <w:right w:val="none" w:sz="0" w:space="0" w:color="auto"/>
      </w:divBdr>
    </w:div>
    <w:div w:id="1387756871">
      <w:bodyDiv w:val="1"/>
      <w:marLeft w:val="0"/>
      <w:marRight w:val="0"/>
      <w:marTop w:val="0"/>
      <w:marBottom w:val="0"/>
      <w:divBdr>
        <w:top w:val="none" w:sz="0" w:space="0" w:color="auto"/>
        <w:left w:val="none" w:sz="0" w:space="0" w:color="auto"/>
        <w:bottom w:val="none" w:sz="0" w:space="0" w:color="auto"/>
        <w:right w:val="none" w:sz="0" w:space="0" w:color="auto"/>
      </w:divBdr>
    </w:div>
    <w:div w:id="1400251101">
      <w:bodyDiv w:val="1"/>
      <w:marLeft w:val="0"/>
      <w:marRight w:val="0"/>
      <w:marTop w:val="0"/>
      <w:marBottom w:val="0"/>
      <w:divBdr>
        <w:top w:val="single" w:sz="2" w:space="0" w:color="CC3640"/>
        <w:left w:val="none" w:sz="0" w:space="0" w:color="auto"/>
        <w:bottom w:val="none" w:sz="0" w:space="0" w:color="auto"/>
        <w:right w:val="none" w:sz="0" w:space="0" w:color="auto"/>
      </w:divBdr>
      <w:divsChild>
        <w:div w:id="902712584">
          <w:marLeft w:val="0"/>
          <w:marRight w:val="0"/>
          <w:marTop w:val="0"/>
          <w:marBottom w:val="0"/>
          <w:divBdr>
            <w:top w:val="single" w:sz="2" w:space="0" w:color="FF0000"/>
            <w:left w:val="single" w:sz="2" w:space="0" w:color="FF0000"/>
            <w:bottom w:val="single" w:sz="2" w:space="0" w:color="FF0000"/>
            <w:right w:val="single" w:sz="2" w:space="0" w:color="FF0000"/>
          </w:divBdr>
          <w:divsChild>
            <w:div w:id="77755868">
              <w:marLeft w:val="0"/>
              <w:marRight w:val="0"/>
              <w:marTop w:val="0"/>
              <w:marBottom w:val="0"/>
              <w:divBdr>
                <w:top w:val="none" w:sz="0" w:space="0" w:color="auto"/>
                <w:left w:val="single" w:sz="6" w:space="0" w:color="DDDDDD"/>
                <w:bottom w:val="none" w:sz="0" w:space="0" w:color="auto"/>
                <w:right w:val="none" w:sz="0" w:space="0" w:color="auto"/>
              </w:divBdr>
              <w:divsChild>
                <w:div w:id="1574661788">
                  <w:marLeft w:val="0"/>
                  <w:marRight w:val="0"/>
                  <w:marTop w:val="0"/>
                  <w:marBottom w:val="0"/>
                  <w:divBdr>
                    <w:top w:val="single" w:sz="2" w:space="0" w:color="008000"/>
                    <w:left w:val="single" w:sz="2" w:space="0" w:color="008000"/>
                    <w:bottom w:val="single" w:sz="2" w:space="0" w:color="008000"/>
                    <w:right w:val="single" w:sz="2" w:space="0" w:color="008000"/>
                  </w:divBdr>
                  <w:divsChild>
                    <w:div w:id="964165958">
                      <w:marLeft w:val="0"/>
                      <w:marRight w:val="0"/>
                      <w:marTop w:val="0"/>
                      <w:marBottom w:val="0"/>
                      <w:divBdr>
                        <w:top w:val="none" w:sz="0" w:space="0" w:color="auto"/>
                        <w:left w:val="none" w:sz="0" w:space="0" w:color="auto"/>
                        <w:bottom w:val="none" w:sz="0" w:space="0" w:color="auto"/>
                        <w:right w:val="none" w:sz="0" w:space="0" w:color="auto"/>
                      </w:divBdr>
                      <w:divsChild>
                        <w:div w:id="449979453">
                          <w:marLeft w:val="0"/>
                          <w:marRight w:val="0"/>
                          <w:marTop w:val="0"/>
                          <w:marBottom w:val="0"/>
                          <w:divBdr>
                            <w:top w:val="none" w:sz="0" w:space="0" w:color="auto"/>
                            <w:left w:val="none" w:sz="0" w:space="0" w:color="auto"/>
                            <w:bottom w:val="none" w:sz="0" w:space="0" w:color="auto"/>
                            <w:right w:val="none" w:sz="0" w:space="0" w:color="auto"/>
                          </w:divBdr>
                          <w:divsChild>
                            <w:div w:id="12568658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11582377">
      <w:bodyDiv w:val="1"/>
      <w:marLeft w:val="0"/>
      <w:marRight w:val="0"/>
      <w:marTop w:val="0"/>
      <w:marBottom w:val="0"/>
      <w:divBdr>
        <w:top w:val="none" w:sz="0" w:space="0" w:color="auto"/>
        <w:left w:val="none" w:sz="0" w:space="0" w:color="auto"/>
        <w:bottom w:val="none" w:sz="0" w:space="0" w:color="auto"/>
        <w:right w:val="none" w:sz="0" w:space="0" w:color="auto"/>
      </w:divBdr>
      <w:divsChild>
        <w:div w:id="862864454">
          <w:marLeft w:val="0"/>
          <w:marRight w:val="0"/>
          <w:marTop w:val="0"/>
          <w:marBottom w:val="0"/>
          <w:divBdr>
            <w:top w:val="none" w:sz="0" w:space="0" w:color="auto"/>
            <w:left w:val="none" w:sz="0" w:space="0" w:color="auto"/>
            <w:bottom w:val="none" w:sz="0" w:space="0" w:color="auto"/>
            <w:right w:val="none" w:sz="0" w:space="0" w:color="auto"/>
          </w:divBdr>
          <w:divsChild>
            <w:div w:id="16006249">
              <w:marLeft w:val="0"/>
              <w:marRight w:val="0"/>
              <w:marTop w:val="0"/>
              <w:marBottom w:val="360"/>
              <w:divBdr>
                <w:top w:val="none" w:sz="0" w:space="0" w:color="auto"/>
                <w:left w:val="none" w:sz="0" w:space="0" w:color="auto"/>
                <w:bottom w:val="none" w:sz="0" w:space="0" w:color="auto"/>
                <w:right w:val="none" w:sz="0" w:space="0" w:color="auto"/>
              </w:divBdr>
              <w:divsChild>
                <w:div w:id="298343347">
                  <w:marLeft w:val="0"/>
                  <w:marRight w:val="0"/>
                  <w:marTop w:val="0"/>
                  <w:marBottom w:val="0"/>
                  <w:divBdr>
                    <w:top w:val="none" w:sz="0" w:space="0" w:color="auto"/>
                    <w:left w:val="none" w:sz="0" w:space="0" w:color="auto"/>
                    <w:bottom w:val="none" w:sz="0" w:space="0" w:color="auto"/>
                    <w:right w:val="none" w:sz="0" w:space="0" w:color="auto"/>
                  </w:divBdr>
                  <w:divsChild>
                    <w:div w:id="1216700446">
                      <w:marLeft w:val="0"/>
                      <w:marRight w:val="0"/>
                      <w:marTop w:val="0"/>
                      <w:marBottom w:val="0"/>
                      <w:divBdr>
                        <w:top w:val="none" w:sz="0" w:space="0" w:color="auto"/>
                        <w:left w:val="none" w:sz="0" w:space="0" w:color="auto"/>
                        <w:bottom w:val="none" w:sz="0" w:space="0" w:color="auto"/>
                        <w:right w:val="none" w:sz="0" w:space="0" w:color="auto"/>
                      </w:divBdr>
                      <w:divsChild>
                        <w:div w:id="942029666">
                          <w:marLeft w:val="0"/>
                          <w:marRight w:val="0"/>
                          <w:marTop w:val="0"/>
                          <w:marBottom w:val="0"/>
                          <w:divBdr>
                            <w:top w:val="none" w:sz="0" w:space="0" w:color="auto"/>
                            <w:left w:val="none" w:sz="0" w:space="0" w:color="auto"/>
                            <w:bottom w:val="none" w:sz="0" w:space="0" w:color="auto"/>
                            <w:right w:val="none" w:sz="0" w:space="0" w:color="auto"/>
                          </w:divBdr>
                          <w:divsChild>
                            <w:div w:id="506528423">
                              <w:marLeft w:val="0"/>
                              <w:marRight w:val="0"/>
                              <w:marTop w:val="0"/>
                              <w:marBottom w:val="0"/>
                              <w:divBdr>
                                <w:top w:val="none" w:sz="0" w:space="0" w:color="auto"/>
                                <w:left w:val="none" w:sz="0" w:space="0" w:color="auto"/>
                                <w:bottom w:val="none" w:sz="0" w:space="0" w:color="auto"/>
                                <w:right w:val="none" w:sz="0" w:space="0" w:color="auto"/>
                              </w:divBdr>
                              <w:divsChild>
                                <w:div w:id="2577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38970">
      <w:bodyDiv w:val="1"/>
      <w:marLeft w:val="0"/>
      <w:marRight w:val="0"/>
      <w:marTop w:val="0"/>
      <w:marBottom w:val="0"/>
      <w:divBdr>
        <w:top w:val="single" w:sz="2" w:space="0" w:color="CC3640"/>
        <w:left w:val="none" w:sz="0" w:space="0" w:color="auto"/>
        <w:bottom w:val="none" w:sz="0" w:space="0" w:color="auto"/>
        <w:right w:val="none" w:sz="0" w:space="0" w:color="auto"/>
      </w:divBdr>
      <w:divsChild>
        <w:div w:id="1709836828">
          <w:marLeft w:val="0"/>
          <w:marRight w:val="0"/>
          <w:marTop w:val="0"/>
          <w:marBottom w:val="0"/>
          <w:divBdr>
            <w:top w:val="single" w:sz="2" w:space="0" w:color="FF0000"/>
            <w:left w:val="single" w:sz="2" w:space="0" w:color="FF0000"/>
            <w:bottom w:val="single" w:sz="2" w:space="0" w:color="FF0000"/>
            <w:right w:val="single" w:sz="2" w:space="0" w:color="FF0000"/>
          </w:divBdr>
          <w:divsChild>
            <w:div w:id="955018480">
              <w:marLeft w:val="0"/>
              <w:marRight w:val="0"/>
              <w:marTop w:val="0"/>
              <w:marBottom w:val="0"/>
              <w:divBdr>
                <w:top w:val="none" w:sz="0" w:space="0" w:color="auto"/>
                <w:left w:val="single" w:sz="6" w:space="0" w:color="DDDDDD"/>
                <w:bottom w:val="none" w:sz="0" w:space="0" w:color="auto"/>
                <w:right w:val="none" w:sz="0" w:space="0" w:color="auto"/>
              </w:divBdr>
              <w:divsChild>
                <w:div w:id="1608923758">
                  <w:marLeft w:val="0"/>
                  <w:marRight w:val="0"/>
                  <w:marTop w:val="0"/>
                  <w:marBottom w:val="0"/>
                  <w:divBdr>
                    <w:top w:val="single" w:sz="2" w:space="0" w:color="008000"/>
                    <w:left w:val="single" w:sz="2" w:space="0" w:color="008000"/>
                    <w:bottom w:val="single" w:sz="2" w:space="0" w:color="008000"/>
                    <w:right w:val="single" w:sz="2" w:space="0" w:color="008000"/>
                  </w:divBdr>
                  <w:divsChild>
                    <w:div w:id="471138697">
                      <w:marLeft w:val="0"/>
                      <w:marRight w:val="0"/>
                      <w:marTop w:val="0"/>
                      <w:marBottom w:val="0"/>
                      <w:divBdr>
                        <w:top w:val="none" w:sz="0" w:space="0" w:color="auto"/>
                        <w:left w:val="none" w:sz="0" w:space="0" w:color="auto"/>
                        <w:bottom w:val="none" w:sz="0" w:space="0" w:color="auto"/>
                        <w:right w:val="none" w:sz="0" w:space="0" w:color="auto"/>
                      </w:divBdr>
                      <w:divsChild>
                        <w:div w:id="398097184">
                          <w:marLeft w:val="0"/>
                          <w:marRight w:val="0"/>
                          <w:marTop w:val="0"/>
                          <w:marBottom w:val="0"/>
                          <w:divBdr>
                            <w:top w:val="none" w:sz="0" w:space="0" w:color="auto"/>
                            <w:left w:val="none" w:sz="0" w:space="0" w:color="auto"/>
                            <w:bottom w:val="none" w:sz="0" w:space="0" w:color="auto"/>
                            <w:right w:val="none" w:sz="0" w:space="0" w:color="auto"/>
                          </w:divBdr>
                          <w:divsChild>
                            <w:div w:id="62372949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80927523">
      <w:bodyDiv w:val="1"/>
      <w:marLeft w:val="0"/>
      <w:marRight w:val="0"/>
      <w:marTop w:val="0"/>
      <w:marBottom w:val="0"/>
      <w:divBdr>
        <w:top w:val="single" w:sz="2" w:space="0" w:color="CC3640"/>
        <w:left w:val="none" w:sz="0" w:space="0" w:color="auto"/>
        <w:bottom w:val="none" w:sz="0" w:space="0" w:color="auto"/>
        <w:right w:val="none" w:sz="0" w:space="0" w:color="auto"/>
      </w:divBdr>
      <w:divsChild>
        <w:div w:id="196817906">
          <w:marLeft w:val="0"/>
          <w:marRight w:val="0"/>
          <w:marTop w:val="0"/>
          <w:marBottom w:val="0"/>
          <w:divBdr>
            <w:top w:val="single" w:sz="2" w:space="0" w:color="FF0000"/>
            <w:left w:val="single" w:sz="2" w:space="0" w:color="FF0000"/>
            <w:bottom w:val="single" w:sz="2" w:space="0" w:color="FF0000"/>
            <w:right w:val="single" w:sz="2" w:space="0" w:color="FF0000"/>
          </w:divBdr>
          <w:divsChild>
            <w:div w:id="455294574">
              <w:marLeft w:val="0"/>
              <w:marRight w:val="0"/>
              <w:marTop w:val="0"/>
              <w:marBottom w:val="0"/>
              <w:divBdr>
                <w:top w:val="none" w:sz="0" w:space="0" w:color="auto"/>
                <w:left w:val="single" w:sz="6" w:space="0" w:color="DDDDDD"/>
                <w:bottom w:val="none" w:sz="0" w:space="0" w:color="auto"/>
                <w:right w:val="none" w:sz="0" w:space="0" w:color="auto"/>
              </w:divBdr>
              <w:divsChild>
                <w:div w:id="22638227">
                  <w:marLeft w:val="0"/>
                  <w:marRight w:val="0"/>
                  <w:marTop w:val="0"/>
                  <w:marBottom w:val="0"/>
                  <w:divBdr>
                    <w:top w:val="single" w:sz="2" w:space="0" w:color="008000"/>
                    <w:left w:val="single" w:sz="2" w:space="0" w:color="008000"/>
                    <w:bottom w:val="single" w:sz="2" w:space="0" w:color="008000"/>
                    <w:right w:val="single" w:sz="2" w:space="0" w:color="008000"/>
                  </w:divBdr>
                  <w:divsChild>
                    <w:div w:id="542792824">
                      <w:marLeft w:val="0"/>
                      <w:marRight w:val="0"/>
                      <w:marTop w:val="0"/>
                      <w:marBottom w:val="0"/>
                      <w:divBdr>
                        <w:top w:val="none" w:sz="0" w:space="0" w:color="auto"/>
                        <w:left w:val="none" w:sz="0" w:space="0" w:color="auto"/>
                        <w:bottom w:val="none" w:sz="0" w:space="0" w:color="auto"/>
                        <w:right w:val="none" w:sz="0" w:space="0" w:color="auto"/>
                      </w:divBdr>
                      <w:divsChild>
                        <w:div w:id="510069755">
                          <w:marLeft w:val="0"/>
                          <w:marRight w:val="0"/>
                          <w:marTop w:val="0"/>
                          <w:marBottom w:val="0"/>
                          <w:divBdr>
                            <w:top w:val="none" w:sz="0" w:space="0" w:color="auto"/>
                            <w:left w:val="none" w:sz="0" w:space="0" w:color="auto"/>
                            <w:bottom w:val="none" w:sz="0" w:space="0" w:color="auto"/>
                            <w:right w:val="none" w:sz="0" w:space="0" w:color="auto"/>
                          </w:divBdr>
                          <w:divsChild>
                            <w:div w:id="137450565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13567536">
      <w:bodyDiv w:val="1"/>
      <w:marLeft w:val="0"/>
      <w:marRight w:val="0"/>
      <w:marTop w:val="0"/>
      <w:marBottom w:val="0"/>
      <w:divBdr>
        <w:top w:val="none" w:sz="0" w:space="0" w:color="auto"/>
        <w:left w:val="none" w:sz="0" w:space="0" w:color="auto"/>
        <w:bottom w:val="none" w:sz="0" w:space="0" w:color="auto"/>
        <w:right w:val="none" w:sz="0" w:space="0" w:color="auto"/>
      </w:divBdr>
    </w:div>
    <w:div w:id="1558668221">
      <w:bodyDiv w:val="1"/>
      <w:marLeft w:val="0"/>
      <w:marRight w:val="0"/>
      <w:marTop w:val="0"/>
      <w:marBottom w:val="0"/>
      <w:divBdr>
        <w:top w:val="none" w:sz="0" w:space="0" w:color="auto"/>
        <w:left w:val="none" w:sz="0" w:space="0" w:color="auto"/>
        <w:bottom w:val="none" w:sz="0" w:space="0" w:color="auto"/>
        <w:right w:val="none" w:sz="0" w:space="0" w:color="auto"/>
      </w:divBdr>
    </w:div>
    <w:div w:id="1572958154">
      <w:bodyDiv w:val="1"/>
      <w:marLeft w:val="0"/>
      <w:marRight w:val="0"/>
      <w:marTop w:val="0"/>
      <w:marBottom w:val="0"/>
      <w:divBdr>
        <w:top w:val="single" w:sz="2" w:space="0" w:color="CC3640"/>
        <w:left w:val="none" w:sz="0" w:space="0" w:color="auto"/>
        <w:bottom w:val="none" w:sz="0" w:space="0" w:color="auto"/>
        <w:right w:val="none" w:sz="0" w:space="0" w:color="auto"/>
      </w:divBdr>
      <w:divsChild>
        <w:div w:id="502743747">
          <w:marLeft w:val="0"/>
          <w:marRight w:val="0"/>
          <w:marTop w:val="0"/>
          <w:marBottom w:val="0"/>
          <w:divBdr>
            <w:top w:val="single" w:sz="2" w:space="0" w:color="FF0000"/>
            <w:left w:val="single" w:sz="2" w:space="0" w:color="FF0000"/>
            <w:bottom w:val="single" w:sz="2" w:space="0" w:color="FF0000"/>
            <w:right w:val="single" w:sz="2" w:space="0" w:color="FF0000"/>
          </w:divBdr>
          <w:divsChild>
            <w:div w:id="2028364234">
              <w:marLeft w:val="0"/>
              <w:marRight w:val="0"/>
              <w:marTop w:val="0"/>
              <w:marBottom w:val="0"/>
              <w:divBdr>
                <w:top w:val="none" w:sz="0" w:space="0" w:color="auto"/>
                <w:left w:val="single" w:sz="6" w:space="0" w:color="DDDDDD"/>
                <w:bottom w:val="none" w:sz="0" w:space="0" w:color="auto"/>
                <w:right w:val="none" w:sz="0" w:space="0" w:color="auto"/>
              </w:divBdr>
              <w:divsChild>
                <w:div w:id="1475639928">
                  <w:marLeft w:val="0"/>
                  <w:marRight w:val="0"/>
                  <w:marTop w:val="0"/>
                  <w:marBottom w:val="0"/>
                  <w:divBdr>
                    <w:top w:val="single" w:sz="2" w:space="0" w:color="008000"/>
                    <w:left w:val="single" w:sz="2" w:space="0" w:color="008000"/>
                    <w:bottom w:val="single" w:sz="2" w:space="0" w:color="008000"/>
                    <w:right w:val="single" w:sz="2" w:space="0" w:color="008000"/>
                  </w:divBdr>
                  <w:divsChild>
                    <w:div w:id="1912738309">
                      <w:marLeft w:val="0"/>
                      <w:marRight w:val="0"/>
                      <w:marTop w:val="0"/>
                      <w:marBottom w:val="0"/>
                      <w:divBdr>
                        <w:top w:val="none" w:sz="0" w:space="0" w:color="auto"/>
                        <w:left w:val="none" w:sz="0" w:space="0" w:color="auto"/>
                        <w:bottom w:val="none" w:sz="0" w:space="0" w:color="auto"/>
                        <w:right w:val="none" w:sz="0" w:space="0" w:color="auto"/>
                      </w:divBdr>
                      <w:divsChild>
                        <w:div w:id="1294605253">
                          <w:marLeft w:val="0"/>
                          <w:marRight w:val="0"/>
                          <w:marTop w:val="0"/>
                          <w:marBottom w:val="0"/>
                          <w:divBdr>
                            <w:top w:val="none" w:sz="0" w:space="0" w:color="auto"/>
                            <w:left w:val="none" w:sz="0" w:space="0" w:color="auto"/>
                            <w:bottom w:val="none" w:sz="0" w:space="0" w:color="auto"/>
                            <w:right w:val="none" w:sz="0" w:space="0" w:color="auto"/>
                          </w:divBdr>
                          <w:divsChild>
                            <w:div w:id="196276118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73156213">
      <w:bodyDiv w:val="1"/>
      <w:marLeft w:val="0"/>
      <w:marRight w:val="0"/>
      <w:marTop w:val="0"/>
      <w:marBottom w:val="0"/>
      <w:divBdr>
        <w:top w:val="none" w:sz="0" w:space="0" w:color="auto"/>
        <w:left w:val="none" w:sz="0" w:space="0" w:color="auto"/>
        <w:bottom w:val="none" w:sz="0" w:space="0" w:color="auto"/>
        <w:right w:val="none" w:sz="0" w:space="0" w:color="auto"/>
      </w:divBdr>
    </w:div>
    <w:div w:id="1610508968">
      <w:bodyDiv w:val="1"/>
      <w:marLeft w:val="0"/>
      <w:marRight w:val="0"/>
      <w:marTop w:val="0"/>
      <w:marBottom w:val="0"/>
      <w:divBdr>
        <w:top w:val="single" w:sz="2" w:space="0" w:color="CC3640"/>
        <w:left w:val="none" w:sz="0" w:space="0" w:color="auto"/>
        <w:bottom w:val="none" w:sz="0" w:space="0" w:color="auto"/>
        <w:right w:val="none" w:sz="0" w:space="0" w:color="auto"/>
      </w:divBdr>
      <w:divsChild>
        <w:div w:id="1517232106">
          <w:marLeft w:val="0"/>
          <w:marRight w:val="0"/>
          <w:marTop w:val="0"/>
          <w:marBottom w:val="0"/>
          <w:divBdr>
            <w:top w:val="single" w:sz="2" w:space="0" w:color="FF0000"/>
            <w:left w:val="single" w:sz="2" w:space="0" w:color="FF0000"/>
            <w:bottom w:val="single" w:sz="2" w:space="0" w:color="FF0000"/>
            <w:right w:val="single" w:sz="2" w:space="0" w:color="FF0000"/>
          </w:divBdr>
          <w:divsChild>
            <w:div w:id="1548839312">
              <w:marLeft w:val="0"/>
              <w:marRight w:val="0"/>
              <w:marTop w:val="0"/>
              <w:marBottom w:val="0"/>
              <w:divBdr>
                <w:top w:val="none" w:sz="0" w:space="0" w:color="auto"/>
                <w:left w:val="single" w:sz="6" w:space="0" w:color="DDDDDD"/>
                <w:bottom w:val="none" w:sz="0" w:space="0" w:color="auto"/>
                <w:right w:val="none" w:sz="0" w:space="0" w:color="auto"/>
              </w:divBdr>
              <w:divsChild>
                <w:div w:id="219022902">
                  <w:marLeft w:val="0"/>
                  <w:marRight w:val="0"/>
                  <w:marTop w:val="0"/>
                  <w:marBottom w:val="0"/>
                  <w:divBdr>
                    <w:top w:val="single" w:sz="2" w:space="0" w:color="008000"/>
                    <w:left w:val="single" w:sz="2" w:space="0" w:color="008000"/>
                    <w:bottom w:val="single" w:sz="2" w:space="0" w:color="008000"/>
                    <w:right w:val="single" w:sz="2" w:space="0" w:color="008000"/>
                  </w:divBdr>
                  <w:divsChild>
                    <w:div w:id="645429667">
                      <w:marLeft w:val="0"/>
                      <w:marRight w:val="0"/>
                      <w:marTop w:val="0"/>
                      <w:marBottom w:val="0"/>
                      <w:divBdr>
                        <w:top w:val="none" w:sz="0" w:space="0" w:color="auto"/>
                        <w:left w:val="none" w:sz="0" w:space="0" w:color="auto"/>
                        <w:bottom w:val="none" w:sz="0" w:space="0" w:color="auto"/>
                        <w:right w:val="none" w:sz="0" w:space="0" w:color="auto"/>
                      </w:divBdr>
                      <w:divsChild>
                        <w:div w:id="536431255">
                          <w:marLeft w:val="0"/>
                          <w:marRight w:val="0"/>
                          <w:marTop w:val="0"/>
                          <w:marBottom w:val="0"/>
                          <w:divBdr>
                            <w:top w:val="none" w:sz="0" w:space="0" w:color="auto"/>
                            <w:left w:val="none" w:sz="0" w:space="0" w:color="auto"/>
                            <w:bottom w:val="none" w:sz="0" w:space="0" w:color="auto"/>
                            <w:right w:val="none" w:sz="0" w:space="0" w:color="auto"/>
                          </w:divBdr>
                          <w:divsChild>
                            <w:div w:id="17131939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55067968">
      <w:bodyDiv w:val="1"/>
      <w:marLeft w:val="0"/>
      <w:marRight w:val="0"/>
      <w:marTop w:val="0"/>
      <w:marBottom w:val="0"/>
      <w:divBdr>
        <w:top w:val="single" w:sz="2" w:space="0" w:color="CC3640"/>
        <w:left w:val="none" w:sz="0" w:space="0" w:color="auto"/>
        <w:bottom w:val="none" w:sz="0" w:space="0" w:color="auto"/>
        <w:right w:val="none" w:sz="0" w:space="0" w:color="auto"/>
      </w:divBdr>
      <w:divsChild>
        <w:div w:id="146753907">
          <w:marLeft w:val="0"/>
          <w:marRight w:val="0"/>
          <w:marTop w:val="0"/>
          <w:marBottom w:val="0"/>
          <w:divBdr>
            <w:top w:val="single" w:sz="2" w:space="0" w:color="FF0000"/>
            <w:left w:val="single" w:sz="2" w:space="0" w:color="FF0000"/>
            <w:bottom w:val="single" w:sz="2" w:space="0" w:color="FF0000"/>
            <w:right w:val="single" w:sz="2" w:space="0" w:color="FF0000"/>
          </w:divBdr>
          <w:divsChild>
            <w:div w:id="1231500015">
              <w:marLeft w:val="0"/>
              <w:marRight w:val="0"/>
              <w:marTop w:val="0"/>
              <w:marBottom w:val="0"/>
              <w:divBdr>
                <w:top w:val="none" w:sz="0" w:space="0" w:color="auto"/>
                <w:left w:val="single" w:sz="6" w:space="0" w:color="DDDDDD"/>
                <w:bottom w:val="none" w:sz="0" w:space="0" w:color="auto"/>
                <w:right w:val="none" w:sz="0" w:space="0" w:color="auto"/>
              </w:divBdr>
              <w:divsChild>
                <w:div w:id="1380205855">
                  <w:marLeft w:val="0"/>
                  <w:marRight w:val="0"/>
                  <w:marTop w:val="0"/>
                  <w:marBottom w:val="0"/>
                  <w:divBdr>
                    <w:top w:val="single" w:sz="2" w:space="0" w:color="008000"/>
                    <w:left w:val="single" w:sz="2" w:space="0" w:color="008000"/>
                    <w:bottom w:val="single" w:sz="2" w:space="0" w:color="008000"/>
                    <w:right w:val="single" w:sz="2" w:space="0" w:color="008000"/>
                  </w:divBdr>
                  <w:divsChild>
                    <w:div w:id="742721442">
                      <w:marLeft w:val="0"/>
                      <w:marRight w:val="0"/>
                      <w:marTop w:val="0"/>
                      <w:marBottom w:val="0"/>
                      <w:divBdr>
                        <w:top w:val="none" w:sz="0" w:space="0" w:color="auto"/>
                        <w:left w:val="none" w:sz="0" w:space="0" w:color="auto"/>
                        <w:bottom w:val="none" w:sz="0" w:space="0" w:color="auto"/>
                        <w:right w:val="none" w:sz="0" w:space="0" w:color="auto"/>
                      </w:divBdr>
                      <w:divsChild>
                        <w:div w:id="1955599336">
                          <w:marLeft w:val="0"/>
                          <w:marRight w:val="0"/>
                          <w:marTop w:val="0"/>
                          <w:marBottom w:val="0"/>
                          <w:divBdr>
                            <w:top w:val="none" w:sz="0" w:space="0" w:color="auto"/>
                            <w:left w:val="none" w:sz="0" w:space="0" w:color="auto"/>
                            <w:bottom w:val="none" w:sz="0" w:space="0" w:color="auto"/>
                            <w:right w:val="none" w:sz="0" w:space="0" w:color="auto"/>
                          </w:divBdr>
                          <w:divsChild>
                            <w:div w:id="20082523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67594181">
      <w:bodyDiv w:val="1"/>
      <w:marLeft w:val="0"/>
      <w:marRight w:val="0"/>
      <w:marTop w:val="0"/>
      <w:marBottom w:val="0"/>
      <w:divBdr>
        <w:top w:val="none" w:sz="0" w:space="0" w:color="auto"/>
        <w:left w:val="none" w:sz="0" w:space="0" w:color="auto"/>
        <w:bottom w:val="none" w:sz="0" w:space="0" w:color="auto"/>
        <w:right w:val="none" w:sz="0" w:space="0" w:color="auto"/>
      </w:divBdr>
    </w:div>
    <w:div w:id="1670213209">
      <w:bodyDiv w:val="1"/>
      <w:marLeft w:val="0"/>
      <w:marRight w:val="0"/>
      <w:marTop w:val="0"/>
      <w:marBottom w:val="0"/>
      <w:divBdr>
        <w:top w:val="none" w:sz="0" w:space="0" w:color="auto"/>
        <w:left w:val="none" w:sz="0" w:space="0" w:color="auto"/>
        <w:bottom w:val="none" w:sz="0" w:space="0" w:color="auto"/>
        <w:right w:val="none" w:sz="0" w:space="0" w:color="auto"/>
      </w:divBdr>
    </w:div>
    <w:div w:id="1710716464">
      <w:bodyDiv w:val="1"/>
      <w:marLeft w:val="0"/>
      <w:marRight w:val="0"/>
      <w:marTop w:val="0"/>
      <w:marBottom w:val="0"/>
      <w:divBdr>
        <w:top w:val="none" w:sz="0" w:space="0" w:color="auto"/>
        <w:left w:val="none" w:sz="0" w:space="0" w:color="auto"/>
        <w:bottom w:val="none" w:sz="0" w:space="0" w:color="auto"/>
        <w:right w:val="none" w:sz="0" w:space="0" w:color="auto"/>
      </w:divBdr>
    </w:div>
    <w:div w:id="1762216924">
      <w:bodyDiv w:val="1"/>
      <w:marLeft w:val="0"/>
      <w:marRight w:val="0"/>
      <w:marTop w:val="0"/>
      <w:marBottom w:val="0"/>
      <w:divBdr>
        <w:top w:val="none" w:sz="0" w:space="0" w:color="auto"/>
        <w:left w:val="none" w:sz="0" w:space="0" w:color="auto"/>
        <w:bottom w:val="none" w:sz="0" w:space="0" w:color="auto"/>
        <w:right w:val="none" w:sz="0" w:space="0" w:color="auto"/>
      </w:divBdr>
    </w:div>
    <w:div w:id="1790591564">
      <w:bodyDiv w:val="1"/>
      <w:marLeft w:val="0"/>
      <w:marRight w:val="0"/>
      <w:marTop w:val="0"/>
      <w:marBottom w:val="0"/>
      <w:divBdr>
        <w:top w:val="none" w:sz="0" w:space="0" w:color="auto"/>
        <w:left w:val="none" w:sz="0" w:space="0" w:color="auto"/>
        <w:bottom w:val="none" w:sz="0" w:space="0" w:color="auto"/>
        <w:right w:val="none" w:sz="0" w:space="0" w:color="auto"/>
      </w:divBdr>
    </w:div>
    <w:div w:id="1810169996">
      <w:bodyDiv w:val="1"/>
      <w:marLeft w:val="0"/>
      <w:marRight w:val="0"/>
      <w:marTop w:val="0"/>
      <w:marBottom w:val="0"/>
      <w:divBdr>
        <w:top w:val="single" w:sz="2" w:space="0" w:color="CC3640"/>
        <w:left w:val="none" w:sz="0" w:space="0" w:color="auto"/>
        <w:bottom w:val="none" w:sz="0" w:space="0" w:color="auto"/>
        <w:right w:val="none" w:sz="0" w:space="0" w:color="auto"/>
      </w:divBdr>
      <w:divsChild>
        <w:div w:id="1337535280">
          <w:marLeft w:val="0"/>
          <w:marRight w:val="0"/>
          <w:marTop w:val="0"/>
          <w:marBottom w:val="0"/>
          <w:divBdr>
            <w:top w:val="single" w:sz="2" w:space="0" w:color="FF0000"/>
            <w:left w:val="single" w:sz="2" w:space="0" w:color="FF0000"/>
            <w:bottom w:val="single" w:sz="2" w:space="0" w:color="FF0000"/>
            <w:right w:val="single" w:sz="2" w:space="0" w:color="FF0000"/>
          </w:divBdr>
          <w:divsChild>
            <w:div w:id="1338729067">
              <w:marLeft w:val="0"/>
              <w:marRight w:val="0"/>
              <w:marTop w:val="0"/>
              <w:marBottom w:val="0"/>
              <w:divBdr>
                <w:top w:val="none" w:sz="0" w:space="0" w:color="auto"/>
                <w:left w:val="single" w:sz="6" w:space="0" w:color="DDDDDD"/>
                <w:bottom w:val="none" w:sz="0" w:space="0" w:color="auto"/>
                <w:right w:val="none" w:sz="0" w:space="0" w:color="auto"/>
              </w:divBdr>
              <w:divsChild>
                <w:div w:id="154952142">
                  <w:marLeft w:val="0"/>
                  <w:marRight w:val="0"/>
                  <w:marTop w:val="0"/>
                  <w:marBottom w:val="0"/>
                  <w:divBdr>
                    <w:top w:val="single" w:sz="2" w:space="0" w:color="008000"/>
                    <w:left w:val="single" w:sz="2" w:space="0" w:color="008000"/>
                    <w:bottom w:val="single" w:sz="2" w:space="0" w:color="008000"/>
                    <w:right w:val="single" w:sz="2" w:space="0" w:color="008000"/>
                  </w:divBdr>
                  <w:divsChild>
                    <w:div w:id="451634984">
                      <w:marLeft w:val="0"/>
                      <w:marRight w:val="0"/>
                      <w:marTop w:val="0"/>
                      <w:marBottom w:val="0"/>
                      <w:divBdr>
                        <w:top w:val="none" w:sz="0" w:space="0" w:color="auto"/>
                        <w:left w:val="none" w:sz="0" w:space="0" w:color="auto"/>
                        <w:bottom w:val="none" w:sz="0" w:space="0" w:color="auto"/>
                        <w:right w:val="none" w:sz="0" w:space="0" w:color="auto"/>
                      </w:divBdr>
                      <w:divsChild>
                        <w:div w:id="301933438">
                          <w:marLeft w:val="0"/>
                          <w:marRight w:val="0"/>
                          <w:marTop w:val="0"/>
                          <w:marBottom w:val="0"/>
                          <w:divBdr>
                            <w:top w:val="none" w:sz="0" w:space="0" w:color="auto"/>
                            <w:left w:val="none" w:sz="0" w:space="0" w:color="auto"/>
                            <w:bottom w:val="none" w:sz="0" w:space="0" w:color="auto"/>
                            <w:right w:val="none" w:sz="0" w:space="0" w:color="auto"/>
                          </w:divBdr>
                          <w:divsChild>
                            <w:div w:id="22041297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25124321">
      <w:bodyDiv w:val="1"/>
      <w:marLeft w:val="0"/>
      <w:marRight w:val="0"/>
      <w:marTop w:val="0"/>
      <w:marBottom w:val="0"/>
      <w:divBdr>
        <w:top w:val="none" w:sz="0" w:space="0" w:color="auto"/>
        <w:left w:val="none" w:sz="0" w:space="0" w:color="auto"/>
        <w:bottom w:val="none" w:sz="0" w:space="0" w:color="auto"/>
        <w:right w:val="none" w:sz="0" w:space="0" w:color="auto"/>
      </w:divBdr>
      <w:divsChild>
        <w:div w:id="1431512748">
          <w:marLeft w:val="0"/>
          <w:marRight w:val="0"/>
          <w:marTop w:val="120"/>
          <w:marBottom w:val="120"/>
          <w:divBdr>
            <w:top w:val="none" w:sz="0" w:space="0" w:color="auto"/>
            <w:left w:val="none" w:sz="0" w:space="0" w:color="auto"/>
            <w:bottom w:val="none" w:sz="0" w:space="0" w:color="auto"/>
            <w:right w:val="none" w:sz="0" w:space="0" w:color="auto"/>
          </w:divBdr>
        </w:div>
        <w:div w:id="2021272301">
          <w:marLeft w:val="0"/>
          <w:marRight w:val="0"/>
          <w:marTop w:val="120"/>
          <w:marBottom w:val="120"/>
          <w:divBdr>
            <w:top w:val="none" w:sz="0" w:space="0" w:color="auto"/>
            <w:left w:val="none" w:sz="0" w:space="0" w:color="auto"/>
            <w:bottom w:val="none" w:sz="0" w:space="0" w:color="auto"/>
            <w:right w:val="none" w:sz="0" w:space="0" w:color="auto"/>
          </w:divBdr>
        </w:div>
      </w:divsChild>
    </w:div>
    <w:div w:id="1825580306">
      <w:bodyDiv w:val="1"/>
      <w:marLeft w:val="0"/>
      <w:marRight w:val="0"/>
      <w:marTop w:val="0"/>
      <w:marBottom w:val="0"/>
      <w:divBdr>
        <w:top w:val="single" w:sz="2" w:space="0" w:color="CC3640"/>
        <w:left w:val="none" w:sz="0" w:space="0" w:color="auto"/>
        <w:bottom w:val="none" w:sz="0" w:space="0" w:color="auto"/>
        <w:right w:val="none" w:sz="0" w:space="0" w:color="auto"/>
      </w:divBdr>
      <w:divsChild>
        <w:div w:id="1596861546">
          <w:marLeft w:val="0"/>
          <w:marRight w:val="0"/>
          <w:marTop w:val="0"/>
          <w:marBottom w:val="0"/>
          <w:divBdr>
            <w:top w:val="single" w:sz="2" w:space="0" w:color="FF0000"/>
            <w:left w:val="single" w:sz="2" w:space="0" w:color="FF0000"/>
            <w:bottom w:val="single" w:sz="2" w:space="0" w:color="FF0000"/>
            <w:right w:val="single" w:sz="2" w:space="0" w:color="FF0000"/>
          </w:divBdr>
          <w:divsChild>
            <w:div w:id="1771506941">
              <w:marLeft w:val="0"/>
              <w:marRight w:val="0"/>
              <w:marTop w:val="0"/>
              <w:marBottom w:val="0"/>
              <w:divBdr>
                <w:top w:val="none" w:sz="0" w:space="0" w:color="auto"/>
                <w:left w:val="single" w:sz="6" w:space="0" w:color="DDDDDD"/>
                <w:bottom w:val="none" w:sz="0" w:space="0" w:color="auto"/>
                <w:right w:val="none" w:sz="0" w:space="0" w:color="auto"/>
              </w:divBdr>
              <w:divsChild>
                <w:div w:id="1509904205">
                  <w:marLeft w:val="0"/>
                  <w:marRight w:val="0"/>
                  <w:marTop w:val="0"/>
                  <w:marBottom w:val="0"/>
                  <w:divBdr>
                    <w:top w:val="single" w:sz="2" w:space="0" w:color="008000"/>
                    <w:left w:val="single" w:sz="2" w:space="0" w:color="008000"/>
                    <w:bottom w:val="single" w:sz="2" w:space="0" w:color="008000"/>
                    <w:right w:val="single" w:sz="2" w:space="0" w:color="008000"/>
                  </w:divBdr>
                  <w:divsChild>
                    <w:div w:id="1941598592">
                      <w:marLeft w:val="0"/>
                      <w:marRight w:val="0"/>
                      <w:marTop w:val="0"/>
                      <w:marBottom w:val="0"/>
                      <w:divBdr>
                        <w:top w:val="none" w:sz="0" w:space="0" w:color="auto"/>
                        <w:left w:val="none" w:sz="0" w:space="0" w:color="auto"/>
                        <w:bottom w:val="none" w:sz="0" w:space="0" w:color="auto"/>
                        <w:right w:val="none" w:sz="0" w:space="0" w:color="auto"/>
                      </w:divBdr>
                      <w:divsChild>
                        <w:div w:id="2127044243">
                          <w:marLeft w:val="0"/>
                          <w:marRight w:val="0"/>
                          <w:marTop w:val="0"/>
                          <w:marBottom w:val="0"/>
                          <w:divBdr>
                            <w:top w:val="none" w:sz="0" w:space="0" w:color="auto"/>
                            <w:left w:val="none" w:sz="0" w:space="0" w:color="auto"/>
                            <w:bottom w:val="none" w:sz="0" w:space="0" w:color="auto"/>
                            <w:right w:val="none" w:sz="0" w:space="0" w:color="auto"/>
                          </w:divBdr>
                          <w:divsChild>
                            <w:div w:id="73624547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76961447">
      <w:bodyDiv w:val="1"/>
      <w:marLeft w:val="0"/>
      <w:marRight w:val="0"/>
      <w:marTop w:val="0"/>
      <w:marBottom w:val="0"/>
      <w:divBdr>
        <w:top w:val="single" w:sz="2" w:space="0" w:color="CC3640"/>
        <w:left w:val="none" w:sz="0" w:space="0" w:color="auto"/>
        <w:bottom w:val="none" w:sz="0" w:space="0" w:color="auto"/>
        <w:right w:val="none" w:sz="0" w:space="0" w:color="auto"/>
      </w:divBdr>
      <w:divsChild>
        <w:div w:id="411121487">
          <w:marLeft w:val="0"/>
          <w:marRight w:val="0"/>
          <w:marTop w:val="0"/>
          <w:marBottom w:val="0"/>
          <w:divBdr>
            <w:top w:val="single" w:sz="2" w:space="0" w:color="FF0000"/>
            <w:left w:val="single" w:sz="2" w:space="0" w:color="FF0000"/>
            <w:bottom w:val="single" w:sz="2" w:space="0" w:color="FF0000"/>
            <w:right w:val="single" w:sz="2" w:space="0" w:color="FF0000"/>
          </w:divBdr>
          <w:divsChild>
            <w:div w:id="2105374662">
              <w:marLeft w:val="0"/>
              <w:marRight w:val="0"/>
              <w:marTop w:val="0"/>
              <w:marBottom w:val="0"/>
              <w:divBdr>
                <w:top w:val="none" w:sz="0" w:space="0" w:color="auto"/>
                <w:left w:val="single" w:sz="6" w:space="0" w:color="DDDDDD"/>
                <w:bottom w:val="none" w:sz="0" w:space="0" w:color="auto"/>
                <w:right w:val="none" w:sz="0" w:space="0" w:color="auto"/>
              </w:divBdr>
              <w:divsChild>
                <w:div w:id="1372195307">
                  <w:marLeft w:val="0"/>
                  <w:marRight w:val="0"/>
                  <w:marTop w:val="0"/>
                  <w:marBottom w:val="0"/>
                  <w:divBdr>
                    <w:top w:val="single" w:sz="2" w:space="0" w:color="008000"/>
                    <w:left w:val="single" w:sz="2" w:space="0" w:color="008000"/>
                    <w:bottom w:val="single" w:sz="2" w:space="0" w:color="008000"/>
                    <w:right w:val="single" w:sz="2" w:space="0" w:color="008000"/>
                  </w:divBdr>
                  <w:divsChild>
                    <w:div w:id="901213921">
                      <w:marLeft w:val="0"/>
                      <w:marRight w:val="0"/>
                      <w:marTop w:val="0"/>
                      <w:marBottom w:val="0"/>
                      <w:divBdr>
                        <w:top w:val="none" w:sz="0" w:space="0" w:color="auto"/>
                        <w:left w:val="none" w:sz="0" w:space="0" w:color="auto"/>
                        <w:bottom w:val="none" w:sz="0" w:space="0" w:color="auto"/>
                        <w:right w:val="none" w:sz="0" w:space="0" w:color="auto"/>
                      </w:divBdr>
                      <w:divsChild>
                        <w:div w:id="1234436731">
                          <w:marLeft w:val="0"/>
                          <w:marRight w:val="0"/>
                          <w:marTop w:val="0"/>
                          <w:marBottom w:val="0"/>
                          <w:divBdr>
                            <w:top w:val="none" w:sz="0" w:space="0" w:color="auto"/>
                            <w:left w:val="none" w:sz="0" w:space="0" w:color="auto"/>
                            <w:bottom w:val="none" w:sz="0" w:space="0" w:color="auto"/>
                            <w:right w:val="none" w:sz="0" w:space="0" w:color="auto"/>
                          </w:divBdr>
                          <w:divsChild>
                            <w:div w:id="186228064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01476320">
      <w:bodyDiv w:val="1"/>
      <w:marLeft w:val="0"/>
      <w:marRight w:val="0"/>
      <w:marTop w:val="0"/>
      <w:marBottom w:val="0"/>
      <w:divBdr>
        <w:top w:val="none" w:sz="0" w:space="0" w:color="auto"/>
        <w:left w:val="none" w:sz="0" w:space="0" w:color="auto"/>
        <w:bottom w:val="none" w:sz="0" w:space="0" w:color="auto"/>
        <w:right w:val="none" w:sz="0" w:space="0" w:color="auto"/>
      </w:divBdr>
    </w:div>
    <w:div w:id="1902204458">
      <w:bodyDiv w:val="1"/>
      <w:marLeft w:val="0"/>
      <w:marRight w:val="0"/>
      <w:marTop w:val="0"/>
      <w:marBottom w:val="0"/>
      <w:divBdr>
        <w:top w:val="none" w:sz="0" w:space="0" w:color="auto"/>
        <w:left w:val="none" w:sz="0" w:space="0" w:color="auto"/>
        <w:bottom w:val="none" w:sz="0" w:space="0" w:color="auto"/>
        <w:right w:val="none" w:sz="0" w:space="0" w:color="auto"/>
      </w:divBdr>
    </w:div>
    <w:div w:id="1921133170">
      <w:bodyDiv w:val="1"/>
      <w:marLeft w:val="0"/>
      <w:marRight w:val="0"/>
      <w:marTop w:val="0"/>
      <w:marBottom w:val="0"/>
      <w:divBdr>
        <w:top w:val="none" w:sz="0" w:space="0" w:color="auto"/>
        <w:left w:val="none" w:sz="0" w:space="0" w:color="auto"/>
        <w:bottom w:val="none" w:sz="0" w:space="0" w:color="auto"/>
        <w:right w:val="none" w:sz="0" w:space="0" w:color="auto"/>
      </w:divBdr>
    </w:div>
    <w:div w:id="1947150639">
      <w:bodyDiv w:val="1"/>
      <w:marLeft w:val="0"/>
      <w:marRight w:val="0"/>
      <w:marTop w:val="0"/>
      <w:marBottom w:val="0"/>
      <w:divBdr>
        <w:top w:val="none" w:sz="0" w:space="0" w:color="auto"/>
        <w:left w:val="none" w:sz="0" w:space="0" w:color="auto"/>
        <w:bottom w:val="none" w:sz="0" w:space="0" w:color="auto"/>
        <w:right w:val="none" w:sz="0" w:space="0" w:color="auto"/>
      </w:divBdr>
    </w:div>
    <w:div w:id="1952974500">
      <w:bodyDiv w:val="1"/>
      <w:marLeft w:val="0"/>
      <w:marRight w:val="0"/>
      <w:marTop w:val="0"/>
      <w:marBottom w:val="0"/>
      <w:divBdr>
        <w:top w:val="none" w:sz="0" w:space="0" w:color="auto"/>
        <w:left w:val="none" w:sz="0" w:space="0" w:color="auto"/>
        <w:bottom w:val="none" w:sz="0" w:space="0" w:color="auto"/>
        <w:right w:val="none" w:sz="0" w:space="0" w:color="auto"/>
      </w:divBdr>
    </w:div>
    <w:div w:id="1955597883">
      <w:bodyDiv w:val="1"/>
      <w:marLeft w:val="0"/>
      <w:marRight w:val="0"/>
      <w:marTop w:val="0"/>
      <w:marBottom w:val="0"/>
      <w:divBdr>
        <w:top w:val="none" w:sz="0" w:space="0" w:color="auto"/>
        <w:left w:val="none" w:sz="0" w:space="0" w:color="auto"/>
        <w:bottom w:val="none" w:sz="0" w:space="0" w:color="auto"/>
        <w:right w:val="none" w:sz="0" w:space="0" w:color="auto"/>
      </w:divBdr>
    </w:div>
    <w:div w:id="1966112066">
      <w:bodyDiv w:val="1"/>
      <w:marLeft w:val="0"/>
      <w:marRight w:val="0"/>
      <w:marTop w:val="0"/>
      <w:marBottom w:val="0"/>
      <w:divBdr>
        <w:top w:val="single" w:sz="2" w:space="0" w:color="CC3640"/>
        <w:left w:val="none" w:sz="0" w:space="0" w:color="auto"/>
        <w:bottom w:val="none" w:sz="0" w:space="0" w:color="auto"/>
        <w:right w:val="none" w:sz="0" w:space="0" w:color="auto"/>
      </w:divBdr>
      <w:divsChild>
        <w:div w:id="1226449228">
          <w:marLeft w:val="0"/>
          <w:marRight w:val="0"/>
          <w:marTop w:val="0"/>
          <w:marBottom w:val="0"/>
          <w:divBdr>
            <w:top w:val="single" w:sz="2" w:space="0" w:color="FF0000"/>
            <w:left w:val="single" w:sz="2" w:space="0" w:color="FF0000"/>
            <w:bottom w:val="single" w:sz="2" w:space="0" w:color="FF0000"/>
            <w:right w:val="single" w:sz="2" w:space="0" w:color="FF0000"/>
          </w:divBdr>
          <w:divsChild>
            <w:div w:id="1673559771">
              <w:marLeft w:val="0"/>
              <w:marRight w:val="0"/>
              <w:marTop w:val="0"/>
              <w:marBottom w:val="0"/>
              <w:divBdr>
                <w:top w:val="none" w:sz="0" w:space="0" w:color="auto"/>
                <w:left w:val="single" w:sz="6" w:space="0" w:color="DDDDDD"/>
                <w:bottom w:val="none" w:sz="0" w:space="0" w:color="auto"/>
                <w:right w:val="none" w:sz="0" w:space="0" w:color="auto"/>
              </w:divBdr>
              <w:divsChild>
                <w:div w:id="512303042">
                  <w:marLeft w:val="0"/>
                  <w:marRight w:val="0"/>
                  <w:marTop w:val="0"/>
                  <w:marBottom w:val="0"/>
                  <w:divBdr>
                    <w:top w:val="single" w:sz="2" w:space="0" w:color="008000"/>
                    <w:left w:val="single" w:sz="2" w:space="0" w:color="008000"/>
                    <w:bottom w:val="single" w:sz="2" w:space="0" w:color="008000"/>
                    <w:right w:val="single" w:sz="2" w:space="0" w:color="008000"/>
                  </w:divBdr>
                  <w:divsChild>
                    <w:div w:id="1418937303">
                      <w:marLeft w:val="0"/>
                      <w:marRight w:val="0"/>
                      <w:marTop w:val="0"/>
                      <w:marBottom w:val="0"/>
                      <w:divBdr>
                        <w:top w:val="none" w:sz="0" w:space="0" w:color="auto"/>
                        <w:left w:val="none" w:sz="0" w:space="0" w:color="auto"/>
                        <w:bottom w:val="none" w:sz="0" w:space="0" w:color="auto"/>
                        <w:right w:val="none" w:sz="0" w:space="0" w:color="auto"/>
                      </w:divBdr>
                      <w:divsChild>
                        <w:div w:id="1992248417">
                          <w:marLeft w:val="0"/>
                          <w:marRight w:val="0"/>
                          <w:marTop w:val="0"/>
                          <w:marBottom w:val="0"/>
                          <w:divBdr>
                            <w:top w:val="none" w:sz="0" w:space="0" w:color="auto"/>
                            <w:left w:val="none" w:sz="0" w:space="0" w:color="auto"/>
                            <w:bottom w:val="none" w:sz="0" w:space="0" w:color="auto"/>
                            <w:right w:val="none" w:sz="0" w:space="0" w:color="auto"/>
                          </w:divBdr>
                          <w:divsChild>
                            <w:div w:id="70956892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69817727">
      <w:bodyDiv w:val="1"/>
      <w:marLeft w:val="0"/>
      <w:marRight w:val="0"/>
      <w:marTop w:val="0"/>
      <w:marBottom w:val="0"/>
      <w:divBdr>
        <w:top w:val="none" w:sz="0" w:space="0" w:color="auto"/>
        <w:left w:val="none" w:sz="0" w:space="0" w:color="auto"/>
        <w:bottom w:val="none" w:sz="0" w:space="0" w:color="auto"/>
        <w:right w:val="none" w:sz="0" w:space="0" w:color="auto"/>
      </w:divBdr>
    </w:div>
    <w:div w:id="1982537933">
      <w:bodyDiv w:val="1"/>
      <w:marLeft w:val="0"/>
      <w:marRight w:val="0"/>
      <w:marTop w:val="0"/>
      <w:marBottom w:val="0"/>
      <w:divBdr>
        <w:top w:val="single" w:sz="2" w:space="0" w:color="CC3640"/>
        <w:left w:val="none" w:sz="0" w:space="0" w:color="auto"/>
        <w:bottom w:val="none" w:sz="0" w:space="0" w:color="auto"/>
        <w:right w:val="none" w:sz="0" w:space="0" w:color="auto"/>
      </w:divBdr>
      <w:divsChild>
        <w:div w:id="1775903799">
          <w:marLeft w:val="0"/>
          <w:marRight w:val="0"/>
          <w:marTop w:val="0"/>
          <w:marBottom w:val="0"/>
          <w:divBdr>
            <w:top w:val="single" w:sz="2" w:space="0" w:color="FF0000"/>
            <w:left w:val="single" w:sz="2" w:space="0" w:color="FF0000"/>
            <w:bottom w:val="single" w:sz="2" w:space="0" w:color="FF0000"/>
            <w:right w:val="single" w:sz="2" w:space="0" w:color="FF0000"/>
          </w:divBdr>
          <w:divsChild>
            <w:div w:id="1985163710">
              <w:marLeft w:val="0"/>
              <w:marRight w:val="0"/>
              <w:marTop w:val="0"/>
              <w:marBottom w:val="0"/>
              <w:divBdr>
                <w:top w:val="none" w:sz="0" w:space="0" w:color="auto"/>
                <w:left w:val="single" w:sz="6" w:space="0" w:color="DDDDDD"/>
                <w:bottom w:val="none" w:sz="0" w:space="0" w:color="auto"/>
                <w:right w:val="none" w:sz="0" w:space="0" w:color="auto"/>
              </w:divBdr>
              <w:divsChild>
                <w:div w:id="644311531">
                  <w:marLeft w:val="0"/>
                  <w:marRight w:val="0"/>
                  <w:marTop w:val="0"/>
                  <w:marBottom w:val="0"/>
                  <w:divBdr>
                    <w:top w:val="single" w:sz="2" w:space="0" w:color="008000"/>
                    <w:left w:val="single" w:sz="2" w:space="0" w:color="008000"/>
                    <w:bottom w:val="single" w:sz="2" w:space="0" w:color="008000"/>
                    <w:right w:val="single" w:sz="2" w:space="0" w:color="008000"/>
                  </w:divBdr>
                  <w:divsChild>
                    <w:div w:id="274338118">
                      <w:marLeft w:val="0"/>
                      <w:marRight w:val="0"/>
                      <w:marTop w:val="0"/>
                      <w:marBottom w:val="0"/>
                      <w:divBdr>
                        <w:top w:val="none" w:sz="0" w:space="0" w:color="auto"/>
                        <w:left w:val="none" w:sz="0" w:space="0" w:color="auto"/>
                        <w:bottom w:val="none" w:sz="0" w:space="0" w:color="auto"/>
                        <w:right w:val="none" w:sz="0" w:space="0" w:color="auto"/>
                      </w:divBdr>
                      <w:divsChild>
                        <w:div w:id="1208105108">
                          <w:marLeft w:val="0"/>
                          <w:marRight w:val="0"/>
                          <w:marTop w:val="0"/>
                          <w:marBottom w:val="0"/>
                          <w:divBdr>
                            <w:top w:val="none" w:sz="0" w:space="0" w:color="auto"/>
                            <w:left w:val="none" w:sz="0" w:space="0" w:color="auto"/>
                            <w:bottom w:val="none" w:sz="0" w:space="0" w:color="auto"/>
                            <w:right w:val="none" w:sz="0" w:space="0" w:color="auto"/>
                          </w:divBdr>
                          <w:divsChild>
                            <w:div w:id="70267955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35232206">
      <w:bodyDiv w:val="1"/>
      <w:marLeft w:val="0"/>
      <w:marRight w:val="0"/>
      <w:marTop w:val="0"/>
      <w:marBottom w:val="0"/>
      <w:divBdr>
        <w:top w:val="single" w:sz="2" w:space="0" w:color="CC3640"/>
        <w:left w:val="none" w:sz="0" w:space="0" w:color="auto"/>
        <w:bottom w:val="none" w:sz="0" w:space="0" w:color="auto"/>
        <w:right w:val="none" w:sz="0" w:space="0" w:color="auto"/>
      </w:divBdr>
      <w:divsChild>
        <w:div w:id="2104956252">
          <w:marLeft w:val="0"/>
          <w:marRight w:val="0"/>
          <w:marTop w:val="0"/>
          <w:marBottom w:val="0"/>
          <w:divBdr>
            <w:top w:val="single" w:sz="2" w:space="0" w:color="FF0000"/>
            <w:left w:val="single" w:sz="2" w:space="0" w:color="FF0000"/>
            <w:bottom w:val="single" w:sz="2" w:space="0" w:color="FF0000"/>
            <w:right w:val="single" w:sz="2" w:space="0" w:color="FF0000"/>
          </w:divBdr>
          <w:divsChild>
            <w:div w:id="1421442684">
              <w:marLeft w:val="0"/>
              <w:marRight w:val="0"/>
              <w:marTop w:val="0"/>
              <w:marBottom w:val="0"/>
              <w:divBdr>
                <w:top w:val="none" w:sz="0" w:space="0" w:color="auto"/>
                <w:left w:val="single" w:sz="6" w:space="0" w:color="DDDDDD"/>
                <w:bottom w:val="none" w:sz="0" w:space="0" w:color="auto"/>
                <w:right w:val="none" w:sz="0" w:space="0" w:color="auto"/>
              </w:divBdr>
              <w:divsChild>
                <w:div w:id="221521231">
                  <w:marLeft w:val="0"/>
                  <w:marRight w:val="0"/>
                  <w:marTop w:val="0"/>
                  <w:marBottom w:val="0"/>
                  <w:divBdr>
                    <w:top w:val="single" w:sz="2" w:space="0" w:color="008000"/>
                    <w:left w:val="single" w:sz="2" w:space="0" w:color="008000"/>
                    <w:bottom w:val="single" w:sz="2" w:space="0" w:color="008000"/>
                    <w:right w:val="single" w:sz="2" w:space="0" w:color="008000"/>
                  </w:divBdr>
                  <w:divsChild>
                    <w:div w:id="2022508161">
                      <w:marLeft w:val="0"/>
                      <w:marRight w:val="0"/>
                      <w:marTop w:val="0"/>
                      <w:marBottom w:val="0"/>
                      <w:divBdr>
                        <w:top w:val="none" w:sz="0" w:space="0" w:color="auto"/>
                        <w:left w:val="none" w:sz="0" w:space="0" w:color="auto"/>
                        <w:bottom w:val="none" w:sz="0" w:space="0" w:color="auto"/>
                        <w:right w:val="none" w:sz="0" w:space="0" w:color="auto"/>
                      </w:divBdr>
                      <w:divsChild>
                        <w:div w:id="599410990">
                          <w:marLeft w:val="0"/>
                          <w:marRight w:val="0"/>
                          <w:marTop w:val="0"/>
                          <w:marBottom w:val="0"/>
                          <w:divBdr>
                            <w:top w:val="none" w:sz="0" w:space="0" w:color="auto"/>
                            <w:left w:val="none" w:sz="0" w:space="0" w:color="auto"/>
                            <w:bottom w:val="none" w:sz="0" w:space="0" w:color="auto"/>
                            <w:right w:val="none" w:sz="0" w:space="0" w:color="auto"/>
                          </w:divBdr>
                          <w:divsChild>
                            <w:div w:id="76966485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83871310">
      <w:bodyDiv w:val="1"/>
      <w:marLeft w:val="0"/>
      <w:marRight w:val="0"/>
      <w:marTop w:val="0"/>
      <w:marBottom w:val="0"/>
      <w:divBdr>
        <w:top w:val="single" w:sz="2" w:space="0" w:color="CC3640"/>
        <w:left w:val="none" w:sz="0" w:space="0" w:color="auto"/>
        <w:bottom w:val="none" w:sz="0" w:space="0" w:color="auto"/>
        <w:right w:val="none" w:sz="0" w:space="0" w:color="auto"/>
      </w:divBdr>
      <w:divsChild>
        <w:div w:id="661202029">
          <w:marLeft w:val="0"/>
          <w:marRight w:val="0"/>
          <w:marTop w:val="0"/>
          <w:marBottom w:val="0"/>
          <w:divBdr>
            <w:top w:val="single" w:sz="2" w:space="0" w:color="FF0000"/>
            <w:left w:val="single" w:sz="2" w:space="0" w:color="FF0000"/>
            <w:bottom w:val="single" w:sz="2" w:space="0" w:color="FF0000"/>
            <w:right w:val="single" w:sz="2" w:space="0" w:color="FF0000"/>
          </w:divBdr>
          <w:divsChild>
            <w:div w:id="1858737741">
              <w:marLeft w:val="0"/>
              <w:marRight w:val="0"/>
              <w:marTop w:val="0"/>
              <w:marBottom w:val="0"/>
              <w:divBdr>
                <w:top w:val="none" w:sz="0" w:space="0" w:color="auto"/>
                <w:left w:val="single" w:sz="6" w:space="0" w:color="DDDDDD"/>
                <w:bottom w:val="none" w:sz="0" w:space="0" w:color="auto"/>
                <w:right w:val="none" w:sz="0" w:space="0" w:color="auto"/>
              </w:divBdr>
              <w:divsChild>
                <w:div w:id="1233781896">
                  <w:marLeft w:val="0"/>
                  <w:marRight w:val="0"/>
                  <w:marTop w:val="0"/>
                  <w:marBottom w:val="0"/>
                  <w:divBdr>
                    <w:top w:val="single" w:sz="2" w:space="0" w:color="008000"/>
                    <w:left w:val="single" w:sz="2" w:space="0" w:color="008000"/>
                    <w:bottom w:val="single" w:sz="2" w:space="0" w:color="008000"/>
                    <w:right w:val="single" w:sz="2" w:space="0" w:color="008000"/>
                  </w:divBdr>
                  <w:divsChild>
                    <w:div w:id="1765496817">
                      <w:marLeft w:val="0"/>
                      <w:marRight w:val="0"/>
                      <w:marTop w:val="0"/>
                      <w:marBottom w:val="0"/>
                      <w:divBdr>
                        <w:top w:val="none" w:sz="0" w:space="0" w:color="auto"/>
                        <w:left w:val="none" w:sz="0" w:space="0" w:color="auto"/>
                        <w:bottom w:val="none" w:sz="0" w:space="0" w:color="auto"/>
                        <w:right w:val="none" w:sz="0" w:space="0" w:color="auto"/>
                      </w:divBdr>
                      <w:divsChild>
                        <w:div w:id="821775158">
                          <w:marLeft w:val="0"/>
                          <w:marRight w:val="0"/>
                          <w:marTop w:val="0"/>
                          <w:marBottom w:val="0"/>
                          <w:divBdr>
                            <w:top w:val="none" w:sz="0" w:space="0" w:color="auto"/>
                            <w:left w:val="none" w:sz="0" w:space="0" w:color="auto"/>
                            <w:bottom w:val="none" w:sz="0" w:space="0" w:color="auto"/>
                            <w:right w:val="none" w:sz="0" w:space="0" w:color="auto"/>
                          </w:divBdr>
                          <w:divsChild>
                            <w:div w:id="177192736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92845982">
      <w:bodyDiv w:val="1"/>
      <w:marLeft w:val="0"/>
      <w:marRight w:val="0"/>
      <w:marTop w:val="0"/>
      <w:marBottom w:val="0"/>
      <w:divBdr>
        <w:top w:val="none" w:sz="0" w:space="0" w:color="auto"/>
        <w:left w:val="none" w:sz="0" w:space="0" w:color="auto"/>
        <w:bottom w:val="none" w:sz="0" w:space="0" w:color="auto"/>
        <w:right w:val="none" w:sz="0" w:space="0" w:color="auto"/>
      </w:divBdr>
    </w:div>
    <w:div w:id="2140831617">
      <w:bodyDiv w:val="1"/>
      <w:marLeft w:val="0"/>
      <w:marRight w:val="0"/>
      <w:marTop w:val="0"/>
      <w:marBottom w:val="0"/>
      <w:divBdr>
        <w:top w:val="single" w:sz="2" w:space="0" w:color="CC3640"/>
        <w:left w:val="none" w:sz="0" w:space="0" w:color="auto"/>
        <w:bottom w:val="none" w:sz="0" w:space="0" w:color="auto"/>
        <w:right w:val="none" w:sz="0" w:space="0" w:color="auto"/>
      </w:divBdr>
      <w:divsChild>
        <w:div w:id="694043346">
          <w:marLeft w:val="0"/>
          <w:marRight w:val="0"/>
          <w:marTop w:val="0"/>
          <w:marBottom w:val="0"/>
          <w:divBdr>
            <w:top w:val="single" w:sz="2" w:space="0" w:color="FF0000"/>
            <w:left w:val="single" w:sz="2" w:space="0" w:color="FF0000"/>
            <w:bottom w:val="single" w:sz="2" w:space="0" w:color="FF0000"/>
            <w:right w:val="single" w:sz="2" w:space="0" w:color="FF0000"/>
          </w:divBdr>
          <w:divsChild>
            <w:div w:id="1279490698">
              <w:marLeft w:val="0"/>
              <w:marRight w:val="0"/>
              <w:marTop w:val="0"/>
              <w:marBottom w:val="0"/>
              <w:divBdr>
                <w:top w:val="none" w:sz="0" w:space="0" w:color="auto"/>
                <w:left w:val="single" w:sz="6" w:space="0" w:color="DDDDDD"/>
                <w:bottom w:val="none" w:sz="0" w:space="0" w:color="auto"/>
                <w:right w:val="none" w:sz="0" w:space="0" w:color="auto"/>
              </w:divBdr>
              <w:divsChild>
                <w:div w:id="222104162">
                  <w:marLeft w:val="0"/>
                  <w:marRight w:val="0"/>
                  <w:marTop w:val="0"/>
                  <w:marBottom w:val="0"/>
                  <w:divBdr>
                    <w:top w:val="single" w:sz="2" w:space="0" w:color="008000"/>
                    <w:left w:val="single" w:sz="2" w:space="0" w:color="008000"/>
                    <w:bottom w:val="single" w:sz="2" w:space="0" w:color="008000"/>
                    <w:right w:val="single" w:sz="2" w:space="0" w:color="008000"/>
                  </w:divBdr>
                  <w:divsChild>
                    <w:div w:id="1036083023">
                      <w:marLeft w:val="0"/>
                      <w:marRight w:val="0"/>
                      <w:marTop w:val="0"/>
                      <w:marBottom w:val="0"/>
                      <w:divBdr>
                        <w:top w:val="none" w:sz="0" w:space="0" w:color="auto"/>
                        <w:left w:val="none" w:sz="0" w:space="0" w:color="auto"/>
                        <w:bottom w:val="none" w:sz="0" w:space="0" w:color="auto"/>
                        <w:right w:val="none" w:sz="0" w:space="0" w:color="auto"/>
                      </w:divBdr>
                      <w:divsChild>
                        <w:div w:id="1274480428">
                          <w:marLeft w:val="0"/>
                          <w:marRight w:val="0"/>
                          <w:marTop w:val="0"/>
                          <w:marBottom w:val="0"/>
                          <w:divBdr>
                            <w:top w:val="none" w:sz="0" w:space="0" w:color="auto"/>
                            <w:left w:val="none" w:sz="0" w:space="0" w:color="auto"/>
                            <w:bottom w:val="none" w:sz="0" w:space="0" w:color="auto"/>
                            <w:right w:val="none" w:sz="0" w:space="0" w:color="auto"/>
                          </w:divBdr>
                          <w:divsChild>
                            <w:div w:id="22121364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42459147">
      <w:bodyDiv w:val="1"/>
      <w:marLeft w:val="0"/>
      <w:marRight w:val="0"/>
      <w:marTop w:val="0"/>
      <w:marBottom w:val="0"/>
      <w:divBdr>
        <w:top w:val="single" w:sz="2" w:space="0" w:color="CC3640"/>
        <w:left w:val="none" w:sz="0" w:space="0" w:color="auto"/>
        <w:bottom w:val="none" w:sz="0" w:space="0" w:color="auto"/>
        <w:right w:val="none" w:sz="0" w:space="0" w:color="auto"/>
      </w:divBdr>
      <w:divsChild>
        <w:div w:id="1635525057">
          <w:marLeft w:val="0"/>
          <w:marRight w:val="0"/>
          <w:marTop w:val="0"/>
          <w:marBottom w:val="0"/>
          <w:divBdr>
            <w:top w:val="single" w:sz="2" w:space="0" w:color="FF0000"/>
            <w:left w:val="single" w:sz="2" w:space="0" w:color="FF0000"/>
            <w:bottom w:val="single" w:sz="2" w:space="0" w:color="FF0000"/>
            <w:right w:val="single" w:sz="2" w:space="0" w:color="FF0000"/>
          </w:divBdr>
          <w:divsChild>
            <w:div w:id="895819971">
              <w:marLeft w:val="0"/>
              <w:marRight w:val="0"/>
              <w:marTop w:val="0"/>
              <w:marBottom w:val="0"/>
              <w:divBdr>
                <w:top w:val="none" w:sz="0" w:space="0" w:color="auto"/>
                <w:left w:val="single" w:sz="6" w:space="0" w:color="DDDDDD"/>
                <w:bottom w:val="none" w:sz="0" w:space="0" w:color="auto"/>
                <w:right w:val="none" w:sz="0" w:space="0" w:color="auto"/>
              </w:divBdr>
              <w:divsChild>
                <w:div w:id="2135320711">
                  <w:marLeft w:val="0"/>
                  <w:marRight w:val="0"/>
                  <w:marTop w:val="0"/>
                  <w:marBottom w:val="0"/>
                  <w:divBdr>
                    <w:top w:val="single" w:sz="2" w:space="0" w:color="008000"/>
                    <w:left w:val="single" w:sz="2" w:space="0" w:color="008000"/>
                    <w:bottom w:val="single" w:sz="2" w:space="0" w:color="008000"/>
                    <w:right w:val="single" w:sz="2" w:space="0" w:color="008000"/>
                  </w:divBdr>
                  <w:divsChild>
                    <w:div w:id="1342244127">
                      <w:marLeft w:val="0"/>
                      <w:marRight w:val="0"/>
                      <w:marTop w:val="0"/>
                      <w:marBottom w:val="0"/>
                      <w:divBdr>
                        <w:top w:val="none" w:sz="0" w:space="0" w:color="auto"/>
                        <w:left w:val="none" w:sz="0" w:space="0" w:color="auto"/>
                        <w:bottom w:val="none" w:sz="0" w:space="0" w:color="auto"/>
                        <w:right w:val="none" w:sz="0" w:space="0" w:color="auto"/>
                      </w:divBdr>
                      <w:divsChild>
                        <w:div w:id="1156990099">
                          <w:marLeft w:val="0"/>
                          <w:marRight w:val="0"/>
                          <w:marTop w:val="0"/>
                          <w:marBottom w:val="0"/>
                          <w:divBdr>
                            <w:top w:val="none" w:sz="0" w:space="0" w:color="auto"/>
                            <w:left w:val="none" w:sz="0" w:space="0" w:color="auto"/>
                            <w:bottom w:val="none" w:sz="0" w:space="0" w:color="auto"/>
                            <w:right w:val="none" w:sz="0" w:space="0" w:color="auto"/>
                          </w:divBdr>
                          <w:divsChild>
                            <w:div w:id="745222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4929A-F386-49C3-BB71-C181AA90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5781</Words>
  <Characters>33710</Characters>
  <Application>Microsoft Office Word</Application>
  <DocSecurity>0</DocSecurity>
  <Lines>842</Lines>
  <Paragraphs>481</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5</cp:revision>
  <cp:lastPrinted>2011-03-09T16:16:00Z</cp:lastPrinted>
  <dcterms:created xsi:type="dcterms:W3CDTF">2026-02-24T08:57:00Z</dcterms:created>
  <dcterms:modified xsi:type="dcterms:W3CDTF">2026-03-01T18:23:00Z</dcterms:modified>
</cp:coreProperties>
</file>