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800000"/>
        <w:tblCellMar>
          <w:left w:w="70" w:type="dxa"/>
          <w:right w:w="70" w:type="dxa"/>
        </w:tblCellMar>
        <w:tblLook w:val="0000" w:firstRow="0" w:lastRow="0" w:firstColumn="0" w:lastColumn="0" w:noHBand="0" w:noVBand="0"/>
      </w:tblPr>
      <w:tblGrid>
        <w:gridCol w:w="1145"/>
        <w:gridCol w:w="7359"/>
      </w:tblGrid>
      <w:tr w:rsidR="00BA69E0" w14:paraId="41793589" w14:textId="77777777">
        <w:trPr>
          <w:trHeight w:val="889"/>
        </w:trPr>
        <w:tc>
          <w:tcPr>
            <w:tcW w:w="1150" w:type="dxa"/>
            <w:shd w:val="clear" w:color="auto" w:fill="000000"/>
            <w:vAlign w:val="center"/>
          </w:tcPr>
          <w:p w14:paraId="771C9DC3" w14:textId="754941FF" w:rsidR="00BA69E0" w:rsidRPr="007709BC" w:rsidRDefault="008E12BB" w:rsidP="000A7434">
            <w:pPr>
              <w:pStyle w:val="Subttulo"/>
              <w:jc w:val="center"/>
              <w:rPr>
                <w:rFonts w:ascii="Verdana" w:hAnsi="Verdana"/>
                <w:sz w:val="24"/>
                <w:szCs w:val="24"/>
              </w:rPr>
            </w:pPr>
            <w:r>
              <w:rPr>
                <w:rFonts w:ascii="Verdana" w:hAnsi="Verdana"/>
                <w:sz w:val="24"/>
                <w:szCs w:val="24"/>
              </w:rPr>
              <w:t xml:space="preserve"> </w:t>
            </w:r>
            <w:r w:rsidR="00BA69E0" w:rsidRPr="007709BC">
              <w:rPr>
                <w:rFonts w:ascii="Verdana" w:hAnsi="Verdana"/>
                <w:sz w:val="24"/>
                <w:szCs w:val="24"/>
              </w:rPr>
              <w:t>MAYO</w:t>
            </w:r>
          </w:p>
          <w:p w14:paraId="1FDD3A67" w14:textId="511346AB" w:rsidR="00BA69E0" w:rsidRDefault="00BA69E0" w:rsidP="00543E5B">
            <w:pPr>
              <w:jc w:val="center"/>
              <w:rPr>
                <w:rFonts w:ascii="Verdana" w:hAnsi="Verdana"/>
                <w:b/>
                <w:bCs/>
                <w:sz w:val="32"/>
                <w:szCs w:val="32"/>
              </w:rPr>
            </w:pPr>
            <w:r w:rsidRPr="007709BC">
              <w:rPr>
                <w:rFonts w:ascii="Verdana" w:hAnsi="Verdana"/>
                <w:b/>
                <w:bCs/>
              </w:rPr>
              <w:t>20</w:t>
            </w:r>
            <w:r w:rsidR="00AF74AD">
              <w:rPr>
                <w:rFonts w:ascii="Verdana" w:hAnsi="Verdana"/>
                <w:b/>
                <w:bCs/>
              </w:rPr>
              <w:t>2</w:t>
            </w:r>
            <w:r w:rsidR="00F515FF">
              <w:rPr>
                <w:rFonts w:ascii="Verdana" w:hAnsi="Verdana"/>
                <w:b/>
                <w:bCs/>
              </w:rPr>
              <w:t>6</w:t>
            </w:r>
          </w:p>
        </w:tc>
        <w:tc>
          <w:tcPr>
            <w:tcW w:w="7494" w:type="dxa"/>
            <w:shd w:val="clear" w:color="auto" w:fill="993300"/>
            <w:vAlign w:val="center"/>
          </w:tcPr>
          <w:p w14:paraId="05163EF0" w14:textId="77777777" w:rsidR="00BA69E0" w:rsidRPr="00425A03" w:rsidRDefault="00BA69E0">
            <w:pPr>
              <w:jc w:val="center"/>
              <w:rPr>
                <w:rFonts w:ascii="Verdana" w:hAnsi="Verdana"/>
                <w:b/>
                <w:bCs/>
                <w:color w:val="FFFFFF"/>
              </w:rPr>
            </w:pPr>
            <w:r w:rsidRPr="00425A03">
              <w:rPr>
                <w:rFonts w:ascii="Verdana" w:hAnsi="Verdana"/>
                <w:b/>
                <w:bCs/>
                <w:color w:val="FFFFFF"/>
              </w:rPr>
              <w:t>APUNTES SOBRE LA ACTUALIDAD FISCAL</w:t>
            </w:r>
          </w:p>
        </w:tc>
      </w:tr>
    </w:tbl>
    <w:p w14:paraId="62079306" w14:textId="77777777" w:rsidR="00BA69E0" w:rsidRDefault="00BA69E0">
      <w:pPr>
        <w:pStyle w:val="Ttulo3"/>
        <w:jc w:val="center"/>
        <w:rPr>
          <w:rFonts w:ascii="Verdana" w:hAnsi="Verdana"/>
        </w:rPr>
      </w:pPr>
    </w:p>
    <w:p w14:paraId="59078DC0" w14:textId="77777777" w:rsidR="003B07C3" w:rsidRPr="003B07C3" w:rsidRDefault="003B07C3" w:rsidP="003B07C3"/>
    <w:p w14:paraId="360E5C1A" w14:textId="2D9C3ABB" w:rsidR="00BA69E0" w:rsidRPr="006F6234" w:rsidRDefault="00BA69E0">
      <w:pPr>
        <w:pStyle w:val="Ttulo3"/>
        <w:jc w:val="center"/>
        <w:rPr>
          <w:rFonts w:ascii="Verdana" w:hAnsi="Verdana"/>
          <w:i/>
          <w:iCs/>
          <w:color w:val="800000"/>
          <w:sz w:val="22"/>
          <w:szCs w:val="22"/>
          <w:u w:val="single"/>
        </w:rPr>
      </w:pPr>
      <w:r w:rsidRPr="006F6234">
        <w:rPr>
          <w:rFonts w:ascii="Verdana" w:hAnsi="Verdana"/>
          <w:i/>
          <w:iCs/>
          <w:color w:val="800000"/>
          <w:sz w:val="22"/>
          <w:szCs w:val="22"/>
          <w:u w:val="single"/>
        </w:rPr>
        <w:t>SUMARIO</w:t>
      </w:r>
    </w:p>
    <w:p w14:paraId="5FF01E78" w14:textId="77777777" w:rsidR="00BA69E0" w:rsidRPr="00970D68" w:rsidRDefault="00BA69E0">
      <w:pPr>
        <w:rPr>
          <w:rFonts w:ascii="Verdana" w:hAnsi="Verdana"/>
          <w:sz w:val="18"/>
          <w:szCs w:val="18"/>
        </w:rPr>
      </w:pPr>
    </w:p>
    <w:p w14:paraId="19CDD74F" w14:textId="77777777" w:rsidR="00BA69E0" w:rsidRPr="00970D68" w:rsidRDefault="00BA69E0">
      <w:pPr>
        <w:rPr>
          <w:rFonts w:ascii="Verdana" w:hAnsi="Verdana"/>
          <w:sz w:val="18"/>
          <w:szCs w:val="18"/>
        </w:rPr>
      </w:pPr>
    </w:p>
    <w:p w14:paraId="4985F64B" w14:textId="6D2F0C92" w:rsidR="00DC4F18" w:rsidRPr="00DC4F18" w:rsidRDefault="0018618F" w:rsidP="00AC7CB3">
      <w:pPr>
        <w:pStyle w:val="Prrafodelista"/>
        <w:numPr>
          <w:ilvl w:val="0"/>
          <w:numId w:val="6"/>
        </w:numPr>
        <w:tabs>
          <w:tab w:val="left" w:pos="284"/>
        </w:tabs>
        <w:ind w:left="284" w:hanging="284"/>
        <w:jc w:val="both"/>
        <w:rPr>
          <w:rFonts w:ascii="Verdana" w:hAnsi="Verdana"/>
          <w:b/>
          <w:bCs/>
          <w:i/>
          <w:iCs/>
          <w:color w:val="800000"/>
          <w:sz w:val="18"/>
          <w:szCs w:val="18"/>
        </w:rPr>
      </w:pPr>
      <w:r w:rsidRPr="0018618F">
        <w:rPr>
          <w:rFonts w:ascii="Verdana" w:hAnsi="Verdana"/>
          <w:b/>
          <w:bCs/>
          <w:i/>
          <w:iCs/>
          <w:color w:val="800000"/>
          <w:sz w:val="18"/>
          <w:szCs w:val="18"/>
        </w:rPr>
        <w:t>PLAN DE CONTROL TRIBUTARIO Y ADUANERO 2026</w:t>
      </w:r>
    </w:p>
    <w:p w14:paraId="2BFC832E" w14:textId="26BE4853" w:rsidR="00553733" w:rsidRDefault="0018618F" w:rsidP="00B24AC8">
      <w:pPr>
        <w:tabs>
          <w:tab w:val="left" w:pos="284"/>
        </w:tabs>
        <w:ind w:left="284"/>
        <w:jc w:val="both"/>
        <w:rPr>
          <w:rFonts w:ascii="Verdana" w:hAnsi="Verdana"/>
          <w:b/>
          <w:bCs/>
          <w:i/>
          <w:iCs/>
          <w:color w:val="800000"/>
          <w:sz w:val="18"/>
          <w:szCs w:val="18"/>
        </w:rPr>
      </w:pPr>
      <w:r w:rsidRPr="0018618F">
        <w:rPr>
          <w:rFonts w:ascii="Verdana" w:hAnsi="Verdana"/>
          <w:b/>
          <w:bCs/>
          <w:i/>
          <w:iCs/>
          <w:color w:val="800000"/>
          <w:sz w:val="18"/>
          <w:szCs w:val="18"/>
        </w:rPr>
        <w:t>El Plan Anual de Control Tributario y Aduanero 2026, publicado por la AEAT, establece las principales líneas de actuación de la Administración tributaria, permitiendo a los contribuyentes anticipar riesgos fiscales y reforzar el cumplimiento.</w:t>
      </w:r>
    </w:p>
    <w:p w14:paraId="2636F3D1" w14:textId="77777777" w:rsidR="00FA1F79" w:rsidRDefault="00FA1F79" w:rsidP="00B24AC8">
      <w:pPr>
        <w:tabs>
          <w:tab w:val="left" w:pos="284"/>
        </w:tabs>
        <w:ind w:left="284"/>
        <w:jc w:val="both"/>
        <w:rPr>
          <w:rFonts w:ascii="Verdana" w:hAnsi="Verdana"/>
          <w:b/>
          <w:bCs/>
          <w:i/>
          <w:iCs/>
          <w:color w:val="800000"/>
          <w:sz w:val="18"/>
          <w:szCs w:val="18"/>
        </w:rPr>
      </w:pPr>
    </w:p>
    <w:p w14:paraId="46B525B9" w14:textId="3F36958D" w:rsidR="00FA1F79" w:rsidRPr="00FA1F79" w:rsidRDefault="00FA1F79" w:rsidP="00FA1F79">
      <w:pPr>
        <w:pStyle w:val="Prrafodelista"/>
        <w:numPr>
          <w:ilvl w:val="0"/>
          <w:numId w:val="6"/>
        </w:numPr>
        <w:tabs>
          <w:tab w:val="left" w:pos="284"/>
        </w:tabs>
        <w:ind w:hanging="502"/>
        <w:jc w:val="both"/>
        <w:rPr>
          <w:rFonts w:ascii="Verdana" w:hAnsi="Verdana"/>
          <w:b/>
          <w:bCs/>
          <w:i/>
          <w:iCs/>
          <w:color w:val="800000"/>
          <w:sz w:val="18"/>
          <w:szCs w:val="18"/>
        </w:rPr>
      </w:pPr>
      <w:r w:rsidRPr="00FA1F79">
        <w:rPr>
          <w:rFonts w:ascii="Verdana" w:hAnsi="Verdana"/>
          <w:b/>
          <w:bCs/>
          <w:i/>
          <w:iCs/>
          <w:color w:val="800000"/>
          <w:sz w:val="18"/>
          <w:szCs w:val="18"/>
        </w:rPr>
        <w:t>CAMPAÑA DE RENTA 2025: ÚLTIMOS PRONUNCIAMIENTOS JUDICIALES </w:t>
      </w:r>
    </w:p>
    <w:p w14:paraId="671E06A4" w14:textId="2E621CA0" w:rsidR="00FA1F79" w:rsidRDefault="00FA1F79" w:rsidP="00FA1F79">
      <w:pPr>
        <w:ind w:left="284"/>
        <w:jc w:val="both"/>
        <w:rPr>
          <w:rFonts w:ascii="Verdana" w:hAnsi="Verdana"/>
          <w:b/>
          <w:bCs/>
          <w:i/>
          <w:iCs/>
          <w:color w:val="800000"/>
          <w:sz w:val="18"/>
          <w:szCs w:val="18"/>
        </w:rPr>
      </w:pPr>
      <w:r w:rsidRPr="00FA1F79">
        <w:rPr>
          <w:rFonts w:ascii="Verdana" w:hAnsi="Verdana"/>
          <w:b/>
          <w:bCs/>
          <w:i/>
          <w:iCs/>
          <w:color w:val="800000"/>
          <w:sz w:val="18"/>
          <w:szCs w:val="18"/>
        </w:rPr>
        <w:t>El 8 de abril </w:t>
      </w:r>
      <w:r w:rsidR="002D2574">
        <w:rPr>
          <w:rFonts w:ascii="Verdana" w:hAnsi="Verdana"/>
          <w:b/>
          <w:bCs/>
          <w:i/>
          <w:iCs/>
          <w:color w:val="800000"/>
          <w:sz w:val="18"/>
          <w:szCs w:val="18"/>
        </w:rPr>
        <w:t xml:space="preserve">de </w:t>
      </w:r>
      <w:r w:rsidRPr="00FA1F79">
        <w:rPr>
          <w:rFonts w:ascii="Verdana" w:hAnsi="Verdana"/>
          <w:b/>
          <w:bCs/>
          <w:i/>
          <w:iCs/>
          <w:color w:val="800000"/>
          <w:sz w:val="18"/>
          <w:szCs w:val="18"/>
        </w:rPr>
        <w:t>2026, </w:t>
      </w:r>
      <w:r>
        <w:rPr>
          <w:rFonts w:ascii="Verdana" w:hAnsi="Verdana"/>
          <w:b/>
          <w:bCs/>
          <w:i/>
          <w:iCs/>
          <w:color w:val="800000"/>
          <w:sz w:val="18"/>
          <w:szCs w:val="18"/>
        </w:rPr>
        <w:t>ha dado</w:t>
      </w:r>
      <w:r w:rsidRPr="00FA1F79">
        <w:rPr>
          <w:rFonts w:ascii="Verdana" w:hAnsi="Verdana"/>
          <w:b/>
          <w:bCs/>
          <w:i/>
          <w:iCs/>
          <w:color w:val="800000"/>
          <w:sz w:val="18"/>
          <w:szCs w:val="18"/>
        </w:rPr>
        <w:t xml:space="preserve"> comienzo el plazo para la declaración del Impuesto sobre la Renta de las Personas Físicas correspondiente al ejercicio 2025</w:t>
      </w:r>
      <w:r>
        <w:rPr>
          <w:rFonts w:ascii="Verdana" w:hAnsi="Verdana"/>
          <w:b/>
          <w:bCs/>
          <w:i/>
          <w:iCs/>
          <w:color w:val="800000"/>
          <w:sz w:val="18"/>
          <w:szCs w:val="18"/>
        </w:rPr>
        <w:t>, repasamos los pronunciamientos más destacados del año.</w:t>
      </w:r>
    </w:p>
    <w:p w14:paraId="1CA89AE4" w14:textId="77777777" w:rsidR="0054376C" w:rsidRDefault="0054376C" w:rsidP="00FA1F79">
      <w:pPr>
        <w:ind w:left="284"/>
        <w:jc w:val="both"/>
        <w:rPr>
          <w:rFonts w:ascii="Verdana" w:hAnsi="Verdana"/>
          <w:b/>
          <w:bCs/>
          <w:i/>
          <w:iCs/>
          <w:color w:val="800000"/>
          <w:sz w:val="18"/>
          <w:szCs w:val="18"/>
        </w:rPr>
      </w:pPr>
    </w:p>
    <w:p w14:paraId="2786CA91" w14:textId="20280FFA" w:rsidR="0054376C" w:rsidRDefault="0054376C" w:rsidP="0054376C">
      <w:pPr>
        <w:pStyle w:val="Prrafodelista"/>
        <w:numPr>
          <w:ilvl w:val="0"/>
          <w:numId w:val="6"/>
        </w:numPr>
        <w:ind w:left="284" w:hanging="284"/>
        <w:jc w:val="both"/>
        <w:rPr>
          <w:rFonts w:ascii="Verdana" w:hAnsi="Verdana"/>
          <w:b/>
          <w:bCs/>
          <w:i/>
          <w:iCs/>
          <w:color w:val="800000"/>
          <w:sz w:val="18"/>
          <w:szCs w:val="18"/>
        </w:rPr>
      </w:pPr>
      <w:r w:rsidRPr="0054376C">
        <w:rPr>
          <w:rFonts w:ascii="Verdana" w:hAnsi="Verdana"/>
          <w:b/>
          <w:bCs/>
          <w:i/>
          <w:iCs/>
          <w:color w:val="800000"/>
          <w:sz w:val="18"/>
          <w:szCs w:val="18"/>
        </w:rPr>
        <w:t>ENTRADA EN DOMICILIO DE SOCIEDAD: LOS ANEXOS ENTREGADOS POR LA AEAT HAN DE MENCIONAR DE FORMA EXPLÍCITA LA POSIBILIDAD DE NEGARSE A LA ENTRADA O DE REVOCAR EL CONSENTIMIENTO</w:t>
      </w:r>
    </w:p>
    <w:p w14:paraId="75F111CA" w14:textId="064C203B" w:rsidR="0054376C" w:rsidRDefault="0054376C" w:rsidP="0054376C">
      <w:pPr>
        <w:pStyle w:val="Prrafodelista"/>
        <w:ind w:left="284"/>
        <w:jc w:val="both"/>
        <w:rPr>
          <w:rFonts w:ascii="Verdana" w:hAnsi="Verdana"/>
          <w:b/>
          <w:bCs/>
          <w:i/>
          <w:iCs/>
          <w:color w:val="800000"/>
          <w:sz w:val="18"/>
          <w:szCs w:val="18"/>
        </w:rPr>
      </w:pPr>
      <w:r>
        <w:rPr>
          <w:rFonts w:ascii="Verdana" w:hAnsi="Verdana"/>
          <w:b/>
          <w:bCs/>
          <w:i/>
          <w:iCs/>
          <w:color w:val="800000"/>
          <w:sz w:val="18"/>
          <w:szCs w:val="18"/>
        </w:rPr>
        <w:t xml:space="preserve">El </w:t>
      </w:r>
      <w:r w:rsidRPr="0054376C">
        <w:rPr>
          <w:rFonts w:ascii="Verdana" w:hAnsi="Verdana"/>
          <w:b/>
          <w:bCs/>
          <w:i/>
          <w:iCs/>
          <w:color w:val="800000"/>
          <w:sz w:val="18"/>
          <w:szCs w:val="18"/>
        </w:rPr>
        <w:t>TS analiza la validez del consentimiento otorgado por el representante legal de una sociedad para la entrada en su domicilio constitucionalmente protegido en procedimientos de inspección tributaria: análisis detallado de los requisitos de libertad, información y espontaneidad del consentimiento a la luz de la jurisprudencia del Tribunal Supremo y la doctrina constitucional.</w:t>
      </w:r>
    </w:p>
    <w:p w14:paraId="627991B0" w14:textId="77777777" w:rsidR="000F2E1B" w:rsidRDefault="000F2E1B" w:rsidP="0054376C">
      <w:pPr>
        <w:pStyle w:val="Prrafodelista"/>
        <w:ind w:left="284"/>
        <w:jc w:val="both"/>
        <w:rPr>
          <w:rFonts w:ascii="Verdana" w:hAnsi="Verdana"/>
          <w:b/>
          <w:bCs/>
          <w:i/>
          <w:iCs/>
          <w:color w:val="800000"/>
          <w:sz w:val="18"/>
          <w:szCs w:val="18"/>
        </w:rPr>
      </w:pPr>
    </w:p>
    <w:p w14:paraId="10C3F3E4" w14:textId="355F1AEC" w:rsidR="000F2E1B" w:rsidRPr="0054376C" w:rsidRDefault="000F2E1B" w:rsidP="000F2E1B">
      <w:pPr>
        <w:pStyle w:val="Prrafodelista"/>
        <w:numPr>
          <w:ilvl w:val="0"/>
          <w:numId w:val="6"/>
        </w:numPr>
        <w:ind w:left="284" w:hanging="284"/>
        <w:jc w:val="both"/>
        <w:rPr>
          <w:rFonts w:ascii="Verdana" w:hAnsi="Verdana"/>
          <w:b/>
          <w:bCs/>
          <w:i/>
          <w:iCs/>
          <w:color w:val="800000"/>
          <w:sz w:val="18"/>
          <w:szCs w:val="18"/>
        </w:rPr>
      </w:pPr>
      <w:r w:rsidRPr="000F2E1B">
        <w:rPr>
          <w:rFonts w:ascii="Verdana" w:hAnsi="Verdana"/>
          <w:b/>
          <w:bCs/>
          <w:i/>
          <w:iCs/>
          <w:color w:val="800000"/>
          <w:sz w:val="18"/>
          <w:szCs w:val="18"/>
        </w:rPr>
        <w:t>DESARROLLO DEL SISTEMA DE FACTURACIÓN ELECTRÓNICA OBLIGATORIA (RD 238/2026)</w:t>
      </w:r>
    </w:p>
    <w:p w14:paraId="50C70AC4" w14:textId="05B3A546" w:rsidR="0054376C" w:rsidRDefault="000F2E1B" w:rsidP="0054376C">
      <w:pPr>
        <w:pStyle w:val="Prrafodelista"/>
        <w:ind w:left="284"/>
        <w:jc w:val="both"/>
        <w:rPr>
          <w:rFonts w:ascii="Verdana" w:hAnsi="Verdana"/>
          <w:b/>
          <w:bCs/>
          <w:i/>
          <w:iCs/>
          <w:color w:val="800000"/>
          <w:sz w:val="18"/>
          <w:szCs w:val="18"/>
        </w:rPr>
      </w:pPr>
      <w:r w:rsidRPr="000F2E1B">
        <w:rPr>
          <w:rFonts w:ascii="Verdana" w:hAnsi="Verdana"/>
          <w:b/>
          <w:bCs/>
          <w:i/>
          <w:iCs/>
          <w:color w:val="800000"/>
          <w:sz w:val="18"/>
          <w:szCs w:val="18"/>
        </w:rPr>
        <w:t>El Real Decreto 238/2026, de 25 de marzo, desarrolla reglamentariamente la obligación de facturación electrónica en operaciones entre empresarios y profesionales (B2B), en ejecución de la Ley 18/2022, de creación y crecimiento de empresas, configurando un nuevo modelo estructural de control y trazabilidad de las relaciones comerciales.</w:t>
      </w:r>
    </w:p>
    <w:p w14:paraId="28522DB5" w14:textId="77777777" w:rsidR="000F2E1B" w:rsidRPr="0054376C" w:rsidRDefault="000F2E1B" w:rsidP="0054376C">
      <w:pPr>
        <w:pStyle w:val="Prrafodelista"/>
        <w:ind w:left="284"/>
        <w:jc w:val="both"/>
        <w:rPr>
          <w:rFonts w:ascii="Verdana" w:hAnsi="Verdana"/>
          <w:b/>
          <w:bCs/>
          <w:i/>
          <w:iCs/>
          <w:color w:val="800000"/>
          <w:sz w:val="18"/>
          <w:szCs w:val="18"/>
        </w:rPr>
      </w:pPr>
    </w:p>
    <w:p w14:paraId="6E227E81" w14:textId="2809FFC5" w:rsidR="00E53E44" w:rsidRPr="00E53E44" w:rsidRDefault="00E53E44" w:rsidP="00E53E44">
      <w:pPr>
        <w:pStyle w:val="Prrafodelista"/>
        <w:numPr>
          <w:ilvl w:val="0"/>
          <w:numId w:val="6"/>
        </w:numPr>
        <w:ind w:left="284" w:hanging="284"/>
        <w:jc w:val="both"/>
        <w:rPr>
          <w:rFonts w:ascii="Verdana" w:hAnsi="Verdana"/>
          <w:b/>
          <w:bCs/>
          <w:i/>
          <w:iCs/>
          <w:color w:val="800000"/>
          <w:sz w:val="18"/>
          <w:szCs w:val="18"/>
        </w:rPr>
      </w:pPr>
      <w:r>
        <w:rPr>
          <w:rFonts w:ascii="Verdana" w:hAnsi="Verdana"/>
          <w:b/>
          <w:bCs/>
          <w:i/>
          <w:iCs/>
          <w:color w:val="800000"/>
          <w:sz w:val="18"/>
          <w:szCs w:val="18"/>
        </w:rPr>
        <w:t xml:space="preserve">I.R.P.F. </w:t>
      </w:r>
      <w:r w:rsidRPr="00E53E44">
        <w:rPr>
          <w:rFonts w:ascii="Verdana" w:hAnsi="Verdana"/>
          <w:b/>
          <w:bCs/>
          <w:i/>
          <w:iCs/>
          <w:color w:val="800000"/>
          <w:sz w:val="18"/>
          <w:szCs w:val="18"/>
        </w:rPr>
        <w:t>LA ROTULACIÓN DE VEHÍCULOS NO ACREDITA SU AFECTACIÓN EXCLUSIVA A LA ACTIVIDAD</w:t>
      </w:r>
    </w:p>
    <w:p w14:paraId="7824E138" w14:textId="48236243" w:rsidR="007532A0" w:rsidRDefault="00E53E44" w:rsidP="00B24AC8">
      <w:pPr>
        <w:tabs>
          <w:tab w:val="left" w:pos="284"/>
        </w:tabs>
        <w:ind w:left="284"/>
        <w:jc w:val="both"/>
        <w:rPr>
          <w:rFonts w:ascii="Verdana" w:hAnsi="Verdana"/>
          <w:b/>
          <w:bCs/>
          <w:i/>
          <w:iCs/>
          <w:color w:val="800000"/>
          <w:sz w:val="18"/>
          <w:szCs w:val="18"/>
        </w:rPr>
      </w:pPr>
      <w:r w:rsidRPr="00E53E44">
        <w:rPr>
          <w:rFonts w:ascii="Verdana" w:hAnsi="Verdana"/>
          <w:b/>
          <w:bCs/>
          <w:i/>
          <w:iCs/>
          <w:color w:val="800000"/>
          <w:sz w:val="18"/>
          <w:szCs w:val="18"/>
        </w:rPr>
        <w:t>Un vehículo turismo sólo tendrá la consideración de elemento afecto si se utiliza de forma exclusiva en el desarrollo de la actividad. Por tanto, si el vehículo se utiliza también para fines particulares, aun siendo estos puntuales, no tendría tal consideración e implicaría la imposibilidad de deducir gasto alguno.</w:t>
      </w:r>
    </w:p>
    <w:p w14:paraId="06A1ED5A" w14:textId="77777777" w:rsidR="007B7371" w:rsidRDefault="007B7371" w:rsidP="00B24AC8">
      <w:pPr>
        <w:tabs>
          <w:tab w:val="left" w:pos="284"/>
        </w:tabs>
        <w:ind w:left="284"/>
        <w:jc w:val="both"/>
        <w:rPr>
          <w:rFonts w:ascii="Verdana" w:hAnsi="Verdana"/>
          <w:b/>
          <w:bCs/>
          <w:i/>
          <w:iCs/>
          <w:color w:val="800000"/>
          <w:sz w:val="18"/>
          <w:szCs w:val="18"/>
        </w:rPr>
      </w:pPr>
    </w:p>
    <w:p w14:paraId="6BE6E23D" w14:textId="37ACA2E6" w:rsidR="007B7371" w:rsidRPr="007B7371" w:rsidRDefault="007B7371" w:rsidP="007B7371">
      <w:pPr>
        <w:pStyle w:val="Prrafodelista"/>
        <w:numPr>
          <w:ilvl w:val="0"/>
          <w:numId w:val="6"/>
        </w:numPr>
        <w:tabs>
          <w:tab w:val="left" w:pos="284"/>
        </w:tabs>
        <w:ind w:left="284" w:hanging="284"/>
        <w:jc w:val="both"/>
        <w:rPr>
          <w:rFonts w:ascii="Verdana" w:hAnsi="Verdana"/>
          <w:b/>
          <w:bCs/>
          <w:i/>
          <w:iCs/>
          <w:color w:val="800000"/>
          <w:sz w:val="18"/>
          <w:szCs w:val="18"/>
        </w:rPr>
      </w:pPr>
      <w:bookmarkStart w:id="0" w:name="_Hlk227170344"/>
      <w:r>
        <w:rPr>
          <w:rFonts w:ascii="Verdana" w:hAnsi="Verdana"/>
          <w:b/>
          <w:bCs/>
          <w:i/>
          <w:iCs/>
          <w:color w:val="800000"/>
          <w:sz w:val="18"/>
          <w:szCs w:val="18"/>
        </w:rPr>
        <w:t xml:space="preserve">I.V.A. </w:t>
      </w:r>
      <w:r w:rsidRPr="007B7371">
        <w:rPr>
          <w:rFonts w:ascii="Verdana" w:hAnsi="Verdana"/>
          <w:b/>
          <w:bCs/>
          <w:i/>
          <w:iCs/>
          <w:color w:val="800000"/>
          <w:sz w:val="18"/>
          <w:szCs w:val="18"/>
        </w:rPr>
        <w:t>LA TENENCIA DE PARTICIPACIONES NO CONSTITUYE ACTIVIDAD ECONÓMICA, SIENDO IMPROCEDENTE LA DEDUCCIÓN DE CUOTAS SOPORTADAS AL NO TENER CONDICIÓN DE SUJETO PASIVO</w:t>
      </w:r>
      <w:bookmarkEnd w:id="0"/>
    </w:p>
    <w:p w14:paraId="19C63179" w14:textId="442C536D" w:rsidR="00FA1F79" w:rsidRDefault="007B7371" w:rsidP="00B24AC8">
      <w:pPr>
        <w:tabs>
          <w:tab w:val="left" w:pos="284"/>
        </w:tabs>
        <w:ind w:left="284"/>
        <w:jc w:val="both"/>
        <w:rPr>
          <w:rFonts w:ascii="Verdana" w:hAnsi="Verdana"/>
          <w:b/>
          <w:bCs/>
          <w:i/>
          <w:iCs/>
          <w:color w:val="800000"/>
          <w:sz w:val="18"/>
          <w:szCs w:val="18"/>
        </w:rPr>
      </w:pPr>
      <w:r w:rsidRPr="007B7371">
        <w:rPr>
          <w:rFonts w:ascii="Verdana" w:hAnsi="Verdana"/>
          <w:b/>
          <w:bCs/>
          <w:i/>
          <w:iCs/>
          <w:color w:val="800000"/>
          <w:sz w:val="18"/>
          <w:szCs w:val="18"/>
        </w:rPr>
        <w:t>La Audiencia Nacional desestima el recurso en lo relativo a la liquidación del IVA y confirma la resolución del TEAC al considerar que la entidad no ha acreditado el desarrollo de una actividad económica de prestación de servicios a sus filiales, sino que se limita a la mera tenencia de participaciones, sin intervención efectiva en su gestión en los términos exigidos por la jurisprudencia del TJUE.</w:t>
      </w:r>
    </w:p>
    <w:p w14:paraId="01E64BD9" w14:textId="77777777" w:rsidR="00E544EC" w:rsidRDefault="00E544EC" w:rsidP="00B24AC8">
      <w:pPr>
        <w:tabs>
          <w:tab w:val="left" w:pos="284"/>
        </w:tabs>
        <w:ind w:left="284"/>
        <w:jc w:val="both"/>
        <w:rPr>
          <w:rFonts w:ascii="Verdana" w:hAnsi="Verdana"/>
          <w:b/>
          <w:bCs/>
          <w:i/>
          <w:iCs/>
          <w:color w:val="800000"/>
          <w:sz w:val="18"/>
          <w:szCs w:val="18"/>
        </w:rPr>
      </w:pPr>
    </w:p>
    <w:p w14:paraId="274E1729" w14:textId="0DF2FDEB" w:rsidR="00E544EC" w:rsidRPr="00E544EC" w:rsidRDefault="00E544EC" w:rsidP="00E544EC">
      <w:pPr>
        <w:pStyle w:val="Prrafodelista"/>
        <w:numPr>
          <w:ilvl w:val="0"/>
          <w:numId w:val="6"/>
        </w:numPr>
        <w:tabs>
          <w:tab w:val="left" w:pos="284"/>
        </w:tabs>
        <w:ind w:left="284" w:hanging="284"/>
        <w:jc w:val="both"/>
        <w:rPr>
          <w:rFonts w:ascii="Verdana" w:hAnsi="Verdana"/>
          <w:b/>
          <w:bCs/>
          <w:i/>
          <w:iCs/>
          <w:color w:val="800000"/>
          <w:sz w:val="18"/>
          <w:szCs w:val="18"/>
        </w:rPr>
      </w:pPr>
      <w:r>
        <w:rPr>
          <w:rFonts w:ascii="Verdana" w:hAnsi="Verdana"/>
          <w:b/>
          <w:bCs/>
          <w:i/>
          <w:iCs/>
          <w:color w:val="800000"/>
          <w:sz w:val="18"/>
          <w:szCs w:val="18"/>
        </w:rPr>
        <w:t xml:space="preserve">ISD. </w:t>
      </w:r>
      <w:r w:rsidRPr="00E544EC">
        <w:rPr>
          <w:rFonts w:ascii="Verdana" w:hAnsi="Verdana"/>
          <w:b/>
          <w:bCs/>
          <w:i/>
          <w:iCs/>
          <w:color w:val="800000"/>
          <w:sz w:val="18"/>
          <w:szCs w:val="18"/>
        </w:rPr>
        <w:t>INTERPRETACIÓN DEL REQUISITO DE EMPLEADO PARA QUE EL ARRENDAMIENTO DE INMUEBLES REVISTA EL CARÁCTER DE ACTIVIDAD ECONÓMICA</w:t>
      </w:r>
    </w:p>
    <w:p w14:paraId="716D629A" w14:textId="4C304FAB" w:rsidR="00134B7D" w:rsidRDefault="00E544EC" w:rsidP="00134B7D">
      <w:pPr>
        <w:pStyle w:val="Prrafodelista"/>
        <w:ind w:left="284"/>
        <w:jc w:val="both"/>
        <w:rPr>
          <w:rFonts w:ascii="Verdana" w:hAnsi="Verdana"/>
          <w:b/>
          <w:bCs/>
          <w:i/>
          <w:iCs/>
          <w:color w:val="800000"/>
          <w:sz w:val="18"/>
          <w:szCs w:val="18"/>
        </w:rPr>
      </w:pPr>
      <w:r w:rsidRPr="00E544EC">
        <w:rPr>
          <w:rFonts w:ascii="Verdana" w:hAnsi="Verdana"/>
          <w:b/>
          <w:bCs/>
          <w:i/>
          <w:iCs/>
          <w:color w:val="800000"/>
          <w:sz w:val="18"/>
          <w:szCs w:val="18"/>
        </w:rPr>
        <w:t>El Tribunal Supremo entiende que el requisito del empleado a jornada completa —exigido por la normativa del IRPF para que el arrendamiento de inmuebles se califique como actividad económica— puede entenderse cumplido</w:t>
      </w:r>
      <w:r>
        <w:rPr>
          <w:rFonts w:ascii="Verdana" w:hAnsi="Verdana"/>
          <w:b/>
          <w:bCs/>
          <w:i/>
          <w:iCs/>
          <w:color w:val="800000"/>
          <w:sz w:val="18"/>
          <w:szCs w:val="18"/>
        </w:rPr>
        <w:t xml:space="preserve"> sólo</w:t>
      </w:r>
      <w:r w:rsidRPr="00E544EC">
        <w:rPr>
          <w:rFonts w:ascii="Verdana" w:hAnsi="Verdana"/>
          <w:b/>
          <w:bCs/>
          <w:i/>
          <w:iCs/>
          <w:color w:val="800000"/>
          <w:sz w:val="18"/>
          <w:szCs w:val="18"/>
        </w:rPr>
        <w:t xml:space="preserve"> si existe </w:t>
      </w:r>
      <w:r w:rsidRPr="00E544EC">
        <w:rPr>
          <w:rFonts w:ascii="Verdana" w:hAnsi="Verdana"/>
          <w:b/>
          <w:bCs/>
          <w:i/>
          <w:iCs/>
          <w:color w:val="800000"/>
          <w:sz w:val="18"/>
          <w:szCs w:val="18"/>
        </w:rPr>
        <w:lastRenderedPageBreak/>
        <w:t>una unidad económico-funcional a nivel de grupo y a la que sirve la sociedad arrendadora.</w:t>
      </w:r>
    </w:p>
    <w:p w14:paraId="7F130464" w14:textId="77777777" w:rsidR="0075284B" w:rsidRDefault="0075284B" w:rsidP="00134B7D">
      <w:pPr>
        <w:pStyle w:val="Prrafodelista"/>
        <w:ind w:left="284"/>
        <w:jc w:val="both"/>
        <w:rPr>
          <w:rFonts w:ascii="Verdana" w:hAnsi="Verdana"/>
          <w:b/>
          <w:bCs/>
          <w:i/>
          <w:iCs/>
          <w:color w:val="800000"/>
          <w:sz w:val="18"/>
          <w:szCs w:val="18"/>
        </w:rPr>
      </w:pPr>
    </w:p>
    <w:p w14:paraId="365CC244" w14:textId="45A7260A" w:rsidR="0075284B" w:rsidRDefault="0075284B" w:rsidP="00722EAB">
      <w:pPr>
        <w:pStyle w:val="Prrafodelista"/>
        <w:numPr>
          <w:ilvl w:val="0"/>
          <w:numId w:val="6"/>
        </w:numPr>
        <w:ind w:left="284" w:hanging="284"/>
        <w:jc w:val="both"/>
        <w:rPr>
          <w:rFonts w:ascii="Verdana" w:hAnsi="Verdana"/>
          <w:b/>
          <w:bCs/>
          <w:i/>
          <w:iCs/>
          <w:color w:val="800000"/>
          <w:sz w:val="18"/>
          <w:szCs w:val="18"/>
        </w:rPr>
      </w:pPr>
      <w:r w:rsidRPr="0075284B">
        <w:rPr>
          <w:rFonts w:ascii="Verdana" w:hAnsi="Verdana"/>
          <w:b/>
          <w:bCs/>
          <w:i/>
          <w:iCs/>
          <w:color w:val="800000"/>
          <w:sz w:val="18"/>
          <w:szCs w:val="18"/>
        </w:rPr>
        <w:t>INSTRUCCIÓN AEAT 1-26</w:t>
      </w:r>
      <w:r>
        <w:rPr>
          <w:rFonts w:ascii="Verdana" w:hAnsi="Verdana"/>
          <w:b/>
          <w:bCs/>
          <w:i/>
          <w:iCs/>
          <w:color w:val="800000"/>
          <w:sz w:val="18"/>
          <w:szCs w:val="18"/>
        </w:rPr>
        <w:t xml:space="preserve"> </w:t>
      </w:r>
      <w:r w:rsidRPr="0075284B">
        <w:rPr>
          <w:rFonts w:ascii="Verdana" w:hAnsi="Verdana"/>
          <w:b/>
          <w:bCs/>
          <w:i/>
          <w:iCs/>
          <w:color w:val="800000"/>
          <w:sz w:val="18"/>
          <w:szCs w:val="18"/>
        </w:rPr>
        <w:t>POR LA QUE SE MODIFICA LA INSTRUCCIÓN 1/2023, DE 31 DE MARZO, SOBRE LAS GARANTÍAS NECESARIAS PARA LA CONCESIÓN DE APLAZAMIENTOS Y FRACCIONAMIENTOS DE PAGO, Y PARA OBTENER LA SUSPENSIÓN DE LOS ACTOS ADMINISTRATIVOS OBJETO DE RECURSO Y RECLAMACIÓN</w:t>
      </w:r>
    </w:p>
    <w:p w14:paraId="395ED26B" w14:textId="09F27AC6" w:rsidR="00E544EC" w:rsidRPr="0075284B" w:rsidRDefault="0075284B" w:rsidP="0075284B">
      <w:pPr>
        <w:pStyle w:val="Prrafodelista"/>
        <w:ind w:left="284"/>
        <w:jc w:val="both"/>
        <w:rPr>
          <w:rFonts w:ascii="Verdana" w:hAnsi="Verdana"/>
          <w:b/>
          <w:bCs/>
          <w:i/>
          <w:iCs/>
          <w:color w:val="800000"/>
          <w:sz w:val="18"/>
          <w:szCs w:val="18"/>
        </w:rPr>
      </w:pPr>
      <w:r w:rsidRPr="0075284B">
        <w:rPr>
          <w:rFonts w:ascii="Verdana" w:hAnsi="Verdana"/>
          <w:b/>
          <w:bCs/>
          <w:i/>
          <w:iCs/>
          <w:color w:val="800000"/>
          <w:sz w:val="18"/>
          <w:szCs w:val="18"/>
        </w:rPr>
        <w:t>La Agencia Estatal de la Administración Tributaria (AEAT) ha publicado en su página web la Instrucción 1-2026, que modifica la Instrucción 1/2023, sobre las garantías necesarias para la concesión de aplazamientos y fraccionamientos de pago, para acomodar la redacción a la sentencia de la Audiencia Nacional de 17 de marzo de 2025.</w:t>
      </w:r>
    </w:p>
    <w:p w14:paraId="43E337B6" w14:textId="77777777" w:rsidR="00650D3D" w:rsidRDefault="00650D3D" w:rsidP="0010038E">
      <w:pPr>
        <w:jc w:val="both"/>
        <w:rPr>
          <w:rFonts w:ascii="Verdana" w:hAnsi="Verdana"/>
          <w:b/>
          <w:bCs/>
          <w:i/>
          <w:iCs/>
          <w:color w:val="800000"/>
          <w:sz w:val="18"/>
          <w:szCs w:val="18"/>
        </w:rPr>
      </w:pPr>
    </w:p>
    <w:p w14:paraId="19F2BB98" w14:textId="77777777" w:rsidR="00E544EC" w:rsidRDefault="00E544EC" w:rsidP="0010038E">
      <w:pPr>
        <w:jc w:val="both"/>
        <w:rPr>
          <w:rFonts w:ascii="Verdana" w:hAnsi="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8E48FE" w:rsidRPr="0018618F" w14:paraId="1F8A698E" w14:textId="77777777" w:rsidTr="00216351">
        <w:tc>
          <w:tcPr>
            <w:tcW w:w="180" w:type="dxa"/>
            <w:shd w:val="clear" w:color="auto" w:fill="FF6600"/>
          </w:tcPr>
          <w:p w14:paraId="5FE76DA9" w14:textId="77777777" w:rsidR="008E48FE" w:rsidRPr="0018618F" w:rsidRDefault="008E48FE" w:rsidP="00216351">
            <w:pPr>
              <w:ind w:left="360"/>
              <w:rPr>
                <w:rFonts w:ascii="Verdana" w:hAnsi="Verdana"/>
                <w:b/>
                <w:bCs/>
                <w:color w:val="800000"/>
                <w:sz w:val="18"/>
                <w:szCs w:val="18"/>
              </w:rPr>
            </w:pPr>
            <w:bookmarkStart w:id="1" w:name="_Hlk196217276"/>
          </w:p>
        </w:tc>
        <w:tc>
          <w:tcPr>
            <w:tcW w:w="8460" w:type="dxa"/>
          </w:tcPr>
          <w:p w14:paraId="4C66D1C6" w14:textId="75D8ED39" w:rsidR="008E48FE" w:rsidRPr="0018618F" w:rsidRDefault="0018618F" w:rsidP="008E48FE">
            <w:pPr>
              <w:numPr>
                <w:ilvl w:val="1"/>
                <w:numId w:val="68"/>
              </w:numPr>
              <w:tabs>
                <w:tab w:val="clear" w:pos="1080"/>
              </w:tabs>
              <w:ind w:left="389" w:hanging="283"/>
              <w:jc w:val="both"/>
              <w:rPr>
                <w:rFonts w:ascii="Verdana" w:hAnsi="Verdana"/>
                <w:b/>
                <w:bCs/>
                <w:color w:val="800000"/>
                <w:sz w:val="18"/>
                <w:szCs w:val="18"/>
              </w:rPr>
            </w:pPr>
            <w:r w:rsidRPr="0018618F">
              <w:rPr>
                <w:rFonts w:ascii="Verdana" w:hAnsi="Verdana"/>
                <w:b/>
                <w:bCs/>
                <w:color w:val="800000"/>
                <w:sz w:val="18"/>
                <w:szCs w:val="18"/>
              </w:rPr>
              <w:t>PLAN DE CONTROL TRIBUTARIO Y ADUANERO 2026</w:t>
            </w:r>
          </w:p>
        </w:tc>
      </w:tr>
      <w:bookmarkEnd w:id="1"/>
    </w:tbl>
    <w:p w14:paraId="13DA7CFD" w14:textId="77777777" w:rsidR="008E48FE" w:rsidRDefault="008E48FE" w:rsidP="0010038E">
      <w:pPr>
        <w:jc w:val="both"/>
        <w:rPr>
          <w:rFonts w:ascii="Verdana" w:hAnsi="Verdana"/>
          <w:b/>
          <w:bCs/>
          <w:i/>
          <w:iCs/>
          <w:color w:val="800000"/>
          <w:sz w:val="18"/>
          <w:szCs w:val="18"/>
        </w:rPr>
      </w:pPr>
    </w:p>
    <w:p w14:paraId="7C5F6CAB" w14:textId="77777777" w:rsidR="0018618F" w:rsidRPr="0018618F" w:rsidRDefault="0018618F" w:rsidP="0018618F">
      <w:pPr>
        <w:ind w:left="284"/>
        <w:contextualSpacing/>
        <w:jc w:val="both"/>
        <w:rPr>
          <w:rFonts w:ascii="Verdana" w:eastAsia="Calibri" w:hAnsi="Verdana" w:cs="Arial"/>
          <w:b/>
          <w:bCs/>
          <w:sz w:val="18"/>
          <w:szCs w:val="18"/>
        </w:rPr>
      </w:pPr>
      <w:r w:rsidRPr="0018618F">
        <w:rPr>
          <w:rFonts w:ascii="Verdana" w:eastAsia="Calibri" w:hAnsi="Verdana" w:cs="Arial"/>
          <w:b/>
          <w:bCs/>
          <w:sz w:val="18"/>
          <w:szCs w:val="18"/>
        </w:rPr>
        <w:t>Plan de Control Tributario y Aduanero 2026</w:t>
      </w:r>
    </w:p>
    <w:p w14:paraId="73D8C7F1" w14:textId="77777777" w:rsidR="0018618F" w:rsidRPr="0018618F" w:rsidRDefault="0018618F" w:rsidP="0018618F">
      <w:pPr>
        <w:ind w:left="284"/>
        <w:contextualSpacing/>
        <w:jc w:val="both"/>
        <w:rPr>
          <w:rFonts w:ascii="Verdana" w:eastAsia="Calibri" w:hAnsi="Verdana" w:cs="Arial"/>
          <w:bCs/>
          <w:sz w:val="18"/>
          <w:szCs w:val="18"/>
        </w:rPr>
      </w:pPr>
      <w:r w:rsidRPr="0018618F">
        <w:rPr>
          <w:rFonts w:ascii="Verdana" w:eastAsia="Calibri" w:hAnsi="Verdana" w:cs="Arial"/>
          <w:bCs/>
          <w:sz w:val="18"/>
          <w:szCs w:val="18"/>
        </w:rPr>
        <w:t>El Plan Anual de Control Tributario y Aduanero 2026, publicado por la AEAT, establece las principales líneas de actuación de la Administración tributaria, permitiendo a los contribuyentes anticipar riesgos fiscales y reforzar el cumplimiento.</w:t>
      </w:r>
    </w:p>
    <w:p w14:paraId="51F51863" w14:textId="77777777" w:rsidR="0018618F" w:rsidRDefault="0018618F" w:rsidP="0018618F">
      <w:pPr>
        <w:ind w:left="284"/>
        <w:contextualSpacing/>
        <w:jc w:val="both"/>
        <w:rPr>
          <w:rFonts w:ascii="Verdana" w:eastAsia="Calibri" w:hAnsi="Verdana" w:cs="Arial"/>
          <w:b/>
          <w:bCs/>
          <w:sz w:val="18"/>
          <w:szCs w:val="18"/>
        </w:rPr>
      </w:pPr>
    </w:p>
    <w:p w14:paraId="5E7B5113" w14:textId="6CE96C85" w:rsidR="0018618F" w:rsidRPr="0018618F" w:rsidRDefault="0018618F" w:rsidP="0018618F">
      <w:pPr>
        <w:ind w:left="284"/>
        <w:contextualSpacing/>
        <w:jc w:val="both"/>
        <w:rPr>
          <w:rFonts w:ascii="Verdana" w:eastAsia="Calibri" w:hAnsi="Verdana" w:cs="Arial"/>
          <w:b/>
          <w:bCs/>
          <w:sz w:val="18"/>
          <w:szCs w:val="18"/>
        </w:rPr>
      </w:pPr>
      <w:r w:rsidRPr="0018618F">
        <w:rPr>
          <w:rFonts w:ascii="Verdana" w:eastAsia="Calibri" w:hAnsi="Verdana" w:cs="Arial"/>
          <w:b/>
          <w:bCs/>
          <w:sz w:val="18"/>
          <w:szCs w:val="18"/>
        </w:rPr>
        <w:t>Claves generales</w:t>
      </w:r>
    </w:p>
    <w:p w14:paraId="3BE22EBA" w14:textId="77777777" w:rsidR="0018618F" w:rsidRPr="0018618F" w:rsidRDefault="0018618F" w:rsidP="0018618F">
      <w:pPr>
        <w:numPr>
          <w:ilvl w:val="0"/>
          <w:numId w:val="69"/>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El Plan actúa como guía para identificar áreas de mayor riesgo de inspección. </w:t>
      </w:r>
    </w:p>
    <w:p w14:paraId="6F2773D4" w14:textId="77777777" w:rsidR="0018618F" w:rsidRPr="0018618F" w:rsidRDefault="0018618F" w:rsidP="0018618F">
      <w:pPr>
        <w:numPr>
          <w:ilvl w:val="0"/>
          <w:numId w:val="69"/>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Se estructura en cinco pilares: asistencia al contribuyente, prevención del fraude, inspección, recaudación y colaboración con Comunidades Autónomas. </w:t>
      </w:r>
    </w:p>
    <w:p w14:paraId="5793792F" w14:textId="77777777" w:rsidR="0018618F" w:rsidRPr="0018618F" w:rsidRDefault="0018618F" w:rsidP="0018618F">
      <w:pPr>
        <w:numPr>
          <w:ilvl w:val="0"/>
          <w:numId w:val="69"/>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Fomenta auditorías fiscales preventivas y una mayor transparencia en la gestión empresarial. </w:t>
      </w:r>
    </w:p>
    <w:p w14:paraId="4F9CF2F0" w14:textId="5604E359" w:rsidR="0018618F" w:rsidRPr="0018618F" w:rsidRDefault="0018618F" w:rsidP="0018618F">
      <w:pPr>
        <w:ind w:left="284"/>
        <w:contextualSpacing/>
        <w:jc w:val="both"/>
        <w:rPr>
          <w:rFonts w:ascii="Verdana" w:eastAsia="Calibri" w:hAnsi="Verdana" w:cs="Arial"/>
          <w:bCs/>
          <w:sz w:val="18"/>
          <w:szCs w:val="18"/>
        </w:rPr>
      </w:pPr>
    </w:p>
    <w:p w14:paraId="5320CC7C" w14:textId="0EF35E40"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Principales medidas y focos de control</w:t>
      </w:r>
    </w:p>
    <w:p w14:paraId="2C518F15" w14:textId="29736869"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1. Facturación electrónica (VERI*FACTU)</w:t>
      </w:r>
    </w:p>
    <w:p w14:paraId="4FEAF0E5" w14:textId="77777777" w:rsidR="0018618F" w:rsidRPr="0018618F" w:rsidRDefault="0018618F" w:rsidP="0018618F">
      <w:pPr>
        <w:numPr>
          <w:ilvl w:val="0"/>
          <w:numId w:val="70"/>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Se retrasa su obligatoriedad a </w:t>
      </w:r>
      <w:r w:rsidRPr="0018618F">
        <w:rPr>
          <w:rFonts w:ascii="Verdana" w:eastAsia="Calibri" w:hAnsi="Verdana" w:cs="Arial"/>
          <w:b/>
          <w:bCs/>
          <w:sz w:val="18"/>
          <w:szCs w:val="18"/>
        </w:rPr>
        <w:t>2027</w:t>
      </w:r>
      <w:r w:rsidRPr="0018618F">
        <w:rPr>
          <w:rFonts w:ascii="Verdana" w:eastAsia="Calibri" w:hAnsi="Verdana" w:cs="Arial"/>
          <w:bCs/>
          <w:sz w:val="18"/>
          <w:szCs w:val="18"/>
        </w:rPr>
        <w:t xml:space="preserve">. </w:t>
      </w:r>
    </w:p>
    <w:p w14:paraId="032859FC" w14:textId="77777777" w:rsidR="0018618F" w:rsidRPr="0018618F" w:rsidRDefault="0018618F" w:rsidP="0018618F">
      <w:pPr>
        <w:numPr>
          <w:ilvl w:val="0"/>
          <w:numId w:val="70"/>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Durante 2026 se intensificará la asistencia para su implantación. </w:t>
      </w:r>
    </w:p>
    <w:p w14:paraId="4364E6A1" w14:textId="77777777" w:rsidR="0018618F" w:rsidRDefault="0018618F" w:rsidP="0018618F">
      <w:pPr>
        <w:ind w:left="284"/>
        <w:contextualSpacing/>
        <w:jc w:val="both"/>
        <w:rPr>
          <w:rFonts w:ascii="Verdana" w:eastAsia="Calibri" w:hAnsi="Verdana" w:cs="Arial"/>
          <w:b/>
          <w:bCs/>
          <w:sz w:val="18"/>
          <w:szCs w:val="18"/>
        </w:rPr>
      </w:pPr>
    </w:p>
    <w:p w14:paraId="3E10D564" w14:textId="42B5615C"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2. Mayor control financiero</w:t>
      </w:r>
    </w:p>
    <w:p w14:paraId="26D723B1" w14:textId="77777777" w:rsidR="0018618F" w:rsidRPr="0018618F" w:rsidRDefault="0018618F" w:rsidP="0018618F">
      <w:pPr>
        <w:numPr>
          <w:ilvl w:val="0"/>
          <w:numId w:val="71"/>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La AEAT recibirá información mensual sobre: </w:t>
      </w:r>
    </w:p>
    <w:p w14:paraId="2680F6EC" w14:textId="77777777" w:rsidR="0018618F" w:rsidRPr="0018618F" w:rsidRDefault="0018618F" w:rsidP="0018618F">
      <w:pPr>
        <w:numPr>
          <w:ilvl w:val="1"/>
          <w:numId w:val="71"/>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Cuentas bancarias </w:t>
      </w:r>
    </w:p>
    <w:p w14:paraId="3C8D895C" w14:textId="77777777" w:rsidR="0018618F" w:rsidRPr="0018618F" w:rsidRDefault="0018618F" w:rsidP="0018618F">
      <w:pPr>
        <w:numPr>
          <w:ilvl w:val="1"/>
          <w:numId w:val="71"/>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Pagos con tarjeta (TPV) </w:t>
      </w:r>
    </w:p>
    <w:p w14:paraId="1CDB6F28" w14:textId="77777777" w:rsidR="0018618F" w:rsidRPr="0018618F" w:rsidRDefault="0018618F" w:rsidP="0018618F">
      <w:pPr>
        <w:numPr>
          <w:ilvl w:val="1"/>
          <w:numId w:val="71"/>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Bizum empresarial </w:t>
      </w:r>
    </w:p>
    <w:p w14:paraId="2944181E" w14:textId="77777777" w:rsidR="0018618F" w:rsidRPr="0018618F" w:rsidRDefault="0018618F" w:rsidP="0018618F">
      <w:pPr>
        <w:numPr>
          <w:ilvl w:val="0"/>
          <w:numId w:val="71"/>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Se refuerza el control sobre </w:t>
      </w:r>
      <w:proofErr w:type="spellStart"/>
      <w:r w:rsidRPr="0018618F">
        <w:rPr>
          <w:rFonts w:ascii="Verdana" w:eastAsia="Calibri" w:hAnsi="Verdana" w:cs="Arial"/>
          <w:b/>
          <w:bCs/>
          <w:sz w:val="18"/>
          <w:szCs w:val="18"/>
        </w:rPr>
        <w:t>neobancos</w:t>
      </w:r>
      <w:proofErr w:type="spellEnd"/>
      <w:r w:rsidRPr="0018618F">
        <w:rPr>
          <w:rFonts w:ascii="Verdana" w:eastAsia="Calibri" w:hAnsi="Verdana" w:cs="Arial"/>
          <w:bCs/>
          <w:sz w:val="18"/>
          <w:szCs w:val="18"/>
        </w:rPr>
        <w:t xml:space="preserve"> y operaciones internacionales. </w:t>
      </w:r>
    </w:p>
    <w:p w14:paraId="77F8412F" w14:textId="77777777" w:rsidR="0018618F" w:rsidRDefault="0018618F" w:rsidP="0018618F">
      <w:pPr>
        <w:ind w:left="284"/>
        <w:contextualSpacing/>
        <w:jc w:val="both"/>
        <w:rPr>
          <w:rFonts w:ascii="Verdana" w:eastAsia="Calibri" w:hAnsi="Verdana" w:cs="Arial"/>
          <w:b/>
          <w:bCs/>
          <w:sz w:val="18"/>
          <w:szCs w:val="18"/>
        </w:rPr>
      </w:pPr>
    </w:p>
    <w:p w14:paraId="345DEE6C" w14:textId="10F09106"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3. Sector inmobiliario</w:t>
      </w:r>
    </w:p>
    <w:p w14:paraId="12906F91" w14:textId="77777777" w:rsidR="0018618F" w:rsidRPr="0018618F" w:rsidRDefault="0018618F" w:rsidP="0018618F">
      <w:pPr>
        <w:numPr>
          <w:ilvl w:val="0"/>
          <w:numId w:val="72"/>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Supervisión en todas las fases (promoción, venta, alquiler). </w:t>
      </w:r>
    </w:p>
    <w:p w14:paraId="4A14C858" w14:textId="77777777" w:rsidR="0018618F" w:rsidRPr="0018618F" w:rsidRDefault="0018618F" w:rsidP="0018618F">
      <w:pPr>
        <w:numPr>
          <w:ilvl w:val="0"/>
          <w:numId w:val="72"/>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Especial atención a: </w:t>
      </w:r>
    </w:p>
    <w:p w14:paraId="1A56BA6D" w14:textId="77777777" w:rsidR="0018618F" w:rsidRPr="0018618F" w:rsidRDefault="0018618F" w:rsidP="0018618F">
      <w:pPr>
        <w:numPr>
          <w:ilvl w:val="1"/>
          <w:numId w:val="72"/>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Valoración de inmuebles </w:t>
      </w:r>
    </w:p>
    <w:p w14:paraId="0C3AB501" w14:textId="77777777" w:rsidR="0018618F" w:rsidRPr="0018618F" w:rsidRDefault="0018618F" w:rsidP="0018618F">
      <w:pPr>
        <w:numPr>
          <w:ilvl w:val="1"/>
          <w:numId w:val="72"/>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Alquileres en plataformas digitales </w:t>
      </w:r>
    </w:p>
    <w:p w14:paraId="433E8CD4" w14:textId="77777777" w:rsidR="0018618F" w:rsidRPr="0018618F" w:rsidRDefault="0018618F" w:rsidP="0018618F">
      <w:pPr>
        <w:numPr>
          <w:ilvl w:val="1"/>
          <w:numId w:val="72"/>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SOCIMI y estructuras societarias </w:t>
      </w:r>
    </w:p>
    <w:p w14:paraId="6131DCD6" w14:textId="77777777" w:rsidR="0018618F" w:rsidRDefault="0018618F" w:rsidP="0018618F">
      <w:pPr>
        <w:ind w:left="284"/>
        <w:contextualSpacing/>
        <w:jc w:val="both"/>
        <w:rPr>
          <w:rFonts w:ascii="Verdana" w:eastAsia="Calibri" w:hAnsi="Verdana" w:cs="Arial"/>
          <w:b/>
          <w:bCs/>
          <w:sz w:val="18"/>
          <w:szCs w:val="18"/>
        </w:rPr>
      </w:pPr>
    </w:p>
    <w:p w14:paraId="51AD73F6" w14:textId="09E99626"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4. Control patrimonial y sociedades</w:t>
      </w:r>
    </w:p>
    <w:p w14:paraId="06468122" w14:textId="77777777" w:rsidR="0018618F" w:rsidRPr="0018618F" w:rsidRDefault="0018618F" w:rsidP="0018618F">
      <w:pPr>
        <w:numPr>
          <w:ilvl w:val="0"/>
          <w:numId w:val="73"/>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Detección de discrepancias entre nivel de vida y rentas declaradas. </w:t>
      </w:r>
    </w:p>
    <w:p w14:paraId="59D4A3E1" w14:textId="77777777" w:rsidR="0018618F" w:rsidRPr="0018618F" w:rsidRDefault="0018618F" w:rsidP="0018618F">
      <w:pPr>
        <w:numPr>
          <w:ilvl w:val="0"/>
          <w:numId w:val="73"/>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Vigilancia de: </w:t>
      </w:r>
    </w:p>
    <w:p w14:paraId="4D9FE739" w14:textId="77777777" w:rsidR="0018618F" w:rsidRPr="0018618F" w:rsidRDefault="0018618F" w:rsidP="0018618F">
      <w:pPr>
        <w:numPr>
          <w:ilvl w:val="1"/>
          <w:numId w:val="73"/>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Sociedades instrumentales </w:t>
      </w:r>
    </w:p>
    <w:p w14:paraId="0A76528C" w14:textId="77777777" w:rsidR="0018618F" w:rsidRPr="0018618F" w:rsidRDefault="0018618F" w:rsidP="0018618F">
      <w:pPr>
        <w:numPr>
          <w:ilvl w:val="1"/>
          <w:numId w:val="73"/>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Gastos personales deducidos indebidamente </w:t>
      </w:r>
    </w:p>
    <w:p w14:paraId="78497A5B" w14:textId="77777777" w:rsidR="0018618F" w:rsidRPr="0018618F" w:rsidRDefault="0018618F" w:rsidP="0018618F">
      <w:pPr>
        <w:numPr>
          <w:ilvl w:val="1"/>
          <w:numId w:val="73"/>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Préstamos ficticios a socios </w:t>
      </w:r>
    </w:p>
    <w:p w14:paraId="69DC95CE" w14:textId="77777777" w:rsidR="0018618F" w:rsidRDefault="0018618F" w:rsidP="0018618F">
      <w:pPr>
        <w:ind w:left="284"/>
        <w:contextualSpacing/>
        <w:jc w:val="both"/>
        <w:rPr>
          <w:rFonts w:ascii="Verdana" w:eastAsia="Calibri" w:hAnsi="Verdana" w:cs="Arial"/>
          <w:b/>
          <w:bCs/>
          <w:sz w:val="18"/>
          <w:szCs w:val="18"/>
        </w:rPr>
      </w:pPr>
    </w:p>
    <w:p w14:paraId="35E7E96C" w14:textId="50F1DDF3"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5. Residencia fiscal e impatriados</w:t>
      </w:r>
    </w:p>
    <w:p w14:paraId="1CF2B186" w14:textId="77777777" w:rsidR="0018618F" w:rsidRPr="0018618F" w:rsidRDefault="0018618F" w:rsidP="0018618F">
      <w:pPr>
        <w:numPr>
          <w:ilvl w:val="0"/>
          <w:numId w:val="74"/>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Control de cambios ficticios de residencia. </w:t>
      </w:r>
    </w:p>
    <w:p w14:paraId="25911AA1" w14:textId="77777777" w:rsidR="0018618F" w:rsidRPr="0018618F" w:rsidRDefault="0018618F" w:rsidP="0018618F">
      <w:pPr>
        <w:numPr>
          <w:ilvl w:val="0"/>
          <w:numId w:val="74"/>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Revisión del uso indebido del régimen de impatriados. </w:t>
      </w:r>
    </w:p>
    <w:p w14:paraId="1F787ABF" w14:textId="77777777" w:rsidR="0018618F" w:rsidRDefault="0018618F" w:rsidP="0018618F">
      <w:pPr>
        <w:ind w:left="284"/>
        <w:contextualSpacing/>
        <w:jc w:val="both"/>
        <w:rPr>
          <w:rFonts w:ascii="Verdana" w:eastAsia="Calibri" w:hAnsi="Verdana" w:cs="Arial"/>
          <w:b/>
          <w:bCs/>
          <w:sz w:val="18"/>
          <w:szCs w:val="18"/>
        </w:rPr>
      </w:pPr>
    </w:p>
    <w:p w14:paraId="4AB747C3" w14:textId="4E6BFA91"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lastRenderedPageBreak/>
        <w:t>6. Grandes empresas y multinacionales</w:t>
      </w:r>
    </w:p>
    <w:p w14:paraId="7448E34C" w14:textId="77777777" w:rsidR="0018618F" w:rsidRPr="0018618F" w:rsidRDefault="0018618F" w:rsidP="0018618F">
      <w:pPr>
        <w:numPr>
          <w:ilvl w:val="0"/>
          <w:numId w:val="75"/>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Foco en: </w:t>
      </w:r>
    </w:p>
    <w:p w14:paraId="2B44C42F" w14:textId="77777777" w:rsidR="0018618F" w:rsidRPr="0018618F" w:rsidRDefault="0018618F" w:rsidP="0018618F">
      <w:pPr>
        <w:numPr>
          <w:ilvl w:val="1"/>
          <w:numId w:val="75"/>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Precios de transferencia </w:t>
      </w:r>
    </w:p>
    <w:p w14:paraId="0827165F" w14:textId="77777777" w:rsidR="0018618F" w:rsidRPr="0018618F" w:rsidRDefault="0018618F" w:rsidP="0018618F">
      <w:pPr>
        <w:numPr>
          <w:ilvl w:val="1"/>
          <w:numId w:val="75"/>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Deducciones y gastos financieros </w:t>
      </w:r>
    </w:p>
    <w:p w14:paraId="5E91DF13" w14:textId="77777777" w:rsidR="0018618F" w:rsidRPr="0018618F" w:rsidRDefault="0018618F" w:rsidP="0018618F">
      <w:pPr>
        <w:numPr>
          <w:ilvl w:val="1"/>
          <w:numId w:val="75"/>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Operaciones intragrupo </w:t>
      </w:r>
    </w:p>
    <w:p w14:paraId="1D27CE52" w14:textId="77777777" w:rsidR="0018618F" w:rsidRPr="0018618F" w:rsidRDefault="0018618F" w:rsidP="0018618F">
      <w:pPr>
        <w:numPr>
          <w:ilvl w:val="0"/>
          <w:numId w:val="75"/>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Impulso de acuerdos previos (APAs) y control internacional. </w:t>
      </w:r>
    </w:p>
    <w:p w14:paraId="4DCC2CFE" w14:textId="77777777" w:rsidR="0018618F" w:rsidRDefault="0018618F" w:rsidP="0018618F">
      <w:pPr>
        <w:ind w:left="284"/>
        <w:contextualSpacing/>
        <w:jc w:val="both"/>
        <w:rPr>
          <w:rFonts w:ascii="Verdana" w:eastAsia="Calibri" w:hAnsi="Verdana" w:cs="Arial"/>
          <w:b/>
          <w:bCs/>
          <w:sz w:val="18"/>
          <w:szCs w:val="18"/>
        </w:rPr>
      </w:pPr>
    </w:p>
    <w:p w14:paraId="1B22E147" w14:textId="6C09C4B4"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7. Recaudación</w:t>
      </w:r>
    </w:p>
    <w:p w14:paraId="24293131" w14:textId="77777777" w:rsidR="0018618F" w:rsidRPr="0018618F" w:rsidRDefault="0018618F" w:rsidP="0018618F">
      <w:pPr>
        <w:numPr>
          <w:ilvl w:val="0"/>
          <w:numId w:val="76"/>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Refuerzo de medidas para asegurar el cobro: </w:t>
      </w:r>
    </w:p>
    <w:p w14:paraId="5B50FAD1" w14:textId="77777777" w:rsidR="0018618F" w:rsidRPr="0018618F" w:rsidRDefault="0018618F" w:rsidP="0018618F">
      <w:pPr>
        <w:numPr>
          <w:ilvl w:val="1"/>
          <w:numId w:val="76"/>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Derivación de responsabilidad a terceros </w:t>
      </w:r>
    </w:p>
    <w:p w14:paraId="4CB311D8" w14:textId="77777777" w:rsidR="0018618F" w:rsidRPr="0018618F" w:rsidRDefault="0018618F" w:rsidP="0018618F">
      <w:pPr>
        <w:numPr>
          <w:ilvl w:val="1"/>
          <w:numId w:val="76"/>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Medidas cautelares </w:t>
      </w:r>
    </w:p>
    <w:p w14:paraId="0CC07738" w14:textId="77777777" w:rsidR="0018618F" w:rsidRPr="0018618F" w:rsidRDefault="0018618F" w:rsidP="0018618F">
      <w:pPr>
        <w:numPr>
          <w:ilvl w:val="1"/>
          <w:numId w:val="76"/>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Acciones judiciales y penales </w:t>
      </w:r>
    </w:p>
    <w:p w14:paraId="330521F7" w14:textId="77777777" w:rsidR="0018618F" w:rsidRDefault="0018618F" w:rsidP="0018618F">
      <w:pPr>
        <w:ind w:left="284"/>
        <w:contextualSpacing/>
        <w:jc w:val="both"/>
        <w:rPr>
          <w:rFonts w:ascii="Verdana" w:eastAsia="Calibri" w:hAnsi="Verdana" w:cs="Arial"/>
          <w:b/>
          <w:bCs/>
          <w:sz w:val="18"/>
          <w:szCs w:val="18"/>
        </w:rPr>
      </w:pPr>
    </w:p>
    <w:p w14:paraId="4EAA5A76" w14:textId="2CE6F300"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8. Impuesto mínimo global (Pilar 2 OCDE)</w:t>
      </w:r>
    </w:p>
    <w:p w14:paraId="785D46C4" w14:textId="77777777" w:rsidR="0018618F" w:rsidRPr="0018618F" w:rsidRDefault="0018618F" w:rsidP="0018618F">
      <w:pPr>
        <w:numPr>
          <w:ilvl w:val="0"/>
          <w:numId w:val="77"/>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Se implementa el tipo mínimo del </w:t>
      </w:r>
      <w:r w:rsidRPr="0018618F">
        <w:rPr>
          <w:rFonts w:ascii="Verdana" w:eastAsia="Calibri" w:hAnsi="Verdana" w:cs="Arial"/>
          <w:b/>
          <w:bCs/>
          <w:sz w:val="18"/>
          <w:szCs w:val="18"/>
        </w:rPr>
        <w:t>15%</w:t>
      </w:r>
      <w:r w:rsidRPr="0018618F">
        <w:rPr>
          <w:rFonts w:ascii="Verdana" w:eastAsia="Calibri" w:hAnsi="Verdana" w:cs="Arial"/>
          <w:bCs/>
          <w:sz w:val="18"/>
          <w:szCs w:val="18"/>
        </w:rPr>
        <w:t xml:space="preserve"> para grandes grupos. </w:t>
      </w:r>
    </w:p>
    <w:p w14:paraId="2D70CE9B" w14:textId="77777777" w:rsidR="0018618F" w:rsidRDefault="0018618F" w:rsidP="0018618F">
      <w:pPr>
        <w:numPr>
          <w:ilvl w:val="0"/>
          <w:numId w:val="77"/>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2026 será un año de adaptación y control inicial. </w:t>
      </w:r>
    </w:p>
    <w:p w14:paraId="5C8B0D78" w14:textId="77777777" w:rsidR="00CA2857" w:rsidRPr="0018618F" w:rsidRDefault="00CA2857" w:rsidP="00CA2857">
      <w:pPr>
        <w:ind w:left="720"/>
        <w:contextualSpacing/>
        <w:jc w:val="both"/>
        <w:rPr>
          <w:rFonts w:ascii="Verdana" w:eastAsia="Calibri" w:hAnsi="Verdana" w:cs="Arial"/>
          <w:bCs/>
          <w:sz w:val="18"/>
          <w:szCs w:val="18"/>
        </w:rPr>
      </w:pPr>
    </w:p>
    <w:p w14:paraId="5BB2DE75" w14:textId="7B6D3FAD"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9. Colaboración con CCAA</w:t>
      </w:r>
    </w:p>
    <w:p w14:paraId="780D19A6" w14:textId="77777777" w:rsidR="0018618F" w:rsidRPr="0018618F" w:rsidRDefault="0018618F" w:rsidP="0018618F">
      <w:pPr>
        <w:numPr>
          <w:ilvl w:val="0"/>
          <w:numId w:val="78"/>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Mayor intercambio de información. </w:t>
      </w:r>
    </w:p>
    <w:p w14:paraId="299DEBC5" w14:textId="77777777" w:rsidR="0018618F" w:rsidRPr="0018618F" w:rsidRDefault="0018618F" w:rsidP="0018618F">
      <w:pPr>
        <w:numPr>
          <w:ilvl w:val="0"/>
          <w:numId w:val="78"/>
        </w:numPr>
        <w:contextualSpacing/>
        <w:jc w:val="both"/>
        <w:rPr>
          <w:rFonts w:ascii="Verdana" w:eastAsia="Calibri" w:hAnsi="Verdana" w:cs="Arial"/>
          <w:bCs/>
          <w:sz w:val="18"/>
          <w:szCs w:val="18"/>
        </w:rPr>
      </w:pPr>
      <w:r w:rsidRPr="0018618F">
        <w:rPr>
          <w:rFonts w:ascii="Verdana" w:eastAsia="Calibri" w:hAnsi="Verdana" w:cs="Arial"/>
          <w:bCs/>
          <w:sz w:val="18"/>
          <w:szCs w:val="18"/>
        </w:rPr>
        <w:t xml:space="preserve">Control reforzado en tributos cedidos (ITP, Sucesiones). </w:t>
      </w:r>
    </w:p>
    <w:p w14:paraId="2A6A9ECA" w14:textId="7143285C" w:rsidR="0018618F" w:rsidRPr="0018618F" w:rsidRDefault="0018618F" w:rsidP="0018618F">
      <w:pPr>
        <w:ind w:left="284"/>
        <w:contextualSpacing/>
        <w:jc w:val="both"/>
        <w:rPr>
          <w:rFonts w:ascii="Verdana" w:eastAsia="Calibri" w:hAnsi="Verdana" w:cs="Arial"/>
          <w:bCs/>
          <w:sz w:val="18"/>
          <w:szCs w:val="18"/>
        </w:rPr>
      </w:pPr>
    </w:p>
    <w:p w14:paraId="575A6407" w14:textId="2930C0C4" w:rsidR="0018618F" w:rsidRPr="0018618F" w:rsidRDefault="0018618F" w:rsidP="0018618F">
      <w:pPr>
        <w:ind w:left="284"/>
        <w:contextualSpacing/>
        <w:jc w:val="both"/>
        <w:rPr>
          <w:rFonts w:ascii="Verdana" w:eastAsia="Calibri" w:hAnsi="Verdana" w:cs="Arial"/>
          <w:b/>
          <w:bCs/>
          <w:color w:val="C0504D" w:themeColor="accent2"/>
          <w:sz w:val="18"/>
          <w:szCs w:val="18"/>
        </w:rPr>
      </w:pPr>
      <w:r w:rsidRPr="0018618F">
        <w:rPr>
          <w:rFonts w:ascii="Verdana" w:eastAsia="Calibri" w:hAnsi="Verdana" w:cs="Arial"/>
          <w:b/>
          <w:bCs/>
          <w:color w:val="C0504D" w:themeColor="accent2"/>
          <w:sz w:val="18"/>
          <w:szCs w:val="18"/>
        </w:rPr>
        <w:t>Conclusión</w:t>
      </w:r>
    </w:p>
    <w:p w14:paraId="41BC46AC" w14:textId="77777777" w:rsidR="0018618F" w:rsidRPr="0018618F" w:rsidRDefault="0018618F" w:rsidP="0018618F">
      <w:pPr>
        <w:ind w:left="284"/>
        <w:contextualSpacing/>
        <w:jc w:val="both"/>
        <w:rPr>
          <w:rFonts w:ascii="Verdana" w:eastAsia="Calibri" w:hAnsi="Verdana" w:cs="Arial"/>
          <w:bCs/>
          <w:sz w:val="18"/>
          <w:szCs w:val="18"/>
        </w:rPr>
      </w:pPr>
      <w:r w:rsidRPr="0018618F">
        <w:rPr>
          <w:rFonts w:ascii="Verdana" w:eastAsia="Calibri" w:hAnsi="Verdana" w:cs="Arial"/>
          <w:bCs/>
          <w:sz w:val="18"/>
          <w:szCs w:val="18"/>
        </w:rPr>
        <w:t>El Plan 2026 intensifica el uso de datos y tecnología para detectar fraude, con especial foco en digitalización, control patrimonial y operaciones internacionales. Para empresas y contribuyentes, resulta clave anticiparse mediante revisión interna y cumplimiento preventivo.</w:t>
      </w:r>
    </w:p>
    <w:p w14:paraId="540EDC87" w14:textId="77777777" w:rsidR="00FA1F79" w:rsidRDefault="00FA1F79" w:rsidP="00A52647">
      <w:pPr>
        <w:ind w:left="284"/>
        <w:contextualSpacing/>
        <w:jc w:val="both"/>
        <w:rPr>
          <w:rFonts w:ascii="Verdana" w:hAnsi="Verdana"/>
          <w:b/>
          <w:bCs/>
          <w:color w:val="800000"/>
          <w:sz w:val="18"/>
          <w:szCs w:val="18"/>
        </w:rPr>
      </w:pPr>
    </w:p>
    <w:p w14:paraId="7D2779EA" w14:textId="77777777" w:rsidR="00FA1F79" w:rsidRDefault="00FA1F79" w:rsidP="00A52647">
      <w:pPr>
        <w:ind w:left="284"/>
        <w:contextualSpacing/>
        <w:jc w:val="both"/>
        <w:rPr>
          <w:rFonts w:ascii="Verdana" w:hAnsi="Verdana"/>
          <w:b/>
          <w:b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FA1F79" w:rsidRPr="00FA1F79" w14:paraId="33D2C497" w14:textId="77777777" w:rsidTr="002368A3">
        <w:tc>
          <w:tcPr>
            <w:tcW w:w="180" w:type="dxa"/>
            <w:shd w:val="clear" w:color="auto" w:fill="FF6600"/>
          </w:tcPr>
          <w:p w14:paraId="06628B12" w14:textId="77777777" w:rsidR="00FA1F79" w:rsidRPr="00FA1F79" w:rsidRDefault="00FA1F79" w:rsidP="002368A3">
            <w:pPr>
              <w:ind w:left="360"/>
              <w:rPr>
                <w:rFonts w:ascii="Verdana" w:hAnsi="Verdana"/>
                <w:b/>
                <w:bCs/>
                <w:color w:val="800000"/>
                <w:sz w:val="18"/>
                <w:szCs w:val="18"/>
              </w:rPr>
            </w:pPr>
            <w:bookmarkStart w:id="2" w:name="_Hlk227163961"/>
          </w:p>
        </w:tc>
        <w:tc>
          <w:tcPr>
            <w:tcW w:w="8460" w:type="dxa"/>
          </w:tcPr>
          <w:p w14:paraId="0D7DF2A8" w14:textId="300E1C68" w:rsidR="00FA1F79" w:rsidRPr="00FA1F79" w:rsidRDefault="00FA1F79" w:rsidP="002368A3">
            <w:pPr>
              <w:numPr>
                <w:ilvl w:val="1"/>
                <w:numId w:val="68"/>
              </w:numPr>
              <w:tabs>
                <w:tab w:val="clear" w:pos="1080"/>
              </w:tabs>
              <w:ind w:left="389" w:hanging="283"/>
              <w:jc w:val="both"/>
              <w:rPr>
                <w:rFonts w:ascii="Verdana" w:hAnsi="Verdana"/>
                <w:b/>
                <w:bCs/>
                <w:color w:val="800000"/>
                <w:sz w:val="18"/>
                <w:szCs w:val="18"/>
              </w:rPr>
            </w:pPr>
            <w:r w:rsidRPr="00FA1F79">
              <w:rPr>
                <w:rFonts w:ascii="Verdana" w:hAnsi="Verdana"/>
                <w:b/>
                <w:bCs/>
                <w:color w:val="800000"/>
                <w:sz w:val="18"/>
                <w:szCs w:val="18"/>
              </w:rPr>
              <w:t>CAMPAÑA DE RENTA 2025: ÚLTIMOS PRONUNCIAMIENTOS JUDICIALES</w:t>
            </w:r>
          </w:p>
        </w:tc>
      </w:tr>
    </w:tbl>
    <w:bookmarkEnd w:id="2"/>
    <w:p w14:paraId="64A48B8E" w14:textId="572B36D8" w:rsidR="00FA1F79" w:rsidRDefault="00FA1F79" w:rsidP="00FA1F79">
      <w:pPr>
        <w:spacing w:before="100" w:beforeAutospacing="1" w:after="100" w:afterAutospacing="1"/>
        <w:ind w:left="284"/>
        <w:jc w:val="both"/>
        <w:rPr>
          <w:rFonts w:ascii="Verdana" w:hAnsi="Verdana"/>
          <w:sz w:val="18"/>
          <w:szCs w:val="18"/>
        </w:rPr>
      </w:pPr>
      <w:r w:rsidRPr="00FA1F79">
        <w:rPr>
          <w:rFonts w:ascii="Verdana" w:hAnsi="Verdana"/>
          <w:sz w:val="18"/>
          <w:szCs w:val="18"/>
        </w:rPr>
        <w:t>Analizamos</w:t>
      </w:r>
      <w:r>
        <w:rPr>
          <w:rFonts w:ascii="Verdana" w:hAnsi="Verdana"/>
          <w:sz w:val="18"/>
          <w:szCs w:val="18"/>
        </w:rPr>
        <w:t xml:space="preserve"> de manera resumida</w:t>
      </w:r>
      <w:r w:rsidRPr="00FA1F79">
        <w:rPr>
          <w:rFonts w:ascii="Verdana" w:hAnsi="Verdana"/>
          <w:sz w:val="18"/>
          <w:szCs w:val="18"/>
        </w:rPr>
        <w:t xml:space="preserve"> los títulos más desta</w:t>
      </w:r>
      <w:r>
        <w:rPr>
          <w:rFonts w:ascii="Verdana" w:hAnsi="Verdana"/>
          <w:sz w:val="18"/>
          <w:szCs w:val="18"/>
        </w:rPr>
        <w:t>cados del año 2025</w:t>
      </w:r>
      <w:r w:rsidR="00E46303">
        <w:rPr>
          <w:rFonts w:ascii="Verdana" w:hAnsi="Verdana"/>
          <w:sz w:val="18"/>
          <w:szCs w:val="18"/>
        </w:rPr>
        <w:t>.</w:t>
      </w:r>
    </w:p>
    <w:p w14:paraId="49614C11" w14:textId="52781AAF" w:rsidR="00FA1F79" w:rsidRPr="00FA1F79" w:rsidRDefault="00FA1F79" w:rsidP="00FA1F79">
      <w:pPr>
        <w:spacing w:before="100" w:beforeAutospacing="1" w:after="100" w:afterAutospacing="1"/>
        <w:ind w:left="284"/>
        <w:jc w:val="both"/>
        <w:rPr>
          <w:rFonts w:ascii="Verdana" w:hAnsi="Verdana"/>
          <w:sz w:val="18"/>
          <w:szCs w:val="18"/>
        </w:rPr>
      </w:pPr>
      <w:r w:rsidRPr="00FA1F79">
        <w:rPr>
          <w:rFonts w:ascii="Verdana" w:hAnsi="Verdana"/>
          <w:b/>
          <w:bCs/>
          <w:sz w:val="18"/>
          <w:szCs w:val="18"/>
        </w:rPr>
        <w:t>I. Tribunal Supremo</w:t>
      </w:r>
    </w:p>
    <w:p w14:paraId="34AFF5E1" w14:textId="77777777" w:rsidR="00FA1F79" w:rsidRPr="00FA1F79" w:rsidRDefault="00FA1F79" w:rsidP="00FA1F79">
      <w:pPr>
        <w:spacing w:before="100" w:beforeAutospacing="1" w:after="100" w:afterAutospacing="1"/>
        <w:ind w:left="284"/>
        <w:jc w:val="both"/>
        <w:rPr>
          <w:rFonts w:ascii="Verdana" w:hAnsi="Verdana"/>
          <w:sz w:val="18"/>
          <w:szCs w:val="18"/>
        </w:rPr>
      </w:pPr>
      <w:r w:rsidRPr="00FA1F79">
        <w:rPr>
          <w:rFonts w:ascii="Verdana" w:hAnsi="Verdana"/>
          <w:sz w:val="18"/>
          <w:szCs w:val="18"/>
        </w:rPr>
        <w:t>El Tribunal Supremo ha consolidado importantes criterios interpretativos en el IRPF:</w:t>
      </w:r>
    </w:p>
    <w:p w14:paraId="5D787A13" w14:textId="77777777" w:rsidR="00FA1F79" w:rsidRPr="00FA1F79" w:rsidRDefault="00FA1F79" w:rsidP="00382340">
      <w:pPr>
        <w:numPr>
          <w:ilvl w:val="0"/>
          <w:numId w:val="79"/>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Donaciones</w:t>
      </w:r>
      <w:r w:rsidRPr="00FA1F79">
        <w:rPr>
          <w:rFonts w:ascii="Verdana" w:hAnsi="Verdana"/>
          <w:sz w:val="18"/>
          <w:szCs w:val="18"/>
        </w:rPr>
        <w:t xml:space="preserve">: no cabe computar pérdidas patrimoniales derivadas de transmisiones lucrativas, aunque se generen simultáneamente ganancias en el mismo acto. </w:t>
      </w:r>
    </w:p>
    <w:p w14:paraId="71F013B9" w14:textId="4E575308" w:rsidR="00FA1F79" w:rsidRPr="00FA1F79" w:rsidRDefault="00382340" w:rsidP="00382340">
      <w:pPr>
        <w:numPr>
          <w:ilvl w:val="0"/>
          <w:numId w:val="79"/>
        </w:numPr>
        <w:tabs>
          <w:tab w:val="clear" w:pos="720"/>
          <w:tab w:val="num" w:pos="426"/>
        </w:tabs>
        <w:spacing w:before="100" w:beforeAutospacing="1" w:after="100" w:afterAutospacing="1"/>
        <w:ind w:left="567" w:hanging="283"/>
        <w:jc w:val="both"/>
        <w:rPr>
          <w:rFonts w:ascii="Verdana" w:hAnsi="Verdana"/>
          <w:sz w:val="18"/>
          <w:szCs w:val="18"/>
        </w:rPr>
      </w:pPr>
      <w:r>
        <w:rPr>
          <w:rFonts w:ascii="Verdana" w:hAnsi="Verdana"/>
          <w:b/>
          <w:bCs/>
          <w:sz w:val="18"/>
          <w:szCs w:val="18"/>
        </w:rPr>
        <w:t xml:space="preserve"> </w:t>
      </w:r>
      <w:r w:rsidR="00FA1F79" w:rsidRPr="00FA1F79">
        <w:rPr>
          <w:rFonts w:ascii="Verdana" w:hAnsi="Verdana"/>
          <w:b/>
          <w:bCs/>
          <w:sz w:val="18"/>
          <w:szCs w:val="18"/>
        </w:rPr>
        <w:t>Arrendamientos de vivienda</w:t>
      </w:r>
      <w:r w:rsidR="00FA1F79" w:rsidRPr="00FA1F79">
        <w:rPr>
          <w:rFonts w:ascii="Verdana" w:hAnsi="Verdana"/>
          <w:sz w:val="18"/>
          <w:szCs w:val="18"/>
        </w:rPr>
        <w:t xml:space="preserve">: la reducción del 60% se aplica sobre el rendimiento neto regularizado tras comprobación administrativa, no solo sobre lo inicialmente declarado. </w:t>
      </w:r>
    </w:p>
    <w:p w14:paraId="2231A4D5" w14:textId="77777777" w:rsidR="00FA1F79" w:rsidRPr="00FA1F79" w:rsidRDefault="00FA1F79" w:rsidP="00FA1F79">
      <w:pPr>
        <w:numPr>
          <w:ilvl w:val="0"/>
          <w:numId w:val="79"/>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Interpretación razonable de la norma</w:t>
      </w:r>
      <w:r w:rsidRPr="00FA1F79">
        <w:rPr>
          <w:rFonts w:ascii="Verdana" w:hAnsi="Verdana"/>
          <w:sz w:val="18"/>
          <w:szCs w:val="18"/>
        </w:rPr>
        <w:t xml:space="preserve">: puede exonerar de responsabilidad en supuestos como rentas exentas por trabajos en el extranjero o indemnizaciones de alta dirección. </w:t>
      </w:r>
    </w:p>
    <w:p w14:paraId="658D4656" w14:textId="77777777" w:rsidR="00FA1F79" w:rsidRPr="00FA1F79" w:rsidRDefault="00FA1F79" w:rsidP="00FA1F79">
      <w:pPr>
        <w:numPr>
          <w:ilvl w:val="0"/>
          <w:numId w:val="79"/>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Amortización de inmuebles</w:t>
      </w:r>
      <w:r w:rsidRPr="00FA1F79">
        <w:rPr>
          <w:rFonts w:ascii="Verdana" w:hAnsi="Verdana"/>
          <w:sz w:val="18"/>
          <w:szCs w:val="18"/>
        </w:rPr>
        <w:t xml:space="preserve">: se admite aplicar una amortización inferior al 3% para determinar el valor de adquisición si no hubo actividad económica. </w:t>
      </w:r>
    </w:p>
    <w:p w14:paraId="77D02B9A" w14:textId="77777777" w:rsidR="00FA1F79" w:rsidRPr="00FA1F79" w:rsidRDefault="00FA1F79" w:rsidP="00FA1F79">
      <w:pPr>
        <w:numPr>
          <w:ilvl w:val="0"/>
          <w:numId w:val="79"/>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Ganancias no justificadas en matrimonio</w:t>
      </w:r>
      <w:r w:rsidRPr="00FA1F79">
        <w:rPr>
          <w:rFonts w:ascii="Verdana" w:hAnsi="Verdana"/>
          <w:sz w:val="18"/>
          <w:szCs w:val="18"/>
        </w:rPr>
        <w:t xml:space="preserve">: debe atenderse al régimen económico matrimonial y a la presunción de ganancialidad. </w:t>
      </w:r>
    </w:p>
    <w:p w14:paraId="0825B566" w14:textId="77777777" w:rsidR="00FA1F79" w:rsidRPr="00FA1F79" w:rsidRDefault="00FA1F79" w:rsidP="00FA1F79">
      <w:pPr>
        <w:numPr>
          <w:ilvl w:val="0"/>
          <w:numId w:val="79"/>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Indemnizaciones de alta dirección</w:t>
      </w:r>
      <w:r w:rsidRPr="00FA1F79">
        <w:rPr>
          <w:rFonts w:ascii="Verdana" w:hAnsi="Verdana"/>
          <w:sz w:val="18"/>
          <w:szCs w:val="18"/>
        </w:rPr>
        <w:t xml:space="preserve">: se confirma la posible exención en supuestos de desistimiento empresarial. </w:t>
      </w:r>
    </w:p>
    <w:p w14:paraId="29ACC6AC" w14:textId="77777777" w:rsidR="00FA1F79" w:rsidRPr="00FA1F79" w:rsidRDefault="00FA1F79" w:rsidP="00FA1F79">
      <w:pPr>
        <w:numPr>
          <w:ilvl w:val="0"/>
          <w:numId w:val="79"/>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RETA</w:t>
      </w:r>
      <w:r w:rsidRPr="00FA1F79">
        <w:rPr>
          <w:rFonts w:ascii="Verdana" w:hAnsi="Verdana"/>
          <w:sz w:val="18"/>
          <w:szCs w:val="18"/>
        </w:rPr>
        <w:t xml:space="preserve">: la inclusión en el régimen tiene carácter declarativo, no constitutivo, para calificar rendimientos como actividad económica. </w:t>
      </w:r>
    </w:p>
    <w:p w14:paraId="34693B51" w14:textId="77777777" w:rsidR="00FA1F79" w:rsidRPr="00FA1F79" w:rsidRDefault="00FA1F79" w:rsidP="00FA1F79">
      <w:pPr>
        <w:spacing w:before="100" w:beforeAutospacing="1" w:after="100" w:afterAutospacing="1"/>
        <w:ind w:left="284"/>
        <w:jc w:val="both"/>
        <w:outlineLvl w:val="2"/>
        <w:rPr>
          <w:rFonts w:ascii="Verdana" w:hAnsi="Verdana"/>
          <w:b/>
          <w:bCs/>
          <w:sz w:val="18"/>
          <w:szCs w:val="18"/>
        </w:rPr>
      </w:pPr>
      <w:r w:rsidRPr="00FA1F79">
        <w:rPr>
          <w:rFonts w:ascii="Verdana" w:hAnsi="Verdana"/>
          <w:b/>
          <w:bCs/>
          <w:sz w:val="18"/>
          <w:szCs w:val="18"/>
        </w:rPr>
        <w:t>II. Audiencia Nacional</w:t>
      </w:r>
    </w:p>
    <w:p w14:paraId="441567FE" w14:textId="77777777" w:rsidR="00FA1F79" w:rsidRPr="00FA1F79" w:rsidRDefault="00FA1F79" w:rsidP="00FA1F79">
      <w:pPr>
        <w:spacing w:before="100" w:beforeAutospacing="1" w:after="100" w:afterAutospacing="1"/>
        <w:ind w:left="284"/>
        <w:jc w:val="both"/>
        <w:rPr>
          <w:rFonts w:ascii="Verdana" w:hAnsi="Verdana"/>
          <w:sz w:val="18"/>
          <w:szCs w:val="18"/>
        </w:rPr>
      </w:pPr>
      <w:r w:rsidRPr="00FA1F79">
        <w:rPr>
          <w:rFonts w:ascii="Verdana" w:hAnsi="Verdana"/>
          <w:sz w:val="18"/>
          <w:szCs w:val="18"/>
        </w:rPr>
        <w:t>La Audiencia Nacional ha precisado cuestiones relevantes en valoración y aplicación de beneficios fiscales:</w:t>
      </w:r>
    </w:p>
    <w:p w14:paraId="044365C0" w14:textId="77777777" w:rsidR="00FA1F79" w:rsidRPr="00FA1F79" w:rsidRDefault="00FA1F79" w:rsidP="00FA1F79">
      <w:pPr>
        <w:numPr>
          <w:ilvl w:val="0"/>
          <w:numId w:val="80"/>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lastRenderedPageBreak/>
        <w:t>Valoración de participaciones no cotizadas</w:t>
      </w:r>
      <w:r w:rsidRPr="00FA1F79">
        <w:rPr>
          <w:rFonts w:ascii="Verdana" w:hAnsi="Verdana"/>
          <w:sz w:val="18"/>
          <w:szCs w:val="18"/>
        </w:rPr>
        <w:t xml:space="preserve">: se admite el método de descuento de flujos de caja como válido. </w:t>
      </w:r>
    </w:p>
    <w:p w14:paraId="28A32E80" w14:textId="44ED6249" w:rsidR="00FA1F79" w:rsidRPr="00FA1F79" w:rsidRDefault="00374BD3" w:rsidP="00FA1F79">
      <w:pPr>
        <w:numPr>
          <w:ilvl w:val="0"/>
          <w:numId w:val="80"/>
        </w:numPr>
        <w:spacing w:before="100" w:beforeAutospacing="1" w:after="100" w:afterAutospacing="1"/>
        <w:ind w:left="567" w:hanging="283"/>
        <w:jc w:val="both"/>
        <w:rPr>
          <w:rFonts w:ascii="Verdana" w:hAnsi="Verdana"/>
          <w:sz w:val="18"/>
          <w:szCs w:val="18"/>
        </w:rPr>
      </w:pPr>
      <w:r>
        <w:rPr>
          <w:rFonts w:ascii="Verdana" w:hAnsi="Verdana"/>
          <w:b/>
          <w:bCs/>
          <w:sz w:val="18"/>
          <w:szCs w:val="18"/>
        </w:rPr>
        <w:t>“</w:t>
      </w:r>
      <w:proofErr w:type="spellStart"/>
      <w:r w:rsidR="00FA1F79" w:rsidRPr="00FA1F79">
        <w:rPr>
          <w:rFonts w:ascii="Verdana" w:hAnsi="Verdana"/>
          <w:b/>
          <w:bCs/>
          <w:sz w:val="18"/>
          <w:szCs w:val="18"/>
        </w:rPr>
        <w:t>Reformatio</w:t>
      </w:r>
      <w:proofErr w:type="spellEnd"/>
      <w:r w:rsidR="00FA1F79" w:rsidRPr="00FA1F79">
        <w:rPr>
          <w:rFonts w:ascii="Verdana" w:hAnsi="Verdana"/>
          <w:b/>
          <w:bCs/>
          <w:sz w:val="18"/>
          <w:szCs w:val="18"/>
        </w:rPr>
        <w:t xml:space="preserve"> in </w:t>
      </w:r>
      <w:proofErr w:type="spellStart"/>
      <w:r w:rsidR="00FA1F79" w:rsidRPr="00FA1F79">
        <w:rPr>
          <w:rFonts w:ascii="Verdana" w:hAnsi="Verdana"/>
          <w:b/>
          <w:bCs/>
          <w:sz w:val="18"/>
          <w:szCs w:val="18"/>
        </w:rPr>
        <w:t>peius</w:t>
      </w:r>
      <w:proofErr w:type="spellEnd"/>
      <w:r>
        <w:rPr>
          <w:rFonts w:ascii="Verdana" w:hAnsi="Verdana"/>
          <w:b/>
          <w:bCs/>
          <w:sz w:val="18"/>
          <w:szCs w:val="18"/>
        </w:rPr>
        <w:t>”</w:t>
      </w:r>
      <w:r w:rsidR="00FA1F79" w:rsidRPr="00FA1F79">
        <w:rPr>
          <w:rFonts w:ascii="Verdana" w:hAnsi="Verdana"/>
          <w:sz w:val="18"/>
          <w:szCs w:val="18"/>
        </w:rPr>
        <w:t xml:space="preserve">: se anulan resoluciones que empeoran la situación del contribuyente sin base en actuaciones previas. </w:t>
      </w:r>
    </w:p>
    <w:p w14:paraId="173B9D60" w14:textId="77777777" w:rsidR="00FA1F79" w:rsidRPr="00FA1F79" w:rsidRDefault="00FA1F79" w:rsidP="00AB6247">
      <w:pPr>
        <w:numPr>
          <w:ilvl w:val="0"/>
          <w:numId w:val="80"/>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Transmisiones onerosas</w:t>
      </w:r>
      <w:r w:rsidRPr="00FA1F79">
        <w:rPr>
          <w:rFonts w:ascii="Verdana" w:hAnsi="Verdana"/>
          <w:sz w:val="18"/>
          <w:szCs w:val="18"/>
        </w:rPr>
        <w:t xml:space="preserve">: la no sujeción de ganancias patrimoniales se limita a transmisiones lucrativas. </w:t>
      </w:r>
    </w:p>
    <w:p w14:paraId="65111A2E" w14:textId="77777777" w:rsidR="00FA1F79" w:rsidRPr="00FA1F79" w:rsidRDefault="00FA1F79" w:rsidP="00AB6247">
      <w:pPr>
        <w:numPr>
          <w:ilvl w:val="0"/>
          <w:numId w:val="80"/>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Donaciones de participaciones</w:t>
      </w:r>
      <w:r w:rsidRPr="00FA1F79">
        <w:rPr>
          <w:rFonts w:ascii="Verdana" w:hAnsi="Verdana"/>
          <w:sz w:val="18"/>
          <w:szCs w:val="18"/>
        </w:rPr>
        <w:t xml:space="preserve">: el donatario se subroga en valor y fecha de adquisición, incluso si no se cumplen requisitos del ISD. </w:t>
      </w:r>
    </w:p>
    <w:p w14:paraId="41971215" w14:textId="77777777" w:rsidR="00FA1F79" w:rsidRPr="00FA1F79" w:rsidRDefault="00FA1F79" w:rsidP="00FA1F79">
      <w:pPr>
        <w:spacing w:before="100" w:beforeAutospacing="1" w:after="100" w:afterAutospacing="1"/>
        <w:ind w:left="284"/>
        <w:jc w:val="both"/>
        <w:outlineLvl w:val="2"/>
        <w:rPr>
          <w:rFonts w:ascii="Verdana" w:hAnsi="Verdana"/>
          <w:b/>
          <w:bCs/>
          <w:sz w:val="18"/>
          <w:szCs w:val="18"/>
        </w:rPr>
      </w:pPr>
      <w:r w:rsidRPr="00FA1F79">
        <w:rPr>
          <w:rFonts w:ascii="Verdana" w:hAnsi="Verdana"/>
          <w:b/>
          <w:bCs/>
          <w:sz w:val="18"/>
          <w:szCs w:val="18"/>
        </w:rPr>
        <w:t>III. Tribunales Superiores de Justicia</w:t>
      </w:r>
    </w:p>
    <w:p w14:paraId="5B9D8A5E" w14:textId="77777777" w:rsidR="00FA1F79" w:rsidRPr="00FA1F79" w:rsidRDefault="00FA1F79" w:rsidP="00FA1F79">
      <w:pPr>
        <w:spacing w:before="100" w:beforeAutospacing="1" w:after="100" w:afterAutospacing="1"/>
        <w:ind w:left="284"/>
        <w:jc w:val="both"/>
        <w:rPr>
          <w:rFonts w:ascii="Verdana" w:hAnsi="Verdana"/>
          <w:sz w:val="18"/>
          <w:szCs w:val="18"/>
        </w:rPr>
      </w:pPr>
      <w:r w:rsidRPr="00FA1F79">
        <w:rPr>
          <w:rFonts w:ascii="Verdana" w:hAnsi="Verdana"/>
          <w:sz w:val="18"/>
          <w:szCs w:val="18"/>
        </w:rPr>
        <w:t>Los TSJ han abordado múltiples cuestiones prácticas:</w:t>
      </w:r>
    </w:p>
    <w:p w14:paraId="45D210B7" w14:textId="77777777" w:rsidR="00FA1F79" w:rsidRPr="00FA1F79" w:rsidRDefault="00FA1F79" w:rsidP="00382340">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Vivienda habitual</w:t>
      </w:r>
      <w:r w:rsidRPr="00FA1F79">
        <w:rPr>
          <w:rFonts w:ascii="Verdana" w:hAnsi="Verdana"/>
          <w:sz w:val="18"/>
          <w:szCs w:val="18"/>
        </w:rPr>
        <w:t xml:space="preserve">: se mantiene la deducción pese a ruptura de pareja no matrimonial. </w:t>
      </w:r>
    </w:p>
    <w:p w14:paraId="26D80AC8" w14:textId="77777777" w:rsidR="00FA1F79" w:rsidRPr="00FA1F79" w:rsidRDefault="00FA1F79" w:rsidP="00AB6247">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Residencia fiscal</w:t>
      </w:r>
      <w:r w:rsidRPr="00FA1F79">
        <w:rPr>
          <w:rFonts w:ascii="Verdana" w:hAnsi="Verdana"/>
          <w:sz w:val="18"/>
          <w:szCs w:val="18"/>
        </w:rPr>
        <w:t xml:space="preserve">: corresponde a la Administración probarla cuando no conste previamente. </w:t>
      </w:r>
    </w:p>
    <w:p w14:paraId="49226D60" w14:textId="77777777" w:rsidR="00FA1F79" w:rsidRPr="00FA1F79" w:rsidRDefault="00FA1F79" w:rsidP="00AB6247">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Doble imposición internacional</w:t>
      </w:r>
      <w:r w:rsidRPr="00FA1F79">
        <w:rPr>
          <w:rFonts w:ascii="Verdana" w:hAnsi="Verdana"/>
          <w:sz w:val="18"/>
          <w:szCs w:val="18"/>
        </w:rPr>
        <w:t xml:space="preserve">: se admite la deducción del impuesto efectivamente pagado en el extranjero sin límite del 15% en ciertos casos. </w:t>
      </w:r>
    </w:p>
    <w:p w14:paraId="48CAEA18" w14:textId="77777777" w:rsidR="00FA1F79" w:rsidRPr="00FA1F79" w:rsidRDefault="00FA1F79" w:rsidP="00AB6247">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Afectación de vehículos</w:t>
      </w:r>
      <w:r w:rsidRPr="00FA1F79">
        <w:rPr>
          <w:rFonts w:ascii="Verdana" w:hAnsi="Verdana"/>
          <w:sz w:val="18"/>
          <w:szCs w:val="18"/>
        </w:rPr>
        <w:t xml:space="preserve">: se exige prueba de uso exclusivo en actividad económica (criterio discutido frente al TEAC). </w:t>
      </w:r>
    </w:p>
    <w:p w14:paraId="2B837BFA" w14:textId="77777777" w:rsidR="00FA1F79" w:rsidRPr="00FA1F79" w:rsidRDefault="00FA1F79" w:rsidP="00AB6247">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Exención art. 7.p)</w:t>
      </w:r>
      <w:r w:rsidRPr="00FA1F79">
        <w:rPr>
          <w:rFonts w:ascii="Verdana" w:hAnsi="Verdana"/>
          <w:sz w:val="18"/>
          <w:szCs w:val="18"/>
        </w:rPr>
        <w:t xml:space="preserve">: incompatible con la deducción por doble imposición sobre las mismas rentas. </w:t>
      </w:r>
    </w:p>
    <w:p w14:paraId="6E37F6D1" w14:textId="77777777" w:rsidR="00FA1F79" w:rsidRPr="00FA1F79" w:rsidRDefault="00FA1F79" w:rsidP="00AB6247">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Amortización de inmuebles en el extranjero</w:t>
      </w:r>
      <w:r w:rsidRPr="00FA1F79">
        <w:rPr>
          <w:rFonts w:ascii="Verdana" w:hAnsi="Verdana"/>
          <w:sz w:val="18"/>
          <w:szCs w:val="18"/>
        </w:rPr>
        <w:t xml:space="preserve">: la Administración debe aplicar criterios estimativos si no se conoce el valor del suelo. </w:t>
      </w:r>
    </w:p>
    <w:p w14:paraId="74049753" w14:textId="77777777" w:rsidR="00FA1F79" w:rsidRPr="00FA1F79" w:rsidRDefault="00FA1F79" w:rsidP="00AB6247">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Mayores de 65 años</w:t>
      </w:r>
      <w:r w:rsidRPr="00FA1F79">
        <w:rPr>
          <w:rFonts w:ascii="Verdana" w:hAnsi="Verdana"/>
          <w:sz w:val="18"/>
          <w:szCs w:val="18"/>
        </w:rPr>
        <w:t xml:space="preserve">: no se pierde la condición de vivienda habitual por traslado a residencia. </w:t>
      </w:r>
    </w:p>
    <w:p w14:paraId="6F2E3E77" w14:textId="77777777" w:rsidR="00FA1F79" w:rsidRPr="00FA1F79" w:rsidRDefault="00FA1F79" w:rsidP="00AB6247">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Gastos deducibles</w:t>
      </w:r>
      <w:r w:rsidRPr="00FA1F79">
        <w:rPr>
          <w:rFonts w:ascii="Verdana" w:hAnsi="Verdana"/>
          <w:sz w:val="18"/>
          <w:szCs w:val="18"/>
        </w:rPr>
        <w:t xml:space="preserve">: solo son deducibles si existe vinculación efectiva con la obtención de rendimientos. </w:t>
      </w:r>
    </w:p>
    <w:p w14:paraId="5C1F4A0C" w14:textId="77777777" w:rsidR="00FA1F79" w:rsidRPr="00FA1F79" w:rsidRDefault="00FA1F79" w:rsidP="00AB6247">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Reducción del 30%</w:t>
      </w:r>
      <w:r w:rsidRPr="00FA1F79">
        <w:rPr>
          <w:rFonts w:ascii="Verdana" w:hAnsi="Verdana"/>
          <w:sz w:val="18"/>
          <w:szCs w:val="18"/>
        </w:rPr>
        <w:t xml:space="preserve">: aplicable a rendimientos irregulares, como honorarios jurídicos generados en más de dos años. </w:t>
      </w:r>
    </w:p>
    <w:p w14:paraId="3768A113" w14:textId="77777777" w:rsidR="00FA1F79" w:rsidRPr="00FA1F79" w:rsidRDefault="00FA1F79" w:rsidP="00AB6247">
      <w:pPr>
        <w:numPr>
          <w:ilvl w:val="0"/>
          <w:numId w:val="81"/>
        </w:numPr>
        <w:spacing w:before="100" w:beforeAutospacing="1" w:after="100" w:afterAutospacing="1"/>
        <w:ind w:left="567" w:hanging="283"/>
        <w:jc w:val="both"/>
        <w:rPr>
          <w:rFonts w:ascii="Verdana" w:hAnsi="Verdana"/>
          <w:sz w:val="18"/>
          <w:szCs w:val="18"/>
        </w:rPr>
      </w:pPr>
      <w:r w:rsidRPr="00FA1F79">
        <w:rPr>
          <w:rFonts w:ascii="Verdana" w:hAnsi="Verdana"/>
          <w:b/>
          <w:bCs/>
          <w:sz w:val="18"/>
          <w:szCs w:val="18"/>
        </w:rPr>
        <w:t>Custodia compartida</w:t>
      </w:r>
      <w:r w:rsidRPr="00FA1F79">
        <w:rPr>
          <w:rFonts w:ascii="Verdana" w:hAnsi="Verdana"/>
          <w:sz w:val="18"/>
          <w:szCs w:val="18"/>
        </w:rPr>
        <w:t xml:space="preserve">: compatible el mínimo por descendientes con anualidades por alimentos. </w:t>
      </w:r>
    </w:p>
    <w:p w14:paraId="23D3779E" w14:textId="146A3C03" w:rsidR="00FA1F79" w:rsidRPr="00FA1F79" w:rsidRDefault="00FA1F79" w:rsidP="00FA1F79">
      <w:pPr>
        <w:spacing w:before="100" w:beforeAutospacing="1" w:after="100" w:afterAutospacing="1"/>
        <w:ind w:left="284"/>
        <w:jc w:val="both"/>
        <w:outlineLvl w:val="2"/>
        <w:rPr>
          <w:rFonts w:ascii="Verdana" w:hAnsi="Verdana"/>
          <w:b/>
          <w:bCs/>
          <w:sz w:val="18"/>
          <w:szCs w:val="18"/>
        </w:rPr>
      </w:pPr>
      <w:r w:rsidRPr="00FA1F79">
        <w:rPr>
          <w:rFonts w:ascii="Verdana" w:hAnsi="Verdana"/>
          <w:b/>
          <w:bCs/>
          <w:sz w:val="18"/>
          <w:szCs w:val="18"/>
        </w:rPr>
        <w:t>Conclusión</w:t>
      </w:r>
    </w:p>
    <w:p w14:paraId="02A0BFEB" w14:textId="7D70B2D1" w:rsidR="00FA1F79" w:rsidRDefault="00FA1F79" w:rsidP="0023770A">
      <w:pPr>
        <w:spacing w:before="100" w:beforeAutospacing="1" w:after="100" w:afterAutospacing="1"/>
        <w:ind w:left="284"/>
        <w:jc w:val="both"/>
        <w:rPr>
          <w:rFonts w:ascii="Verdana" w:hAnsi="Verdana"/>
          <w:sz w:val="18"/>
          <w:szCs w:val="18"/>
        </w:rPr>
      </w:pPr>
      <w:r w:rsidRPr="00FA1F79">
        <w:rPr>
          <w:rFonts w:ascii="Verdana" w:hAnsi="Verdana"/>
          <w:sz w:val="18"/>
          <w:szCs w:val="18"/>
        </w:rPr>
        <w:t xml:space="preserve">La jurisprudencia reciente evidencia una </w:t>
      </w:r>
      <w:r w:rsidRPr="00FA1F79">
        <w:rPr>
          <w:rFonts w:ascii="Verdana" w:hAnsi="Verdana"/>
          <w:b/>
          <w:bCs/>
          <w:sz w:val="18"/>
          <w:szCs w:val="18"/>
        </w:rPr>
        <w:t>tendencia hacia la precisión técnica y la protección del contribuyente</w:t>
      </w:r>
      <w:r w:rsidRPr="00FA1F79">
        <w:rPr>
          <w:rFonts w:ascii="Verdana" w:hAnsi="Verdana"/>
          <w:sz w:val="18"/>
          <w:szCs w:val="18"/>
        </w:rPr>
        <w:t xml:space="preserve">, especialmente en materia de prueba, interpretación razonable y delimitación de beneficios fiscales. Asimismo, se refuerzan criterios en torno a la </w:t>
      </w:r>
      <w:r w:rsidRPr="00FA1F79">
        <w:rPr>
          <w:rFonts w:ascii="Verdana" w:hAnsi="Verdana"/>
          <w:b/>
          <w:bCs/>
          <w:sz w:val="18"/>
          <w:szCs w:val="18"/>
        </w:rPr>
        <w:t>tributación de rentas inmobiliarias, operaciones internacionales y estructuras familiares</w:t>
      </w:r>
      <w:r w:rsidRPr="00FA1F79">
        <w:rPr>
          <w:rFonts w:ascii="Verdana" w:hAnsi="Verdana"/>
          <w:sz w:val="18"/>
          <w:szCs w:val="18"/>
        </w:rPr>
        <w:t>, consolidando una doctrina cada vez más detallada y casuística.</w:t>
      </w:r>
    </w:p>
    <w:p w14:paraId="0CD8B431" w14:textId="77777777" w:rsidR="0023770A" w:rsidRPr="0023770A" w:rsidRDefault="0023770A" w:rsidP="0023770A">
      <w:pPr>
        <w:spacing w:before="100" w:beforeAutospacing="1" w:after="100" w:afterAutospacing="1"/>
        <w:ind w:left="284"/>
        <w:jc w:val="both"/>
        <w:rPr>
          <w:rFonts w:ascii="Verdana" w:hAnsi="Verdana"/>
          <w:b/>
          <w:b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54376C" w:rsidRPr="0054376C" w14:paraId="5280FBDE" w14:textId="77777777" w:rsidTr="002368A3">
        <w:tc>
          <w:tcPr>
            <w:tcW w:w="180" w:type="dxa"/>
            <w:shd w:val="clear" w:color="auto" w:fill="FF6600"/>
          </w:tcPr>
          <w:p w14:paraId="31C7D4E8" w14:textId="77777777" w:rsidR="0054376C" w:rsidRPr="0054376C" w:rsidRDefault="0054376C" w:rsidP="002368A3">
            <w:pPr>
              <w:ind w:left="360"/>
              <w:rPr>
                <w:rFonts w:ascii="Verdana" w:hAnsi="Verdana"/>
                <w:b/>
                <w:bCs/>
                <w:color w:val="800000"/>
                <w:sz w:val="18"/>
                <w:szCs w:val="18"/>
              </w:rPr>
            </w:pPr>
            <w:bookmarkStart w:id="3" w:name="_Hlk227169745"/>
          </w:p>
        </w:tc>
        <w:tc>
          <w:tcPr>
            <w:tcW w:w="8460" w:type="dxa"/>
          </w:tcPr>
          <w:p w14:paraId="5A3F893E" w14:textId="4EC390C4" w:rsidR="0054376C" w:rsidRPr="0054376C" w:rsidRDefault="0054376C" w:rsidP="002368A3">
            <w:pPr>
              <w:numPr>
                <w:ilvl w:val="1"/>
                <w:numId w:val="68"/>
              </w:numPr>
              <w:tabs>
                <w:tab w:val="clear" w:pos="1080"/>
              </w:tabs>
              <w:ind w:left="389" w:hanging="283"/>
              <w:jc w:val="both"/>
              <w:rPr>
                <w:rFonts w:ascii="Verdana" w:hAnsi="Verdana"/>
                <w:b/>
                <w:bCs/>
                <w:color w:val="800000"/>
                <w:sz w:val="18"/>
                <w:szCs w:val="18"/>
              </w:rPr>
            </w:pPr>
            <w:r w:rsidRPr="0054376C">
              <w:rPr>
                <w:rFonts w:ascii="Verdana" w:hAnsi="Verdana"/>
                <w:b/>
                <w:bCs/>
                <w:color w:val="800000"/>
                <w:sz w:val="18"/>
                <w:szCs w:val="18"/>
              </w:rPr>
              <w:t>ENTRADA EN DOMICILIO DE SOCIEDAD: LOS ANEXOS ENTREGADOS POR LA AEAT HAN DE MENCIONAR DE FORMA EXPLÍCITA LA POSIBILIDAD DE NEGARSE A LA ENTRADA O DE REVOCAR EL CONSENTIMIENTO</w:t>
            </w:r>
          </w:p>
        </w:tc>
      </w:tr>
    </w:tbl>
    <w:bookmarkEnd w:id="3"/>
    <w:p w14:paraId="7E819069" w14:textId="2FE3D9C1" w:rsidR="0054376C" w:rsidRPr="0054376C" w:rsidRDefault="0054376C" w:rsidP="0054376C">
      <w:pPr>
        <w:spacing w:before="100" w:beforeAutospacing="1" w:after="100" w:afterAutospacing="1"/>
        <w:ind w:left="284"/>
        <w:jc w:val="both"/>
        <w:rPr>
          <w:rFonts w:ascii="Verdana" w:hAnsi="Verdana"/>
          <w:sz w:val="18"/>
          <w:szCs w:val="18"/>
        </w:rPr>
      </w:pPr>
      <w:r w:rsidRPr="0054376C">
        <w:rPr>
          <w:rFonts w:ascii="Verdana" w:hAnsi="Verdana"/>
          <w:sz w:val="18"/>
          <w:szCs w:val="18"/>
        </w:rPr>
        <w:t xml:space="preserve">La </w:t>
      </w:r>
      <w:r w:rsidRPr="0054376C">
        <w:rPr>
          <w:rFonts w:ascii="Verdana" w:hAnsi="Verdana"/>
          <w:b/>
          <w:bCs/>
          <w:sz w:val="18"/>
          <w:szCs w:val="18"/>
        </w:rPr>
        <w:t xml:space="preserve">Sentencia del Tribunal Supremo </w:t>
      </w:r>
      <w:proofErr w:type="spellStart"/>
      <w:r w:rsidRPr="0054376C">
        <w:rPr>
          <w:rFonts w:ascii="Verdana" w:hAnsi="Verdana"/>
          <w:b/>
          <w:bCs/>
          <w:sz w:val="18"/>
          <w:szCs w:val="18"/>
        </w:rPr>
        <w:t>nº</w:t>
      </w:r>
      <w:proofErr w:type="spellEnd"/>
      <w:r w:rsidRPr="0054376C">
        <w:rPr>
          <w:rFonts w:ascii="Verdana" w:hAnsi="Verdana"/>
          <w:b/>
          <w:bCs/>
          <w:sz w:val="18"/>
          <w:szCs w:val="18"/>
        </w:rPr>
        <w:t xml:space="preserve"> 309/2026, de 12 de marzo</w:t>
      </w:r>
      <w:r w:rsidR="00E46303">
        <w:rPr>
          <w:rFonts w:ascii="Verdana" w:hAnsi="Verdana"/>
          <w:b/>
          <w:bCs/>
          <w:sz w:val="18"/>
          <w:szCs w:val="18"/>
        </w:rPr>
        <w:t>,</w:t>
      </w:r>
      <w:r w:rsidRPr="0054376C">
        <w:rPr>
          <w:rFonts w:ascii="Verdana" w:hAnsi="Verdana"/>
          <w:sz w:val="18"/>
          <w:szCs w:val="18"/>
        </w:rPr>
        <w:t xml:space="preserve"> analiza los requisitos de validez del consentimiento otorgado por el representante legal de una sociedad para la entrada de la AEAT en un domicilio constitucionalmente protegido, en el marco de actuaciones de inspección tributaria.</w:t>
      </w:r>
    </w:p>
    <w:p w14:paraId="4B8E0ED2" w14:textId="77777777" w:rsidR="0054376C" w:rsidRPr="0054376C" w:rsidRDefault="0054376C" w:rsidP="0054376C">
      <w:pPr>
        <w:spacing w:before="100" w:beforeAutospacing="1" w:after="100" w:afterAutospacing="1"/>
        <w:ind w:left="284"/>
        <w:jc w:val="both"/>
        <w:rPr>
          <w:rFonts w:ascii="Verdana" w:hAnsi="Verdana"/>
          <w:b/>
          <w:bCs/>
          <w:sz w:val="18"/>
          <w:szCs w:val="18"/>
        </w:rPr>
      </w:pPr>
      <w:r w:rsidRPr="0054376C">
        <w:rPr>
          <w:rFonts w:ascii="Verdana" w:hAnsi="Verdana"/>
          <w:b/>
          <w:bCs/>
          <w:sz w:val="18"/>
          <w:szCs w:val="18"/>
        </w:rPr>
        <w:t>Cuestión jurídica</w:t>
      </w:r>
    </w:p>
    <w:p w14:paraId="23DB5FBD" w14:textId="77777777" w:rsidR="0054376C" w:rsidRPr="0054376C" w:rsidRDefault="0054376C" w:rsidP="0054376C">
      <w:pPr>
        <w:spacing w:before="100" w:beforeAutospacing="1" w:after="100" w:afterAutospacing="1"/>
        <w:ind w:left="284"/>
        <w:jc w:val="both"/>
        <w:rPr>
          <w:rFonts w:ascii="Verdana" w:hAnsi="Verdana"/>
          <w:sz w:val="18"/>
          <w:szCs w:val="18"/>
        </w:rPr>
      </w:pPr>
      <w:r w:rsidRPr="0054376C">
        <w:rPr>
          <w:rFonts w:ascii="Verdana" w:hAnsi="Verdana"/>
          <w:sz w:val="18"/>
          <w:szCs w:val="18"/>
        </w:rPr>
        <w:lastRenderedPageBreak/>
        <w:t xml:space="preserve">Determinar si el consentimiento prestado fue </w:t>
      </w:r>
      <w:r w:rsidRPr="0054376C">
        <w:rPr>
          <w:rFonts w:ascii="Verdana" w:hAnsi="Verdana"/>
          <w:b/>
          <w:bCs/>
          <w:sz w:val="18"/>
          <w:szCs w:val="18"/>
        </w:rPr>
        <w:t>libre, informado y válido</w:t>
      </w:r>
      <w:r w:rsidRPr="0054376C">
        <w:rPr>
          <w:rFonts w:ascii="Verdana" w:hAnsi="Verdana"/>
          <w:sz w:val="18"/>
          <w:szCs w:val="18"/>
        </w:rPr>
        <w:t>, conforme al art. 18.2 CE y la normativa tributaria (arts. 113 y 142 LGT), así como a la doctrina jurisprudencial previa.</w:t>
      </w:r>
    </w:p>
    <w:p w14:paraId="31F49A25" w14:textId="77777777" w:rsidR="0054376C" w:rsidRPr="0054376C" w:rsidRDefault="0054376C" w:rsidP="0054376C">
      <w:pPr>
        <w:spacing w:before="100" w:beforeAutospacing="1" w:after="100" w:afterAutospacing="1"/>
        <w:ind w:left="284"/>
        <w:jc w:val="both"/>
        <w:rPr>
          <w:rFonts w:ascii="Verdana" w:hAnsi="Verdana"/>
          <w:b/>
          <w:bCs/>
          <w:sz w:val="18"/>
          <w:szCs w:val="18"/>
        </w:rPr>
      </w:pPr>
      <w:r w:rsidRPr="0054376C">
        <w:rPr>
          <w:rFonts w:ascii="Verdana" w:hAnsi="Verdana"/>
          <w:b/>
          <w:bCs/>
          <w:sz w:val="18"/>
          <w:szCs w:val="18"/>
        </w:rPr>
        <w:t>Criterios establecidos por el Tribunal Supremo</w:t>
      </w:r>
    </w:p>
    <w:p w14:paraId="0FCA5808" w14:textId="77777777" w:rsidR="0054376C" w:rsidRPr="0054376C" w:rsidRDefault="0054376C" w:rsidP="0054376C">
      <w:pPr>
        <w:spacing w:before="100" w:beforeAutospacing="1" w:after="100" w:afterAutospacing="1"/>
        <w:ind w:left="284"/>
        <w:jc w:val="both"/>
        <w:rPr>
          <w:rFonts w:ascii="Verdana" w:hAnsi="Verdana"/>
          <w:sz w:val="18"/>
          <w:szCs w:val="18"/>
        </w:rPr>
      </w:pPr>
      <w:r w:rsidRPr="0054376C">
        <w:rPr>
          <w:rFonts w:ascii="Verdana" w:hAnsi="Verdana"/>
          <w:sz w:val="18"/>
          <w:szCs w:val="18"/>
        </w:rPr>
        <w:t>El consentimiento solo es válido si concurren los siguientes requisitos:</w:t>
      </w:r>
    </w:p>
    <w:p w14:paraId="609FF588" w14:textId="77777777" w:rsidR="0054376C" w:rsidRPr="0054376C" w:rsidRDefault="0054376C" w:rsidP="0054376C">
      <w:pPr>
        <w:numPr>
          <w:ilvl w:val="0"/>
          <w:numId w:val="89"/>
        </w:numPr>
        <w:spacing w:before="100" w:beforeAutospacing="1" w:after="100" w:afterAutospacing="1"/>
        <w:jc w:val="both"/>
        <w:rPr>
          <w:rFonts w:ascii="Verdana" w:hAnsi="Verdana"/>
          <w:sz w:val="18"/>
          <w:szCs w:val="18"/>
        </w:rPr>
      </w:pPr>
      <w:r w:rsidRPr="0054376C">
        <w:rPr>
          <w:rFonts w:ascii="Verdana" w:hAnsi="Verdana"/>
          <w:b/>
          <w:bCs/>
          <w:sz w:val="18"/>
          <w:szCs w:val="18"/>
        </w:rPr>
        <w:t>Información suficiente y clara</w:t>
      </w:r>
      <w:r w:rsidRPr="0054376C">
        <w:rPr>
          <w:rFonts w:ascii="Verdana" w:hAnsi="Verdana"/>
          <w:sz w:val="18"/>
          <w:szCs w:val="18"/>
        </w:rPr>
        <w:t xml:space="preserve">: debe explicarse expresamente el derecho a </w:t>
      </w:r>
      <w:r w:rsidRPr="0054376C">
        <w:rPr>
          <w:rFonts w:ascii="Verdana" w:hAnsi="Verdana"/>
          <w:b/>
          <w:bCs/>
          <w:sz w:val="18"/>
          <w:szCs w:val="18"/>
        </w:rPr>
        <w:t>negar el acceso</w:t>
      </w:r>
      <w:r w:rsidRPr="0054376C">
        <w:rPr>
          <w:rFonts w:ascii="Verdana" w:hAnsi="Verdana"/>
          <w:sz w:val="18"/>
          <w:szCs w:val="18"/>
        </w:rPr>
        <w:t xml:space="preserve">. </w:t>
      </w:r>
    </w:p>
    <w:p w14:paraId="739B5F4F" w14:textId="77777777" w:rsidR="0054376C" w:rsidRPr="0054376C" w:rsidRDefault="0054376C" w:rsidP="0054376C">
      <w:pPr>
        <w:numPr>
          <w:ilvl w:val="0"/>
          <w:numId w:val="89"/>
        </w:numPr>
        <w:spacing w:before="100" w:beforeAutospacing="1" w:after="100" w:afterAutospacing="1"/>
        <w:jc w:val="both"/>
        <w:rPr>
          <w:rFonts w:ascii="Verdana" w:hAnsi="Verdana"/>
          <w:sz w:val="18"/>
          <w:szCs w:val="18"/>
        </w:rPr>
      </w:pPr>
      <w:r w:rsidRPr="0054376C">
        <w:rPr>
          <w:rFonts w:ascii="Verdana" w:hAnsi="Verdana"/>
          <w:b/>
          <w:bCs/>
          <w:sz w:val="18"/>
          <w:szCs w:val="18"/>
        </w:rPr>
        <w:t>Voluntariedad</w:t>
      </w:r>
      <w:r w:rsidRPr="0054376C">
        <w:rPr>
          <w:rFonts w:ascii="Verdana" w:hAnsi="Verdana"/>
          <w:sz w:val="18"/>
          <w:szCs w:val="18"/>
        </w:rPr>
        <w:t xml:space="preserve">: ausencia de error, coacción o intimidación. </w:t>
      </w:r>
    </w:p>
    <w:p w14:paraId="2AA45209" w14:textId="77777777" w:rsidR="0054376C" w:rsidRPr="0054376C" w:rsidRDefault="0054376C" w:rsidP="0054376C">
      <w:pPr>
        <w:numPr>
          <w:ilvl w:val="0"/>
          <w:numId w:val="89"/>
        </w:numPr>
        <w:spacing w:before="100" w:beforeAutospacing="1" w:after="100" w:afterAutospacing="1"/>
        <w:jc w:val="both"/>
        <w:rPr>
          <w:rFonts w:ascii="Verdana" w:hAnsi="Verdana"/>
          <w:sz w:val="18"/>
          <w:szCs w:val="18"/>
        </w:rPr>
      </w:pPr>
      <w:r w:rsidRPr="0054376C">
        <w:rPr>
          <w:rFonts w:ascii="Verdana" w:hAnsi="Verdana"/>
          <w:b/>
          <w:bCs/>
          <w:sz w:val="18"/>
          <w:szCs w:val="18"/>
        </w:rPr>
        <w:t>Conocimiento del derecho a revocar</w:t>
      </w:r>
      <w:r w:rsidRPr="0054376C">
        <w:rPr>
          <w:rFonts w:ascii="Verdana" w:hAnsi="Verdana"/>
          <w:sz w:val="18"/>
          <w:szCs w:val="18"/>
        </w:rPr>
        <w:t xml:space="preserve">: el titular debe saber que puede retirar el consentimiento en cualquier momento. </w:t>
      </w:r>
    </w:p>
    <w:p w14:paraId="7CEBF251" w14:textId="77777777" w:rsidR="0054376C" w:rsidRPr="0054376C" w:rsidRDefault="0054376C" w:rsidP="0054376C">
      <w:pPr>
        <w:spacing w:before="100" w:beforeAutospacing="1" w:after="100" w:afterAutospacing="1"/>
        <w:ind w:left="284"/>
        <w:jc w:val="both"/>
        <w:rPr>
          <w:rFonts w:ascii="Verdana" w:hAnsi="Verdana"/>
          <w:b/>
          <w:bCs/>
          <w:sz w:val="18"/>
          <w:szCs w:val="18"/>
        </w:rPr>
      </w:pPr>
      <w:r w:rsidRPr="0054376C">
        <w:rPr>
          <w:rFonts w:ascii="Verdana" w:hAnsi="Verdana"/>
          <w:b/>
          <w:bCs/>
          <w:sz w:val="18"/>
          <w:szCs w:val="18"/>
        </w:rPr>
        <w:t>Hechos relevantes</w:t>
      </w:r>
    </w:p>
    <w:p w14:paraId="02BBFF79" w14:textId="77777777" w:rsidR="0054376C" w:rsidRPr="0054376C" w:rsidRDefault="0054376C" w:rsidP="0054376C">
      <w:pPr>
        <w:numPr>
          <w:ilvl w:val="0"/>
          <w:numId w:val="90"/>
        </w:numPr>
        <w:spacing w:before="100" w:beforeAutospacing="1" w:after="100" w:afterAutospacing="1"/>
        <w:jc w:val="both"/>
        <w:rPr>
          <w:rFonts w:ascii="Verdana" w:hAnsi="Verdana"/>
          <w:sz w:val="18"/>
          <w:szCs w:val="18"/>
        </w:rPr>
      </w:pPr>
      <w:r w:rsidRPr="0054376C">
        <w:rPr>
          <w:rFonts w:ascii="Verdana" w:hAnsi="Verdana"/>
          <w:sz w:val="18"/>
          <w:szCs w:val="18"/>
        </w:rPr>
        <w:t xml:space="preserve">El administrador consintió la entrada y colaboró con la inspección. </w:t>
      </w:r>
    </w:p>
    <w:p w14:paraId="014463C2" w14:textId="77777777" w:rsidR="0054376C" w:rsidRPr="0054376C" w:rsidRDefault="0054376C" w:rsidP="0054376C">
      <w:pPr>
        <w:numPr>
          <w:ilvl w:val="0"/>
          <w:numId w:val="90"/>
        </w:numPr>
        <w:spacing w:before="100" w:beforeAutospacing="1" w:after="100" w:afterAutospacing="1"/>
        <w:jc w:val="both"/>
        <w:rPr>
          <w:rFonts w:ascii="Verdana" w:hAnsi="Verdana"/>
          <w:sz w:val="18"/>
          <w:szCs w:val="18"/>
        </w:rPr>
      </w:pPr>
      <w:r w:rsidRPr="0054376C">
        <w:rPr>
          <w:rFonts w:ascii="Verdana" w:hAnsi="Verdana"/>
          <w:sz w:val="18"/>
          <w:szCs w:val="18"/>
        </w:rPr>
        <w:t xml:space="preserve">La AEAT entregó un anexo informativo, pero </w:t>
      </w:r>
      <w:r w:rsidRPr="0054376C">
        <w:rPr>
          <w:rFonts w:ascii="Verdana" w:hAnsi="Verdana"/>
          <w:b/>
          <w:bCs/>
          <w:sz w:val="18"/>
          <w:szCs w:val="18"/>
        </w:rPr>
        <w:t>no incluía de forma expresa</w:t>
      </w:r>
      <w:r w:rsidRPr="0054376C">
        <w:rPr>
          <w:rFonts w:ascii="Verdana" w:hAnsi="Verdana"/>
          <w:sz w:val="18"/>
          <w:szCs w:val="18"/>
        </w:rPr>
        <w:t xml:space="preserve"> el derecho a oponerse o revocar el consentimiento. </w:t>
      </w:r>
    </w:p>
    <w:p w14:paraId="37B3AFB1" w14:textId="77777777" w:rsidR="0054376C" w:rsidRPr="0054376C" w:rsidRDefault="0054376C" w:rsidP="0054376C">
      <w:pPr>
        <w:spacing w:before="100" w:beforeAutospacing="1" w:after="100" w:afterAutospacing="1"/>
        <w:ind w:left="284"/>
        <w:jc w:val="both"/>
        <w:rPr>
          <w:rFonts w:ascii="Verdana" w:hAnsi="Verdana"/>
          <w:b/>
          <w:bCs/>
          <w:sz w:val="18"/>
          <w:szCs w:val="18"/>
        </w:rPr>
      </w:pPr>
      <w:r w:rsidRPr="0054376C">
        <w:rPr>
          <w:rFonts w:ascii="Verdana" w:hAnsi="Verdana"/>
          <w:b/>
          <w:bCs/>
          <w:sz w:val="18"/>
          <w:szCs w:val="18"/>
        </w:rPr>
        <w:t>Fundamento jurídico</w:t>
      </w:r>
    </w:p>
    <w:p w14:paraId="0367FC34" w14:textId="77777777" w:rsidR="0054376C" w:rsidRPr="0054376C" w:rsidRDefault="0054376C" w:rsidP="0054376C">
      <w:pPr>
        <w:spacing w:before="100" w:beforeAutospacing="1" w:after="100" w:afterAutospacing="1"/>
        <w:ind w:left="284"/>
        <w:jc w:val="both"/>
        <w:rPr>
          <w:rFonts w:ascii="Verdana" w:hAnsi="Verdana"/>
          <w:sz w:val="18"/>
          <w:szCs w:val="18"/>
        </w:rPr>
      </w:pPr>
      <w:r w:rsidRPr="0054376C">
        <w:rPr>
          <w:rFonts w:ascii="Verdana" w:hAnsi="Verdana"/>
          <w:sz w:val="18"/>
          <w:szCs w:val="18"/>
        </w:rPr>
        <w:t xml:space="preserve">El Tribunal concluye que existe un </w:t>
      </w:r>
      <w:r w:rsidRPr="0054376C">
        <w:rPr>
          <w:rFonts w:ascii="Verdana" w:hAnsi="Verdana"/>
          <w:b/>
          <w:bCs/>
          <w:sz w:val="18"/>
          <w:szCs w:val="18"/>
        </w:rPr>
        <w:t>vicio en el consentimiento por falta de información esencial</w:t>
      </w:r>
      <w:r w:rsidRPr="0054376C">
        <w:rPr>
          <w:rFonts w:ascii="Verdana" w:hAnsi="Verdana"/>
          <w:sz w:val="18"/>
          <w:szCs w:val="18"/>
        </w:rPr>
        <w:t xml:space="preserve">, lo que genera un </w:t>
      </w:r>
      <w:r w:rsidRPr="0054376C">
        <w:rPr>
          <w:rFonts w:ascii="Verdana" w:hAnsi="Verdana"/>
          <w:b/>
          <w:bCs/>
          <w:sz w:val="18"/>
          <w:szCs w:val="18"/>
        </w:rPr>
        <w:t>error invalidante</w:t>
      </w:r>
      <w:r w:rsidRPr="0054376C">
        <w:rPr>
          <w:rFonts w:ascii="Verdana" w:hAnsi="Verdana"/>
          <w:sz w:val="18"/>
          <w:szCs w:val="18"/>
        </w:rPr>
        <w:t>, pese a la ausencia de coacción.</w:t>
      </w:r>
    </w:p>
    <w:p w14:paraId="474314A2" w14:textId="77777777" w:rsidR="0054376C" w:rsidRPr="0054376C" w:rsidRDefault="0054376C" w:rsidP="0054376C">
      <w:pPr>
        <w:spacing w:before="100" w:beforeAutospacing="1" w:after="100" w:afterAutospacing="1"/>
        <w:ind w:left="284"/>
        <w:jc w:val="both"/>
        <w:rPr>
          <w:rFonts w:ascii="Verdana" w:hAnsi="Verdana"/>
          <w:sz w:val="18"/>
          <w:szCs w:val="18"/>
        </w:rPr>
      </w:pPr>
      <w:r w:rsidRPr="0054376C">
        <w:rPr>
          <w:rFonts w:ascii="Verdana" w:hAnsi="Verdana"/>
          <w:sz w:val="18"/>
          <w:szCs w:val="18"/>
        </w:rPr>
        <w:t xml:space="preserve">Se refuerza así la doctrina de que, tratándose de derechos fundamentales, la Administración debe garantizar un consentimiento </w:t>
      </w:r>
      <w:r w:rsidRPr="0054376C">
        <w:rPr>
          <w:rFonts w:ascii="Verdana" w:hAnsi="Verdana"/>
          <w:b/>
          <w:bCs/>
          <w:sz w:val="18"/>
          <w:szCs w:val="18"/>
        </w:rPr>
        <w:t>plenamente consciente e informado</w:t>
      </w:r>
      <w:r w:rsidRPr="0054376C">
        <w:rPr>
          <w:rFonts w:ascii="Verdana" w:hAnsi="Verdana"/>
          <w:sz w:val="18"/>
          <w:szCs w:val="18"/>
        </w:rPr>
        <w:t xml:space="preserve">, asumiendo la </w:t>
      </w:r>
      <w:r w:rsidRPr="0054376C">
        <w:rPr>
          <w:rFonts w:ascii="Verdana" w:hAnsi="Verdana"/>
          <w:b/>
          <w:bCs/>
          <w:sz w:val="18"/>
          <w:szCs w:val="18"/>
        </w:rPr>
        <w:t>carga de la prueba</w:t>
      </w:r>
      <w:r w:rsidRPr="0054376C">
        <w:rPr>
          <w:rFonts w:ascii="Verdana" w:hAnsi="Verdana"/>
          <w:sz w:val="18"/>
          <w:szCs w:val="18"/>
        </w:rPr>
        <w:t xml:space="preserve"> de su validez.</w:t>
      </w:r>
    </w:p>
    <w:p w14:paraId="737B581A" w14:textId="77777777" w:rsidR="0054376C" w:rsidRPr="0054376C" w:rsidRDefault="0054376C" w:rsidP="0054376C">
      <w:pPr>
        <w:spacing w:before="100" w:beforeAutospacing="1" w:after="100" w:afterAutospacing="1"/>
        <w:ind w:left="284"/>
        <w:jc w:val="both"/>
        <w:rPr>
          <w:rFonts w:ascii="Verdana" w:hAnsi="Verdana"/>
          <w:b/>
          <w:bCs/>
          <w:sz w:val="18"/>
          <w:szCs w:val="18"/>
        </w:rPr>
      </w:pPr>
      <w:r w:rsidRPr="0054376C">
        <w:rPr>
          <w:rFonts w:ascii="Verdana" w:hAnsi="Verdana"/>
          <w:b/>
          <w:bCs/>
          <w:sz w:val="18"/>
          <w:szCs w:val="18"/>
        </w:rPr>
        <w:t>Consecuencias</w:t>
      </w:r>
    </w:p>
    <w:p w14:paraId="5DEFC1B3" w14:textId="77777777" w:rsidR="0054376C" w:rsidRPr="0054376C" w:rsidRDefault="0054376C" w:rsidP="0054376C">
      <w:pPr>
        <w:numPr>
          <w:ilvl w:val="0"/>
          <w:numId w:val="91"/>
        </w:numPr>
        <w:spacing w:before="100" w:beforeAutospacing="1" w:after="100" w:afterAutospacing="1"/>
        <w:jc w:val="both"/>
        <w:rPr>
          <w:rFonts w:ascii="Verdana" w:hAnsi="Verdana"/>
          <w:sz w:val="18"/>
          <w:szCs w:val="18"/>
        </w:rPr>
      </w:pPr>
      <w:r w:rsidRPr="0054376C">
        <w:rPr>
          <w:rFonts w:ascii="Verdana" w:hAnsi="Verdana"/>
          <w:b/>
          <w:bCs/>
          <w:sz w:val="18"/>
          <w:szCs w:val="18"/>
        </w:rPr>
        <w:t>Nulidad de la entrada domiciliaria</w:t>
      </w:r>
      <w:r w:rsidRPr="0054376C">
        <w:rPr>
          <w:rFonts w:ascii="Verdana" w:hAnsi="Verdana"/>
          <w:sz w:val="18"/>
          <w:szCs w:val="18"/>
        </w:rPr>
        <w:t xml:space="preserve">. </w:t>
      </w:r>
    </w:p>
    <w:p w14:paraId="51E6CB5D" w14:textId="77777777" w:rsidR="0054376C" w:rsidRPr="0054376C" w:rsidRDefault="0054376C" w:rsidP="0054376C">
      <w:pPr>
        <w:numPr>
          <w:ilvl w:val="0"/>
          <w:numId w:val="91"/>
        </w:numPr>
        <w:spacing w:before="100" w:beforeAutospacing="1" w:after="100" w:afterAutospacing="1"/>
        <w:jc w:val="both"/>
        <w:rPr>
          <w:rFonts w:ascii="Verdana" w:hAnsi="Verdana"/>
          <w:sz w:val="18"/>
          <w:szCs w:val="18"/>
        </w:rPr>
      </w:pPr>
      <w:r w:rsidRPr="0054376C">
        <w:rPr>
          <w:rFonts w:ascii="Verdana" w:hAnsi="Verdana"/>
          <w:b/>
          <w:bCs/>
          <w:sz w:val="18"/>
          <w:szCs w:val="18"/>
        </w:rPr>
        <w:t>Invalidación de las pruebas obtenidas</w:t>
      </w:r>
      <w:r w:rsidRPr="0054376C">
        <w:rPr>
          <w:rFonts w:ascii="Verdana" w:hAnsi="Verdana"/>
          <w:sz w:val="18"/>
          <w:szCs w:val="18"/>
        </w:rPr>
        <w:t xml:space="preserve">. </w:t>
      </w:r>
    </w:p>
    <w:p w14:paraId="1E1498BC" w14:textId="77777777" w:rsidR="0054376C" w:rsidRPr="0054376C" w:rsidRDefault="0054376C" w:rsidP="0054376C">
      <w:pPr>
        <w:numPr>
          <w:ilvl w:val="0"/>
          <w:numId w:val="91"/>
        </w:numPr>
        <w:spacing w:before="100" w:beforeAutospacing="1" w:after="100" w:afterAutospacing="1"/>
        <w:jc w:val="both"/>
        <w:rPr>
          <w:rFonts w:ascii="Verdana" w:hAnsi="Verdana"/>
          <w:sz w:val="18"/>
          <w:szCs w:val="18"/>
        </w:rPr>
      </w:pPr>
      <w:r w:rsidRPr="0054376C">
        <w:rPr>
          <w:rFonts w:ascii="Verdana" w:hAnsi="Verdana"/>
          <w:b/>
          <w:bCs/>
          <w:sz w:val="18"/>
          <w:szCs w:val="18"/>
        </w:rPr>
        <w:t>Nulidad de liquidaciones y sanciones derivadas</w:t>
      </w:r>
      <w:r w:rsidRPr="0054376C">
        <w:rPr>
          <w:rFonts w:ascii="Verdana" w:hAnsi="Verdana"/>
          <w:sz w:val="18"/>
          <w:szCs w:val="18"/>
        </w:rPr>
        <w:t xml:space="preserve">. </w:t>
      </w:r>
    </w:p>
    <w:p w14:paraId="173437FF" w14:textId="77777777" w:rsidR="0054376C" w:rsidRPr="0054376C" w:rsidRDefault="0054376C" w:rsidP="0054376C">
      <w:pPr>
        <w:spacing w:before="100" w:beforeAutospacing="1" w:after="100" w:afterAutospacing="1"/>
        <w:ind w:left="284"/>
        <w:jc w:val="both"/>
        <w:rPr>
          <w:rFonts w:ascii="Verdana" w:hAnsi="Verdana"/>
          <w:b/>
          <w:bCs/>
          <w:sz w:val="18"/>
          <w:szCs w:val="18"/>
        </w:rPr>
      </w:pPr>
      <w:r w:rsidRPr="0054376C">
        <w:rPr>
          <w:rFonts w:ascii="Verdana" w:hAnsi="Verdana"/>
          <w:b/>
          <w:bCs/>
          <w:sz w:val="18"/>
          <w:szCs w:val="18"/>
        </w:rPr>
        <w:t>Doctrina consolidada</w:t>
      </w:r>
    </w:p>
    <w:p w14:paraId="4954E0FE" w14:textId="77777777" w:rsidR="0054376C" w:rsidRPr="0054376C" w:rsidRDefault="0054376C" w:rsidP="0054376C">
      <w:pPr>
        <w:numPr>
          <w:ilvl w:val="0"/>
          <w:numId w:val="92"/>
        </w:numPr>
        <w:spacing w:before="100" w:beforeAutospacing="1" w:after="100" w:afterAutospacing="1"/>
        <w:jc w:val="both"/>
        <w:rPr>
          <w:rFonts w:ascii="Verdana" w:hAnsi="Verdana"/>
          <w:sz w:val="18"/>
          <w:szCs w:val="18"/>
        </w:rPr>
      </w:pPr>
      <w:r w:rsidRPr="0054376C">
        <w:rPr>
          <w:rFonts w:ascii="Verdana" w:hAnsi="Verdana"/>
          <w:sz w:val="18"/>
          <w:szCs w:val="18"/>
        </w:rPr>
        <w:t xml:space="preserve">No basta con referencias genéricas a la normativa. </w:t>
      </w:r>
    </w:p>
    <w:p w14:paraId="58484252" w14:textId="77777777" w:rsidR="0054376C" w:rsidRPr="0054376C" w:rsidRDefault="0054376C" w:rsidP="0054376C">
      <w:pPr>
        <w:numPr>
          <w:ilvl w:val="0"/>
          <w:numId w:val="92"/>
        </w:numPr>
        <w:spacing w:before="100" w:beforeAutospacing="1" w:after="100" w:afterAutospacing="1"/>
        <w:jc w:val="both"/>
        <w:rPr>
          <w:rFonts w:ascii="Verdana" w:hAnsi="Verdana"/>
          <w:sz w:val="18"/>
          <w:szCs w:val="18"/>
        </w:rPr>
      </w:pPr>
      <w:r w:rsidRPr="0054376C">
        <w:rPr>
          <w:rFonts w:ascii="Verdana" w:hAnsi="Verdana"/>
          <w:sz w:val="18"/>
          <w:szCs w:val="18"/>
        </w:rPr>
        <w:t xml:space="preserve">Es imprescindible informar expresamente del derecho a </w:t>
      </w:r>
      <w:r w:rsidRPr="0054376C">
        <w:rPr>
          <w:rFonts w:ascii="Verdana" w:hAnsi="Verdana"/>
          <w:b/>
          <w:bCs/>
          <w:sz w:val="18"/>
          <w:szCs w:val="18"/>
        </w:rPr>
        <w:t>negar o revocar</w:t>
      </w:r>
      <w:r w:rsidRPr="0054376C">
        <w:rPr>
          <w:rFonts w:ascii="Verdana" w:hAnsi="Verdana"/>
          <w:sz w:val="18"/>
          <w:szCs w:val="18"/>
        </w:rPr>
        <w:t xml:space="preserve"> el consentimiento. </w:t>
      </w:r>
    </w:p>
    <w:p w14:paraId="672519A8" w14:textId="77777777" w:rsidR="0054376C" w:rsidRPr="0054376C" w:rsidRDefault="0054376C" w:rsidP="0054376C">
      <w:pPr>
        <w:numPr>
          <w:ilvl w:val="0"/>
          <w:numId w:val="92"/>
        </w:numPr>
        <w:spacing w:before="100" w:beforeAutospacing="1" w:after="100" w:afterAutospacing="1"/>
        <w:jc w:val="both"/>
        <w:rPr>
          <w:rFonts w:ascii="Verdana" w:hAnsi="Verdana"/>
          <w:sz w:val="18"/>
          <w:szCs w:val="18"/>
        </w:rPr>
      </w:pPr>
      <w:r w:rsidRPr="0054376C">
        <w:rPr>
          <w:rFonts w:ascii="Verdana" w:hAnsi="Verdana"/>
          <w:sz w:val="18"/>
          <w:szCs w:val="18"/>
        </w:rPr>
        <w:t xml:space="preserve">Ante dudas, debe prevalecer la protección del derecho fundamental a la inviolabilidad del domicilio. </w:t>
      </w:r>
    </w:p>
    <w:p w14:paraId="15562204" w14:textId="77777777" w:rsidR="0054376C" w:rsidRPr="0054376C" w:rsidRDefault="0054376C" w:rsidP="0054376C">
      <w:pPr>
        <w:spacing w:before="100" w:beforeAutospacing="1" w:after="100" w:afterAutospacing="1"/>
        <w:ind w:left="284"/>
        <w:jc w:val="both"/>
        <w:rPr>
          <w:rFonts w:ascii="Verdana" w:hAnsi="Verdana"/>
          <w:b/>
          <w:bCs/>
          <w:sz w:val="18"/>
          <w:szCs w:val="18"/>
        </w:rPr>
      </w:pPr>
      <w:r w:rsidRPr="0054376C">
        <w:rPr>
          <w:rFonts w:ascii="Verdana" w:hAnsi="Verdana"/>
          <w:b/>
          <w:bCs/>
          <w:sz w:val="18"/>
          <w:szCs w:val="18"/>
        </w:rPr>
        <w:t>Relevancia práctica</w:t>
      </w:r>
    </w:p>
    <w:p w14:paraId="2463C115" w14:textId="2299CF01" w:rsidR="0054376C" w:rsidRDefault="0054376C" w:rsidP="0054376C">
      <w:pPr>
        <w:spacing w:before="100" w:beforeAutospacing="1" w:after="100" w:afterAutospacing="1"/>
        <w:ind w:left="284"/>
        <w:jc w:val="both"/>
        <w:rPr>
          <w:rFonts w:ascii="Verdana" w:hAnsi="Verdana"/>
          <w:sz w:val="18"/>
          <w:szCs w:val="18"/>
        </w:rPr>
      </w:pPr>
      <w:r w:rsidRPr="0054376C">
        <w:rPr>
          <w:rFonts w:ascii="Verdana" w:hAnsi="Verdana"/>
          <w:sz w:val="18"/>
          <w:szCs w:val="18"/>
        </w:rPr>
        <w:t xml:space="preserve">La sentencia obliga a la Administración </w:t>
      </w:r>
      <w:r>
        <w:rPr>
          <w:rFonts w:ascii="Verdana" w:hAnsi="Verdana"/>
          <w:sz w:val="18"/>
          <w:szCs w:val="18"/>
        </w:rPr>
        <w:t>T</w:t>
      </w:r>
      <w:r w:rsidRPr="0054376C">
        <w:rPr>
          <w:rFonts w:ascii="Verdana" w:hAnsi="Verdana"/>
          <w:sz w:val="18"/>
          <w:szCs w:val="18"/>
        </w:rPr>
        <w:t>ributaria a reforzar sus protocolos informativos y garantiza mayor protección jurídica a los contribuyentes en actuaciones inspectoras.</w:t>
      </w:r>
    </w:p>
    <w:p w14:paraId="39ECEA0C" w14:textId="77777777" w:rsidR="00AE3130" w:rsidRDefault="00AE3130" w:rsidP="0054376C">
      <w:pPr>
        <w:spacing w:before="100" w:beforeAutospacing="1" w:after="100" w:afterAutospacing="1"/>
        <w:ind w:left="284"/>
        <w:jc w:val="both"/>
        <w:rPr>
          <w:rFonts w:ascii="Verdana" w:hAnsi="Verdana"/>
          <w:sz w:val="18"/>
          <w:szCs w:val="18"/>
        </w:rPr>
      </w:pPr>
    </w:p>
    <w:p w14:paraId="12949B07" w14:textId="77777777" w:rsidR="002D2574" w:rsidRDefault="002D2574" w:rsidP="0054376C">
      <w:pPr>
        <w:spacing w:before="100" w:beforeAutospacing="1" w:after="100" w:afterAutospacing="1"/>
        <w:ind w:left="284"/>
        <w:jc w:val="both"/>
        <w:rPr>
          <w:rFonts w:ascii="Verdana" w:hAnsi="Verdana"/>
          <w:sz w:val="18"/>
          <w:szCs w:val="18"/>
        </w:rPr>
      </w:pPr>
    </w:p>
    <w:p w14:paraId="6CFC353A" w14:textId="77777777" w:rsidR="002D2574" w:rsidRDefault="002D2574" w:rsidP="0054376C">
      <w:pPr>
        <w:spacing w:before="100" w:beforeAutospacing="1" w:after="100" w:afterAutospacing="1"/>
        <w:ind w:left="284"/>
        <w:jc w:val="both"/>
        <w:rPr>
          <w:rFonts w:ascii="Verdana" w:hAnsi="Verdana"/>
          <w:sz w:val="18"/>
          <w:szCs w:val="18"/>
        </w:rPr>
      </w:pPr>
    </w:p>
    <w:tbl>
      <w:tblPr>
        <w:tblW w:w="8640" w:type="dxa"/>
        <w:jc w:val="center"/>
        <w:tblCellMar>
          <w:left w:w="70" w:type="dxa"/>
          <w:right w:w="70" w:type="dxa"/>
        </w:tblCellMar>
        <w:tblLook w:val="0000" w:firstRow="0" w:lastRow="0" w:firstColumn="0" w:lastColumn="0" w:noHBand="0" w:noVBand="0"/>
      </w:tblPr>
      <w:tblGrid>
        <w:gridCol w:w="180"/>
        <w:gridCol w:w="8460"/>
      </w:tblGrid>
      <w:tr w:rsidR="000F2E1B" w:rsidRPr="00922DB4" w14:paraId="592E153F" w14:textId="77777777" w:rsidTr="000F2E1B">
        <w:trPr>
          <w:jc w:val="center"/>
        </w:trPr>
        <w:tc>
          <w:tcPr>
            <w:tcW w:w="180" w:type="dxa"/>
            <w:shd w:val="clear" w:color="auto" w:fill="FF6600"/>
          </w:tcPr>
          <w:p w14:paraId="1196F92C" w14:textId="77777777" w:rsidR="000F2E1B" w:rsidRPr="00922DB4" w:rsidRDefault="000F2E1B" w:rsidP="002368A3">
            <w:pPr>
              <w:ind w:left="360"/>
              <w:rPr>
                <w:rFonts w:ascii="Verdana" w:hAnsi="Verdana"/>
                <w:b/>
                <w:bCs/>
                <w:color w:val="800000"/>
                <w:sz w:val="18"/>
                <w:szCs w:val="18"/>
              </w:rPr>
            </w:pPr>
          </w:p>
        </w:tc>
        <w:tc>
          <w:tcPr>
            <w:tcW w:w="8460" w:type="dxa"/>
          </w:tcPr>
          <w:p w14:paraId="67E1B6C8" w14:textId="1250F44B" w:rsidR="000F2E1B" w:rsidRPr="00922DB4" w:rsidRDefault="000F2E1B" w:rsidP="002368A3">
            <w:pPr>
              <w:numPr>
                <w:ilvl w:val="1"/>
                <w:numId w:val="68"/>
              </w:numPr>
              <w:tabs>
                <w:tab w:val="clear" w:pos="1080"/>
              </w:tabs>
              <w:ind w:left="389" w:hanging="283"/>
              <w:jc w:val="both"/>
              <w:rPr>
                <w:rFonts w:ascii="Verdana" w:hAnsi="Verdana"/>
                <w:b/>
                <w:bCs/>
                <w:color w:val="800000"/>
                <w:sz w:val="18"/>
                <w:szCs w:val="18"/>
              </w:rPr>
            </w:pPr>
            <w:r w:rsidRPr="00922DB4">
              <w:rPr>
                <w:rFonts w:ascii="Verdana" w:hAnsi="Verdana"/>
                <w:b/>
                <w:bCs/>
                <w:color w:val="800000"/>
                <w:sz w:val="18"/>
                <w:szCs w:val="18"/>
              </w:rPr>
              <w:t>DESARROLLO DEL SISTEMA DE FACTURACIÓN ELECTRÓNICA OBLIGATORIA (RD 238/2026)</w:t>
            </w:r>
          </w:p>
        </w:tc>
      </w:tr>
    </w:tbl>
    <w:p w14:paraId="7730B71F" w14:textId="77777777" w:rsidR="008928BB" w:rsidRDefault="008928BB" w:rsidP="004D741A">
      <w:pPr>
        <w:spacing w:before="100" w:beforeAutospacing="1" w:after="100" w:afterAutospacing="1"/>
        <w:ind w:left="284"/>
        <w:contextualSpacing/>
        <w:jc w:val="both"/>
        <w:rPr>
          <w:rFonts w:ascii="Verdana" w:hAnsi="Verdana"/>
          <w:sz w:val="18"/>
          <w:szCs w:val="18"/>
        </w:rPr>
      </w:pPr>
    </w:p>
    <w:p w14:paraId="1DC18487" w14:textId="38B79DE2" w:rsidR="00922DB4" w:rsidRDefault="00922DB4" w:rsidP="004D741A">
      <w:pPr>
        <w:spacing w:before="100" w:beforeAutospacing="1" w:after="100" w:afterAutospacing="1"/>
        <w:ind w:left="284"/>
        <w:contextualSpacing/>
        <w:jc w:val="both"/>
        <w:rPr>
          <w:rFonts w:ascii="Verdana" w:hAnsi="Verdana"/>
          <w:sz w:val="18"/>
          <w:szCs w:val="18"/>
        </w:rPr>
      </w:pPr>
      <w:r w:rsidRPr="00922DB4">
        <w:rPr>
          <w:rFonts w:ascii="Verdana" w:hAnsi="Verdana"/>
          <w:sz w:val="18"/>
          <w:szCs w:val="18"/>
        </w:rPr>
        <w:t xml:space="preserve">El </w:t>
      </w:r>
      <w:r w:rsidRPr="00922DB4">
        <w:rPr>
          <w:rFonts w:ascii="Verdana" w:hAnsi="Verdana"/>
          <w:b/>
          <w:bCs/>
          <w:sz w:val="18"/>
          <w:szCs w:val="18"/>
        </w:rPr>
        <w:t>Real Decreto 238/2026, de 25 de marzo</w:t>
      </w:r>
      <w:r w:rsidRPr="00922DB4">
        <w:rPr>
          <w:rFonts w:ascii="Verdana" w:hAnsi="Verdana"/>
          <w:sz w:val="18"/>
          <w:szCs w:val="18"/>
        </w:rPr>
        <w:t xml:space="preserve">, desarrolla reglamentariamente la obligación de facturación electrónica en operaciones entre empresarios y profesionales (B2B), en ejecución de la </w:t>
      </w:r>
      <w:r w:rsidRPr="00922DB4">
        <w:rPr>
          <w:rFonts w:ascii="Verdana" w:hAnsi="Verdana"/>
          <w:b/>
          <w:bCs/>
          <w:sz w:val="18"/>
          <w:szCs w:val="18"/>
        </w:rPr>
        <w:t>Ley 18/2022, de creación y crecimiento de empresas</w:t>
      </w:r>
      <w:r w:rsidRPr="00922DB4">
        <w:rPr>
          <w:rFonts w:ascii="Verdana" w:hAnsi="Verdana"/>
          <w:sz w:val="18"/>
          <w:szCs w:val="18"/>
        </w:rPr>
        <w:t>, configurando un nuevo modelo estructural de control y trazabilidad de las relaciones comerciales.</w:t>
      </w:r>
    </w:p>
    <w:p w14:paraId="65882ADF" w14:textId="77777777" w:rsidR="00E46303" w:rsidRDefault="00E46303" w:rsidP="004D741A">
      <w:pPr>
        <w:spacing w:before="100" w:beforeAutospacing="1" w:after="100" w:afterAutospacing="1"/>
        <w:ind w:left="284"/>
        <w:contextualSpacing/>
        <w:jc w:val="both"/>
        <w:rPr>
          <w:rFonts w:ascii="Verdana" w:hAnsi="Verdana"/>
          <w:sz w:val="18"/>
          <w:szCs w:val="18"/>
        </w:rPr>
      </w:pPr>
    </w:p>
    <w:p w14:paraId="790B5C78" w14:textId="1403C8ED" w:rsidR="004D741A" w:rsidRDefault="004D741A" w:rsidP="004D741A">
      <w:pPr>
        <w:spacing w:before="100" w:beforeAutospacing="1" w:after="100" w:afterAutospacing="1"/>
        <w:ind w:left="284"/>
        <w:contextualSpacing/>
        <w:jc w:val="both"/>
        <w:rPr>
          <w:rFonts w:ascii="Verdana" w:hAnsi="Verdana"/>
          <w:sz w:val="18"/>
          <w:szCs w:val="18"/>
        </w:rPr>
      </w:pPr>
      <w:r>
        <w:rPr>
          <w:rFonts w:ascii="Verdana" w:hAnsi="Verdana"/>
          <w:sz w:val="18"/>
          <w:szCs w:val="18"/>
        </w:rPr>
        <w:t>N</w:t>
      </w:r>
      <w:r w:rsidRPr="004D741A">
        <w:rPr>
          <w:rFonts w:ascii="Verdana" w:hAnsi="Verdana"/>
          <w:sz w:val="18"/>
          <w:szCs w:val="18"/>
        </w:rPr>
        <w:t>o debe confundirse esta nueva obligación con la adaptación de los</w:t>
      </w:r>
      <w:r w:rsidRPr="004D741A">
        <w:rPr>
          <w:rFonts w:ascii="Verdana" w:hAnsi="Verdana"/>
          <w:b/>
          <w:bCs/>
          <w:sz w:val="18"/>
          <w:szCs w:val="18"/>
        </w:rPr>
        <w:t> sistemas y programas informáticos de facturación</w:t>
      </w:r>
      <w:r w:rsidRPr="004D741A">
        <w:rPr>
          <w:rFonts w:ascii="Verdana" w:hAnsi="Verdana"/>
          <w:sz w:val="18"/>
          <w:szCs w:val="18"/>
        </w:rPr>
        <w:t>, a raíz de la </w:t>
      </w:r>
      <w:r w:rsidRPr="004D741A">
        <w:rPr>
          <w:rFonts w:ascii="Verdana" w:hAnsi="Verdana"/>
          <w:b/>
          <w:bCs/>
          <w:sz w:val="18"/>
          <w:szCs w:val="18"/>
        </w:rPr>
        <w:t>normativa Veri*</w:t>
      </w:r>
      <w:proofErr w:type="spellStart"/>
      <w:r w:rsidRPr="004D741A">
        <w:rPr>
          <w:rFonts w:ascii="Verdana" w:hAnsi="Verdana"/>
          <w:b/>
          <w:bCs/>
          <w:sz w:val="18"/>
          <w:szCs w:val="18"/>
        </w:rPr>
        <w:t>factu</w:t>
      </w:r>
      <w:proofErr w:type="spellEnd"/>
      <w:r w:rsidRPr="004D741A">
        <w:rPr>
          <w:rFonts w:ascii="Verdana" w:hAnsi="Verdana"/>
          <w:sz w:val="18"/>
          <w:szCs w:val="18"/>
        </w:rPr>
        <w:t>, que deberán realizar algunos empresarios y profesionales.</w:t>
      </w:r>
    </w:p>
    <w:p w14:paraId="0643DADA" w14:textId="77777777" w:rsidR="00732AE3" w:rsidRDefault="00732AE3" w:rsidP="004D741A">
      <w:pPr>
        <w:spacing w:before="100" w:beforeAutospacing="1" w:after="100" w:afterAutospacing="1"/>
        <w:ind w:left="284"/>
        <w:contextualSpacing/>
        <w:jc w:val="both"/>
        <w:rPr>
          <w:rFonts w:ascii="Verdana" w:hAnsi="Verdana"/>
          <w:sz w:val="18"/>
          <w:szCs w:val="18"/>
        </w:rPr>
      </w:pPr>
    </w:p>
    <w:p w14:paraId="5D24A6CE" w14:textId="777DBA30" w:rsidR="00732AE3" w:rsidRDefault="00732AE3" w:rsidP="004D741A">
      <w:pPr>
        <w:spacing w:before="100" w:beforeAutospacing="1" w:after="100" w:afterAutospacing="1"/>
        <w:ind w:left="284"/>
        <w:contextualSpacing/>
        <w:jc w:val="both"/>
        <w:rPr>
          <w:rFonts w:ascii="Verdana" w:hAnsi="Verdana"/>
          <w:sz w:val="18"/>
          <w:szCs w:val="18"/>
        </w:rPr>
      </w:pPr>
      <w:r>
        <w:rPr>
          <w:rFonts w:ascii="Verdana" w:hAnsi="Verdana"/>
          <w:sz w:val="18"/>
          <w:szCs w:val="18"/>
        </w:rPr>
        <w:t xml:space="preserve">Su entrada en vigor será a los </w:t>
      </w:r>
      <w:r w:rsidRPr="00732AE3">
        <w:rPr>
          <w:rFonts w:ascii="Verdana" w:hAnsi="Verdana"/>
          <w:sz w:val="18"/>
          <w:szCs w:val="18"/>
        </w:rPr>
        <w:t xml:space="preserve">12 meses desde </w:t>
      </w:r>
      <w:r w:rsidR="002D2574">
        <w:rPr>
          <w:rFonts w:ascii="Verdana" w:hAnsi="Verdana"/>
          <w:sz w:val="18"/>
          <w:szCs w:val="18"/>
        </w:rPr>
        <w:t xml:space="preserve">la </w:t>
      </w:r>
      <w:r w:rsidRPr="00732AE3">
        <w:rPr>
          <w:rFonts w:ascii="Verdana" w:hAnsi="Verdana"/>
          <w:sz w:val="18"/>
          <w:szCs w:val="18"/>
        </w:rPr>
        <w:t xml:space="preserve">entrada en vigor de la Orden Ministerial (para empresas con INCN con más de 8MM de €), </w:t>
      </w:r>
      <w:r>
        <w:rPr>
          <w:rFonts w:ascii="Verdana" w:hAnsi="Verdana"/>
          <w:sz w:val="18"/>
          <w:szCs w:val="18"/>
        </w:rPr>
        <w:t>y a los</w:t>
      </w:r>
      <w:r w:rsidRPr="00732AE3">
        <w:rPr>
          <w:rFonts w:ascii="Verdana" w:hAnsi="Verdana"/>
          <w:sz w:val="18"/>
          <w:szCs w:val="18"/>
        </w:rPr>
        <w:t xml:space="preserve"> 24 meses desde la entrada en vigor de la Orden Ministerial para el resto de los empresarios y profesionales</w:t>
      </w:r>
      <w:r>
        <w:rPr>
          <w:rFonts w:ascii="Verdana" w:hAnsi="Verdana"/>
          <w:sz w:val="18"/>
          <w:szCs w:val="18"/>
        </w:rPr>
        <w:t>.</w:t>
      </w:r>
    </w:p>
    <w:p w14:paraId="7A032D1B" w14:textId="77777777" w:rsidR="00732AE3" w:rsidRDefault="00732AE3" w:rsidP="004D741A">
      <w:pPr>
        <w:spacing w:before="100" w:beforeAutospacing="1" w:after="100" w:afterAutospacing="1"/>
        <w:ind w:left="284"/>
        <w:contextualSpacing/>
        <w:jc w:val="both"/>
        <w:rPr>
          <w:rFonts w:ascii="Verdana" w:hAnsi="Verdana"/>
          <w:sz w:val="18"/>
          <w:szCs w:val="18"/>
        </w:rPr>
      </w:pPr>
    </w:p>
    <w:p w14:paraId="2D25F3A3" w14:textId="737B62EB" w:rsidR="00732AE3" w:rsidRDefault="00732AE3" w:rsidP="004D741A">
      <w:pPr>
        <w:spacing w:before="100" w:beforeAutospacing="1" w:after="100" w:afterAutospacing="1"/>
        <w:ind w:left="284"/>
        <w:contextualSpacing/>
        <w:jc w:val="both"/>
        <w:rPr>
          <w:rFonts w:ascii="Verdana" w:hAnsi="Verdana"/>
          <w:sz w:val="18"/>
          <w:szCs w:val="18"/>
        </w:rPr>
      </w:pPr>
      <w:r>
        <w:rPr>
          <w:rFonts w:ascii="Verdana" w:hAnsi="Verdana"/>
          <w:sz w:val="18"/>
          <w:szCs w:val="18"/>
        </w:rPr>
        <w:t>Si bien l</w:t>
      </w:r>
      <w:r w:rsidRPr="00732AE3">
        <w:rPr>
          <w:rFonts w:ascii="Verdana" w:hAnsi="Verdana"/>
          <w:sz w:val="18"/>
          <w:szCs w:val="18"/>
        </w:rPr>
        <w:t>a efectiva aplicación de esta nueva obligación pivota sobre una fecha todavía por determinar: la entrada en vigor de la orden ministerial que desarrollará la solución pública de facturación (todavía no aprobada).</w:t>
      </w:r>
    </w:p>
    <w:p w14:paraId="0930E312" w14:textId="77777777" w:rsidR="004D741A" w:rsidRPr="00922DB4" w:rsidRDefault="004D741A" w:rsidP="004D741A">
      <w:pPr>
        <w:spacing w:before="100" w:beforeAutospacing="1" w:after="100" w:afterAutospacing="1"/>
        <w:ind w:left="284"/>
        <w:contextualSpacing/>
        <w:jc w:val="both"/>
        <w:rPr>
          <w:rFonts w:ascii="Verdana" w:hAnsi="Verdana"/>
          <w:sz w:val="18"/>
          <w:szCs w:val="18"/>
        </w:rPr>
      </w:pPr>
    </w:p>
    <w:p w14:paraId="2405F9AC" w14:textId="77777777" w:rsidR="00922DB4" w:rsidRPr="00922DB4" w:rsidRDefault="00922DB4" w:rsidP="00922DB4">
      <w:pPr>
        <w:spacing w:before="100" w:beforeAutospacing="1" w:after="100" w:afterAutospacing="1"/>
        <w:ind w:left="284"/>
        <w:jc w:val="both"/>
        <w:outlineLvl w:val="2"/>
        <w:rPr>
          <w:rFonts w:ascii="Verdana" w:hAnsi="Verdana"/>
          <w:b/>
          <w:bCs/>
          <w:color w:val="C0504D" w:themeColor="accent2"/>
          <w:sz w:val="18"/>
          <w:szCs w:val="18"/>
        </w:rPr>
      </w:pPr>
      <w:r w:rsidRPr="00922DB4">
        <w:rPr>
          <w:rFonts w:ascii="Verdana" w:hAnsi="Verdana"/>
          <w:b/>
          <w:bCs/>
          <w:color w:val="C0504D" w:themeColor="accent2"/>
          <w:sz w:val="18"/>
          <w:szCs w:val="18"/>
        </w:rPr>
        <w:t>1. Finalidad y contexto normativo</w:t>
      </w:r>
    </w:p>
    <w:p w14:paraId="14481208" w14:textId="77777777" w:rsidR="00922DB4" w:rsidRPr="00922DB4" w:rsidRDefault="00922DB4" w:rsidP="00922DB4">
      <w:pPr>
        <w:spacing w:before="100" w:beforeAutospacing="1" w:after="100" w:afterAutospacing="1"/>
        <w:ind w:left="284"/>
        <w:jc w:val="both"/>
        <w:rPr>
          <w:rFonts w:ascii="Verdana" w:hAnsi="Verdana"/>
          <w:sz w:val="18"/>
          <w:szCs w:val="18"/>
        </w:rPr>
      </w:pPr>
      <w:r w:rsidRPr="00922DB4">
        <w:rPr>
          <w:rFonts w:ascii="Verdana" w:hAnsi="Verdana"/>
          <w:sz w:val="18"/>
          <w:szCs w:val="18"/>
        </w:rPr>
        <w:t>La norma se inserta en una triple estrategia:</w:t>
      </w:r>
    </w:p>
    <w:p w14:paraId="2BE86884" w14:textId="77777777" w:rsidR="00922DB4" w:rsidRPr="00922DB4" w:rsidRDefault="00922DB4" w:rsidP="00922DB4">
      <w:pPr>
        <w:numPr>
          <w:ilvl w:val="0"/>
          <w:numId w:val="107"/>
        </w:numPr>
        <w:spacing w:before="100" w:beforeAutospacing="1" w:after="100" w:afterAutospacing="1"/>
        <w:ind w:left="284" w:firstLine="0"/>
        <w:jc w:val="both"/>
        <w:rPr>
          <w:rFonts w:ascii="Verdana" w:hAnsi="Verdana"/>
          <w:sz w:val="18"/>
          <w:szCs w:val="18"/>
        </w:rPr>
      </w:pPr>
      <w:r w:rsidRPr="00922DB4">
        <w:rPr>
          <w:rFonts w:ascii="Verdana" w:hAnsi="Verdana"/>
          <w:b/>
          <w:bCs/>
          <w:sz w:val="18"/>
          <w:szCs w:val="18"/>
        </w:rPr>
        <w:t>Lucha contra la morosidad comercial</w:t>
      </w:r>
      <w:r w:rsidRPr="00922DB4">
        <w:rPr>
          <w:rFonts w:ascii="Verdana" w:hAnsi="Verdana"/>
          <w:sz w:val="18"/>
          <w:szCs w:val="18"/>
        </w:rPr>
        <w:t xml:space="preserve">, mediante control efectivo de plazos de pago. </w:t>
      </w:r>
    </w:p>
    <w:p w14:paraId="0DFE5EDB" w14:textId="77777777" w:rsidR="00922DB4" w:rsidRPr="00922DB4" w:rsidRDefault="00922DB4" w:rsidP="00922DB4">
      <w:pPr>
        <w:numPr>
          <w:ilvl w:val="0"/>
          <w:numId w:val="107"/>
        </w:numPr>
        <w:spacing w:before="100" w:beforeAutospacing="1" w:after="100" w:afterAutospacing="1"/>
        <w:ind w:left="284" w:firstLine="0"/>
        <w:jc w:val="both"/>
        <w:rPr>
          <w:rFonts w:ascii="Verdana" w:hAnsi="Verdana"/>
          <w:sz w:val="18"/>
          <w:szCs w:val="18"/>
        </w:rPr>
      </w:pPr>
      <w:r w:rsidRPr="00922DB4">
        <w:rPr>
          <w:rFonts w:ascii="Verdana" w:hAnsi="Verdana"/>
          <w:b/>
          <w:bCs/>
          <w:sz w:val="18"/>
          <w:szCs w:val="18"/>
        </w:rPr>
        <w:t>Digitalización del tejido empresarial</w:t>
      </w:r>
      <w:r w:rsidRPr="00922DB4">
        <w:rPr>
          <w:rFonts w:ascii="Verdana" w:hAnsi="Verdana"/>
          <w:sz w:val="18"/>
          <w:szCs w:val="18"/>
        </w:rPr>
        <w:t xml:space="preserve">, especialmente pymes. </w:t>
      </w:r>
    </w:p>
    <w:p w14:paraId="7289B54C" w14:textId="77777777" w:rsidR="00922DB4" w:rsidRPr="00922DB4" w:rsidRDefault="00922DB4" w:rsidP="00F01444">
      <w:pPr>
        <w:numPr>
          <w:ilvl w:val="0"/>
          <w:numId w:val="107"/>
        </w:numPr>
        <w:spacing w:before="100" w:beforeAutospacing="1" w:after="100" w:afterAutospacing="1"/>
        <w:ind w:left="709" w:hanging="425"/>
        <w:jc w:val="both"/>
        <w:rPr>
          <w:rFonts w:ascii="Verdana" w:hAnsi="Verdana"/>
          <w:sz w:val="18"/>
          <w:szCs w:val="18"/>
        </w:rPr>
      </w:pPr>
      <w:r w:rsidRPr="00922DB4">
        <w:rPr>
          <w:rFonts w:ascii="Verdana" w:hAnsi="Verdana"/>
          <w:b/>
          <w:bCs/>
          <w:sz w:val="18"/>
          <w:szCs w:val="18"/>
        </w:rPr>
        <w:t>Refuerzo del control tributario y prevención del fraude</w:t>
      </w:r>
      <w:r w:rsidRPr="00922DB4">
        <w:rPr>
          <w:rFonts w:ascii="Verdana" w:hAnsi="Verdana"/>
          <w:sz w:val="18"/>
          <w:szCs w:val="18"/>
        </w:rPr>
        <w:t xml:space="preserve">, en línea con la normativa antifraude reciente. </w:t>
      </w:r>
    </w:p>
    <w:p w14:paraId="27FD183A" w14:textId="77777777" w:rsidR="00922DB4" w:rsidRPr="00922DB4" w:rsidRDefault="00922DB4" w:rsidP="00922DB4">
      <w:pPr>
        <w:spacing w:before="100" w:beforeAutospacing="1" w:after="100" w:afterAutospacing="1"/>
        <w:ind w:left="284"/>
        <w:jc w:val="both"/>
        <w:rPr>
          <w:rFonts w:ascii="Verdana" w:hAnsi="Verdana"/>
          <w:sz w:val="18"/>
          <w:szCs w:val="18"/>
        </w:rPr>
      </w:pPr>
      <w:r w:rsidRPr="00922DB4">
        <w:rPr>
          <w:rFonts w:ascii="Verdana" w:hAnsi="Verdana"/>
          <w:sz w:val="18"/>
          <w:szCs w:val="18"/>
        </w:rPr>
        <w:t xml:space="preserve">Se consolida así la extensión del uso obligatorio de la factura electrónica más allá del sector público, generalizándola al ámbito privado B2B. </w:t>
      </w:r>
    </w:p>
    <w:p w14:paraId="48C1666D" w14:textId="77777777" w:rsidR="00922DB4" w:rsidRPr="00922DB4" w:rsidRDefault="00922DB4" w:rsidP="00922DB4">
      <w:pPr>
        <w:spacing w:before="100" w:beforeAutospacing="1" w:after="100" w:afterAutospacing="1"/>
        <w:ind w:left="284"/>
        <w:jc w:val="both"/>
        <w:outlineLvl w:val="2"/>
        <w:rPr>
          <w:rFonts w:ascii="Verdana" w:hAnsi="Verdana"/>
          <w:b/>
          <w:bCs/>
          <w:color w:val="C0504D" w:themeColor="accent2"/>
          <w:sz w:val="18"/>
          <w:szCs w:val="18"/>
        </w:rPr>
      </w:pPr>
      <w:r w:rsidRPr="00922DB4">
        <w:rPr>
          <w:rFonts w:ascii="Verdana" w:hAnsi="Verdana"/>
          <w:b/>
          <w:bCs/>
          <w:color w:val="C0504D" w:themeColor="accent2"/>
          <w:sz w:val="18"/>
          <w:szCs w:val="18"/>
        </w:rPr>
        <w:t>2. Configuración del sistema español de facturación electrónica</w:t>
      </w:r>
    </w:p>
    <w:p w14:paraId="3E833B7D" w14:textId="77777777" w:rsidR="00922DB4" w:rsidRPr="00922DB4" w:rsidRDefault="00922DB4" w:rsidP="00922DB4">
      <w:pPr>
        <w:spacing w:before="100" w:beforeAutospacing="1" w:after="100" w:afterAutospacing="1"/>
        <w:ind w:left="284"/>
        <w:jc w:val="both"/>
        <w:rPr>
          <w:rFonts w:ascii="Verdana" w:hAnsi="Verdana"/>
          <w:sz w:val="18"/>
          <w:szCs w:val="18"/>
        </w:rPr>
      </w:pPr>
      <w:r w:rsidRPr="00922DB4">
        <w:rPr>
          <w:rFonts w:ascii="Verdana" w:hAnsi="Verdana"/>
          <w:sz w:val="18"/>
          <w:szCs w:val="18"/>
        </w:rPr>
        <w:t xml:space="preserve">El modelo adopta una </w:t>
      </w:r>
      <w:r w:rsidRPr="00922DB4">
        <w:rPr>
          <w:rFonts w:ascii="Verdana" w:hAnsi="Verdana"/>
          <w:b/>
          <w:bCs/>
          <w:sz w:val="18"/>
          <w:szCs w:val="18"/>
        </w:rPr>
        <w:t>arquitectura dual</w:t>
      </w:r>
      <w:r w:rsidRPr="00922DB4">
        <w:rPr>
          <w:rFonts w:ascii="Verdana" w:hAnsi="Verdana"/>
          <w:sz w:val="18"/>
          <w:szCs w:val="18"/>
        </w:rPr>
        <w:t>:</w:t>
      </w:r>
    </w:p>
    <w:p w14:paraId="4B8E06B9" w14:textId="77777777" w:rsidR="00922DB4" w:rsidRPr="00922DB4" w:rsidRDefault="00922DB4" w:rsidP="00922DB4">
      <w:pPr>
        <w:numPr>
          <w:ilvl w:val="0"/>
          <w:numId w:val="108"/>
        </w:numPr>
        <w:spacing w:before="100" w:beforeAutospacing="1" w:after="100" w:afterAutospacing="1"/>
        <w:ind w:left="284" w:firstLine="0"/>
        <w:jc w:val="both"/>
        <w:rPr>
          <w:rFonts w:ascii="Verdana" w:hAnsi="Verdana"/>
          <w:sz w:val="18"/>
          <w:szCs w:val="18"/>
        </w:rPr>
      </w:pPr>
      <w:r w:rsidRPr="00922DB4">
        <w:rPr>
          <w:rFonts w:ascii="Verdana" w:hAnsi="Verdana"/>
          <w:b/>
          <w:bCs/>
          <w:sz w:val="18"/>
          <w:szCs w:val="18"/>
        </w:rPr>
        <w:t>Plataformas privadas de intercambio</w:t>
      </w:r>
      <w:r w:rsidRPr="00922DB4">
        <w:rPr>
          <w:rFonts w:ascii="Verdana" w:hAnsi="Verdana"/>
          <w:sz w:val="18"/>
          <w:szCs w:val="18"/>
        </w:rPr>
        <w:t xml:space="preserve"> </w:t>
      </w:r>
    </w:p>
    <w:p w14:paraId="22A4B8A8" w14:textId="77777777" w:rsidR="00922DB4" w:rsidRPr="00922DB4" w:rsidRDefault="00922DB4" w:rsidP="00922DB4">
      <w:pPr>
        <w:numPr>
          <w:ilvl w:val="0"/>
          <w:numId w:val="108"/>
        </w:numPr>
        <w:spacing w:before="100" w:beforeAutospacing="1" w:after="100" w:afterAutospacing="1"/>
        <w:ind w:left="284" w:firstLine="0"/>
        <w:jc w:val="both"/>
        <w:rPr>
          <w:rFonts w:ascii="Verdana" w:hAnsi="Verdana"/>
          <w:sz w:val="18"/>
          <w:szCs w:val="18"/>
        </w:rPr>
      </w:pPr>
      <w:r w:rsidRPr="00922DB4">
        <w:rPr>
          <w:rFonts w:ascii="Verdana" w:hAnsi="Verdana"/>
          <w:b/>
          <w:bCs/>
          <w:sz w:val="18"/>
          <w:szCs w:val="18"/>
        </w:rPr>
        <w:t>Solución pública de facturación electrónica</w:t>
      </w:r>
      <w:r w:rsidRPr="00922DB4">
        <w:rPr>
          <w:rFonts w:ascii="Verdana" w:hAnsi="Verdana"/>
          <w:sz w:val="18"/>
          <w:szCs w:val="18"/>
        </w:rPr>
        <w:t xml:space="preserve">, gestionada por la AEAT </w:t>
      </w:r>
    </w:p>
    <w:p w14:paraId="244CC985" w14:textId="77777777" w:rsidR="00922DB4" w:rsidRPr="00922DB4" w:rsidRDefault="00922DB4" w:rsidP="00922DB4">
      <w:pPr>
        <w:spacing w:before="100" w:beforeAutospacing="1" w:after="100" w:afterAutospacing="1"/>
        <w:ind w:left="284"/>
        <w:jc w:val="both"/>
        <w:rPr>
          <w:rFonts w:ascii="Verdana" w:hAnsi="Verdana"/>
          <w:sz w:val="18"/>
          <w:szCs w:val="18"/>
        </w:rPr>
      </w:pPr>
      <w:r w:rsidRPr="00922DB4">
        <w:rPr>
          <w:rFonts w:ascii="Verdana" w:hAnsi="Verdana"/>
          <w:sz w:val="18"/>
          <w:szCs w:val="18"/>
        </w:rPr>
        <w:t xml:space="preserve">Ambos sistemas son interoperables y coexistentes, pudiendo los operadores optar por cualquiera de ellos o una combinación. </w:t>
      </w:r>
    </w:p>
    <w:p w14:paraId="30DBA78B" w14:textId="77777777" w:rsidR="00922DB4" w:rsidRPr="00922DB4" w:rsidRDefault="00922DB4" w:rsidP="00922DB4">
      <w:pPr>
        <w:spacing w:before="100" w:beforeAutospacing="1" w:after="100" w:afterAutospacing="1"/>
        <w:ind w:left="284"/>
        <w:jc w:val="both"/>
        <w:rPr>
          <w:rFonts w:ascii="Verdana" w:hAnsi="Verdana"/>
          <w:sz w:val="18"/>
          <w:szCs w:val="18"/>
        </w:rPr>
      </w:pPr>
      <w:r w:rsidRPr="00922DB4">
        <w:rPr>
          <w:rFonts w:ascii="Verdana" w:hAnsi="Verdana"/>
          <w:sz w:val="18"/>
          <w:szCs w:val="18"/>
        </w:rPr>
        <w:t xml:space="preserve">Un elemento clave es que, incluso cuando se utilicen plataformas privadas, se exige la </w:t>
      </w:r>
      <w:r w:rsidRPr="00922DB4">
        <w:rPr>
          <w:rFonts w:ascii="Verdana" w:hAnsi="Verdana"/>
          <w:b/>
          <w:bCs/>
          <w:sz w:val="18"/>
          <w:szCs w:val="18"/>
        </w:rPr>
        <w:t>remisión simultánea de una copia fiel de la factura a la solución pública</w:t>
      </w:r>
      <w:r w:rsidRPr="00922DB4">
        <w:rPr>
          <w:rFonts w:ascii="Verdana" w:hAnsi="Verdana"/>
          <w:sz w:val="18"/>
          <w:szCs w:val="18"/>
        </w:rPr>
        <w:t xml:space="preserve">, configurando esta como </w:t>
      </w:r>
      <w:r w:rsidRPr="00922DB4">
        <w:rPr>
          <w:rFonts w:ascii="Verdana" w:hAnsi="Verdana"/>
          <w:b/>
          <w:bCs/>
          <w:sz w:val="18"/>
          <w:szCs w:val="18"/>
        </w:rPr>
        <w:t>repositorio central obligatorio</w:t>
      </w:r>
      <w:r w:rsidRPr="00922DB4">
        <w:rPr>
          <w:rFonts w:ascii="Verdana" w:hAnsi="Verdana"/>
          <w:sz w:val="18"/>
          <w:szCs w:val="18"/>
        </w:rPr>
        <w:t>.</w:t>
      </w:r>
    </w:p>
    <w:p w14:paraId="13A3842C" w14:textId="77777777" w:rsidR="00922DB4" w:rsidRPr="00922DB4" w:rsidRDefault="00922DB4" w:rsidP="00922DB4">
      <w:pPr>
        <w:spacing w:before="100" w:beforeAutospacing="1" w:after="100" w:afterAutospacing="1"/>
        <w:ind w:left="284"/>
        <w:jc w:val="both"/>
        <w:outlineLvl w:val="2"/>
        <w:rPr>
          <w:rFonts w:ascii="Verdana" w:hAnsi="Verdana"/>
          <w:b/>
          <w:bCs/>
          <w:color w:val="C0504D" w:themeColor="accent2"/>
          <w:sz w:val="18"/>
          <w:szCs w:val="18"/>
        </w:rPr>
      </w:pPr>
      <w:r w:rsidRPr="00922DB4">
        <w:rPr>
          <w:rFonts w:ascii="Verdana" w:hAnsi="Verdana"/>
          <w:b/>
          <w:bCs/>
          <w:color w:val="C0504D" w:themeColor="accent2"/>
          <w:sz w:val="18"/>
          <w:szCs w:val="18"/>
        </w:rPr>
        <w:t>3. Obligaciones principales de los operadores</w:t>
      </w:r>
    </w:p>
    <w:p w14:paraId="031237AC" w14:textId="77777777" w:rsidR="00922DB4" w:rsidRPr="00922DB4" w:rsidRDefault="00922DB4" w:rsidP="00922DB4">
      <w:pPr>
        <w:spacing w:before="100" w:beforeAutospacing="1" w:after="100" w:afterAutospacing="1"/>
        <w:ind w:left="284"/>
        <w:jc w:val="both"/>
        <w:outlineLvl w:val="3"/>
        <w:rPr>
          <w:rFonts w:ascii="Verdana" w:hAnsi="Verdana"/>
          <w:b/>
          <w:bCs/>
          <w:sz w:val="18"/>
          <w:szCs w:val="18"/>
        </w:rPr>
      </w:pPr>
      <w:r w:rsidRPr="00922DB4">
        <w:rPr>
          <w:rFonts w:ascii="Verdana" w:hAnsi="Verdana"/>
          <w:b/>
          <w:bCs/>
          <w:sz w:val="18"/>
          <w:szCs w:val="18"/>
        </w:rPr>
        <w:t>a) Empresarios y profesionales</w:t>
      </w:r>
    </w:p>
    <w:p w14:paraId="6CEE70FD" w14:textId="77777777" w:rsidR="00922DB4" w:rsidRPr="00922DB4" w:rsidRDefault="00922DB4" w:rsidP="00922DB4">
      <w:pPr>
        <w:numPr>
          <w:ilvl w:val="0"/>
          <w:numId w:val="109"/>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Obligación de </w:t>
      </w:r>
      <w:r w:rsidRPr="00922DB4">
        <w:rPr>
          <w:rFonts w:ascii="Verdana" w:hAnsi="Verdana"/>
          <w:b/>
          <w:bCs/>
          <w:sz w:val="18"/>
          <w:szCs w:val="18"/>
        </w:rPr>
        <w:t>emitir y recibir facturas electrónicas</w:t>
      </w:r>
      <w:r w:rsidRPr="00922DB4">
        <w:rPr>
          <w:rFonts w:ascii="Verdana" w:hAnsi="Verdana"/>
          <w:sz w:val="18"/>
          <w:szCs w:val="18"/>
        </w:rPr>
        <w:t xml:space="preserve"> en relaciones B2B. </w:t>
      </w:r>
    </w:p>
    <w:p w14:paraId="127179E6" w14:textId="77777777" w:rsidR="00922DB4" w:rsidRPr="00922DB4" w:rsidRDefault="00922DB4" w:rsidP="00922DB4">
      <w:pPr>
        <w:numPr>
          <w:ilvl w:val="0"/>
          <w:numId w:val="109"/>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Deber de </w:t>
      </w:r>
      <w:r w:rsidRPr="00922DB4">
        <w:rPr>
          <w:rFonts w:ascii="Verdana" w:hAnsi="Verdana"/>
          <w:b/>
          <w:bCs/>
          <w:sz w:val="18"/>
          <w:szCs w:val="18"/>
        </w:rPr>
        <w:t>informar estados de la factura</w:t>
      </w:r>
      <w:r w:rsidRPr="00922DB4">
        <w:rPr>
          <w:rFonts w:ascii="Verdana" w:hAnsi="Verdana"/>
          <w:sz w:val="18"/>
          <w:szCs w:val="18"/>
        </w:rPr>
        <w:t xml:space="preserve">: </w:t>
      </w:r>
    </w:p>
    <w:p w14:paraId="265E2AD2" w14:textId="77777777" w:rsidR="00922DB4" w:rsidRPr="00922DB4" w:rsidRDefault="00922DB4" w:rsidP="00AF62C3">
      <w:pPr>
        <w:numPr>
          <w:ilvl w:val="1"/>
          <w:numId w:val="109"/>
        </w:numPr>
        <w:tabs>
          <w:tab w:val="clear" w:pos="1440"/>
          <w:tab w:val="num" w:pos="993"/>
        </w:tabs>
        <w:spacing w:before="100" w:beforeAutospacing="1" w:after="100" w:afterAutospacing="1"/>
        <w:ind w:left="284" w:firstLine="425"/>
        <w:jc w:val="both"/>
        <w:rPr>
          <w:rFonts w:ascii="Verdana" w:hAnsi="Verdana"/>
          <w:sz w:val="18"/>
          <w:szCs w:val="18"/>
        </w:rPr>
      </w:pPr>
      <w:r w:rsidRPr="00922DB4">
        <w:rPr>
          <w:rFonts w:ascii="Verdana" w:hAnsi="Verdana"/>
          <w:sz w:val="18"/>
          <w:szCs w:val="18"/>
        </w:rPr>
        <w:t xml:space="preserve">aceptación/rechazo </w:t>
      </w:r>
    </w:p>
    <w:p w14:paraId="059D91F6" w14:textId="77777777" w:rsidR="00922DB4" w:rsidRPr="00922DB4" w:rsidRDefault="00922DB4" w:rsidP="00AF62C3">
      <w:pPr>
        <w:numPr>
          <w:ilvl w:val="1"/>
          <w:numId w:val="109"/>
        </w:numPr>
        <w:tabs>
          <w:tab w:val="clear" w:pos="1440"/>
          <w:tab w:val="num" w:pos="993"/>
        </w:tabs>
        <w:spacing w:before="100" w:beforeAutospacing="1" w:after="100" w:afterAutospacing="1"/>
        <w:ind w:left="284" w:firstLine="425"/>
        <w:jc w:val="both"/>
        <w:rPr>
          <w:rFonts w:ascii="Verdana" w:hAnsi="Verdana"/>
          <w:sz w:val="18"/>
          <w:szCs w:val="18"/>
        </w:rPr>
      </w:pPr>
      <w:r w:rsidRPr="00922DB4">
        <w:rPr>
          <w:rFonts w:ascii="Verdana" w:hAnsi="Verdana"/>
          <w:sz w:val="18"/>
          <w:szCs w:val="18"/>
        </w:rPr>
        <w:t xml:space="preserve">pago efectivo y fecha </w:t>
      </w:r>
    </w:p>
    <w:p w14:paraId="08F52B6A" w14:textId="77777777" w:rsidR="00922DB4" w:rsidRPr="00922DB4" w:rsidRDefault="00922DB4" w:rsidP="00922DB4">
      <w:pPr>
        <w:spacing w:before="100" w:beforeAutospacing="1" w:after="100" w:afterAutospacing="1"/>
        <w:ind w:left="284"/>
        <w:jc w:val="both"/>
        <w:outlineLvl w:val="3"/>
        <w:rPr>
          <w:rFonts w:ascii="Verdana" w:hAnsi="Verdana"/>
          <w:b/>
          <w:bCs/>
          <w:sz w:val="18"/>
          <w:szCs w:val="18"/>
        </w:rPr>
      </w:pPr>
      <w:r w:rsidRPr="00922DB4">
        <w:rPr>
          <w:rFonts w:ascii="Verdana" w:hAnsi="Verdana"/>
          <w:b/>
          <w:bCs/>
          <w:sz w:val="18"/>
          <w:szCs w:val="18"/>
        </w:rPr>
        <w:lastRenderedPageBreak/>
        <w:t>b) Destinatarios</w:t>
      </w:r>
    </w:p>
    <w:p w14:paraId="408F38F4" w14:textId="77777777" w:rsidR="00922DB4" w:rsidRPr="00922DB4" w:rsidRDefault="00922DB4" w:rsidP="00922DB4">
      <w:pPr>
        <w:numPr>
          <w:ilvl w:val="0"/>
          <w:numId w:val="110"/>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Obligación reforzada de </w:t>
      </w:r>
      <w:r w:rsidRPr="00922DB4">
        <w:rPr>
          <w:rFonts w:ascii="Verdana" w:hAnsi="Verdana"/>
          <w:b/>
          <w:bCs/>
          <w:sz w:val="18"/>
          <w:szCs w:val="18"/>
        </w:rPr>
        <w:t>comunicación del pago efectivo</w:t>
      </w:r>
      <w:r w:rsidRPr="00922DB4">
        <w:rPr>
          <w:rFonts w:ascii="Verdana" w:hAnsi="Verdana"/>
          <w:sz w:val="18"/>
          <w:szCs w:val="18"/>
        </w:rPr>
        <w:t xml:space="preserve"> en un plazo máximo de 4 días. </w:t>
      </w:r>
    </w:p>
    <w:p w14:paraId="5188D25D" w14:textId="77777777" w:rsidR="00922DB4" w:rsidRPr="00922DB4" w:rsidRDefault="00922DB4" w:rsidP="00922DB4">
      <w:pPr>
        <w:spacing w:before="100" w:beforeAutospacing="1" w:after="100" w:afterAutospacing="1"/>
        <w:ind w:left="284"/>
        <w:jc w:val="both"/>
        <w:outlineLvl w:val="3"/>
        <w:rPr>
          <w:rFonts w:ascii="Verdana" w:hAnsi="Verdana"/>
          <w:b/>
          <w:bCs/>
          <w:sz w:val="18"/>
          <w:szCs w:val="18"/>
        </w:rPr>
      </w:pPr>
      <w:r w:rsidRPr="00922DB4">
        <w:rPr>
          <w:rFonts w:ascii="Verdana" w:hAnsi="Verdana"/>
          <w:b/>
          <w:bCs/>
          <w:sz w:val="18"/>
          <w:szCs w:val="18"/>
        </w:rPr>
        <w:t>c) Plataformas privadas</w:t>
      </w:r>
    </w:p>
    <w:p w14:paraId="08FB1EF1" w14:textId="77777777" w:rsidR="00922DB4" w:rsidRPr="00922DB4" w:rsidRDefault="00922DB4" w:rsidP="00922DB4">
      <w:pPr>
        <w:numPr>
          <w:ilvl w:val="0"/>
          <w:numId w:val="111"/>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Requisitos estrictos de: </w:t>
      </w:r>
    </w:p>
    <w:p w14:paraId="24DEBF45" w14:textId="77777777" w:rsidR="00922DB4" w:rsidRPr="00922DB4" w:rsidRDefault="00922DB4" w:rsidP="00F01444">
      <w:pPr>
        <w:numPr>
          <w:ilvl w:val="1"/>
          <w:numId w:val="111"/>
        </w:numPr>
        <w:tabs>
          <w:tab w:val="clear" w:pos="1440"/>
          <w:tab w:val="num" w:pos="1134"/>
        </w:tabs>
        <w:spacing w:before="100" w:beforeAutospacing="1" w:after="100" w:afterAutospacing="1"/>
        <w:ind w:left="284" w:firstLine="425"/>
        <w:jc w:val="both"/>
        <w:rPr>
          <w:rFonts w:ascii="Verdana" w:hAnsi="Verdana"/>
          <w:sz w:val="18"/>
          <w:szCs w:val="18"/>
        </w:rPr>
      </w:pPr>
      <w:r w:rsidRPr="00922DB4">
        <w:rPr>
          <w:rFonts w:ascii="Verdana" w:hAnsi="Verdana"/>
          <w:b/>
          <w:bCs/>
          <w:sz w:val="18"/>
          <w:szCs w:val="18"/>
        </w:rPr>
        <w:t>interoperabilidad técnica</w:t>
      </w:r>
      <w:r w:rsidRPr="00922DB4">
        <w:rPr>
          <w:rFonts w:ascii="Verdana" w:hAnsi="Verdana"/>
          <w:sz w:val="18"/>
          <w:szCs w:val="18"/>
        </w:rPr>
        <w:t xml:space="preserve"> </w:t>
      </w:r>
    </w:p>
    <w:p w14:paraId="105C8AFE" w14:textId="77777777" w:rsidR="00922DB4" w:rsidRPr="00922DB4" w:rsidRDefault="00922DB4" w:rsidP="00F01444">
      <w:pPr>
        <w:numPr>
          <w:ilvl w:val="1"/>
          <w:numId w:val="111"/>
        </w:numPr>
        <w:tabs>
          <w:tab w:val="clear" w:pos="1440"/>
          <w:tab w:val="num" w:pos="1134"/>
        </w:tabs>
        <w:spacing w:before="100" w:beforeAutospacing="1" w:after="100" w:afterAutospacing="1"/>
        <w:ind w:left="284" w:firstLine="425"/>
        <w:jc w:val="both"/>
        <w:rPr>
          <w:rFonts w:ascii="Verdana" w:hAnsi="Verdana"/>
          <w:sz w:val="18"/>
          <w:szCs w:val="18"/>
        </w:rPr>
      </w:pPr>
      <w:r w:rsidRPr="00922DB4">
        <w:rPr>
          <w:rFonts w:ascii="Verdana" w:hAnsi="Verdana"/>
          <w:b/>
          <w:bCs/>
          <w:sz w:val="18"/>
          <w:szCs w:val="18"/>
        </w:rPr>
        <w:t>interconexión obligatoria y gratuita</w:t>
      </w:r>
      <w:r w:rsidRPr="00922DB4">
        <w:rPr>
          <w:rFonts w:ascii="Verdana" w:hAnsi="Verdana"/>
          <w:sz w:val="18"/>
          <w:szCs w:val="18"/>
        </w:rPr>
        <w:t xml:space="preserve"> </w:t>
      </w:r>
    </w:p>
    <w:p w14:paraId="494CEC58" w14:textId="77777777" w:rsidR="00922DB4" w:rsidRPr="00922DB4" w:rsidRDefault="00922DB4" w:rsidP="00F01444">
      <w:pPr>
        <w:numPr>
          <w:ilvl w:val="1"/>
          <w:numId w:val="111"/>
        </w:numPr>
        <w:tabs>
          <w:tab w:val="clear" w:pos="1440"/>
          <w:tab w:val="num" w:pos="1134"/>
        </w:tabs>
        <w:spacing w:before="100" w:beforeAutospacing="1" w:after="100" w:afterAutospacing="1"/>
        <w:ind w:left="284" w:firstLine="425"/>
        <w:jc w:val="both"/>
        <w:rPr>
          <w:rFonts w:ascii="Verdana" w:hAnsi="Verdana"/>
          <w:sz w:val="18"/>
          <w:szCs w:val="18"/>
        </w:rPr>
      </w:pPr>
      <w:r w:rsidRPr="00922DB4">
        <w:rPr>
          <w:rFonts w:ascii="Verdana" w:hAnsi="Verdana"/>
          <w:b/>
          <w:bCs/>
          <w:sz w:val="18"/>
          <w:szCs w:val="18"/>
        </w:rPr>
        <w:t>seguridad (ISO 27001, protocolos AS2/AS4)</w:t>
      </w:r>
      <w:r w:rsidRPr="00922DB4">
        <w:rPr>
          <w:rFonts w:ascii="Verdana" w:hAnsi="Verdana"/>
          <w:sz w:val="18"/>
          <w:szCs w:val="18"/>
        </w:rPr>
        <w:t xml:space="preserve"> </w:t>
      </w:r>
    </w:p>
    <w:p w14:paraId="2713BD0B" w14:textId="77777777" w:rsidR="00922DB4" w:rsidRPr="00922DB4" w:rsidRDefault="00922DB4" w:rsidP="00922DB4">
      <w:pPr>
        <w:numPr>
          <w:ilvl w:val="0"/>
          <w:numId w:val="111"/>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Capacidad de transformación entre formatos (UBL, CII, EDIFACT, </w:t>
      </w:r>
      <w:proofErr w:type="spellStart"/>
      <w:r w:rsidRPr="00922DB4">
        <w:rPr>
          <w:rFonts w:ascii="Verdana" w:hAnsi="Verdana"/>
          <w:sz w:val="18"/>
          <w:szCs w:val="18"/>
        </w:rPr>
        <w:t>Facturae</w:t>
      </w:r>
      <w:proofErr w:type="spellEnd"/>
      <w:r w:rsidRPr="00922DB4">
        <w:rPr>
          <w:rFonts w:ascii="Verdana" w:hAnsi="Verdana"/>
          <w:sz w:val="18"/>
          <w:szCs w:val="18"/>
        </w:rPr>
        <w:t xml:space="preserve">) </w:t>
      </w:r>
    </w:p>
    <w:p w14:paraId="57A74A31" w14:textId="77777777" w:rsidR="00922DB4" w:rsidRPr="00922DB4" w:rsidRDefault="00922DB4" w:rsidP="00922DB4">
      <w:pPr>
        <w:spacing w:before="100" w:beforeAutospacing="1" w:after="100" w:afterAutospacing="1"/>
        <w:ind w:left="284"/>
        <w:jc w:val="both"/>
        <w:outlineLvl w:val="2"/>
        <w:rPr>
          <w:rFonts w:ascii="Verdana" w:hAnsi="Verdana"/>
          <w:b/>
          <w:bCs/>
          <w:color w:val="C0504D" w:themeColor="accent2"/>
          <w:sz w:val="18"/>
          <w:szCs w:val="18"/>
        </w:rPr>
      </w:pPr>
      <w:r w:rsidRPr="00922DB4">
        <w:rPr>
          <w:rFonts w:ascii="Verdana" w:hAnsi="Verdana"/>
          <w:b/>
          <w:bCs/>
          <w:color w:val="C0504D" w:themeColor="accent2"/>
          <w:sz w:val="18"/>
          <w:szCs w:val="18"/>
        </w:rPr>
        <w:t>4. Estandarización e interoperabilidad</w:t>
      </w:r>
    </w:p>
    <w:p w14:paraId="47D628EB" w14:textId="77777777" w:rsidR="00922DB4" w:rsidRPr="00922DB4" w:rsidRDefault="00922DB4" w:rsidP="00922DB4">
      <w:pPr>
        <w:spacing w:before="100" w:beforeAutospacing="1" w:after="100" w:afterAutospacing="1"/>
        <w:ind w:left="284"/>
        <w:contextualSpacing/>
        <w:jc w:val="both"/>
        <w:rPr>
          <w:rFonts w:ascii="Verdana" w:hAnsi="Verdana"/>
          <w:sz w:val="18"/>
          <w:szCs w:val="18"/>
        </w:rPr>
      </w:pPr>
      <w:r w:rsidRPr="00922DB4">
        <w:rPr>
          <w:rFonts w:ascii="Verdana" w:hAnsi="Verdana"/>
          <w:sz w:val="18"/>
          <w:szCs w:val="18"/>
        </w:rPr>
        <w:t>El sistema impone:</w:t>
      </w:r>
    </w:p>
    <w:p w14:paraId="7DECA785" w14:textId="77777777" w:rsidR="00922DB4" w:rsidRPr="00922DB4" w:rsidRDefault="00922DB4" w:rsidP="00922DB4">
      <w:pPr>
        <w:numPr>
          <w:ilvl w:val="0"/>
          <w:numId w:val="112"/>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 xml:space="preserve">Uso de </w:t>
      </w:r>
      <w:r w:rsidRPr="00922DB4">
        <w:rPr>
          <w:rFonts w:ascii="Verdana" w:hAnsi="Verdana"/>
          <w:b/>
          <w:bCs/>
          <w:sz w:val="18"/>
          <w:szCs w:val="18"/>
        </w:rPr>
        <w:t>formatos estructurados conforme a la norma europea EN16931</w:t>
      </w:r>
      <w:r w:rsidRPr="00922DB4">
        <w:rPr>
          <w:rFonts w:ascii="Verdana" w:hAnsi="Verdana"/>
          <w:sz w:val="18"/>
          <w:szCs w:val="18"/>
        </w:rPr>
        <w:t xml:space="preserve"> </w:t>
      </w:r>
    </w:p>
    <w:p w14:paraId="7AE38596" w14:textId="77777777" w:rsidR="00922DB4" w:rsidRPr="00922DB4" w:rsidRDefault="00922DB4" w:rsidP="00922DB4">
      <w:pPr>
        <w:numPr>
          <w:ilvl w:val="0"/>
          <w:numId w:val="112"/>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Predominio del formato </w:t>
      </w:r>
      <w:r w:rsidRPr="00922DB4">
        <w:rPr>
          <w:rFonts w:ascii="Verdana" w:hAnsi="Verdana"/>
          <w:b/>
          <w:bCs/>
          <w:sz w:val="18"/>
          <w:szCs w:val="18"/>
        </w:rPr>
        <w:t>UBL como estándar de referencia</w:t>
      </w:r>
      <w:r w:rsidRPr="00922DB4">
        <w:rPr>
          <w:rFonts w:ascii="Verdana" w:hAnsi="Verdana"/>
          <w:sz w:val="18"/>
          <w:szCs w:val="18"/>
        </w:rPr>
        <w:t xml:space="preserve"> </w:t>
      </w:r>
    </w:p>
    <w:p w14:paraId="0588B778" w14:textId="77777777" w:rsidR="00922DB4" w:rsidRPr="00922DB4" w:rsidRDefault="00922DB4" w:rsidP="00922DB4">
      <w:pPr>
        <w:numPr>
          <w:ilvl w:val="0"/>
          <w:numId w:val="112"/>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Obligación de </w:t>
      </w:r>
      <w:r w:rsidRPr="00922DB4">
        <w:rPr>
          <w:rFonts w:ascii="Verdana" w:hAnsi="Verdana"/>
          <w:b/>
          <w:bCs/>
          <w:sz w:val="18"/>
          <w:szCs w:val="18"/>
        </w:rPr>
        <w:t>firma electrónica avanzada</w:t>
      </w:r>
      <w:r w:rsidRPr="00922DB4">
        <w:rPr>
          <w:rFonts w:ascii="Verdana" w:hAnsi="Verdana"/>
          <w:sz w:val="18"/>
          <w:szCs w:val="18"/>
        </w:rPr>
        <w:t xml:space="preserve"> </w:t>
      </w:r>
    </w:p>
    <w:p w14:paraId="68F32054" w14:textId="77777777" w:rsidR="00922DB4" w:rsidRPr="00922DB4" w:rsidRDefault="00922DB4" w:rsidP="00922DB4">
      <w:pPr>
        <w:spacing w:before="100" w:beforeAutospacing="1" w:after="100" w:afterAutospacing="1"/>
        <w:ind w:left="284"/>
        <w:contextualSpacing/>
        <w:jc w:val="both"/>
        <w:rPr>
          <w:rFonts w:ascii="Verdana" w:hAnsi="Verdana"/>
          <w:sz w:val="18"/>
          <w:szCs w:val="18"/>
        </w:rPr>
      </w:pPr>
      <w:r w:rsidRPr="00922DB4">
        <w:rPr>
          <w:rFonts w:ascii="Verdana" w:hAnsi="Verdana"/>
          <w:sz w:val="18"/>
          <w:szCs w:val="18"/>
        </w:rPr>
        <w:t>Además, se garantiza la interoperabilidad mediante:</w:t>
      </w:r>
    </w:p>
    <w:p w14:paraId="522C1706" w14:textId="77777777" w:rsidR="00922DB4" w:rsidRPr="00922DB4" w:rsidRDefault="00922DB4" w:rsidP="00922DB4">
      <w:pPr>
        <w:numPr>
          <w:ilvl w:val="0"/>
          <w:numId w:val="113"/>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 xml:space="preserve">transformación obligatoria entre formatos </w:t>
      </w:r>
    </w:p>
    <w:p w14:paraId="007C193A" w14:textId="77777777" w:rsidR="00922DB4" w:rsidRPr="00922DB4" w:rsidRDefault="00922DB4" w:rsidP="00922DB4">
      <w:pPr>
        <w:numPr>
          <w:ilvl w:val="0"/>
          <w:numId w:val="113"/>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interconexión forzosa entre plataformas </w:t>
      </w:r>
    </w:p>
    <w:p w14:paraId="33E06398" w14:textId="77777777" w:rsidR="00922DB4" w:rsidRPr="00922DB4" w:rsidRDefault="00922DB4" w:rsidP="00922DB4">
      <w:pPr>
        <w:spacing w:before="100" w:beforeAutospacing="1" w:after="100" w:afterAutospacing="1"/>
        <w:ind w:left="284"/>
        <w:jc w:val="both"/>
        <w:rPr>
          <w:rFonts w:ascii="Verdana" w:hAnsi="Verdana"/>
          <w:sz w:val="18"/>
          <w:szCs w:val="18"/>
        </w:rPr>
      </w:pPr>
      <w:r w:rsidRPr="00922DB4">
        <w:rPr>
          <w:rFonts w:ascii="Verdana" w:hAnsi="Verdana"/>
          <w:sz w:val="18"/>
          <w:szCs w:val="18"/>
        </w:rPr>
        <w:t>Esto elimina barreras tecnológicas y evita efectos de “red cerrada”.</w:t>
      </w:r>
    </w:p>
    <w:p w14:paraId="7FAD3154" w14:textId="77777777" w:rsidR="00922DB4" w:rsidRPr="00922DB4" w:rsidRDefault="00922DB4" w:rsidP="00922DB4">
      <w:pPr>
        <w:spacing w:before="100" w:beforeAutospacing="1" w:after="100" w:afterAutospacing="1"/>
        <w:ind w:left="284"/>
        <w:jc w:val="both"/>
        <w:outlineLvl w:val="2"/>
        <w:rPr>
          <w:rFonts w:ascii="Verdana" w:hAnsi="Verdana"/>
          <w:b/>
          <w:bCs/>
          <w:color w:val="C0504D" w:themeColor="accent2"/>
          <w:sz w:val="18"/>
          <w:szCs w:val="18"/>
        </w:rPr>
      </w:pPr>
      <w:r w:rsidRPr="00922DB4">
        <w:rPr>
          <w:rFonts w:ascii="Verdana" w:hAnsi="Verdana"/>
          <w:b/>
          <w:bCs/>
          <w:color w:val="C0504D" w:themeColor="accent2"/>
          <w:sz w:val="18"/>
          <w:szCs w:val="18"/>
        </w:rPr>
        <w:t>5. Control de plazos de pago y morosidad</w:t>
      </w:r>
    </w:p>
    <w:p w14:paraId="324A6C09" w14:textId="77777777" w:rsidR="00922DB4" w:rsidRPr="00922DB4" w:rsidRDefault="00922DB4" w:rsidP="00922DB4">
      <w:pPr>
        <w:spacing w:before="100" w:beforeAutospacing="1" w:after="100" w:afterAutospacing="1"/>
        <w:ind w:left="284"/>
        <w:contextualSpacing/>
        <w:jc w:val="both"/>
        <w:rPr>
          <w:rFonts w:ascii="Verdana" w:hAnsi="Verdana"/>
          <w:sz w:val="18"/>
          <w:szCs w:val="18"/>
        </w:rPr>
      </w:pPr>
      <w:r w:rsidRPr="00922DB4">
        <w:rPr>
          <w:rFonts w:ascii="Verdana" w:hAnsi="Verdana"/>
          <w:sz w:val="18"/>
          <w:szCs w:val="18"/>
        </w:rPr>
        <w:t xml:space="preserve">Uno de los ejes centrales es la </w:t>
      </w:r>
      <w:r w:rsidRPr="00922DB4">
        <w:rPr>
          <w:rFonts w:ascii="Verdana" w:hAnsi="Verdana"/>
          <w:b/>
          <w:bCs/>
          <w:sz w:val="18"/>
          <w:szCs w:val="18"/>
        </w:rPr>
        <w:t>trazabilidad del ciclo de vida de la factura</w:t>
      </w:r>
      <w:r w:rsidRPr="00922DB4">
        <w:rPr>
          <w:rFonts w:ascii="Verdana" w:hAnsi="Verdana"/>
          <w:sz w:val="18"/>
          <w:szCs w:val="18"/>
        </w:rPr>
        <w:t>:</w:t>
      </w:r>
    </w:p>
    <w:p w14:paraId="6C1F6D4F" w14:textId="77777777" w:rsidR="00922DB4" w:rsidRPr="00922DB4" w:rsidRDefault="00922DB4" w:rsidP="00922DB4">
      <w:pPr>
        <w:numPr>
          <w:ilvl w:val="0"/>
          <w:numId w:val="114"/>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 xml:space="preserve">Registro de hitos: expedición, recepción, aceptación, pago </w:t>
      </w:r>
    </w:p>
    <w:p w14:paraId="0CB159F3" w14:textId="77777777" w:rsidR="00922DB4" w:rsidRPr="00922DB4" w:rsidRDefault="00922DB4" w:rsidP="00922DB4">
      <w:pPr>
        <w:numPr>
          <w:ilvl w:val="0"/>
          <w:numId w:val="114"/>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Comunicación obligatoria del pago efectivo </w:t>
      </w:r>
    </w:p>
    <w:p w14:paraId="0AD488A3" w14:textId="77777777" w:rsidR="00922DB4" w:rsidRPr="00922DB4" w:rsidRDefault="00922DB4" w:rsidP="00922DB4">
      <w:pPr>
        <w:spacing w:before="100" w:beforeAutospacing="1" w:after="100" w:afterAutospacing="1"/>
        <w:ind w:left="284"/>
        <w:contextualSpacing/>
        <w:jc w:val="both"/>
        <w:rPr>
          <w:rFonts w:ascii="Verdana" w:hAnsi="Verdana"/>
          <w:sz w:val="18"/>
          <w:szCs w:val="18"/>
        </w:rPr>
      </w:pPr>
      <w:r w:rsidRPr="00922DB4">
        <w:rPr>
          <w:rFonts w:ascii="Verdana" w:hAnsi="Verdana"/>
          <w:sz w:val="18"/>
          <w:szCs w:val="18"/>
        </w:rPr>
        <w:t>La información se centraliza en la solución pública, permitiendo:</w:t>
      </w:r>
    </w:p>
    <w:p w14:paraId="168A8206" w14:textId="77777777" w:rsidR="00922DB4" w:rsidRPr="00922DB4" w:rsidRDefault="00922DB4" w:rsidP="00922DB4">
      <w:pPr>
        <w:numPr>
          <w:ilvl w:val="0"/>
          <w:numId w:val="115"/>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 xml:space="preserve">cálculo automático de plazos medios de pago </w:t>
      </w:r>
    </w:p>
    <w:p w14:paraId="5AAAEB7B" w14:textId="77777777" w:rsidR="00922DB4" w:rsidRPr="00922DB4" w:rsidRDefault="00922DB4" w:rsidP="00922DB4">
      <w:pPr>
        <w:numPr>
          <w:ilvl w:val="0"/>
          <w:numId w:val="115"/>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 xml:space="preserve">elaboración de listados de incumplidores </w:t>
      </w:r>
    </w:p>
    <w:p w14:paraId="6A18BC93" w14:textId="77777777" w:rsidR="00922DB4" w:rsidRPr="00922DB4" w:rsidRDefault="00922DB4" w:rsidP="00922DB4">
      <w:pPr>
        <w:numPr>
          <w:ilvl w:val="0"/>
          <w:numId w:val="115"/>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apoyo al Observatorio Estatal de la Morosidad </w:t>
      </w:r>
    </w:p>
    <w:p w14:paraId="52074D03" w14:textId="77777777" w:rsidR="00922DB4" w:rsidRPr="00922DB4" w:rsidRDefault="00922DB4" w:rsidP="00922DB4">
      <w:pPr>
        <w:spacing w:before="100" w:beforeAutospacing="1" w:after="100" w:afterAutospacing="1"/>
        <w:ind w:left="284"/>
        <w:jc w:val="both"/>
        <w:rPr>
          <w:rFonts w:ascii="Verdana" w:hAnsi="Verdana"/>
          <w:sz w:val="18"/>
          <w:szCs w:val="18"/>
        </w:rPr>
      </w:pPr>
      <w:r w:rsidRPr="00922DB4">
        <w:rPr>
          <w:rFonts w:ascii="Verdana" w:hAnsi="Verdana"/>
          <w:sz w:val="18"/>
          <w:szCs w:val="18"/>
        </w:rPr>
        <w:t xml:space="preserve">Esto transforma la factura electrónica en un </w:t>
      </w:r>
      <w:r w:rsidRPr="00922DB4">
        <w:rPr>
          <w:rFonts w:ascii="Verdana" w:hAnsi="Verdana"/>
          <w:b/>
          <w:bCs/>
          <w:sz w:val="18"/>
          <w:szCs w:val="18"/>
        </w:rPr>
        <w:t>instrumento de política económica y fiscal</w:t>
      </w:r>
      <w:r w:rsidRPr="00922DB4">
        <w:rPr>
          <w:rFonts w:ascii="Verdana" w:hAnsi="Verdana"/>
          <w:sz w:val="18"/>
          <w:szCs w:val="18"/>
        </w:rPr>
        <w:t>, no solo documental.</w:t>
      </w:r>
    </w:p>
    <w:p w14:paraId="25BF3A32" w14:textId="77777777" w:rsidR="00922DB4" w:rsidRPr="00922DB4" w:rsidRDefault="00922DB4" w:rsidP="00922DB4">
      <w:pPr>
        <w:spacing w:before="100" w:beforeAutospacing="1" w:after="100" w:afterAutospacing="1"/>
        <w:ind w:left="284"/>
        <w:jc w:val="both"/>
        <w:outlineLvl w:val="2"/>
        <w:rPr>
          <w:rFonts w:ascii="Verdana" w:hAnsi="Verdana"/>
          <w:b/>
          <w:bCs/>
          <w:color w:val="C0504D" w:themeColor="accent2"/>
          <w:sz w:val="18"/>
          <w:szCs w:val="18"/>
        </w:rPr>
      </w:pPr>
      <w:r w:rsidRPr="00922DB4">
        <w:rPr>
          <w:rFonts w:ascii="Verdana" w:hAnsi="Verdana"/>
          <w:b/>
          <w:bCs/>
          <w:color w:val="C0504D" w:themeColor="accent2"/>
          <w:sz w:val="18"/>
          <w:szCs w:val="18"/>
        </w:rPr>
        <w:t>6. Régimen de aplicación temporal</w:t>
      </w:r>
    </w:p>
    <w:p w14:paraId="342863DC" w14:textId="77777777" w:rsidR="00922DB4" w:rsidRPr="00922DB4" w:rsidRDefault="00922DB4" w:rsidP="00922DB4">
      <w:pPr>
        <w:spacing w:before="100" w:beforeAutospacing="1" w:after="100" w:afterAutospacing="1"/>
        <w:ind w:left="284"/>
        <w:contextualSpacing/>
        <w:jc w:val="both"/>
        <w:rPr>
          <w:rFonts w:ascii="Verdana" w:hAnsi="Verdana"/>
          <w:sz w:val="18"/>
          <w:szCs w:val="18"/>
        </w:rPr>
      </w:pPr>
      <w:r w:rsidRPr="00922DB4">
        <w:rPr>
          <w:rFonts w:ascii="Verdana" w:hAnsi="Verdana"/>
          <w:b/>
          <w:bCs/>
          <w:sz w:val="18"/>
          <w:szCs w:val="18"/>
        </w:rPr>
        <w:t>La entrada en vigor efectiva se articula de forma escalonada</w:t>
      </w:r>
      <w:r w:rsidRPr="00922DB4">
        <w:rPr>
          <w:rFonts w:ascii="Verdana" w:hAnsi="Verdana"/>
          <w:sz w:val="18"/>
          <w:szCs w:val="18"/>
        </w:rPr>
        <w:t>:</w:t>
      </w:r>
    </w:p>
    <w:p w14:paraId="0C8BC4A5" w14:textId="77777777" w:rsidR="00922DB4" w:rsidRPr="00922DB4" w:rsidRDefault="00922DB4" w:rsidP="00922DB4">
      <w:pPr>
        <w:numPr>
          <w:ilvl w:val="0"/>
          <w:numId w:val="116"/>
        </w:numPr>
        <w:spacing w:before="100" w:beforeAutospacing="1" w:after="100" w:afterAutospacing="1"/>
        <w:ind w:left="284" w:firstLine="0"/>
        <w:contextualSpacing/>
        <w:jc w:val="both"/>
        <w:rPr>
          <w:rFonts w:ascii="Verdana" w:hAnsi="Verdana"/>
          <w:sz w:val="18"/>
          <w:szCs w:val="18"/>
        </w:rPr>
      </w:pPr>
      <w:r w:rsidRPr="00922DB4">
        <w:rPr>
          <w:rFonts w:ascii="Verdana" w:hAnsi="Verdana"/>
          <w:b/>
          <w:bCs/>
          <w:sz w:val="18"/>
          <w:szCs w:val="18"/>
        </w:rPr>
        <w:t>12 meses</w:t>
      </w:r>
      <w:r w:rsidRPr="00922DB4">
        <w:rPr>
          <w:rFonts w:ascii="Verdana" w:hAnsi="Verdana"/>
          <w:sz w:val="18"/>
          <w:szCs w:val="18"/>
        </w:rPr>
        <w:t xml:space="preserve">: empresas con volumen de operaciones &gt; 8 millones € </w:t>
      </w:r>
    </w:p>
    <w:p w14:paraId="6903999F" w14:textId="77777777" w:rsidR="00922DB4" w:rsidRPr="00922DB4" w:rsidRDefault="00922DB4" w:rsidP="00922DB4">
      <w:pPr>
        <w:numPr>
          <w:ilvl w:val="0"/>
          <w:numId w:val="116"/>
        </w:numPr>
        <w:spacing w:before="100" w:beforeAutospacing="1" w:after="100" w:afterAutospacing="1"/>
        <w:ind w:left="284" w:firstLine="0"/>
        <w:jc w:val="both"/>
        <w:rPr>
          <w:rFonts w:ascii="Verdana" w:hAnsi="Verdana"/>
          <w:sz w:val="18"/>
          <w:szCs w:val="18"/>
        </w:rPr>
      </w:pPr>
      <w:r w:rsidRPr="00922DB4">
        <w:rPr>
          <w:rFonts w:ascii="Verdana" w:hAnsi="Verdana"/>
          <w:b/>
          <w:bCs/>
          <w:sz w:val="18"/>
          <w:szCs w:val="18"/>
        </w:rPr>
        <w:t>24 meses</w:t>
      </w:r>
      <w:r w:rsidRPr="00922DB4">
        <w:rPr>
          <w:rFonts w:ascii="Verdana" w:hAnsi="Verdana"/>
          <w:sz w:val="18"/>
          <w:szCs w:val="18"/>
        </w:rPr>
        <w:t xml:space="preserve">: resto de empresarios y profesionales </w:t>
      </w:r>
    </w:p>
    <w:p w14:paraId="4A2964FE" w14:textId="77777777" w:rsidR="00922DB4" w:rsidRPr="00922DB4" w:rsidRDefault="00922DB4" w:rsidP="00922DB4">
      <w:pPr>
        <w:spacing w:before="100" w:beforeAutospacing="1" w:after="100" w:afterAutospacing="1"/>
        <w:ind w:left="284"/>
        <w:jc w:val="both"/>
        <w:rPr>
          <w:rFonts w:ascii="Verdana" w:hAnsi="Verdana"/>
          <w:sz w:val="18"/>
          <w:szCs w:val="18"/>
        </w:rPr>
      </w:pPr>
      <w:r w:rsidRPr="00922DB4">
        <w:rPr>
          <w:rFonts w:ascii="Verdana" w:hAnsi="Verdana"/>
          <w:sz w:val="18"/>
          <w:szCs w:val="18"/>
        </w:rPr>
        <w:t xml:space="preserve">El inicio </w:t>
      </w:r>
      <w:r w:rsidRPr="0023770A">
        <w:rPr>
          <w:rFonts w:ascii="Verdana" w:hAnsi="Verdana"/>
          <w:b/>
          <w:bCs/>
          <w:sz w:val="18"/>
          <w:szCs w:val="18"/>
        </w:rPr>
        <w:t>se vincula a la aprobación de la orden ministerial</w:t>
      </w:r>
      <w:r w:rsidRPr="00922DB4">
        <w:rPr>
          <w:rFonts w:ascii="Verdana" w:hAnsi="Verdana"/>
          <w:sz w:val="18"/>
          <w:szCs w:val="18"/>
        </w:rPr>
        <w:t xml:space="preserve"> que desarrolle la solución pública. </w:t>
      </w:r>
    </w:p>
    <w:p w14:paraId="718B6599" w14:textId="77777777" w:rsidR="00922DB4" w:rsidRPr="00922DB4" w:rsidRDefault="00922DB4" w:rsidP="00922DB4">
      <w:pPr>
        <w:spacing w:before="100" w:beforeAutospacing="1" w:after="100" w:afterAutospacing="1"/>
        <w:ind w:left="284"/>
        <w:jc w:val="both"/>
        <w:outlineLvl w:val="2"/>
        <w:rPr>
          <w:rFonts w:ascii="Verdana" w:hAnsi="Verdana"/>
          <w:b/>
          <w:bCs/>
          <w:color w:val="C0504D" w:themeColor="accent2"/>
          <w:sz w:val="18"/>
          <w:szCs w:val="18"/>
        </w:rPr>
      </w:pPr>
      <w:r w:rsidRPr="00922DB4">
        <w:rPr>
          <w:rFonts w:ascii="Verdana" w:hAnsi="Verdana"/>
          <w:b/>
          <w:bCs/>
          <w:color w:val="C0504D" w:themeColor="accent2"/>
          <w:sz w:val="18"/>
          <w:szCs w:val="18"/>
        </w:rPr>
        <w:t>7. Excepciones y especialidades</w:t>
      </w:r>
    </w:p>
    <w:p w14:paraId="0BC5A5AE" w14:textId="77777777" w:rsidR="00922DB4" w:rsidRPr="00922DB4" w:rsidRDefault="00922DB4" w:rsidP="00922DB4">
      <w:pPr>
        <w:spacing w:before="100" w:beforeAutospacing="1" w:after="100" w:afterAutospacing="1"/>
        <w:ind w:left="284"/>
        <w:contextualSpacing/>
        <w:jc w:val="both"/>
        <w:rPr>
          <w:rFonts w:ascii="Verdana" w:hAnsi="Verdana"/>
          <w:sz w:val="18"/>
          <w:szCs w:val="18"/>
        </w:rPr>
      </w:pPr>
      <w:r w:rsidRPr="00922DB4">
        <w:rPr>
          <w:rFonts w:ascii="Verdana" w:hAnsi="Verdana"/>
          <w:sz w:val="18"/>
          <w:szCs w:val="18"/>
        </w:rPr>
        <w:t>Quedan excluidas, entre otras:</w:t>
      </w:r>
    </w:p>
    <w:p w14:paraId="3871CADE" w14:textId="77777777" w:rsidR="00922DB4" w:rsidRPr="00922DB4" w:rsidRDefault="00922DB4" w:rsidP="00922DB4">
      <w:pPr>
        <w:numPr>
          <w:ilvl w:val="0"/>
          <w:numId w:val="117"/>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 xml:space="preserve">Facturas simplificadas </w:t>
      </w:r>
    </w:p>
    <w:p w14:paraId="00808B82" w14:textId="77777777" w:rsidR="00922DB4" w:rsidRPr="00922DB4" w:rsidRDefault="00922DB4" w:rsidP="00A05BE7">
      <w:pPr>
        <w:numPr>
          <w:ilvl w:val="0"/>
          <w:numId w:val="117"/>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 xml:space="preserve">Determinados sectores regulados (energía, gas, IATA) </w:t>
      </w:r>
    </w:p>
    <w:p w14:paraId="0071C4D4" w14:textId="77777777" w:rsidR="00AE3130" w:rsidRDefault="00AE3130" w:rsidP="00922DB4">
      <w:pPr>
        <w:spacing w:before="100" w:beforeAutospacing="1" w:after="100" w:afterAutospacing="1"/>
        <w:ind w:left="284"/>
        <w:jc w:val="both"/>
        <w:rPr>
          <w:rFonts w:ascii="Verdana" w:hAnsi="Verdana"/>
          <w:sz w:val="18"/>
          <w:szCs w:val="18"/>
        </w:rPr>
      </w:pPr>
    </w:p>
    <w:p w14:paraId="5E749A12" w14:textId="0C99B998" w:rsidR="00922DB4" w:rsidRPr="00922DB4" w:rsidRDefault="00922DB4" w:rsidP="00922DB4">
      <w:pPr>
        <w:spacing w:before="100" w:beforeAutospacing="1" w:after="100" w:afterAutospacing="1"/>
        <w:ind w:left="284"/>
        <w:contextualSpacing/>
        <w:jc w:val="both"/>
        <w:rPr>
          <w:rFonts w:ascii="Verdana" w:hAnsi="Verdana"/>
          <w:sz w:val="18"/>
          <w:szCs w:val="18"/>
        </w:rPr>
      </w:pPr>
      <w:r w:rsidRPr="00922DB4">
        <w:rPr>
          <w:rFonts w:ascii="Verdana" w:hAnsi="Verdana"/>
          <w:sz w:val="18"/>
          <w:szCs w:val="18"/>
        </w:rPr>
        <w:t>Se prevén también especialidades en:</w:t>
      </w:r>
    </w:p>
    <w:p w14:paraId="3A4785F3" w14:textId="77777777" w:rsidR="00922DB4" w:rsidRPr="00922DB4" w:rsidRDefault="00922DB4" w:rsidP="00922DB4">
      <w:pPr>
        <w:numPr>
          <w:ilvl w:val="0"/>
          <w:numId w:val="118"/>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 xml:space="preserve">contratos de obra (retenciones) </w:t>
      </w:r>
    </w:p>
    <w:p w14:paraId="64EA7F4F" w14:textId="77777777" w:rsidR="00922DB4" w:rsidRPr="00922DB4" w:rsidRDefault="00922DB4" w:rsidP="00922DB4">
      <w:pPr>
        <w:numPr>
          <w:ilvl w:val="0"/>
          <w:numId w:val="118"/>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 xml:space="preserve">territorios forales </w:t>
      </w:r>
    </w:p>
    <w:p w14:paraId="49855992" w14:textId="77777777" w:rsidR="00AE3130" w:rsidRDefault="00922DB4" w:rsidP="00922DB4">
      <w:pPr>
        <w:numPr>
          <w:ilvl w:val="0"/>
          <w:numId w:val="118"/>
        </w:numPr>
        <w:spacing w:before="100" w:beforeAutospacing="1" w:after="100" w:afterAutospacing="1"/>
        <w:ind w:left="284" w:firstLine="0"/>
        <w:contextualSpacing/>
        <w:jc w:val="both"/>
        <w:rPr>
          <w:rFonts w:ascii="Verdana" w:hAnsi="Verdana"/>
          <w:sz w:val="18"/>
          <w:szCs w:val="18"/>
        </w:rPr>
      </w:pPr>
      <w:r w:rsidRPr="00922DB4">
        <w:rPr>
          <w:rFonts w:ascii="Verdana" w:hAnsi="Verdana"/>
          <w:sz w:val="18"/>
          <w:szCs w:val="18"/>
        </w:rPr>
        <w:t>sistemas preexistentes (FACeB2B, con régimen transitorio)</w:t>
      </w:r>
      <w:r w:rsidR="00AE3130">
        <w:rPr>
          <w:rFonts w:ascii="Verdana" w:hAnsi="Verdana"/>
          <w:sz w:val="18"/>
          <w:szCs w:val="18"/>
        </w:rPr>
        <w:t>.</w:t>
      </w:r>
    </w:p>
    <w:p w14:paraId="1322F735" w14:textId="33E18C79" w:rsidR="00922DB4" w:rsidRPr="00922DB4" w:rsidRDefault="00922DB4" w:rsidP="00E46303">
      <w:pPr>
        <w:spacing w:before="100" w:beforeAutospacing="1" w:after="100" w:afterAutospacing="1"/>
        <w:ind w:left="284"/>
        <w:contextualSpacing/>
        <w:jc w:val="both"/>
        <w:rPr>
          <w:rFonts w:ascii="Verdana" w:hAnsi="Verdana"/>
          <w:sz w:val="18"/>
          <w:szCs w:val="18"/>
        </w:rPr>
      </w:pPr>
    </w:p>
    <w:p w14:paraId="233C6A2F" w14:textId="77777777" w:rsidR="00922DB4" w:rsidRPr="00922DB4" w:rsidRDefault="00922DB4" w:rsidP="00922DB4">
      <w:pPr>
        <w:spacing w:before="100" w:beforeAutospacing="1" w:after="100" w:afterAutospacing="1"/>
        <w:ind w:left="284"/>
        <w:jc w:val="both"/>
        <w:outlineLvl w:val="2"/>
        <w:rPr>
          <w:rFonts w:ascii="Verdana" w:hAnsi="Verdana"/>
          <w:b/>
          <w:bCs/>
          <w:color w:val="C0504D" w:themeColor="accent2"/>
          <w:sz w:val="18"/>
          <w:szCs w:val="18"/>
        </w:rPr>
      </w:pPr>
      <w:r w:rsidRPr="00922DB4">
        <w:rPr>
          <w:rFonts w:ascii="Verdana" w:hAnsi="Verdana"/>
          <w:b/>
          <w:bCs/>
          <w:color w:val="C0504D" w:themeColor="accent2"/>
          <w:sz w:val="18"/>
          <w:szCs w:val="18"/>
        </w:rPr>
        <w:t>8. Valoración técnico-tributaria</w:t>
      </w:r>
    </w:p>
    <w:p w14:paraId="5FC24DD0" w14:textId="77777777" w:rsidR="00922DB4" w:rsidRPr="00922DB4" w:rsidRDefault="00922DB4" w:rsidP="00922DB4">
      <w:pPr>
        <w:spacing w:before="100" w:beforeAutospacing="1" w:after="100" w:afterAutospacing="1"/>
        <w:ind w:left="284"/>
        <w:contextualSpacing/>
        <w:jc w:val="both"/>
        <w:rPr>
          <w:rFonts w:ascii="Verdana" w:hAnsi="Verdana"/>
          <w:sz w:val="18"/>
          <w:szCs w:val="18"/>
        </w:rPr>
      </w:pPr>
      <w:r w:rsidRPr="00922DB4">
        <w:rPr>
          <w:rFonts w:ascii="Verdana" w:hAnsi="Verdana"/>
          <w:sz w:val="18"/>
          <w:szCs w:val="18"/>
        </w:rPr>
        <w:t>Desde una perspectiva fiscal, el real decreto:</w:t>
      </w:r>
    </w:p>
    <w:p w14:paraId="3C2FFC01" w14:textId="77777777" w:rsidR="00922DB4" w:rsidRPr="00922DB4" w:rsidRDefault="00922DB4" w:rsidP="00AE3130">
      <w:pPr>
        <w:numPr>
          <w:ilvl w:val="0"/>
          <w:numId w:val="119"/>
        </w:numPr>
        <w:spacing w:before="100" w:beforeAutospacing="1" w:after="100" w:afterAutospacing="1"/>
        <w:ind w:left="709" w:hanging="425"/>
        <w:contextualSpacing/>
        <w:jc w:val="both"/>
        <w:rPr>
          <w:rFonts w:ascii="Verdana" w:hAnsi="Verdana"/>
          <w:sz w:val="18"/>
          <w:szCs w:val="18"/>
        </w:rPr>
      </w:pPr>
      <w:r w:rsidRPr="00922DB4">
        <w:rPr>
          <w:rFonts w:ascii="Verdana" w:hAnsi="Verdana"/>
          <w:sz w:val="18"/>
          <w:szCs w:val="18"/>
        </w:rPr>
        <w:t xml:space="preserve">Refuerza la </w:t>
      </w:r>
      <w:r w:rsidRPr="00922DB4">
        <w:rPr>
          <w:rFonts w:ascii="Verdana" w:hAnsi="Verdana"/>
          <w:b/>
          <w:bCs/>
          <w:sz w:val="18"/>
          <w:szCs w:val="18"/>
        </w:rPr>
        <w:t>capacidad de control de la Administración tributaria</w:t>
      </w:r>
      <w:r w:rsidRPr="00922DB4">
        <w:rPr>
          <w:rFonts w:ascii="Verdana" w:hAnsi="Verdana"/>
          <w:sz w:val="18"/>
          <w:szCs w:val="18"/>
        </w:rPr>
        <w:t xml:space="preserve">, mediante acceso masivo y estructurado a datos de facturación. </w:t>
      </w:r>
    </w:p>
    <w:p w14:paraId="17E38B3B" w14:textId="77777777" w:rsidR="00922DB4" w:rsidRPr="00922DB4" w:rsidRDefault="00922DB4" w:rsidP="008928BB">
      <w:pPr>
        <w:numPr>
          <w:ilvl w:val="0"/>
          <w:numId w:val="119"/>
        </w:numPr>
        <w:spacing w:before="100" w:beforeAutospacing="1" w:after="100" w:afterAutospacing="1"/>
        <w:ind w:left="709" w:hanging="425"/>
        <w:jc w:val="both"/>
        <w:rPr>
          <w:rFonts w:ascii="Verdana" w:hAnsi="Verdana"/>
          <w:sz w:val="18"/>
          <w:szCs w:val="18"/>
        </w:rPr>
      </w:pPr>
      <w:r w:rsidRPr="00922DB4">
        <w:rPr>
          <w:rFonts w:ascii="Verdana" w:hAnsi="Verdana"/>
          <w:sz w:val="18"/>
          <w:szCs w:val="18"/>
        </w:rPr>
        <w:t xml:space="preserve">Anticipa un modelo cercano al </w:t>
      </w:r>
      <w:r w:rsidRPr="00922DB4">
        <w:rPr>
          <w:rFonts w:ascii="Verdana" w:hAnsi="Verdana"/>
          <w:b/>
          <w:bCs/>
          <w:sz w:val="18"/>
          <w:szCs w:val="18"/>
        </w:rPr>
        <w:t>“IVA en tiempo casi real”</w:t>
      </w:r>
      <w:r w:rsidRPr="00922DB4">
        <w:rPr>
          <w:rFonts w:ascii="Verdana" w:hAnsi="Verdana"/>
          <w:sz w:val="18"/>
          <w:szCs w:val="18"/>
        </w:rPr>
        <w:t xml:space="preserve">, alineado con tendencias europeas (VAT in </w:t>
      </w:r>
      <w:proofErr w:type="spellStart"/>
      <w:r w:rsidRPr="00922DB4">
        <w:rPr>
          <w:rFonts w:ascii="Verdana" w:hAnsi="Verdana"/>
          <w:sz w:val="18"/>
          <w:szCs w:val="18"/>
        </w:rPr>
        <w:t>the</w:t>
      </w:r>
      <w:proofErr w:type="spellEnd"/>
      <w:r w:rsidRPr="00922DB4">
        <w:rPr>
          <w:rFonts w:ascii="Verdana" w:hAnsi="Verdana"/>
          <w:sz w:val="18"/>
          <w:szCs w:val="18"/>
        </w:rPr>
        <w:t xml:space="preserve"> Digital Age). </w:t>
      </w:r>
    </w:p>
    <w:p w14:paraId="0F611A3F" w14:textId="77777777" w:rsidR="00922DB4" w:rsidRPr="00922DB4" w:rsidRDefault="00922DB4" w:rsidP="008928BB">
      <w:pPr>
        <w:numPr>
          <w:ilvl w:val="0"/>
          <w:numId w:val="119"/>
        </w:numPr>
        <w:spacing w:before="100" w:beforeAutospacing="1" w:after="100" w:afterAutospacing="1"/>
        <w:ind w:left="709" w:hanging="425"/>
        <w:jc w:val="both"/>
        <w:rPr>
          <w:rFonts w:ascii="Verdana" w:hAnsi="Verdana"/>
          <w:sz w:val="18"/>
          <w:szCs w:val="18"/>
        </w:rPr>
      </w:pPr>
      <w:r w:rsidRPr="00922DB4">
        <w:rPr>
          <w:rFonts w:ascii="Verdana" w:hAnsi="Verdana"/>
          <w:sz w:val="18"/>
          <w:szCs w:val="18"/>
        </w:rPr>
        <w:t xml:space="preserve">Reduce la </w:t>
      </w:r>
      <w:r w:rsidRPr="00922DB4">
        <w:rPr>
          <w:rFonts w:ascii="Verdana" w:hAnsi="Verdana"/>
          <w:b/>
          <w:bCs/>
          <w:sz w:val="18"/>
          <w:szCs w:val="18"/>
        </w:rPr>
        <w:t>asimetría informativa en relaciones comerciales</w:t>
      </w:r>
      <w:r w:rsidRPr="00922DB4">
        <w:rPr>
          <w:rFonts w:ascii="Verdana" w:hAnsi="Verdana"/>
          <w:sz w:val="18"/>
          <w:szCs w:val="18"/>
        </w:rPr>
        <w:t xml:space="preserve">, incidiendo directamente en la morosidad. </w:t>
      </w:r>
    </w:p>
    <w:p w14:paraId="1B38A520" w14:textId="77777777" w:rsidR="00922DB4" w:rsidRPr="00922DB4" w:rsidRDefault="00922DB4" w:rsidP="00922DB4">
      <w:pPr>
        <w:numPr>
          <w:ilvl w:val="0"/>
          <w:numId w:val="119"/>
        </w:numPr>
        <w:spacing w:before="100" w:beforeAutospacing="1" w:after="100" w:afterAutospacing="1"/>
        <w:ind w:left="284" w:firstLine="0"/>
        <w:jc w:val="both"/>
        <w:rPr>
          <w:rFonts w:ascii="Verdana" w:hAnsi="Verdana"/>
          <w:sz w:val="18"/>
          <w:szCs w:val="18"/>
        </w:rPr>
      </w:pPr>
      <w:r w:rsidRPr="00922DB4">
        <w:rPr>
          <w:rFonts w:ascii="Verdana" w:hAnsi="Verdana"/>
          <w:sz w:val="18"/>
          <w:szCs w:val="18"/>
        </w:rPr>
        <w:t xml:space="preserve">Supone un incremento inicial de cargas formales, compensado por: </w:t>
      </w:r>
    </w:p>
    <w:p w14:paraId="672385FA" w14:textId="77777777" w:rsidR="00922DB4" w:rsidRPr="00922DB4" w:rsidRDefault="00922DB4" w:rsidP="00AF62C3">
      <w:pPr>
        <w:numPr>
          <w:ilvl w:val="1"/>
          <w:numId w:val="119"/>
        </w:numPr>
        <w:tabs>
          <w:tab w:val="clear" w:pos="1440"/>
          <w:tab w:val="num" w:pos="1134"/>
        </w:tabs>
        <w:spacing w:before="100" w:beforeAutospacing="1" w:after="100" w:afterAutospacing="1"/>
        <w:ind w:left="284" w:firstLine="425"/>
        <w:jc w:val="both"/>
        <w:rPr>
          <w:rFonts w:ascii="Verdana" w:hAnsi="Verdana"/>
          <w:sz w:val="18"/>
          <w:szCs w:val="18"/>
        </w:rPr>
      </w:pPr>
      <w:r w:rsidRPr="00922DB4">
        <w:rPr>
          <w:rFonts w:ascii="Verdana" w:hAnsi="Verdana"/>
          <w:sz w:val="18"/>
          <w:szCs w:val="18"/>
        </w:rPr>
        <w:t xml:space="preserve">automatización </w:t>
      </w:r>
    </w:p>
    <w:p w14:paraId="58D7C15A" w14:textId="77777777" w:rsidR="00922DB4" w:rsidRPr="00922DB4" w:rsidRDefault="00922DB4" w:rsidP="00AF62C3">
      <w:pPr>
        <w:numPr>
          <w:ilvl w:val="1"/>
          <w:numId w:val="119"/>
        </w:numPr>
        <w:tabs>
          <w:tab w:val="clear" w:pos="1440"/>
          <w:tab w:val="num" w:pos="1134"/>
        </w:tabs>
        <w:spacing w:before="100" w:beforeAutospacing="1" w:after="100" w:afterAutospacing="1"/>
        <w:ind w:left="284" w:firstLine="425"/>
        <w:jc w:val="both"/>
        <w:rPr>
          <w:rFonts w:ascii="Verdana" w:hAnsi="Verdana"/>
          <w:sz w:val="18"/>
          <w:szCs w:val="18"/>
        </w:rPr>
      </w:pPr>
      <w:r w:rsidRPr="00922DB4">
        <w:rPr>
          <w:rFonts w:ascii="Verdana" w:hAnsi="Verdana"/>
          <w:sz w:val="18"/>
          <w:szCs w:val="18"/>
        </w:rPr>
        <w:t xml:space="preserve">reducción de costes administrativos </w:t>
      </w:r>
    </w:p>
    <w:p w14:paraId="68218B5C" w14:textId="77777777" w:rsidR="00922DB4" w:rsidRPr="00922DB4" w:rsidRDefault="00922DB4" w:rsidP="00AF62C3">
      <w:pPr>
        <w:numPr>
          <w:ilvl w:val="1"/>
          <w:numId w:val="119"/>
        </w:numPr>
        <w:tabs>
          <w:tab w:val="clear" w:pos="1440"/>
          <w:tab w:val="num" w:pos="1134"/>
        </w:tabs>
        <w:spacing w:before="100" w:beforeAutospacing="1" w:after="100" w:afterAutospacing="1"/>
        <w:ind w:left="284" w:firstLine="425"/>
        <w:jc w:val="both"/>
        <w:rPr>
          <w:rFonts w:ascii="Verdana" w:hAnsi="Verdana"/>
          <w:sz w:val="18"/>
          <w:szCs w:val="18"/>
        </w:rPr>
      </w:pPr>
      <w:r w:rsidRPr="00922DB4">
        <w:rPr>
          <w:rFonts w:ascii="Verdana" w:hAnsi="Verdana"/>
          <w:sz w:val="18"/>
          <w:szCs w:val="18"/>
        </w:rPr>
        <w:t xml:space="preserve">mejora en gestión de cobros </w:t>
      </w:r>
    </w:p>
    <w:p w14:paraId="2612F1AC" w14:textId="77777777" w:rsidR="00922DB4" w:rsidRPr="00922DB4" w:rsidRDefault="00922DB4" w:rsidP="00922DB4">
      <w:pPr>
        <w:spacing w:before="100" w:beforeAutospacing="1" w:after="100" w:afterAutospacing="1"/>
        <w:ind w:left="284"/>
        <w:jc w:val="both"/>
        <w:outlineLvl w:val="1"/>
        <w:rPr>
          <w:rFonts w:ascii="Verdana" w:hAnsi="Verdana"/>
          <w:b/>
          <w:bCs/>
          <w:color w:val="C0504D" w:themeColor="accent2"/>
          <w:sz w:val="18"/>
          <w:szCs w:val="18"/>
        </w:rPr>
      </w:pPr>
      <w:r w:rsidRPr="00922DB4">
        <w:rPr>
          <w:rFonts w:ascii="Verdana" w:hAnsi="Verdana"/>
          <w:b/>
          <w:bCs/>
          <w:color w:val="C0504D" w:themeColor="accent2"/>
          <w:sz w:val="18"/>
          <w:szCs w:val="18"/>
        </w:rPr>
        <w:t>Conclusión</w:t>
      </w:r>
    </w:p>
    <w:p w14:paraId="3FCE25C2" w14:textId="77777777" w:rsidR="00922DB4" w:rsidRPr="00922DB4" w:rsidRDefault="00922DB4" w:rsidP="00922DB4">
      <w:pPr>
        <w:spacing w:before="100" w:beforeAutospacing="1" w:after="100" w:afterAutospacing="1"/>
        <w:ind w:left="284"/>
        <w:jc w:val="both"/>
        <w:rPr>
          <w:rFonts w:ascii="Verdana" w:hAnsi="Verdana"/>
          <w:sz w:val="18"/>
          <w:szCs w:val="18"/>
        </w:rPr>
      </w:pPr>
      <w:r w:rsidRPr="00922DB4">
        <w:rPr>
          <w:rFonts w:ascii="Verdana" w:hAnsi="Verdana"/>
          <w:sz w:val="18"/>
          <w:szCs w:val="18"/>
        </w:rPr>
        <w:t xml:space="preserve">El RD 238/2026 configura un </w:t>
      </w:r>
      <w:r w:rsidRPr="00922DB4">
        <w:rPr>
          <w:rFonts w:ascii="Verdana" w:hAnsi="Verdana"/>
          <w:b/>
          <w:bCs/>
          <w:sz w:val="18"/>
          <w:szCs w:val="18"/>
        </w:rPr>
        <w:t>nuevo paradigma en la facturación empresarial</w:t>
      </w:r>
      <w:r w:rsidRPr="00922DB4">
        <w:rPr>
          <w:rFonts w:ascii="Verdana" w:hAnsi="Verdana"/>
          <w:sz w:val="18"/>
          <w:szCs w:val="18"/>
        </w:rPr>
        <w:t xml:space="preserve">, en el que la factura electrónica deja de ser un mero soporte digital para convertirse en un </w:t>
      </w:r>
      <w:r w:rsidRPr="00922DB4">
        <w:rPr>
          <w:rFonts w:ascii="Verdana" w:hAnsi="Verdana"/>
          <w:b/>
          <w:bCs/>
          <w:sz w:val="18"/>
          <w:szCs w:val="18"/>
        </w:rPr>
        <w:t>instrumento estructural de control económico, transparencia comercial y gestión tributaria</w:t>
      </w:r>
      <w:r w:rsidRPr="00922DB4">
        <w:rPr>
          <w:rFonts w:ascii="Verdana" w:hAnsi="Verdana"/>
          <w:sz w:val="18"/>
          <w:szCs w:val="18"/>
        </w:rPr>
        <w:t>. Su impacto será especialmente relevante en la gobernanza de los pagos y en la transformación digital del tejido productivo.</w:t>
      </w: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0F2E1B" w:rsidRPr="000F2E1B" w14:paraId="241425A7" w14:textId="77777777" w:rsidTr="002368A3">
        <w:tc>
          <w:tcPr>
            <w:tcW w:w="180" w:type="dxa"/>
            <w:shd w:val="clear" w:color="auto" w:fill="FF6600"/>
          </w:tcPr>
          <w:p w14:paraId="347FE567" w14:textId="77777777" w:rsidR="000F2E1B" w:rsidRPr="000F2E1B" w:rsidRDefault="000F2E1B" w:rsidP="002368A3">
            <w:pPr>
              <w:ind w:left="360"/>
              <w:rPr>
                <w:rFonts w:ascii="Verdana" w:hAnsi="Verdana"/>
                <w:b/>
                <w:bCs/>
                <w:color w:val="800000"/>
                <w:sz w:val="18"/>
                <w:szCs w:val="18"/>
              </w:rPr>
            </w:pPr>
            <w:bookmarkStart w:id="4" w:name="_Hlk227170357"/>
          </w:p>
        </w:tc>
        <w:tc>
          <w:tcPr>
            <w:tcW w:w="8460" w:type="dxa"/>
          </w:tcPr>
          <w:p w14:paraId="299068E0" w14:textId="18E2638B" w:rsidR="000F2E1B" w:rsidRPr="000F2E1B" w:rsidRDefault="000F2E1B" w:rsidP="00922DB4">
            <w:pPr>
              <w:pStyle w:val="Prrafodelista"/>
              <w:numPr>
                <w:ilvl w:val="0"/>
                <w:numId w:val="106"/>
              </w:numPr>
              <w:jc w:val="both"/>
              <w:rPr>
                <w:rFonts w:ascii="Verdana" w:hAnsi="Verdana"/>
                <w:b/>
                <w:bCs/>
                <w:color w:val="800000"/>
                <w:sz w:val="18"/>
                <w:szCs w:val="18"/>
              </w:rPr>
            </w:pPr>
            <w:r w:rsidRPr="000F2E1B">
              <w:rPr>
                <w:rFonts w:ascii="Verdana" w:hAnsi="Verdana"/>
                <w:b/>
                <w:bCs/>
                <w:color w:val="800000"/>
                <w:sz w:val="18"/>
                <w:szCs w:val="18"/>
              </w:rPr>
              <w:t>I.R.P.F. LA ROTULACIÓN DE VEHÍCULOS NO ACREDITA SU AFECTACIÓN EXCLUSIVA A LA ACTIVIDAD</w:t>
            </w:r>
          </w:p>
        </w:tc>
      </w:tr>
    </w:tbl>
    <w:bookmarkEnd w:id="4"/>
    <w:p w14:paraId="166193E4" w14:textId="77777777" w:rsidR="00E53E44" w:rsidRPr="00E53E44" w:rsidRDefault="00E53E44" w:rsidP="000F2E1B">
      <w:pPr>
        <w:spacing w:before="100" w:beforeAutospacing="1" w:after="100" w:afterAutospacing="1"/>
        <w:ind w:left="284"/>
        <w:jc w:val="both"/>
        <w:rPr>
          <w:rFonts w:ascii="Verdana" w:hAnsi="Verdana"/>
          <w:sz w:val="18"/>
          <w:szCs w:val="18"/>
        </w:rPr>
      </w:pPr>
      <w:r w:rsidRPr="00E53E44">
        <w:rPr>
          <w:rFonts w:ascii="Verdana" w:hAnsi="Verdana"/>
          <w:sz w:val="18"/>
          <w:szCs w:val="18"/>
        </w:rPr>
        <w:t>La Dirección General de Tributos (consulta V2119-25, de 11 de noviembre de 2025) aclara que la rotulación de un vehículo turismo con el logotipo empresarial no es suficiente para considerarlo afecto exclusivamente a la actividad económica.</w:t>
      </w:r>
    </w:p>
    <w:p w14:paraId="38735D49" w14:textId="77777777" w:rsidR="00E53E44" w:rsidRPr="00E53E44" w:rsidRDefault="00E53E44" w:rsidP="00E53E44">
      <w:pPr>
        <w:spacing w:before="100" w:beforeAutospacing="1" w:after="100" w:afterAutospacing="1"/>
        <w:ind w:left="284"/>
        <w:jc w:val="both"/>
        <w:rPr>
          <w:rFonts w:ascii="Verdana" w:hAnsi="Verdana"/>
          <w:sz w:val="18"/>
          <w:szCs w:val="18"/>
        </w:rPr>
      </w:pPr>
      <w:r w:rsidRPr="00E53E44">
        <w:rPr>
          <w:rFonts w:ascii="Verdana" w:hAnsi="Verdana"/>
          <w:sz w:val="18"/>
          <w:szCs w:val="18"/>
        </w:rPr>
        <w:t xml:space="preserve">Para que los gastos asociados a un vehículo turismo (incluido el consumo eléctrico en vehículos eléctricos) sean fiscalmente deducibles en el IRPF, es imprescindible que el vehículo esté </w:t>
      </w:r>
      <w:r w:rsidRPr="00E53E44">
        <w:rPr>
          <w:rFonts w:ascii="Verdana" w:hAnsi="Verdana"/>
          <w:b/>
          <w:bCs/>
          <w:sz w:val="18"/>
          <w:szCs w:val="18"/>
        </w:rPr>
        <w:t>afecto de forma exclusiva</w:t>
      </w:r>
      <w:r w:rsidRPr="00E53E44">
        <w:rPr>
          <w:rFonts w:ascii="Verdana" w:hAnsi="Verdana"/>
          <w:sz w:val="18"/>
          <w:szCs w:val="18"/>
        </w:rPr>
        <w:t xml:space="preserve"> a la actividad, conforme al artículo 22 del RIRPF. Cualquier uso, incluso ocasional, para fines particulares impide dicha consideración y, por tanto, la deducción de gastos. </w:t>
      </w:r>
    </w:p>
    <w:p w14:paraId="3CCE80A1" w14:textId="779A4DB4" w:rsidR="00E53E44" w:rsidRPr="00E53E44" w:rsidRDefault="00E53E44" w:rsidP="00E53E44">
      <w:pPr>
        <w:spacing w:before="100" w:beforeAutospacing="1" w:after="100" w:afterAutospacing="1"/>
        <w:ind w:left="284"/>
        <w:jc w:val="both"/>
        <w:rPr>
          <w:rFonts w:ascii="Verdana" w:hAnsi="Verdana"/>
          <w:sz w:val="18"/>
          <w:szCs w:val="18"/>
        </w:rPr>
      </w:pPr>
      <w:r w:rsidRPr="00E53E44">
        <w:rPr>
          <w:rFonts w:ascii="Verdana" w:hAnsi="Verdana"/>
          <w:sz w:val="18"/>
          <w:szCs w:val="18"/>
        </w:rPr>
        <w:t xml:space="preserve">La carga de la prueba sobre esta afectación exclusiva recae en el contribuyente, pudiendo acreditarse por cualquier medio admitido en derecho, si bien su valoración corresponde a la Administración </w:t>
      </w:r>
      <w:r w:rsidR="00344291">
        <w:rPr>
          <w:rFonts w:ascii="Verdana" w:hAnsi="Verdana"/>
          <w:sz w:val="18"/>
          <w:szCs w:val="18"/>
        </w:rPr>
        <w:t>Tr</w:t>
      </w:r>
      <w:r w:rsidRPr="00E53E44">
        <w:rPr>
          <w:rFonts w:ascii="Verdana" w:hAnsi="Verdana"/>
          <w:sz w:val="18"/>
          <w:szCs w:val="18"/>
        </w:rPr>
        <w:t>ibutaria.</w:t>
      </w:r>
    </w:p>
    <w:p w14:paraId="5929626D" w14:textId="77777777" w:rsidR="00E53E44" w:rsidRPr="00E53E44" w:rsidRDefault="00E53E44" w:rsidP="00E53E44">
      <w:pPr>
        <w:spacing w:before="100" w:beforeAutospacing="1" w:after="100" w:afterAutospacing="1"/>
        <w:ind w:left="284"/>
        <w:jc w:val="both"/>
        <w:rPr>
          <w:rFonts w:ascii="Verdana" w:hAnsi="Verdana"/>
          <w:sz w:val="18"/>
          <w:szCs w:val="18"/>
        </w:rPr>
      </w:pPr>
      <w:r w:rsidRPr="00E53E44">
        <w:rPr>
          <w:rFonts w:ascii="Verdana" w:hAnsi="Verdana"/>
          <w:sz w:val="18"/>
          <w:szCs w:val="18"/>
        </w:rPr>
        <w:t>En contraste, para los vehículos mixtos destinados al transporte de mercancías, la normativa y la doctrina del TEAC permiten una presunción de afectación a la actividad económica en función de sus características y uso, admitiendo prueba en contrario.</w:t>
      </w:r>
    </w:p>
    <w:p w14:paraId="23B1C372" w14:textId="4CD78E19" w:rsidR="00E53E44" w:rsidRDefault="00E53E44" w:rsidP="00AE3130">
      <w:pPr>
        <w:spacing w:before="100" w:beforeAutospacing="1" w:after="100" w:afterAutospacing="1"/>
        <w:ind w:left="284"/>
        <w:jc w:val="both"/>
        <w:rPr>
          <w:rFonts w:ascii="Verdana" w:hAnsi="Verdana"/>
          <w:sz w:val="18"/>
          <w:szCs w:val="18"/>
        </w:rPr>
      </w:pPr>
      <w:r w:rsidRPr="00E53E44">
        <w:rPr>
          <w:rFonts w:ascii="Verdana" w:hAnsi="Verdana"/>
          <w:sz w:val="18"/>
          <w:szCs w:val="18"/>
        </w:rPr>
        <w:t xml:space="preserve">En conclusión, en el caso de vehículos turismo, </w:t>
      </w:r>
      <w:r w:rsidRPr="00E53E44">
        <w:rPr>
          <w:rFonts w:ascii="Verdana" w:hAnsi="Verdana"/>
          <w:b/>
          <w:bCs/>
          <w:sz w:val="18"/>
          <w:szCs w:val="18"/>
        </w:rPr>
        <w:t>ni la rotulación ni el uso mayoritario profesional garantizan la deducibilidad</w:t>
      </w:r>
      <w:r w:rsidRPr="00E53E44">
        <w:rPr>
          <w:rFonts w:ascii="Verdana" w:hAnsi="Verdana"/>
          <w:sz w:val="18"/>
          <w:szCs w:val="18"/>
        </w:rPr>
        <w:t xml:space="preserve">, siendo determinante la exclusividad en su </w:t>
      </w:r>
      <w:r w:rsidR="00922DB4">
        <w:rPr>
          <w:rFonts w:ascii="Verdana" w:hAnsi="Verdana"/>
          <w:sz w:val="18"/>
          <w:szCs w:val="18"/>
        </w:rPr>
        <w:t>util</w:t>
      </w:r>
      <w:r w:rsidR="00922DB4" w:rsidRPr="00E53E44">
        <w:rPr>
          <w:rFonts w:ascii="Verdana" w:hAnsi="Verdana"/>
          <w:sz w:val="18"/>
          <w:szCs w:val="18"/>
        </w:rPr>
        <w:t>ización</w:t>
      </w:r>
      <w:r w:rsidRPr="00E53E44">
        <w:rPr>
          <w:rFonts w:ascii="Verdana" w:hAnsi="Verdana"/>
          <w:sz w:val="18"/>
          <w:szCs w:val="18"/>
        </w:rPr>
        <w:t>.</w:t>
      </w:r>
    </w:p>
    <w:p w14:paraId="5185A949" w14:textId="77777777" w:rsidR="00AE3130" w:rsidRDefault="00AE3130" w:rsidP="00AE3130">
      <w:pPr>
        <w:spacing w:before="100" w:beforeAutospacing="1" w:after="100" w:afterAutospacing="1"/>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922DB4" w:rsidRPr="000F2E1B" w14:paraId="5E196CBE" w14:textId="77777777" w:rsidTr="002368A3">
        <w:tc>
          <w:tcPr>
            <w:tcW w:w="180" w:type="dxa"/>
            <w:shd w:val="clear" w:color="auto" w:fill="FF6600"/>
          </w:tcPr>
          <w:p w14:paraId="6DBBFF93" w14:textId="77777777" w:rsidR="00922DB4" w:rsidRPr="000F2E1B" w:rsidRDefault="00922DB4" w:rsidP="002368A3">
            <w:pPr>
              <w:ind w:left="360"/>
              <w:rPr>
                <w:rFonts w:ascii="Verdana" w:hAnsi="Verdana"/>
                <w:b/>
                <w:bCs/>
                <w:color w:val="800000"/>
                <w:sz w:val="18"/>
                <w:szCs w:val="18"/>
              </w:rPr>
            </w:pPr>
          </w:p>
        </w:tc>
        <w:tc>
          <w:tcPr>
            <w:tcW w:w="8460" w:type="dxa"/>
          </w:tcPr>
          <w:p w14:paraId="6048A61C" w14:textId="376703AF" w:rsidR="00922DB4" w:rsidRPr="000F2E1B" w:rsidRDefault="00922DB4" w:rsidP="002368A3">
            <w:pPr>
              <w:pStyle w:val="Prrafodelista"/>
              <w:numPr>
                <w:ilvl w:val="0"/>
                <w:numId w:val="106"/>
              </w:numPr>
              <w:jc w:val="both"/>
              <w:rPr>
                <w:rFonts w:ascii="Verdana" w:hAnsi="Verdana"/>
                <w:b/>
                <w:bCs/>
                <w:color w:val="800000"/>
                <w:sz w:val="18"/>
                <w:szCs w:val="18"/>
              </w:rPr>
            </w:pPr>
            <w:r w:rsidRPr="00922DB4">
              <w:rPr>
                <w:rFonts w:ascii="Verdana" w:hAnsi="Verdana"/>
                <w:b/>
                <w:bCs/>
                <w:color w:val="800000"/>
                <w:sz w:val="18"/>
                <w:szCs w:val="18"/>
              </w:rPr>
              <w:t>I.V.A. LA TENENCIA DE PARTICIPACIONES NO CONSTITUYE ACTIVIDAD ECONÓMICA, SIENDO IMPROCEDENTE LA DEDUCCIÓN DE CUOTAS SOPORTADAS AL NO TENER CONDICIÓN DE SUJETO PASIVO</w:t>
            </w:r>
          </w:p>
        </w:tc>
      </w:tr>
    </w:tbl>
    <w:p w14:paraId="5F2BBCD5" w14:textId="77777777" w:rsidR="005F37DC" w:rsidRPr="005F37DC" w:rsidRDefault="005F37DC" w:rsidP="007B7371">
      <w:pPr>
        <w:spacing w:before="100" w:beforeAutospacing="1" w:after="100" w:afterAutospacing="1"/>
        <w:ind w:left="284"/>
        <w:jc w:val="both"/>
        <w:rPr>
          <w:rFonts w:ascii="Verdana" w:hAnsi="Verdana"/>
          <w:sz w:val="18"/>
          <w:szCs w:val="18"/>
        </w:rPr>
      </w:pPr>
      <w:r w:rsidRPr="005F37DC">
        <w:rPr>
          <w:rFonts w:ascii="Verdana" w:hAnsi="Verdana"/>
          <w:sz w:val="18"/>
          <w:szCs w:val="18"/>
        </w:rPr>
        <w:t xml:space="preserve">La </w:t>
      </w:r>
      <w:r w:rsidRPr="005F37DC">
        <w:rPr>
          <w:rFonts w:ascii="Verdana" w:hAnsi="Verdana"/>
          <w:b/>
          <w:bCs/>
          <w:sz w:val="18"/>
          <w:szCs w:val="18"/>
        </w:rPr>
        <w:t xml:space="preserve">Audiencia Nacional (SAN de 4 de febrero de 2026, </w:t>
      </w:r>
      <w:proofErr w:type="spellStart"/>
      <w:r w:rsidRPr="005F37DC">
        <w:rPr>
          <w:rFonts w:ascii="Verdana" w:hAnsi="Verdana"/>
          <w:b/>
          <w:bCs/>
          <w:sz w:val="18"/>
          <w:szCs w:val="18"/>
        </w:rPr>
        <w:t>rec.</w:t>
      </w:r>
      <w:proofErr w:type="spellEnd"/>
      <w:r w:rsidRPr="005F37DC">
        <w:rPr>
          <w:rFonts w:ascii="Verdana" w:hAnsi="Verdana"/>
          <w:b/>
          <w:bCs/>
          <w:sz w:val="18"/>
          <w:szCs w:val="18"/>
        </w:rPr>
        <w:t xml:space="preserve"> 121/2022)</w:t>
      </w:r>
      <w:r w:rsidRPr="005F37DC">
        <w:rPr>
          <w:rFonts w:ascii="Verdana" w:hAnsi="Verdana"/>
          <w:sz w:val="18"/>
          <w:szCs w:val="18"/>
        </w:rPr>
        <w:t xml:space="preserve"> confirma la regularización practicada por la Administración al considerar que la entidad no desarrolla una actividad económica de prestación de servicios a sus filiales, sino que actúa como </w:t>
      </w:r>
      <w:proofErr w:type="gramStart"/>
      <w:r w:rsidRPr="005F37DC">
        <w:rPr>
          <w:rFonts w:ascii="Verdana" w:hAnsi="Verdana"/>
          <w:b/>
          <w:bCs/>
          <w:sz w:val="18"/>
          <w:szCs w:val="18"/>
        </w:rPr>
        <w:t>holding pura</w:t>
      </w:r>
      <w:proofErr w:type="gramEnd"/>
      <w:r w:rsidRPr="005F37DC">
        <w:rPr>
          <w:rFonts w:ascii="Verdana" w:hAnsi="Verdana"/>
          <w:sz w:val="18"/>
          <w:szCs w:val="18"/>
        </w:rPr>
        <w:t>, limitándose a la mera tenencia de participaciones.</w:t>
      </w:r>
    </w:p>
    <w:p w14:paraId="2BF821DB" w14:textId="77777777" w:rsidR="005F37DC" w:rsidRPr="005F37DC" w:rsidRDefault="005F37DC" w:rsidP="007B7371">
      <w:pPr>
        <w:spacing w:before="100" w:beforeAutospacing="1" w:after="100" w:afterAutospacing="1"/>
        <w:ind w:left="284"/>
        <w:jc w:val="both"/>
        <w:rPr>
          <w:rFonts w:ascii="Verdana" w:hAnsi="Verdana"/>
          <w:sz w:val="18"/>
          <w:szCs w:val="18"/>
        </w:rPr>
      </w:pPr>
      <w:r w:rsidRPr="005F37DC">
        <w:rPr>
          <w:rFonts w:ascii="Verdana" w:hAnsi="Verdana"/>
          <w:sz w:val="18"/>
          <w:szCs w:val="18"/>
        </w:rPr>
        <w:t xml:space="preserve">Con base en los artículos 4 y 5 de la Ley 37/1992 del IVA y la jurisprudencia del TJUE, la Sala reitera que la </w:t>
      </w:r>
      <w:r w:rsidRPr="005F37DC">
        <w:rPr>
          <w:rFonts w:ascii="Verdana" w:hAnsi="Verdana"/>
          <w:b/>
          <w:bCs/>
          <w:sz w:val="18"/>
          <w:szCs w:val="18"/>
        </w:rPr>
        <w:t>condición de sujeto pasivo</w:t>
      </w:r>
      <w:r w:rsidRPr="005F37DC">
        <w:rPr>
          <w:rFonts w:ascii="Verdana" w:hAnsi="Verdana"/>
          <w:sz w:val="18"/>
          <w:szCs w:val="18"/>
        </w:rPr>
        <w:t xml:space="preserve"> exige la ordenación por cuenta propia de medios materiales y humanos con la finalidad de intervenir en la producción o distribución de bienes o servicios. En el caso de entidades holding, dicha condición solo concurre cuando existe una </w:t>
      </w:r>
      <w:r w:rsidRPr="005F37DC">
        <w:rPr>
          <w:rFonts w:ascii="Verdana" w:hAnsi="Verdana"/>
          <w:b/>
          <w:bCs/>
          <w:sz w:val="18"/>
          <w:szCs w:val="18"/>
        </w:rPr>
        <w:t>intervención efectiva en la gestión de las participadas mediante prestaciones de servicios sujetas y no exentas</w:t>
      </w:r>
      <w:r w:rsidRPr="005F37DC">
        <w:rPr>
          <w:rFonts w:ascii="Verdana" w:hAnsi="Verdana"/>
          <w:sz w:val="18"/>
          <w:szCs w:val="18"/>
        </w:rPr>
        <w:t>.</w:t>
      </w:r>
    </w:p>
    <w:p w14:paraId="6937864E" w14:textId="77777777" w:rsidR="005F37DC" w:rsidRPr="005F37DC" w:rsidRDefault="005F37DC" w:rsidP="007B7371">
      <w:pPr>
        <w:spacing w:before="100" w:beforeAutospacing="1" w:after="100" w:afterAutospacing="1"/>
        <w:ind w:left="284"/>
        <w:jc w:val="both"/>
        <w:rPr>
          <w:rFonts w:ascii="Verdana" w:hAnsi="Verdana"/>
          <w:sz w:val="18"/>
          <w:szCs w:val="18"/>
        </w:rPr>
      </w:pPr>
      <w:r w:rsidRPr="005F37DC">
        <w:rPr>
          <w:rFonts w:ascii="Verdana" w:hAnsi="Verdana"/>
          <w:sz w:val="18"/>
          <w:szCs w:val="18"/>
        </w:rPr>
        <w:t>En el supuesto analizado, la entidad no acredita la realidad de la actividad alegada, destacando los siguientes elementos:</w:t>
      </w:r>
    </w:p>
    <w:p w14:paraId="12283D93" w14:textId="77777777" w:rsidR="005F37DC" w:rsidRPr="005F37DC" w:rsidRDefault="005F37DC" w:rsidP="007B7371">
      <w:pPr>
        <w:numPr>
          <w:ilvl w:val="0"/>
          <w:numId w:val="82"/>
        </w:numPr>
        <w:spacing w:before="100" w:beforeAutospacing="1" w:after="100" w:afterAutospacing="1"/>
        <w:ind w:left="567" w:hanging="283"/>
        <w:jc w:val="both"/>
        <w:rPr>
          <w:rFonts w:ascii="Verdana" w:hAnsi="Verdana"/>
          <w:sz w:val="18"/>
          <w:szCs w:val="18"/>
        </w:rPr>
      </w:pPr>
      <w:r w:rsidRPr="005F37DC">
        <w:rPr>
          <w:rFonts w:ascii="Verdana" w:hAnsi="Verdana"/>
          <w:b/>
          <w:bCs/>
          <w:sz w:val="18"/>
          <w:szCs w:val="18"/>
        </w:rPr>
        <w:t>Insuficiencia probatoria de los servicios prestados</w:t>
      </w:r>
      <w:r w:rsidRPr="005F37DC">
        <w:rPr>
          <w:rFonts w:ascii="Verdana" w:hAnsi="Verdana"/>
          <w:sz w:val="18"/>
          <w:szCs w:val="18"/>
        </w:rPr>
        <w:t xml:space="preserve">: los contratos aportados contienen descripciones genéricas (servicios de dirección, gestión o asesoramiento), sin evidencia de su efectiva ejecución. </w:t>
      </w:r>
    </w:p>
    <w:p w14:paraId="2CCEDEB6" w14:textId="77777777" w:rsidR="005F37DC" w:rsidRPr="005F37DC" w:rsidRDefault="005F37DC" w:rsidP="007B7371">
      <w:pPr>
        <w:numPr>
          <w:ilvl w:val="0"/>
          <w:numId w:val="82"/>
        </w:numPr>
        <w:spacing w:before="100" w:beforeAutospacing="1" w:after="100" w:afterAutospacing="1"/>
        <w:ind w:left="567" w:hanging="283"/>
        <w:jc w:val="both"/>
        <w:rPr>
          <w:rFonts w:ascii="Verdana" w:hAnsi="Verdana"/>
          <w:sz w:val="18"/>
          <w:szCs w:val="18"/>
        </w:rPr>
      </w:pPr>
      <w:r w:rsidRPr="005F37DC">
        <w:rPr>
          <w:rFonts w:ascii="Verdana" w:hAnsi="Verdana"/>
          <w:b/>
          <w:bCs/>
          <w:sz w:val="18"/>
          <w:szCs w:val="18"/>
        </w:rPr>
        <w:t>Facturación irrelevante</w:t>
      </w:r>
      <w:r w:rsidRPr="005F37DC">
        <w:rPr>
          <w:rFonts w:ascii="Verdana" w:hAnsi="Verdana"/>
          <w:sz w:val="18"/>
          <w:szCs w:val="18"/>
        </w:rPr>
        <w:t xml:space="preserve">: la única factura emitida en el ejercicio corresponde a la retribución por el desempeño del cargo de administrador, lo que no constituye una prestación de servicios independiente a efectos del IVA. </w:t>
      </w:r>
    </w:p>
    <w:p w14:paraId="1742A956" w14:textId="72EE3A63" w:rsidR="005F37DC" w:rsidRPr="005F37DC" w:rsidRDefault="007B7371" w:rsidP="00E46303">
      <w:pPr>
        <w:numPr>
          <w:ilvl w:val="0"/>
          <w:numId w:val="82"/>
        </w:numPr>
        <w:tabs>
          <w:tab w:val="clear" w:pos="720"/>
          <w:tab w:val="left" w:pos="426"/>
        </w:tabs>
        <w:spacing w:before="100" w:beforeAutospacing="1" w:after="100" w:afterAutospacing="1"/>
        <w:ind w:left="567" w:hanging="283"/>
        <w:jc w:val="both"/>
        <w:rPr>
          <w:rFonts w:ascii="Verdana" w:hAnsi="Verdana"/>
          <w:sz w:val="18"/>
          <w:szCs w:val="18"/>
        </w:rPr>
      </w:pPr>
      <w:r>
        <w:rPr>
          <w:rFonts w:ascii="Verdana" w:hAnsi="Verdana"/>
          <w:b/>
          <w:bCs/>
          <w:sz w:val="18"/>
          <w:szCs w:val="18"/>
        </w:rPr>
        <w:t xml:space="preserve">  </w:t>
      </w:r>
      <w:r w:rsidR="005F37DC" w:rsidRPr="005F37DC">
        <w:rPr>
          <w:rFonts w:ascii="Verdana" w:hAnsi="Verdana"/>
          <w:b/>
          <w:bCs/>
          <w:sz w:val="18"/>
          <w:szCs w:val="18"/>
        </w:rPr>
        <w:t>Inexistencia de estructura organizativa</w:t>
      </w:r>
      <w:r w:rsidR="005F37DC" w:rsidRPr="005F37DC">
        <w:rPr>
          <w:rFonts w:ascii="Verdana" w:hAnsi="Verdana"/>
          <w:sz w:val="18"/>
          <w:szCs w:val="18"/>
        </w:rPr>
        <w:t xml:space="preserve">: ausencia de medios personales propios y </w:t>
      </w:r>
      <w:r>
        <w:rPr>
          <w:rFonts w:ascii="Verdana" w:hAnsi="Verdana"/>
          <w:sz w:val="18"/>
          <w:szCs w:val="18"/>
        </w:rPr>
        <w:t xml:space="preserve">  </w:t>
      </w:r>
      <w:r w:rsidR="00E46303">
        <w:rPr>
          <w:rFonts w:ascii="Verdana" w:hAnsi="Verdana"/>
          <w:sz w:val="18"/>
          <w:szCs w:val="18"/>
        </w:rPr>
        <w:t xml:space="preserve">  </w:t>
      </w:r>
      <w:r w:rsidR="005F37DC" w:rsidRPr="005F37DC">
        <w:rPr>
          <w:rFonts w:ascii="Verdana" w:hAnsi="Verdana"/>
          <w:sz w:val="18"/>
          <w:szCs w:val="18"/>
        </w:rPr>
        <w:t xml:space="preserve">falta de acreditación de subcontratación efectiva. </w:t>
      </w:r>
    </w:p>
    <w:p w14:paraId="73670B13" w14:textId="77777777" w:rsidR="005F37DC" w:rsidRPr="005F37DC" w:rsidRDefault="005F37DC" w:rsidP="007B7371">
      <w:pPr>
        <w:numPr>
          <w:ilvl w:val="0"/>
          <w:numId w:val="82"/>
        </w:numPr>
        <w:spacing w:before="100" w:beforeAutospacing="1" w:after="100" w:afterAutospacing="1"/>
        <w:ind w:left="567" w:hanging="283"/>
        <w:jc w:val="both"/>
        <w:rPr>
          <w:rFonts w:ascii="Verdana" w:hAnsi="Verdana"/>
          <w:sz w:val="18"/>
          <w:szCs w:val="18"/>
        </w:rPr>
      </w:pPr>
      <w:r w:rsidRPr="005F37DC">
        <w:rPr>
          <w:rFonts w:ascii="Verdana" w:hAnsi="Verdana"/>
          <w:b/>
          <w:bCs/>
          <w:sz w:val="18"/>
          <w:szCs w:val="18"/>
        </w:rPr>
        <w:t>Desconexión entre gastos y actividad</w:t>
      </w:r>
      <w:r w:rsidRPr="005F37DC">
        <w:rPr>
          <w:rFonts w:ascii="Verdana" w:hAnsi="Verdana"/>
          <w:sz w:val="18"/>
          <w:szCs w:val="18"/>
        </w:rPr>
        <w:t xml:space="preserve">: las facturas soportadas no permiten identificar servicios individualizados ni su correlación con operaciones sujetas, ni su eventual refacturación conforme a los contratos. </w:t>
      </w:r>
    </w:p>
    <w:p w14:paraId="5320D901" w14:textId="77777777" w:rsidR="005F37DC" w:rsidRPr="005F37DC" w:rsidRDefault="005F37DC" w:rsidP="007B7371">
      <w:pPr>
        <w:spacing w:before="100" w:beforeAutospacing="1" w:after="100" w:afterAutospacing="1"/>
        <w:ind w:left="284"/>
        <w:jc w:val="both"/>
        <w:rPr>
          <w:rFonts w:ascii="Verdana" w:hAnsi="Verdana"/>
          <w:sz w:val="18"/>
          <w:szCs w:val="18"/>
        </w:rPr>
      </w:pPr>
      <w:r w:rsidRPr="005F37DC">
        <w:rPr>
          <w:rFonts w:ascii="Verdana" w:hAnsi="Verdana"/>
          <w:sz w:val="18"/>
          <w:szCs w:val="18"/>
        </w:rPr>
        <w:t xml:space="preserve">La Sala concluye que </w:t>
      </w:r>
      <w:r w:rsidRPr="005F37DC">
        <w:rPr>
          <w:rFonts w:ascii="Verdana" w:hAnsi="Verdana"/>
          <w:b/>
          <w:bCs/>
          <w:sz w:val="18"/>
          <w:szCs w:val="18"/>
        </w:rPr>
        <w:t>no concurre una actividad económica en el ejercicio comprobado</w:t>
      </w:r>
      <w:r w:rsidRPr="005F37DC">
        <w:rPr>
          <w:rFonts w:ascii="Verdana" w:hAnsi="Verdana"/>
          <w:sz w:val="18"/>
          <w:szCs w:val="18"/>
        </w:rPr>
        <w:t xml:space="preserve">, al no existir intervención directa o indirecta en la gestión de las filiales ni organización de medios orientada a tal fin. En consecuencia, la entidad </w:t>
      </w:r>
      <w:r w:rsidRPr="005F37DC">
        <w:rPr>
          <w:rFonts w:ascii="Verdana" w:hAnsi="Verdana"/>
          <w:b/>
          <w:bCs/>
          <w:sz w:val="18"/>
          <w:szCs w:val="18"/>
        </w:rPr>
        <w:t>no ostenta la condición de sujeto pasivo respecto de dicha pretendida actividad</w:t>
      </w:r>
      <w:r w:rsidRPr="005F37DC">
        <w:rPr>
          <w:rFonts w:ascii="Verdana" w:hAnsi="Verdana"/>
          <w:sz w:val="18"/>
          <w:szCs w:val="18"/>
        </w:rPr>
        <w:t xml:space="preserve">, lo que determina la </w:t>
      </w:r>
      <w:r w:rsidRPr="005F37DC">
        <w:rPr>
          <w:rFonts w:ascii="Verdana" w:hAnsi="Verdana"/>
          <w:b/>
          <w:bCs/>
          <w:sz w:val="18"/>
          <w:szCs w:val="18"/>
        </w:rPr>
        <w:t>improcedencia del derecho a la deducción de las cuotas soportadas</w:t>
      </w:r>
      <w:r w:rsidRPr="005F37DC">
        <w:rPr>
          <w:rFonts w:ascii="Verdana" w:hAnsi="Verdana"/>
          <w:sz w:val="18"/>
          <w:szCs w:val="18"/>
        </w:rPr>
        <w:t>.</w:t>
      </w:r>
    </w:p>
    <w:p w14:paraId="2E31D401" w14:textId="77777777" w:rsidR="005F37DC" w:rsidRPr="005F37DC" w:rsidRDefault="005F37DC" w:rsidP="007B7371">
      <w:pPr>
        <w:spacing w:before="100" w:beforeAutospacing="1" w:after="100" w:afterAutospacing="1"/>
        <w:ind w:left="284"/>
        <w:jc w:val="both"/>
        <w:rPr>
          <w:rFonts w:ascii="Verdana" w:hAnsi="Verdana"/>
          <w:sz w:val="18"/>
          <w:szCs w:val="18"/>
        </w:rPr>
      </w:pPr>
      <w:r w:rsidRPr="005F37DC">
        <w:rPr>
          <w:rFonts w:ascii="Verdana" w:hAnsi="Verdana"/>
          <w:sz w:val="18"/>
          <w:szCs w:val="18"/>
        </w:rPr>
        <w:t xml:space="preserve">Asimismo, se rechaza la deducción de las cuotas como </w:t>
      </w:r>
      <w:r w:rsidRPr="005F37DC">
        <w:rPr>
          <w:rFonts w:ascii="Verdana" w:hAnsi="Verdana"/>
          <w:b/>
          <w:bCs/>
          <w:sz w:val="18"/>
          <w:szCs w:val="18"/>
        </w:rPr>
        <w:t>gastos generales</w:t>
      </w:r>
      <w:r w:rsidRPr="005F37DC">
        <w:rPr>
          <w:rFonts w:ascii="Verdana" w:hAnsi="Verdana"/>
          <w:sz w:val="18"/>
          <w:szCs w:val="18"/>
        </w:rPr>
        <w:t xml:space="preserve"> o por su utilización en actividades mixtas, al no haberse acreditado ni los bienes y servicios afectados ni un criterio razonable de imputación, reiterando la </w:t>
      </w:r>
      <w:r w:rsidRPr="005F37DC">
        <w:rPr>
          <w:rFonts w:ascii="Verdana" w:hAnsi="Verdana"/>
          <w:b/>
          <w:bCs/>
          <w:sz w:val="18"/>
          <w:szCs w:val="18"/>
        </w:rPr>
        <w:t>carga de la prueba del artículo 105 LGT</w:t>
      </w:r>
      <w:r w:rsidRPr="005F37DC">
        <w:rPr>
          <w:rFonts w:ascii="Verdana" w:hAnsi="Verdana"/>
          <w:sz w:val="18"/>
          <w:szCs w:val="18"/>
        </w:rPr>
        <w:t xml:space="preserve">. </w:t>
      </w:r>
    </w:p>
    <w:p w14:paraId="6C8B5D5C" w14:textId="2FAAE53E" w:rsidR="005F37DC" w:rsidRPr="005F37DC" w:rsidRDefault="005F37DC" w:rsidP="007B7371">
      <w:pPr>
        <w:spacing w:before="100" w:beforeAutospacing="1" w:after="100" w:afterAutospacing="1"/>
        <w:ind w:left="284"/>
        <w:jc w:val="both"/>
        <w:outlineLvl w:val="2"/>
        <w:rPr>
          <w:rFonts w:ascii="Verdana" w:hAnsi="Verdana"/>
          <w:b/>
          <w:bCs/>
          <w:sz w:val="18"/>
          <w:szCs w:val="18"/>
        </w:rPr>
      </w:pPr>
      <w:r w:rsidRPr="005F37DC">
        <w:rPr>
          <w:rFonts w:ascii="Verdana" w:hAnsi="Verdana"/>
          <w:b/>
          <w:bCs/>
          <w:sz w:val="18"/>
          <w:szCs w:val="18"/>
        </w:rPr>
        <w:t>Doctrina relevante</w:t>
      </w:r>
    </w:p>
    <w:p w14:paraId="39898776" w14:textId="77777777" w:rsidR="005F37DC" w:rsidRPr="005F37DC" w:rsidRDefault="005F37DC" w:rsidP="007B7371">
      <w:pPr>
        <w:numPr>
          <w:ilvl w:val="0"/>
          <w:numId w:val="84"/>
        </w:numPr>
        <w:spacing w:before="100" w:beforeAutospacing="1" w:after="100" w:afterAutospacing="1"/>
        <w:ind w:left="709" w:hanging="425"/>
        <w:jc w:val="both"/>
        <w:rPr>
          <w:rFonts w:ascii="Verdana" w:hAnsi="Verdana"/>
          <w:sz w:val="18"/>
          <w:szCs w:val="18"/>
        </w:rPr>
      </w:pPr>
      <w:r w:rsidRPr="005F37DC">
        <w:rPr>
          <w:rFonts w:ascii="Verdana" w:hAnsi="Verdana"/>
          <w:sz w:val="18"/>
          <w:szCs w:val="18"/>
        </w:rPr>
        <w:t xml:space="preserve">La </w:t>
      </w:r>
      <w:r w:rsidRPr="005F37DC">
        <w:rPr>
          <w:rFonts w:ascii="Verdana" w:hAnsi="Verdana"/>
          <w:b/>
          <w:bCs/>
          <w:sz w:val="18"/>
          <w:szCs w:val="18"/>
        </w:rPr>
        <w:t>mera tenencia de participaciones</w:t>
      </w:r>
      <w:r w:rsidRPr="005F37DC">
        <w:rPr>
          <w:rFonts w:ascii="Verdana" w:hAnsi="Verdana"/>
          <w:sz w:val="18"/>
          <w:szCs w:val="18"/>
        </w:rPr>
        <w:t xml:space="preserve"> no constituye actividad económica a efectos del IVA. </w:t>
      </w:r>
    </w:p>
    <w:p w14:paraId="6C1E8937" w14:textId="77777777" w:rsidR="005F37DC" w:rsidRPr="005F37DC" w:rsidRDefault="005F37DC" w:rsidP="007B7371">
      <w:pPr>
        <w:numPr>
          <w:ilvl w:val="0"/>
          <w:numId w:val="84"/>
        </w:numPr>
        <w:spacing w:before="100" w:beforeAutospacing="1" w:after="100" w:afterAutospacing="1"/>
        <w:jc w:val="both"/>
        <w:rPr>
          <w:rFonts w:ascii="Verdana" w:hAnsi="Verdana"/>
          <w:sz w:val="18"/>
          <w:szCs w:val="18"/>
        </w:rPr>
      </w:pPr>
      <w:r w:rsidRPr="005F37DC">
        <w:rPr>
          <w:rFonts w:ascii="Verdana" w:hAnsi="Verdana"/>
          <w:sz w:val="18"/>
          <w:szCs w:val="18"/>
        </w:rPr>
        <w:t xml:space="preserve">La condición de sujeto pasivo en holdings exige </w:t>
      </w:r>
      <w:r w:rsidRPr="005F37DC">
        <w:rPr>
          <w:rFonts w:ascii="Verdana" w:hAnsi="Verdana"/>
          <w:b/>
          <w:bCs/>
          <w:sz w:val="18"/>
          <w:szCs w:val="18"/>
        </w:rPr>
        <w:t>prestación efectiva de servicios a las participadas</w:t>
      </w:r>
      <w:r w:rsidRPr="005F37DC">
        <w:rPr>
          <w:rFonts w:ascii="Verdana" w:hAnsi="Verdana"/>
          <w:sz w:val="18"/>
          <w:szCs w:val="18"/>
        </w:rPr>
        <w:t xml:space="preserve">. </w:t>
      </w:r>
    </w:p>
    <w:p w14:paraId="6A82EA87" w14:textId="77777777" w:rsidR="005F37DC" w:rsidRPr="005F37DC" w:rsidRDefault="005F37DC" w:rsidP="007B7371">
      <w:pPr>
        <w:numPr>
          <w:ilvl w:val="0"/>
          <w:numId w:val="84"/>
        </w:numPr>
        <w:spacing w:before="100" w:beforeAutospacing="1" w:after="100" w:afterAutospacing="1"/>
        <w:jc w:val="both"/>
        <w:rPr>
          <w:rFonts w:ascii="Verdana" w:hAnsi="Verdana"/>
          <w:sz w:val="18"/>
          <w:szCs w:val="18"/>
        </w:rPr>
      </w:pPr>
      <w:r w:rsidRPr="005F37DC">
        <w:rPr>
          <w:rFonts w:ascii="Verdana" w:hAnsi="Verdana"/>
          <w:sz w:val="18"/>
          <w:szCs w:val="18"/>
        </w:rPr>
        <w:t xml:space="preserve">La deducción del IVA requiere </w:t>
      </w:r>
      <w:r w:rsidRPr="005F37DC">
        <w:rPr>
          <w:rFonts w:ascii="Verdana" w:hAnsi="Verdana"/>
          <w:b/>
          <w:bCs/>
          <w:sz w:val="18"/>
          <w:szCs w:val="18"/>
        </w:rPr>
        <w:t>prueba suficiente de la afectación a operaciones sujetas</w:t>
      </w:r>
      <w:r w:rsidRPr="005F37DC">
        <w:rPr>
          <w:rFonts w:ascii="Verdana" w:hAnsi="Verdana"/>
          <w:sz w:val="18"/>
          <w:szCs w:val="18"/>
        </w:rPr>
        <w:t xml:space="preserve">. </w:t>
      </w:r>
    </w:p>
    <w:p w14:paraId="3B6C3E72" w14:textId="7CD0E907" w:rsidR="005F37DC" w:rsidRPr="009148AF" w:rsidRDefault="005F37DC" w:rsidP="007B7371">
      <w:pPr>
        <w:numPr>
          <w:ilvl w:val="0"/>
          <w:numId w:val="84"/>
        </w:numPr>
        <w:spacing w:before="100" w:beforeAutospacing="1" w:after="100" w:afterAutospacing="1"/>
        <w:jc w:val="both"/>
        <w:rPr>
          <w:rFonts w:ascii="Verdana" w:hAnsi="Verdana"/>
          <w:sz w:val="18"/>
          <w:szCs w:val="18"/>
        </w:rPr>
      </w:pPr>
      <w:r w:rsidRPr="005F37DC">
        <w:rPr>
          <w:rFonts w:ascii="Verdana" w:hAnsi="Verdana"/>
          <w:sz w:val="18"/>
          <w:szCs w:val="18"/>
        </w:rPr>
        <w:t xml:space="preserve">La </w:t>
      </w:r>
      <w:r w:rsidRPr="005F37DC">
        <w:rPr>
          <w:rFonts w:ascii="Verdana" w:hAnsi="Verdana"/>
          <w:b/>
          <w:bCs/>
          <w:sz w:val="18"/>
          <w:szCs w:val="18"/>
        </w:rPr>
        <w:t>regularización no implica automáticamente culpabilidad sancionable</w:t>
      </w:r>
      <w:r w:rsidR="009148AF">
        <w:rPr>
          <w:rFonts w:ascii="Verdana" w:hAnsi="Verdana"/>
          <w:b/>
          <w:bCs/>
          <w:sz w:val="18"/>
          <w:szCs w:val="18"/>
        </w:rPr>
        <w:t>.</w:t>
      </w:r>
    </w:p>
    <w:p w14:paraId="178DC458" w14:textId="77777777" w:rsidR="009148AF" w:rsidRPr="005F37DC" w:rsidRDefault="009148AF" w:rsidP="009148AF">
      <w:pPr>
        <w:spacing w:before="100" w:beforeAutospacing="1" w:after="100" w:afterAutospacing="1"/>
        <w:ind w:left="720"/>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E544EC" w:rsidRPr="00E544EC" w14:paraId="55CA63E5" w14:textId="77777777" w:rsidTr="002368A3">
        <w:tc>
          <w:tcPr>
            <w:tcW w:w="180" w:type="dxa"/>
            <w:shd w:val="clear" w:color="auto" w:fill="FF6600"/>
          </w:tcPr>
          <w:p w14:paraId="1041A577" w14:textId="77777777" w:rsidR="00E544EC" w:rsidRPr="00E544EC" w:rsidRDefault="00E544EC" w:rsidP="002368A3">
            <w:pPr>
              <w:ind w:left="360"/>
              <w:rPr>
                <w:rFonts w:ascii="Verdana" w:hAnsi="Verdana"/>
                <w:b/>
                <w:bCs/>
                <w:color w:val="800000"/>
                <w:sz w:val="18"/>
                <w:szCs w:val="18"/>
              </w:rPr>
            </w:pPr>
          </w:p>
        </w:tc>
        <w:tc>
          <w:tcPr>
            <w:tcW w:w="8460" w:type="dxa"/>
          </w:tcPr>
          <w:p w14:paraId="41758DB6" w14:textId="1DC137B8" w:rsidR="00E544EC" w:rsidRPr="00922DB4" w:rsidRDefault="00E544EC" w:rsidP="00922DB4">
            <w:pPr>
              <w:pStyle w:val="Prrafodelista"/>
              <w:numPr>
                <w:ilvl w:val="0"/>
                <w:numId w:val="106"/>
              </w:numPr>
              <w:jc w:val="both"/>
              <w:rPr>
                <w:rFonts w:ascii="Verdana" w:hAnsi="Verdana"/>
                <w:b/>
                <w:bCs/>
                <w:color w:val="800000"/>
                <w:sz w:val="18"/>
                <w:szCs w:val="18"/>
              </w:rPr>
            </w:pPr>
            <w:r w:rsidRPr="00922DB4">
              <w:rPr>
                <w:rFonts w:ascii="Verdana" w:hAnsi="Verdana"/>
                <w:b/>
                <w:bCs/>
                <w:color w:val="800000"/>
                <w:sz w:val="18"/>
                <w:szCs w:val="18"/>
              </w:rPr>
              <w:t>ISD. INTERPRETACIÓN DEL REQUISITO DE EMPLEADO PARA QUE EL ARRENDAMIENTO DE INMUEBLES REVISTA EL CARÁCTER DE ACTIVIDAD ECONÓMICA</w:t>
            </w:r>
          </w:p>
        </w:tc>
      </w:tr>
    </w:tbl>
    <w:p w14:paraId="69AAFDC9" w14:textId="77777777" w:rsidR="00E544EC" w:rsidRPr="00E544EC" w:rsidRDefault="00E544EC" w:rsidP="009148AF">
      <w:pPr>
        <w:spacing w:before="100" w:beforeAutospacing="1" w:after="100" w:afterAutospacing="1"/>
        <w:ind w:left="426" w:hanging="142"/>
        <w:jc w:val="both"/>
        <w:outlineLvl w:val="2"/>
        <w:rPr>
          <w:rFonts w:ascii="Verdana" w:hAnsi="Verdana"/>
          <w:b/>
          <w:bCs/>
          <w:color w:val="C0504D" w:themeColor="accent2"/>
          <w:sz w:val="18"/>
          <w:szCs w:val="18"/>
        </w:rPr>
      </w:pPr>
      <w:r w:rsidRPr="00E544EC">
        <w:rPr>
          <w:rFonts w:ascii="Verdana" w:hAnsi="Verdana"/>
          <w:b/>
          <w:bCs/>
          <w:color w:val="C0504D" w:themeColor="accent2"/>
          <w:sz w:val="18"/>
          <w:szCs w:val="18"/>
        </w:rPr>
        <w:t>1. Objeto del litigio</w:t>
      </w:r>
    </w:p>
    <w:p w14:paraId="5FD6F4AA" w14:textId="509CF9AE" w:rsidR="00E544EC" w:rsidRPr="00E544EC" w:rsidRDefault="00E544EC" w:rsidP="009148AF">
      <w:pPr>
        <w:spacing w:before="100" w:beforeAutospacing="1" w:after="100" w:afterAutospacing="1"/>
        <w:ind w:left="284"/>
        <w:jc w:val="both"/>
        <w:rPr>
          <w:rFonts w:ascii="Verdana" w:hAnsi="Verdana"/>
          <w:sz w:val="18"/>
          <w:szCs w:val="18"/>
        </w:rPr>
      </w:pPr>
      <w:r w:rsidRPr="00E544EC">
        <w:rPr>
          <w:rFonts w:ascii="Verdana" w:hAnsi="Verdana"/>
          <w:sz w:val="18"/>
          <w:szCs w:val="18"/>
        </w:rPr>
        <w:t>La</w:t>
      </w:r>
      <w:r w:rsidR="009148AF">
        <w:rPr>
          <w:rFonts w:ascii="Verdana" w:hAnsi="Verdana"/>
          <w:sz w:val="18"/>
          <w:szCs w:val="18"/>
        </w:rPr>
        <w:t>s</w:t>
      </w:r>
      <w:r w:rsidRPr="00E544EC">
        <w:rPr>
          <w:rFonts w:ascii="Verdana" w:hAnsi="Verdana"/>
          <w:sz w:val="18"/>
          <w:szCs w:val="18"/>
        </w:rPr>
        <w:t xml:space="preserve"> </w:t>
      </w:r>
      <w:r w:rsidR="009148AF" w:rsidRPr="009148AF">
        <w:rPr>
          <w:rFonts w:ascii="Verdana" w:hAnsi="Verdana"/>
          <w:sz w:val="18"/>
          <w:szCs w:val="18"/>
        </w:rPr>
        <w:t>Sentencia</w:t>
      </w:r>
      <w:r w:rsidR="009148AF">
        <w:rPr>
          <w:rFonts w:ascii="Verdana" w:hAnsi="Verdana"/>
          <w:sz w:val="18"/>
          <w:szCs w:val="18"/>
        </w:rPr>
        <w:t>s</w:t>
      </w:r>
      <w:r w:rsidR="009148AF" w:rsidRPr="009148AF">
        <w:rPr>
          <w:rFonts w:ascii="Verdana" w:hAnsi="Verdana"/>
          <w:sz w:val="18"/>
          <w:szCs w:val="18"/>
        </w:rPr>
        <w:t xml:space="preserve"> del Tribunal Supremo, Sala de lo Contencioso, de 17 de febrero de 2026 (Rec. 1208/2024) y de 20 de febrero de 2026 (Rec. 1143/2024)</w:t>
      </w:r>
      <w:r w:rsidRPr="00E544EC">
        <w:rPr>
          <w:rFonts w:ascii="Verdana" w:hAnsi="Verdana"/>
          <w:sz w:val="18"/>
          <w:szCs w:val="18"/>
        </w:rPr>
        <w:t xml:space="preserve"> resuelve</w:t>
      </w:r>
      <w:r w:rsidR="009148AF">
        <w:rPr>
          <w:rFonts w:ascii="Verdana" w:hAnsi="Verdana"/>
          <w:sz w:val="18"/>
          <w:szCs w:val="18"/>
        </w:rPr>
        <w:t>n</w:t>
      </w:r>
      <w:r w:rsidRPr="00E544EC">
        <w:rPr>
          <w:rFonts w:ascii="Verdana" w:hAnsi="Verdana"/>
          <w:sz w:val="18"/>
          <w:szCs w:val="18"/>
        </w:rPr>
        <w:t xml:space="preserve"> si, a efectos de aplicar la </w:t>
      </w:r>
      <w:r w:rsidRPr="00E544EC">
        <w:rPr>
          <w:rFonts w:ascii="Verdana" w:hAnsi="Verdana"/>
          <w:b/>
          <w:bCs/>
          <w:sz w:val="18"/>
          <w:szCs w:val="18"/>
        </w:rPr>
        <w:t>reducción del art. 20.6 LISD</w:t>
      </w:r>
      <w:r w:rsidRPr="00E544EC">
        <w:rPr>
          <w:rFonts w:ascii="Verdana" w:hAnsi="Verdana"/>
          <w:sz w:val="18"/>
          <w:szCs w:val="18"/>
        </w:rPr>
        <w:t xml:space="preserve"> (transmisión de empresa familiar), puede considerarse cumplido el requisito de </w:t>
      </w:r>
      <w:r w:rsidRPr="00E544EC">
        <w:rPr>
          <w:rFonts w:ascii="Verdana" w:hAnsi="Verdana"/>
          <w:b/>
          <w:bCs/>
          <w:sz w:val="18"/>
          <w:szCs w:val="18"/>
        </w:rPr>
        <w:t>actividad económica en el arrendamiento de inmuebles</w:t>
      </w:r>
      <w:r w:rsidRPr="00E544EC">
        <w:rPr>
          <w:rFonts w:ascii="Verdana" w:hAnsi="Verdana"/>
          <w:sz w:val="18"/>
          <w:szCs w:val="18"/>
        </w:rPr>
        <w:t xml:space="preserve"> cuando:</w:t>
      </w:r>
    </w:p>
    <w:p w14:paraId="54750622" w14:textId="77777777" w:rsidR="00E544EC" w:rsidRPr="00E544EC" w:rsidRDefault="00E544EC" w:rsidP="009148AF">
      <w:pPr>
        <w:numPr>
          <w:ilvl w:val="0"/>
          <w:numId w:val="93"/>
        </w:numPr>
        <w:spacing w:before="100" w:beforeAutospacing="1" w:after="100" w:afterAutospacing="1"/>
        <w:ind w:left="426" w:hanging="142"/>
        <w:jc w:val="both"/>
        <w:rPr>
          <w:rFonts w:ascii="Verdana" w:hAnsi="Verdana"/>
          <w:sz w:val="18"/>
          <w:szCs w:val="18"/>
        </w:rPr>
      </w:pPr>
      <w:r w:rsidRPr="00E544EC">
        <w:rPr>
          <w:rFonts w:ascii="Verdana" w:hAnsi="Verdana"/>
          <w:sz w:val="18"/>
          <w:szCs w:val="18"/>
        </w:rPr>
        <w:t xml:space="preserve">La entidad titular de los inmuebles </w:t>
      </w:r>
      <w:r w:rsidRPr="00E544EC">
        <w:rPr>
          <w:rFonts w:ascii="Verdana" w:hAnsi="Verdana"/>
          <w:b/>
          <w:bCs/>
          <w:sz w:val="18"/>
          <w:szCs w:val="18"/>
        </w:rPr>
        <w:t>no tiene empleado propio</w:t>
      </w:r>
      <w:r w:rsidRPr="00E544EC">
        <w:rPr>
          <w:rFonts w:ascii="Verdana" w:hAnsi="Verdana"/>
          <w:sz w:val="18"/>
          <w:szCs w:val="18"/>
        </w:rPr>
        <w:t xml:space="preserve">, </w:t>
      </w:r>
    </w:p>
    <w:p w14:paraId="2879212B" w14:textId="77777777" w:rsidR="00E544EC" w:rsidRPr="00E544EC" w:rsidRDefault="00E544EC" w:rsidP="009148AF">
      <w:pPr>
        <w:numPr>
          <w:ilvl w:val="0"/>
          <w:numId w:val="93"/>
        </w:numPr>
        <w:spacing w:before="100" w:beforeAutospacing="1" w:after="100" w:afterAutospacing="1"/>
        <w:ind w:left="426" w:hanging="142"/>
        <w:jc w:val="both"/>
        <w:rPr>
          <w:rFonts w:ascii="Verdana" w:hAnsi="Verdana"/>
          <w:sz w:val="18"/>
          <w:szCs w:val="18"/>
        </w:rPr>
      </w:pPr>
      <w:r w:rsidRPr="00E544EC">
        <w:rPr>
          <w:rFonts w:ascii="Verdana" w:hAnsi="Verdana"/>
          <w:sz w:val="18"/>
          <w:szCs w:val="18"/>
        </w:rPr>
        <w:t xml:space="preserve">Pero dicha función se realiza por </w:t>
      </w:r>
      <w:r w:rsidRPr="00E544EC">
        <w:rPr>
          <w:rFonts w:ascii="Verdana" w:hAnsi="Verdana"/>
          <w:b/>
          <w:bCs/>
          <w:sz w:val="18"/>
          <w:szCs w:val="18"/>
        </w:rPr>
        <w:t>otra sociedad del grupo</w:t>
      </w:r>
      <w:r w:rsidRPr="00E544EC">
        <w:rPr>
          <w:rFonts w:ascii="Verdana" w:hAnsi="Verdana"/>
          <w:sz w:val="18"/>
          <w:szCs w:val="18"/>
        </w:rPr>
        <w:t xml:space="preserve">. </w:t>
      </w:r>
    </w:p>
    <w:p w14:paraId="1CD560ED" w14:textId="31236B6B" w:rsidR="00E544EC" w:rsidRPr="00E544EC" w:rsidRDefault="00E544EC" w:rsidP="009148AF">
      <w:pPr>
        <w:spacing w:before="100" w:beforeAutospacing="1" w:after="100" w:afterAutospacing="1"/>
        <w:ind w:left="426" w:hanging="142"/>
        <w:jc w:val="both"/>
        <w:outlineLvl w:val="2"/>
        <w:rPr>
          <w:rFonts w:ascii="Verdana" w:hAnsi="Verdana"/>
          <w:b/>
          <w:bCs/>
          <w:color w:val="C0504D" w:themeColor="accent2"/>
          <w:sz w:val="18"/>
          <w:szCs w:val="18"/>
        </w:rPr>
      </w:pPr>
      <w:r w:rsidRPr="00E544EC">
        <w:rPr>
          <w:rFonts w:ascii="Verdana" w:hAnsi="Verdana"/>
          <w:b/>
          <w:bCs/>
          <w:color w:val="C0504D" w:themeColor="accent2"/>
          <w:sz w:val="18"/>
          <w:szCs w:val="18"/>
        </w:rPr>
        <w:t>2. Hechos relevantes</w:t>
      </w:r>
    </w:p>
    <w:p w14:paraId="40F43732" w14:textId="36DCAE3B" w:rsidR="00E544EC" w:rsidRPr="00E544EC" w:rsidRDefault="00E544EC" w:rsidP="009148AF">
      <w:pPr>
        <w:numPr>
          <w:ilvl w:val="0"/>
          <w:numId w:val="94"/>
        </w:numPr>
        <w:spacing w:before="100" w:beforeAutospacing="1" w:after="100" w:afterAutospacing="1"/>
        <w:ind w:left="426" w:hanging="142"/>
        <w:jc w:val="both"/>
        <w:rPr>
          <w:rFonts w:ascii="Verdana" w:hAnsi="Verdana"/>
          <w:sz w:val="18"/>
          <w:szCs w:val="18"/>
        </w:rPr>
      </w:pPr>
      <w:r w:rsidRPr="00E544EC">
        <w:rPr>
          <w:rFonts w:ascii="Verdana" w:hAnsi="Verdana"/>
          <w:sz w:val="18"/>
          <w:szCs w:val="18"/>
        </w:rPr>
        <w:t xml:space="preserve">Donación de participaciones sociales de una sociedad holding a un hijo. </w:t>
      </w:r>
    </w:p>
    <w:p w14:paraId="73F63D7F" w14:textId="4B14D66A" w:rsidR="00E544EC" w:rsidRPr="00E544EC" w:rsidRDefault="00E544EC" w:rsidP="009148AF">
      <w:pPr>
        <w:numPr>
          <w:ilvl w:val="0"/>
          <w:numId w:val="94"/>
        </w:numPr>
        <w:spacing w:before="100" w:beforeAutospacing="1" w:after="100" w:afterAutospacing="1"/>
        <w:ind w:left="426" w:hanging="142"/>
        <w:jc w:val="both"/>
        <w:rPr>
          <w:rFonts w:ascii="Verdana" w:hAnsi="Verdana"/>
          <w:sz w:val="18"/>
          <w:szCs w:val="18"/>
        </w:rPr>
      </w:pPr>
      <w:r w:rsidRPr="00E544EC">
        <w:rPr>
          <w:rFonts w:ascii="Verdana" w:hAnsi="Verdana"/>
          <w:sz w:val="18"/>
          <w:szCs w:val="18"/>
        </w:rPr>
        <w:t xml:space="preserve">La sociedad participada se dedica al </w:t>
      </w:r>
      <w:r w:rsidRPr="00E544EC">
        <w:rPr>
          <w:rFonts w:ascii="Verdana" w:hAnsi="Verdana"/>
          <w:b/>
          <w:bCs/>
          <w:sz w:val="18"/>
          <w:szCs w:val="18"/>
        </w:rPr>
        <w:t>arrendamiento de fincas rústicas</w:t>
      </w:r>
      <w:r w:rsidRPr="00E544EC">
        <w:rPr>
          <w:rFonts w:ascii="Verdana" w:hAnsi="Verdana"/>
          <w:sz w:val="18"/>
          <w:szCs w:val="18"/>
        </w:rPr>
        <w:t xml:space="preserve">, sin empleados propios. </w:t>
      </w:r>
    </w:p>
    <w:p w14:paraId="48A22427" w14:textId="77777777" w:rsidR="00E544EC" w:rsidRPr="00E544EC" w:rsidRDefault="00E544EC" w:rsidP="009148AF">
      <w:pPr>
        <w:numPr>
          <w:ilvl w:val="0"/>
          <w:numId w:val="94"/>
        </w:numPr>
        <w:spacing w:before="100" w:beforeAutospacing="1" w:after="100" w:afterAutospacing="1"/>
        <w:ind w:left="426" w:hanging="142"/>
        <w:jc w:val="both"/>
        <w:rPr>
          <w:rFonts w:ascii="Verdana" w:hAnsi="Verdana"/>
          <w:sz w:val="18"/>
          <w:szCs w:val="18"/>
        </w:rPr>
      </w:pPr>
      <w:r w:rsidRPr="00E544EC">
        <w:rPr>
          <w:rFonts w:ascii="Verdana" w:hAnsi="Verdana"/>
          <w:sz w:val="18"/>
          <w:szCs w:val="18"/>
        </w:rPr>
        <w:t xml:space="preserve">La Administración niega la reducción al considerar que: </w:t>
      </w:r>
    </w:p>
    <w:p w14:paraId="0F51BF1E" w14:textId="77777777" w:rsidR="00E544EC" w:rsidRPr="00E544EC" w:rsidRDefault="00E544EC" w:rsidP="009148AF">
      <w:pPr>
        <w:numPr>
          <w:ilvl w:val="1"/>
          <w:numId w:val="94"/>
        </w:numPr>
        <w:spacing w:before="100" w:beforeAutospacing="1" w:after="100" w:afterAutospacing="1"/>
        <w:ind w:left="567" w:hanging="141"/>
        <w:jc w:val="both"/>
        <w:rPr>
          <w:rFonts w:ascii="Verdana" w:hAnsi="Verdana"/>
          <w:sz w:val="18"/>
          <w:szCs w:val="18"/>
        </w:rPr>
      </w:pPr>
      <w:r w:rsidRPr="00E544EC">
        <w:rPr>
          <w:rFonts w:ascii="Verdana" w:hAnsi="Verdana"/>
          <w:sz w:val="18"/>
          <w:szCs w:val="18"/>
        </w:rPr>
        <w:t xml:space="preserve">No existe </w:t>
      </w:r>
      <w:r w:rsidRPr="00E544EC">
        <w:rPr>
          <w:rFonts w:ascii="Verdana" w:hAnsi="Verdana"/>
          <w:b/>
          <w:bCs/>
          <w:sz w:val="18"/>
          <w:szCs w:val="18"/>
        </w:rPr>
        <w:t>actividad económica</w:t>
      </w:r>
      <w:r w:rsidRPr="00E544EC">
        <w:rPr>
          <w:rFonts w:ascii="Verdana" w:hAnsi="Verdana"/>
          <w:sz w:val="18"/>
          <w:szCs w:val="18"/>
        </w:rPr>
        <w:t xml:space="preserve"> (art. 27.2 LIRPF). </w:t>
      </w:r>
    </w:p>
    <w:p w14:paraId="4E1D984C" w14:textId="77777777" w:rsidR="00E544EC" w:rsidRPr="00E544EC" w:rsidRDefault="00E544EC" w:rsidP="009148AF">
      <w:pPr>
        <w:numPr>
          <w:ilvl w:val="1"/>
          <w:numId w:val="94"/>
        </w:numPr>
        <w:spacing w:before="100" w:beforeAutospacing="1" w:after="100" w:afterAutospacing="1"/>
        <w:ind w:left="567" w:hanging="141"/>
        <w:jc w:val="both"/>
        <w:rPr>
          <w:rFonts w:ascii="Verdana" w:hAnsi="Verdana"/>
          <w:sz w:val="18"/>
          <w:szCs w:val="18"/>
        </w:rPr>
      </w:pPr>
      <w:r w:rsidRPr="00E544EC">
        <w:rPr>
          <w:rFonts w:ascii="Verdana" w:hAnsi="Verdana"/>
          <w:sz w:val="18"/>
          <w:szCs w:val="18"/>
        </w:rPr>
        <w:t xml:space="preserve">Las participaciones constituyen </w:t>
      </w:r>
      <w:r w:rsidRPr="00E544EC">
        <w:rPr>
          <w:rFonts w:ascii="Verdana" w:hAnsi="Verdana"/>
          <w:b/>
          <w:bCs/>
          <w:sz w:val="18"/>
          <w:szCs w:val="18"/>
        </w:rPr>
        <w:t>activo no afecto</w:t>
      </w:r>
      <w:r w:rsidRPr="00E544EC">
        <w:rPr>
          <w:rFonts w:ascii="Verdana" w:hAnsi="Verdana"/>
          <w:sz w:val="18"/>
          <w:szCs w:val="18"/>
        </w:rPr>
        <w:t xml:space="preserve">. </w:t>
      </w:r>
    </w:p>
    <w:p w14:paraId="21B0D6FD" w14:textId="04B6F6F9" w:rsidR="00E544EC" w:rsidRPr="00E544EC" w:rsidRDefault="00E544EC" w:rsidP="009148AF">
      <w:pPr>
        <w:spacing w:before="100" w:beforeAutospacing="1" w:after="100" w:afterAutospacing="1"/>
        <w:ind w:left="426" w:hanging="142"/>
        <w:jc w:val="both"/>
        <w:outlineLvl w:val="2"/>
        <w:rPr>
          <w:rFonts w:ascii="Verdana" w:hAnsi="Verdana"/>
          <w:b/>
          <w:bCs/>
          <w:color w:val="C0504D" w:themeColor="accent2"/>
          <w:sz w:val="18"/>
          <w:szCs w:val="18"/>
        </w:rPr>
      </w:pPr>
      <w:r w:rsidRPr="00E544EC">
        <w:rPr>
          <w:rFonts w:ascii="Verdana" w:hAnsi="Verdana"/>
          <w:b/>
          <w:bCs/>
          <w:color w:val="C0504D" w:themeColor="accent2"/>
          <w:sz w:val="18"/>
          <w:szCs w:val="18"/>
        </w:rPr>
        <w:t>3. Cuestión jurídica de interés casacional</w:t>
      </w:r>
    </w:p>
    <w:p w14:paraId="18345E63" w14:textId="77777777" w:rsidR="00E544EC" w:rsidRPr="00E544EC" w:rsidRDefault="00E544EC" w:rsidP="009148AF">
      <w:pPr>
        <w:spacing w:before="100" w:beforeAutospacing="1" w:after="100" w:afterAutospacing="1"/>
        <w:ind w:left="426" w:hanging="142"/>
        <w:jc w:val="both"/>
        <w:rPr>
          <w:rFonts w:ascii="Verdana" w:hAnsi="Verdana"/>
          <w:sz w:val="18"/>
          <w:szCs w:val="18"/>
        </w:rPr>
      </w:pPr>
      <w:r w:rsidRPr="00E544EC">
        <w:rPr>
          <w:rFonts w:ascii="Verdana" w:hAnsi="Verdana"/>
          <w:sz w:val="18"/>
          <w:szCs w:val="18"/>
        </w:rPr>
        <w:t xml:space="preserve">Determinar si el requisito de contar con </w:t>
      </w:r>
      <w:r w:rsidRPr="00E544EC">
        <w:rPr>
          <w:rFonts w:ascii="Verdana" w:hAnsi="Verdana"/>
          <w:b/>
          <w:bCs/>
          <w:sz w:val="18"/>
          <w:szCs w:val="18"/>
        </w:rPr>
        <w:t>persona empleada a jornada completa</w:t>
      </w:r>
      <w:r w:rsidRPr="00E544EC">
        <w:rPr>
          <w:rFonts w:ascii="Verdana" w:hAnsi="Verdana"/>
          <w:sz w:val="18"/>
          <w:szCs w:val="18"/>
        </w:rPr>
        <w:t>:</w:t>
      </w:r>
    </w:p>
    <w:p w14:paraId="2C15B177" w14:textId="287371B1" w:rsidR="00E544EC" w:rsidRPr="00E544EC" w:rsidRDefault="00E544EC" w:rsidP="009148AF">
      <w:pPr>
        <w:spacing w:before="100" w:beforeAutospacing="1" w:after="100" w:afterAutospacing="1"/>
        <w:ind w:left="284"/>
        <w:jc w:val="both"/>
        <w:rPr>
          <w:rFonts w:ascii="Verdana" w:hAnsi="Verdana"/>
          <w:sz w:val="18"/>
          <w:szCs w:val="18"/>
        </w:rPr>
      </w:pPr>
      <w:r w:rsidRPr="00E544EC">
        <w:rPr>
          <w:rFonts w:ascii="Verdana" w:hAnsi="Verdana"/>
          <w:sz w:val="18"/>
          <w:szCs w:val="18"/>
        </w:rPr>
        <w:t xml:space="preserve">Puede entenderse cumplido por otra entidad del grupo, o debe cumplirse </w:t>
      </w:r>
      <w:r w:rsidRPr="00E544EC">
        <w:rPr>
          <w:rFonts w:ascii="Verdana" w:hAnsi="Verdana"/>
          <w:b/>
          <w:bCs/>
          <w:sz w:val="18"/>
          <w:szCs w:val="18"/>
        </w:rPr>
        <w:t xml:space="preserve">en la </w:t>
      </w:r>
      <w:r w:rsidR="0023770A" w:rsidRPr="00E544EC">
        <w:rPr>
          <w:rFonts w:ascii="Verdana" w:hAnsi="Verdana"/>
          <w:b/>
          <w:bCs/>
          <w:sz w:val="18"/>
          <w:szCs w:val="18"/>
        </w:rPr>
        <w:t>propia</w:t>
      </w:r>
      <w:r w:rsidR="0023770A">
        <w:rPr>
          <w:rFonts w:ascii="Verdana" w:hAnsi="Verdana"/>
          <w:b/>
          <w:bCs/>
          <w:sz w:val="18"/>
          <w:szCs w:val="18"/>
        </w:rPr>
        <w:t xml:space="preserve"> entidad</w:t>
      </w:r>
      <w:r w:rsidRPr="00E544EC">
        <w:rPr>
          <w:rFonts w:ascii="Verdana" w:hAnsi="Verdana"/>
          <w:sz w:val="18"/>
          <w:szCs w:val="18"/>
        </w:rPr>
        <w:t xml:space="preserve"> cuyas participaciones se transmiten. </w:t>
      </w:r>
    </w:p>
    <w:p w14:paraId="311DE4A5" w14:textId="22DF3CF1" w:rsidR="00E544EC" w:rsidRPr="00E544EC" w:rsidRDefault="00E544EC" w:rsidP="009148AF">
      <w:pPr>
        <w:spacing w:before="100" w:beforeAutospacing="1" w:after="100" w:afterAutospacing="1"/>
        <w:ind w:left="426" w:hanging="142"/>
        <w:jc w:val="both"/>
        <w:outlineLvl w:val="2"/>
        <w:rPr>
          <w:rFonts w:ascii="Verdana" w:hAnsi="Verdana"/>
          <w:b/>
          <w:bCs/>
          <w:color w:val="C0504D" w:themeColor="accent2"/>
          <w:sz w:val="18"/>
          <w:szCs w:val="18"/>
        </w:rPr>
      </w:pPr>
      <w:r w:rsidRPr="00E544EC">
        <w:rPr>
          <w:rFonts w:ascii="Verdana" w:hAnsi="Verdana"/>
          <w:b/>
          <w:bCs/>
          <w:color w:val="C0504D" w:themeColor="accent2"/>
          <w:sz w:val="18"/>
          <w:szCs w:val="18"/>
        </w:rPr>
        <w:t>4. Doctrina del Tribunal Supremo</w:t>
      </w:r>
    </w:p>
    <w:p w14:paraId="62D96648" w14:textId="268F13AE" w:rsidR="00E544EC" w:rsidRPr="00E544EC" w:rsidRDefault="00E544EC" w:rsidP="009148AF">
      <w:pPr>
        <w:spacing w:before="100" w:beforeAutospacing="1" w:after="100" w:afterAutospacing="1"/>
        <w:ind w:left="426" w:hanging="142"/>
        <w:jc w:val="both"/>
        <w:outlineLvl w:val="3"/>
        <w:rPr>
          <w:rFonts w:ascii="Verdana" w:hAnsi="Verdana"/>
          <w:b/>
          <w:bCs/>
          <w:sz w:val="18"/>
          <w:szCs w:val="18"/>
        </w:rPr>
      </w:pPr>
      <w:r w:rsidRPr="00E544EC">
        <w:rPr>
          <w:rFonts w:ascii="Verdana" w:hAnsi="Verdana"/>
          <w:b/>
          <w:bCs/>
          <w:sz w:val="18"/>
          <w:szCs w:val="18"/>
        </w:rPr>
        <w:t>a) Remisión exclusiva al IRPF</w:t>
      </w:r>
    </w:p>
    <w:p w14:paraId="4935B7EA" w14:textId="77777777" w:rsidR="00E544EC" w:rsidRDefault="00E544EC" w:rsidP="009148AF">
      <w:p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El Tribunal establece que:</w:t>
      </w:r>
    </w:p>
    <w:p w14:paraId="5B857943" w14:textId="77777777" w:rsidR="00E46303" w:rsidRPr="00E544EC" w:rsidRDefault="00E46303" w:rsidP="009148AF">
      <w:pPr>
        <w:spacing w:before="100" w:beforeAutospacing="1" w:after="100" w:afterAutospacing="1"/>
        <w:ind w:left="426" w:hanging="142"/>
        <w:contextualSpacing/>
        <w:jc w:val="both"/>
        <w:rPr>
          <w:rFonts w:ascii="Verdana" w:hAnsi="Verdana"/>
          <w:sz w:val="18"/>
          <w:szCs w:val="18"/>
        </w:rPr>
      </w:pPr>
    </w:p>
    <w:p w14:paraId="2CDD6B18" w14:textId="77777777" w:rsidR="00E544EC" w:rsidRPr="00E544EC" w:rsidRDefault="00E544EC" w:rsidP="009148AF">
      <w:pPr>
        <w:numPr>
          <w:ilvl w:val="0"/>
          <w:numId w:val="95"/>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La </w:t>
      </w:r>
      <w:r w:rsidRPr="00E544EC">
        <w:rPr>
          <w:rFonts w:ascii="Verdana" w:hAnsi="Verdana"/>
          <w:b/>
          <w:bCs/>
          <w:sz w:val="18"/>
          <w:szCs w:val="18"/>
        </w:rPr>
        <w:t xml:space="preserve">LISD </w:t>
      </w:r>
      <w:r w:rsidRPr="00E544EC">
        <w:rPr>
          <w:rFonts w:ascii="Arial" w:hAnsi="Arial" w:cs="Arial"/>
          <w:b/>
          <w:bCs/>
          <w:sz w:val="18"/>
          <w:szCs w:val="18"/>
        </w:rPr>
        <w:t>→</w:t>
      </w:r>
      <w:r w:rsidRPr="00E544EC">
        <w:rPr>
          <w:rFonts w:ascii="Verdana" w:hAnsi="Verdana"/>
          <w:b/>
          <w:bCs/>
          <w:sz w:val="18"/>
          <w:szCs w:val="18"/>
        </w:rPr>
        <w:t xml:space="preserve"> LIP </w:t>
      </w:r>
      <w:r w:rsidRPr="00E544EC">
        <w:rPr>
          <w:rFonts w:ascii="Arial" w:hAnsi="Arial" w:cs="Arial"/>
          <w:b/>
          <w:bCs/>
          <w:sz w:val="18"/>
          <w:szCs w:val="18"/>
        </w:rPr>
        <w:t>→</w:t>
      </w:r>
      <w:r w:rsidRPr="00E544EC">
        <w:rPr>
          <w:rFonts w:ascii="Verdana" w:hAnsi="Verdana"/>
          <w:b/>
          <w:bCs/>
          <w:sz w:val="18"/>
          <w:szCs w:val="18"/>
        </w:rPr>
        <w:t xml:space="preserve"> LIRPF</w:t>
      </w:r>
      <w:r w:rsidRPr="00E544EC">
        <w:rPr>
          <w:rFonts w:ascii="Verdana" w:hAnsi="Verdana"/>
          <w:sz w:val="18"/>
          <w:szCs w:val="18"/>
        </w:rPr>
        <w:t xml:space="preserve"> configura un sistema cerrado. </w:t>
      </w:r>
    </w:p>
    <w:p w14:paraId="45623E73" w14:textId="77777777" w:rsidR="00E544EC" w:rsidRPr="00E544EC" w:rsidRDefault="00E544EC" w:rsidP="009148AF">
      <w:pPr>
        <w:numPr>
          <w:ilvl w:val="0"/>
          <w:numId w:val="95"/>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La existencia de actividad económica debe analizarse </w:t>
      </w:r>
      <w:r w:rsidRPr="00E544EC">
        <w:rPr>
          <w:rFonts w:ascii="Verdana" w:hAnsi="Verdana"/>
          <w:b/>
          <w:bCs/>
          <w:sz w:val="18"/>
          <w:szCs w:val="18"/>
        </w:rPr>
        <w:t>únicamente conforme al art. 27 LIRPF</w:t>
      </w:r>
      <w:r w:rsidRPr="00E544EC">
        <w:rPr>
          <w:rFonts w:ascii="Verdana" w:hAnsi="Verdana"/>
          <w:sz w:val="18"/>
          <w:szCs w:val="18"/>
        </w:rPr>
        <w:t xml:space="preserve">. </w:t>
      </w:r>
    </w:p>
    <w:p w14:paraId="6502AD99" w14:textId="59F2B8DA" w:rsidR="00E544EC" w:rsidRPr="00E544EC" w:rsidRDefault="00E544EC" w:rsidP="009148AF">
      <w:pPr>
        <w:spacing w:before="100" w:beforeAutospacing="1" w:after="100" w:afterAutospacing="1"/>
        <w:ind w:left="426" w:hanging="142"/>
        <w:jc w:val="both"/>
        <w:rPr>
          <w:rFonts w:ascii="Verdana" w:hAnsi="Verdana"/>
          <w:sz w:val="18"/>
          <w:szCs w:val="18"/>
        </w:rPr>
      </w:pPr>
      <w:r w:rsidRPr="00E544EC">
        <w:rPr>
          <w:rFonts w:ascii="Verdana" w:hAnsi="Verdana"/>
          <w:sz w:val="18"/>
          <w:szCs w:val="18"/>
        </w:rPr>
        <w:t>Se rechaza acudir al concepto de grupo del Impuesto sobre Sociedades.</w:t>
      </w:r>
    </w:p>
    <w:p w14:paraId="24A9A7B1" w14:textId="4FAA5757" w:rsidR="00E544EC" w:rsidRPr="00E544EC" w:rsidRDefault="00E544EC" w:rsidP="009148AF">
      <w:pPr>
        <w:spacing w:before="100" w:beforeAutospacing="1" w:after="100" w:afterAutospacing="1"/>
        <w:ind w:left="426" w:hanging="142"/>
        <w:jc w:val="both"/>
        <w:outlineLvl w:val="3"/>
        <w:rPr>
          <w:rFonts w:ascii="Verdana" w:hAnsi="Verdana"/>
          <w:b/>
          <w:bCs/>
          <w:sz w:val="18"/>
          <w:szCs w:val="18"/>
        </w:rPr>
      </w:pPr>
      <w:r w:rsidRPr="00E544EC">
        <w:rPr>
          <w:rFonts w:ascii="Verdana" w:hAnsi="Verdana"/>
          <w:b/>
          <w:bCs/>
          <w:sz w:val="18"/>
          <w:szCs w:val="18"/>
        </w:rPr>
        <w:t>b) Rechazo del “enfoque de grupo”</w:t>
      </w:r>
    </w:p>
    <w:p w14:paraId="1B92E65A" w14:textId="77777777" w:rsidR="00E544EC" w:rsidRPr="00E544EC" w:rsidRDefault="00E544EC" w:rsidP="009148AF">
      <w:p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No es válido:</w:t>
      </w:r>
    </w:p>
    <w:p w14:paraId="6D9BD53F" w14:textId="77777777" w:rsidR="00E544EC" w:rsidRPr="00E544EC" w:rsidRDefault="00E544EC" w:rsidP="009148AF">
      <w:pPr>
        <w:numPr>
          <w:ilvl w:val="0"/>
          <w:numId w:val="96"/>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Integrar medios humanos de otras sociedades del grupo. </w:t>
      </w:r>
    </w:p>
    <w:p w14:paraId="0E50C7D4" w14:textId="77777777" w:rsidR="00E544EC" w:rsidRPr="00E544EC" w:rsidRDefault="00E544EC" w:rsidP="009148AF">
      <w:pPr>
        <w:numPr>
          <w:ilvl w:val="0"/>
          <w:numId w:val="96"/>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Aplicar el art. 5 LIS (actividad económica en grupos). </w:t>
      </w:r>
    </w:p>
    <w:p w14:paraId="4C0EBFE5" w14:textId="54E57DC5" w:rsidR="00E544EC" w:rsidRPr="00E544EC" w:rsidRDefault="00E544EC" w:rsidP="009148AF">
      <w:pPr>
        <w:spacing w:before="100" w:beforeAutospacing="1" w:after="100" w:afterAutospacing="1"/>
        <w:ind w:left="426" w:hanging="142"/>
        <w:jc w:val="both"/>
        <w:rPr>
          <w:rFonts w:ascii="Verdana" w:hAnsi="Verdana"/>
          <w:sz w:val="18"/>
          <w:szCs w:val="18"/>
        </w:rPr>
      </w:pPr>
      <w:r w:rsidRPr="00E544EC">
        <w:rPr>
          <w:rFonts w:ascii="Verdana" w:hAnsi="Verdana"/>
          <w:sz w:val="18"/>
          <w:szCs w:val="18"/>
        </w:rPr>
        <w:t xml:space="preserve">La actividad debe valorarse </w:t>
      </w:r>
      <w:r w:rsidRPr="00E544EC">
        <w:rPr>
          <w:rFonts w:ascii="Verdana" w:hAnsi="Verdana"/>
          <w:b/>
          <w:bCs/>
          <w:sz w:val="18"/>
          <w:szCs w:val="18"/>
        </w:rPr>
        <w:t>individualmente en cada entidad</w:t>
      </w:r>
      <w:r w:rsidRPr="00E544EC">
        <w:rPr>
          <w:rFonts w:ascii="Verdana" w:hAnsi="Verdana"/>
          <w:sz w:val="18"/>
          <w:szCs w:val="18"/>
        </w:rPr>
        <w:t>.</w:t>
      </w:r>
    </w:p>
    <w:p w14:paraId="178E360E" w14:textId="0316CE41" w:rsidR="00E544EC" w:rsidRPr="00E544EC" w:rsidRDefault="00E544EC" w:rsidP="009148AF">
      <w:pPr>
        <w:spacing w:before="100" w:beforeAutospacing="1" w:after="100" w:afterAutospacing="1"/>
        <w:ind w:left="426" w:hanging="142"/>
        <w:jc w:val="both"/>
        <w:outlineLvl w:val="3"/>
        <w:rPr>
          <w:rFonts w:ascii="Verdana" w:hAnsi="Verdana"/>
          <w:b/>
          <w:bCs/>
          <w:sz w:val="18"/>
          <w:szCs w:val="18"/>
        </w:rPr>
      </w:pPr>
      <w:r w:rsidRPr="00E544EC">
        <w:rPr>
          <w:rFonts w:ascii="Verdana" w:hAnsi="Verdana"/>
          <w:b/>
          <w:bCs/>
          <w:sz w:val="18"/>
          <w:szCs w:val="18"/>
        </w:rPr>
        <w:t>c) Requisito del empleado</w:t>
      </w:r>
    </w:p>
    <w:p w14:paraId="45BC7367" w14:textId="77777777" w:rsidR="00E544EC" w:rsidRPr="00E544EC" w:rsidRDefault="00E544EC" w:rsidP="009148AF">
      <w:pPr>
        <w:spacing w:before="100" w:beforeAutospacing="1" w:after="100" w:afterAutospacing="1"/>
        <w:ind w:left="426" w:hanging="142"/>
        <w:jc w:val="both"/>
        <w:rPr>
          <w:rFonts w:ascii="Verdana" w:hAnsi="Verdana"/>
          <w:sz w:val="18"/>
          <w:szCs w:val="18"/>
        </w:rPr>
      </w:pPr>
      <w:r w:rsidRPr="00E544EC">
        <w:rPr>
          <w:rFonts w:ascii="Verdana" w:hAnsi="Verdana"/>
          <w:sz w:val="18"/>
          <w:szCs w:val="18"/>
        </w:rPr>
        <w:t>En actividades de arrendamiento:</w:t>
      </w:r>
    </w:p>
    <w:p w14:paraId="69A418B9" w14:textId="77777777" w:rsidR="00E544EC" w:rsidRPr="00E544EC" w:rsidRDefault="00E544EC" w:rsidP="009148AF">
      <w:pPr>
        <w:numPr>
          <w:ilvl w:val="0"/>
          <w:numId w:val="97"/>
        </w:numPr>
        <w:spacing w:before="100" w:beforeAutospacing="1" w:after="100" w:afterAutospacing="1"/>
        <w:ind w:left="426" w:hanging="142"/>
        <w:jc w:val="both"/>
        <w:rPr>
          <w:rFonts w:ascii="Verdana" w:hAnsi="Verdana"/>
          <w:sz w:val="18"/>
          <w:szCs w:val="18"/>
        </w:rPr>
      </w:pPr>
      <w:r w:rsidRPr="00E544EC">
        <w:rPr>
          <w:rFonts w:ascii="Verdana" w:hAnsi="Verdana"/>
          <w:sz w:val="18"/>
          <w:szCs w:val="18"/>
        </w:rPr>
        <w:t xml:space="preserve">Es imprescindible que la entidad tenga: </w:t>
      </w:r>
    </w:p>
    <w:p w14:paraId="57555709" w14:textId="2AC1130F" w:rsidR="00E544EC" w:rsidRPr="00E544EC" w:rsidRDefault="00E544EC" w:rsidP="0023770A">
      <w:pPr>
        <w:numPr>
          <w:ilvl w:val="1"/>
          <w:numId w:val="97"/>
        </w:numPr>
        <w:spacing w:before="100" w:beforeAutospacing="1" w:after="100" w:afterAutospacing="1"/>
        <w:ind w:left="426" w:firstLine="283"/>
        <w:jc w:val="both"/>
        <w:rPr>
          <w:rFonts w:ascii="Verdana" w:hAnsi="Verdana"/>
          <w:sz w:val="18"/>
          <w:szCs w:val="18"/>
        </w:rPr>
      </w:pPr>
      <w:r w:rsidRPr="00E544EC">
        <w:rPr>
          <w:rFonts w:ascii="Verdana" w:hAnsi="Verdana"/>
          <w:b/>
          <w:bCs/>
          <w:sz w:val="18"/>
          <w:szCs w:val="18"/>
        </w:rPr>
        <w:lastRenderedPageBreak/>
        <w:t>Empleado propio</w:t>
      </w:r>
      <w:r w:rsidRPr="00E544EC">
        <w:rPr>
          <w:rFonts w:ascii="Verdana" w:hAnsi="Verdana"/>
          <w:sz w:val="18"/>
          <w:szCs w:val="18"/>
        </w:rPr>
        <w:t xml:space="preserve"> </w:t>
      </w:r>
    </w:p>
    <w:p w14:paraId="7FF8C856" w14:textId="520C48A1" w:rsidR="00E544EC" w:rsidRPr="00E544EC" w:rsidRDefault="00E46303" w:rsidP="00E46303">
      <w:pPr>
        <w:numPr>
          <w:ilvl w:val="1"/>
          <w:numId w:val="97"/>
        </w:numPr>
        <w:spacing w:before="100" w:beforeAutospacing="1" w:after="100" w:afterAutospacing="1"/>
        <w:ind w:left="426" w:firstLine="850"/>
        <w:jc w:val="both"/>
        <w:rPr>
          <w:rFonts w:ascii="Verdana" w:hAnsi="Verdana"/>
          <w:sz w:val="18"/>
          <w:szCs w:val="18"/>
        </w:rPr>
      </w:pPr>
      <w:r>
        <w:rPr>
          <w:rFonts w:ascii="Verdana" w:hAnsi="Verdana"/>
          <w:sz w:val="18"/>
          <w:szCs w:val="18"/>
        </w:rPr>
        <w:t xml:space="preserve"> </w:t>
      </w:r>
      <w:r w:rsidR="00E544EC" w:rsidRPr="00E544EC">
        <w:rPr>
          <w:rFonts w:ascii="Verdana" w:hAnsi="Verdana"/>
          <w:sz w:val="18"/>
          <w:szCs w:val="18"/>
        </w:rPr>
        <w:t xml:space="preserve">Con contrato laboral, </w:t>
      </w:r>
    </w:p>
    <w:p w14:paraId="062A83CE" w14:textId="3C4B2B18" w:rsidR="00E544EC" w:rsidRPr="00E544EC" w:rsidRDefault="00E46303" w:rsidP="00E46303">
      <w:pPr>
        <w:numPr>
          <w:ilvl w:val="1"/>
          <w:numId w:val="97"/>
        </w:numPr>
        <w:spacing w:before="100" w:beforeAutospacing="1" w:after="100" w:afterAutospacing="1"/>
        <w:ind w:left="426" w:firstLine="850"/>
        <w:jc w:val="both"/>
        <w:rPr>
          <w:rFonts w:ascii="Verdana" w:hAnsi="Verdana"/>
          <w:sz w:val="18"/>
          <w:szCs w:val="18"/>
        </w:rPr>
      </w:pPr>
      <w:r>
        <w:rPr>
          <w:rFonts w:ascii="Verdana" w:hAnsi="Verdana"/>
          <w:sz w:val="18"/>
          <w:szCs w:val="18"/>
        </w:rPr>
        <w:t xml:space="preserve"> </w:t>
      </w:r>
      <w:r w:rsidR="00E544EC" w:rsidRPr="00E544EC">
        <w:rPr>
          <w:rFonts w:ascii="Verdana" w:hAnsi="Verdana"/>
          <w:sz w:val="18"/>
          <w:szCs w:val="18"/>
        </w:rPr>
        <w:t xml:space="preserve">A jornada completa. </w:t>
      </w:r>
    </w:p>
    <w:p w14:paraId="280F335B" w14:textId="1CF3455E" w:rsidR="00E544EC" w:rsidRPr="00E544EC" w:rsidRDefault="00E544EC" w:rsidP="009148AF">
      <w:pPr>
        <w:spacing w:before="100" w:beforeAutospacing="1" w:after="100" w:afterAutospacing="1"/>
        <w:ind w:left="426" w:hanging="142"/>
        <w:jc w:val="both"/>
        <w:rPr>
          <w:rFonts w:ascii="Verdana" w:hAnsi="Verdana"/>
          <w:sz w:val="18"/>
          <w:szCs w:val="18"/>
        </w:rPr>
      </w:pPr>
      <w:r w:rsidRPr="00E544EC">
        <w:rPr>
          <w:rFonts w:ascii="Verdana" w:hAnsi="Verdana"/>
          <w:sz w:val="18"/>
          <w:szCs w:val="18"/>
        </w:rPr>
        <w:t xml:space="preserve">La externalización o centralización en el grupo </w:t>
      </w:r>
      <w:r w:rsidRPr="00E544EC">
        <w:rPr>
          <w:rFonts w:ascii="Verdana" w:hAnsi="Verdana"/>
          <w:b/>
          <w:bCs/>
          <w:sz w:val="18"/>
          <w:szCs w:val="18"/>
        </w:rPr>
        <w:t>no cumple el requisito</w:t>
      </w:r>
      <w:r w:rsidRPr="00E544EC">
        <w:rPr>
          <w:rFonts w:ascii="Verdana" w:hAnsi="Verdana"/>
          <w:sz w:val="18"/>
          <w:szCs w:val="18"/>
        </w:rPr>
        <w:t>.</w:t>
      </w:r>
    </w:p>
    <w:p w14:paraId="16C77A0A" w14:textId="3BB8F201" w:rsidR="00E544EC" w:rsidRPr="00E544EC" w:rsidRDefault="00E544EC" w:rsidP="009148AF">
      <w:pPr>
        <w:spacing w:before="100" w:beforeAutospacing="1" w:after="100" w:afterAutospacing="1"/>
        <w:ind w:left="426" w:hanging="142"/>
        <w:jc w:val="both"/>
        <w:outlineLvl w:val="2"/>
        <w:rPr>
          <w:rFonts w:ascii="Verdana" w:hAnsi="Verdana"/>
          <w:b/>
          <w:bCs/>
          <w:color w:val="C0504D" w:themeColor="accent2"/>
          <w:sz w:val="18"/>
          <w:szCs w:val="18"/>
        </w:rPr>
      </w:pPr>
      <w:r w:rsidRPr="00E544EC">
        <w:rPr>
          <w:rFonts w:ascii="Verdana" w:hAnsi="Verdana"/>
          <w:b/>
          <w:bCs/>
          <w:color w:val="C0504D" w:themeColor="accent2"/>
          <w:sz w:val="18"/>
          <w:szCs w:val="18"/>
        </w:rPr>
        <w:t>5. Fallo</w:t>
      </w:r>
    </w:p>
    <w:p w14:paraId="7DA18554" w14:textId="77777777" w:rsidR="00E544EC" w:rsidRPr="00E544EC" w:rsidRDefault="00E544EC" w:rsidP="009148AF">
      <w:p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El Tribunal Supremo:</w:t>
      </w:r>
    </w:p>
    <w:p w14:paraId="3884F475" w14:textId="77777777" w:rsidR="00E544EC" w:rsidRPr="00E544EC" w:rsidRDefault="00E544EC" w:rsidP="009148AF">
      <w:pPr>
        <w:numPr>
          <w:ilvl w:val="0"/>
          <w:numId w:val="98"/>
        </w:numPr>
        <w:spacing w:before="100" w:beforeAutospacing="1" w:after="100" w:afterAutospacing="1"/>
        <w:ind w:left="426" w:hanging="142"/>
        <w:contextualSpacing/>
        <w:jc w:val="both"/>
        <w:rPr>
          <w:rFonts w:ascii="Verdana" w:hAnsi="Verdana"/>
          <w:sz w:val="18"/>
          <w:szCs w:val="18"/>
        </w:rPr>
      </w:pPr>
      <w:r w:rsidRPr="00E544EC">
        <w:rPr>
          <w:rFonts w:ascii="Verdana" w:hAnsi="Verdana"/>
          <w:b/>
          <w:bCs/>
          <w:sz w:val="18"/>
          <w:szCs w:val="18"/>
        </w:rPr>
        <w:t>Desestima el recurso de casación</w:t>
      </w:r>
      <w:r w:rsidRPr="00E544EC">
        <w:rPr>
          <w:rFonts w:ascii="Verdana" w:hAnsi="Verdana"/>
          <w:sz w:val="18"/>
          <w:szCs w:val="18"/>
        </w:rPr>
        <w:t xml:space="preserve">, </w:t>
      </w:r>
    </w:p>
    <w:p w14:paraId="5FA2F99A" w14:textId="77777777" w:rsidR="00E544EC" w:rsidRPr="00E544EC" w:rsidRDefault="00E544EC" w:rsidP="009148AF">
      <w:pPr>
        <w:numPr>
          <w:ilvl w:val="0"/>
          <w:numId w:val="98"/>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Confirma la regularización administrativa, </w:t>
      </w:r>
    </w:p>
    <w:p w14:paraId="0A4E85A1" w14:textId="77777777" w:rsidR="00E544EC" w:rsidRPr="00E544EC" w:rsidRDefault="00E544EC" w:rsidP="009148AF">
      <w:pPr>
        <w:numPr>
          <w:ilvl w:val="0"/>
          <w:numId w:val="98"/>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Niega la aplicación de la reducción del art. 20.6 LISD. </w:t>
      </w:r>
    </w:p>
    <w:p w14:paraId="3B2BD8D9" w14:textId="0002FC38" w:rsidR="00E544EC" w:rsidRPr="00E544EC" w:rsidRDefault="00E544EC" w:rsidP="009148AF">
      <w:pPr>
        <w:spacing w:before="100" w:beforeAutospacing="1" w:after="100" w:afterAutospacing="1"/>
        <w:ind w:left="426" w:hanging="142"/>
        <w:jc w:val="both"/>
        <w:outlineLvl w:val="1"/>
        <w:rPr>
          <w:rFonts w:ascii="Verdana" w:hAnsi="Verdana"/>
          <w:b/>
          <w:bCs/>
          <w:color w:val="C0504D" w:themeColor="accent2"/>
          <w:sz w:val="18"/>
          <w:szCs w:val="18"/>
        </w:rPr>
      </w:pPr>
      <w:r w:rsidRPr="00E544EC">
        <w:rPr>
          <w:rFonts w:ascii="Verdana" w:hAnsi="Verdana"/>
          <w:b/>
          <w:bCs/>
          <w:color w:val="C0504D" w:themeColor="accent2"/>
          <w:sz w:val="18"/>
          <w:szCs w:val="18"/>
        </w:rPr>
        <w:t>6. Doctrina jurisprudencial fijada</w:t>
      </w:r>
    </w:p>
    <w:p w14:paraId="1C2ADFD1" w14:textId="4128EC73" w:rsidR="00E544EC" w:rsidRPr="00E544EC" w:rsidRDefault="00E544EC" w:rsidP="009148AF">
      <w:pPr>
        <w:spacing w:before="100" w:beforeAutospacing="1" w:after="100" w:afterAutospacing="1"/>
        <w:ind w:left="426" w:hanging="142"/>
        <w:jc w:val="both"/>
        <w:rPr>
          <w:rFonts w:ascii="Verdana" w:hAnsi="Verdana"/>
          <w:sz w:val="18"/>
          <w:szCs w:val="18"/>
        </w:rPr>
      </w:pPr>
      <w:r w:rsidRPr="00E544EC">
        <w:rPr>
          <w:rFonts w:ascii="Verdana" w:hAnsi="Verdana"/>
          <w:b/>
          <w:bCs/>
          <w:sz w:val="18"/>
          <w:szCs w:val="18"/>
        </w:rPr>
        <w:t>Principio clave:</w:t>
      </w:r>
    </w:p>
    <w:p w14:paraId="33D911D8" w14:textId="77777777" w:rsidR="00E544EC" w:rsidRDefault="00E544EC" w:rsidP="00E46303">
      <w:pPr>
        <w:spacing w:before="100" w:beforeAutospacing="1" w:after="100" w:afterAutospacing="1"/>
        <w:ind w:left="284"/>
        <w:jc w:val="both"/>
        <w:rPr>
          <w:rFonts w:ascii="Verdana" w:hAnsi="Verdana"/>
          <w:sz w:val="18"/>
          <w:szCs w:val="18"/>
        </w:rPr>
      </w:pPr>
      <w:r w:rsidRPr="00E544EC">
        <w:rPr>
          <w:rFonts w:ascii="Verdana" w:hAnsi="Verdana"/>
          <w:sz w:val="18"/>
          <w:szCs w:val="18"/>
        </w:rPr>
        <w:t>El requisito de actividad económica en el arrendamiento de inmuebles debe cumplirse en la propia entidad, sin que pueda suplirse con medios personales de otras sociedades del grupo.</w:t>
      </w:r>
    </w:p>
    <w:p w14:paraId="3694F5B2" w14:textId="00021969" w:rsidR="009148AF" w:rsidRPr="00E544EC" w:rsidRDefault="009148AF" w:rsidP="00E46303">
      <w:pPr>
        <w:spacing w:before="100" w:beforeAutospacing="1" w:after="100" w:afterAutospacing="1"/>
        <w:ind w:left="284"/>
        <w:jc w:val="both"/>
        <w:rPr>
          <w:rFonts w:ascii="Verdana" w:hAnsi="Verdana"/>
          <w:sz w:val="18"/>
          <w:szCs w:val="18"/>
        </w:rPr>
      </w:pPr>
      <w:r w:rsidRPr="009148AF">
        <w:rPr>
          <w:rFonts w:ascii="Verdana" w:hAnsi="Verdana"/>
          <w:sz w:val="18"/>
          <w:szCs w:val="18"/>
        </w:rPr>
        <w:t xml:space="preserve">Este criterio permite concluir que los grupos de sociedades siguen obligados a acreditar la contratación de un empleado a jornada completa en cada empresa familiar dedicada al arrendamiento de inmuebles, salvo que, </w:t>
      </w:r>
      <w:r w:rsidRPr="009148AF">
        <w:rPr>
          <w:rFonts w:ascii="Verdana" w:hAnsi="Verdana"/>
          <w:b/>
          <w:bCs/>
          <w:sz w:val="18"/>
          <w:szCs w:val="18"/>
        </w:rPr>
        <w:t>en un análisis caso por caso, se demuestre la existencia de una verdadera unidad económico-funcional a nivel de grupo</w:t>
      </w:r>
      <w:r w:rsidRPr="009148AF">
        <w:rPr>
          <w:rFonts w:ascii="Verdana" w:hAnsi="Verdana"/>
          <w:sz w:val="18"/>
          <w:szCs w:val="18"/>
        </w:rPr>
        <w:t>.</w:t>
      </w:r>
    </w:p>
    <w:p w14:paraId="54F14EF8" w14:textId="04A52D45" w:rsidR="00E544EC" w:rsidRPr="00E544EC" w:rsidRDefault="00E544EC" w:rsidP="009148AF">
      <w:pPr>
        <w:spacing w:before="100" w:beforeAutospacing="1" w:after="100" w:afterAutospacing="1"/>
        <w:ind w:left="426" w:hanging="142"/>
        <w:jc w:val="both"/>
        <w:outlineLvl w:val="1"/>
        <w:rPr>
          <w:rFonts w:ascii="Verdana" w:hAnsi="Verdana"/>
          <w:b/>
          <w:bCs/>
          <w:color w:val="C0504D" w:themeColor="accent2"/>
          <w:sz w:val="18"/>
          <w:szCs w:val="18"/>
        </w:rPr>
      </w:pPr>
      <w:r w:rsidRPr="00E544EC">
        <w:rPr>
          <w:rFonts w:ascii="Verdana" w:hAnsi="Verdana"/>
          <w:b/>
          <w:bCs/>
          <w:color w:val="C0504D" w:themeColor="accent2"/>
          <w:sz w:val="18"/>
          <w:szCs w:val="18"/>
        </w:rPr>
        <w:t>7. Relevancia práctica</w:t>
      </w:r>
    </w:p>
    <w:p w14:paraId="486F5729" w14:textId="13F4F12E" w:rsidR="00E544EC" w:rsidRPr="00E544EC" w:rsidRDefault="00E544EC" w:rsidP="009148AF">
      <w:pPr>
        <w:spacing w:before="100" w:beforeAutospacing="1" w:after="100" w:afterAutospacing="1"/>
        <w:ind w:left="426" w:hanging="142"/>
        <w:contextualSpacing/>
        <w:jc w:val="both"/>
        <w:outlineLvl w:val="2"/>
        <w:rPr>
          <w:rFonts w:ascii="Verdana" w:hAnsi="Verdana"/>
          <w:b/>
          <w:bCs/>
          <w:sz w:val="18"/>
          <w:szCs w:val="18"/>
        </w:rPr>
      </w:pPr>
      <w:r w:rsidRPr="00E544EC">
        <w:rPr>
          <w:rFonts w:ascii="Verdana" w:hAnsi="Verdana"/>
          <w:b/>
          <w:bCs/>
          <w:sz w:val="18"/>
          <w:szCs w:val="18"/>
        </w:rPr>
        <w:t>Impacto en planificación fiscal</w:t>
      </w:r>
    </w:p>
    <w:p w14:paraId="726F9C47" w14:textId="77777777" w:rsidR="00E544EC" w:rsidRPr="00E544EC" w:rsidRDefault="00E544EC" w:rsidP="009148AF">
      <w:pPr>
        <w:numPr>
          <w:ilvl w:val="0"/>
          <w:numId w:val="99"/>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Refuerza un criterio </w:t>
      </w:r>
      <w:r w:rsidRPr="00E544EC">
        <w:rPr>
          <w:rFonts w:ascii="Verdana" w:hAnsi="Verdana"/>
          <w:b/>
          <w:bCs/>
          <w:sz w:val="18"/>
          <w:szCs w:val="18"/>
        </w:rPr>
        <w:t>formalista y restrictivo</w:t>
      </w:r>
      <w:r w:rsidRPr="00E544EC">
        <w:rPr>
          <w:rFonts w:ascii="Verdana" w:hAnsi="Verdana"/>
          <w:sz w:val="18"/>
          <w:szCs w:val="18"/>
        </w:rPr>
        <w:t xml:space="preserve">. </w:t>
      </w:r>
    </w:p>
    <w:p w14:paraId="3ECB4E92" w14:textId="77777777" w:rsidR="00E544EC" w:rsidRPr="00E544EC" w:rsidRDefault="00E544EC" w:rsidP="009148AF">
      <w:pPr>
        <w:numPr>
          <w:ilvl w:val="0"/>
          <w:numId w:val="99"/>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Limita estructuras de </w:t>
      </w:r>
      <w:r w:rsidRPr="00E544EC">
        <w:rPr>
          <w:rFonts w:ascii="Verdana" w:hAnsi="Verdana"/>
          <w:b/>
          <w:bCs/>
          <w:sz w:val="18"/>
          <w:szCs w:val="18"/>
        </w:rPr>
        <w:t>holding o grupos familiares</w:t>
      </w:r>
      <w:r w:rsidRPr="00E544EC">
        <w:rPr>
          <w:rFonts w:ascii="Verdana" w:hAnsi="Verdana"/>
          <w:sz w:val="18"/>
          <w:szCs w:val="18"/>
        </w:rPr>
        <w:t xml:space="preserve">. </w:t>
      </w:r>
    </w:p>
    <w:p w14:paraId="447C9406" w14:textId="77777777" w:rsidR="00AE3130" w:rsidRDefault="00AE3130" w:rsidP="009148AF">
      <w:pPr>
        <w:spacing w:before="100" w:beforeAutospacing="1" w:after="100" w:afterAutospacing="1"/>
        <w:ind w:left="426" w:hanging="142"/>
        <w:jc w:val="both"/>
        <w:outlineLvl w:val="2"/>
        <w:rPr>
          <w:rFonts w:ascii="Verdana" w:hAnsi="Verdana"/>
          <w:b/>
          <w:bCs/>
          <w:sz w:val="18"/>
          <w:szCs w:val="18"/>
        </w:rPr>
      </w:pPr>
    </w:p>
    <w:p w14:paraId="18921DC5" w14:textId="08872AAB" w:rsidR="00E544EC" w:rsidRPr="00E544EC" w:rsidRDefault="0023770A" w:rsidP="009148AF">
      <w:pPr>
        <w:spacing w:before="100" w:beforeAutospacing="1" w:after="100" w:afterAutospacing="1"/>
        <w:ind w:left="426" w:hanging="142"/>
        <w:contextualSpacing/>
        <w:jc w:val="both"/>
        <w:outlineLvl w:val="2"/>
        <w:rPr>
          <w:rFonts w:ascii="Verdana" w:hAnsi="Verdana"/>
          <w:b/>
          <w:bCs/>
          <w:sz w:val="18"/>
          <w:szCs w:val="18"/>
        </w:rPr>
      </w:pPr>
      <w:r>
        <w:rPr>
          <w:rFonts w:ascii="Verdana" w:hAnsi="Verdana"/>
          <w:b/>
          <w:bCs/>
          <w:sz w:val="18"/>
          <w:szCs w:val="18"/>
        </w:rPr>
        <w:t>C</w:t>
      </w:r>
      <w:r w:rsidR="00E544EC" w:rsidRPr="00E544EC">
        <w:rPr>
          <w:rFonts w:ascii="Verdana" w:hAnsi="Verdana"/>
          <w:b/>
          <w:bCs/>
          <w:sz w:val="18"/>
          <w:szCs w:val="18"/>
        </w:rPr>
        <w:t>onsecuencias</w:t>
      </w:r>
    </w:p>
    <w:p w14:paraId="388CC32B" w14:textId="77777777" w:rsidR="00E544EC" w:rsidRPr="00E544EC" w:rsidRDefault="00E544EC" w:rsidP="009148AF">
      <w:pPr>
        <w:numPr>
          <w:ilvl w:val="0"/>
          <w:numId w:val="100"/>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Riesgo de pérdida de beneficios fiscales en ISD. </w:t>
      </w:r>
    </w:p>
    <w:p w14:paraId="0B280FBB" w14:textId="77777777" w:rsidR="00E544EC" w:rsidRPr="00E544EC" w:rsidRDefault="00E544EC" w:rsidP="009148AF">
      <w:pPr>
        <w:numPr>
          <w:ilvl w:val="0"/>
          <w:numId w:val="100"/>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Necesidad de: </w:t>
      </w:r>
    </w:p>
    <w:p w14:paraId="1AF03AE0" w14:textId="77777777" w:rsidR="00E544EC" w:rsidRPr="00E544EC" w:rsidRDefault="00E544EC" w:rsidP="009148AF">
      <w:pPr>
        <w:numPr>
          <w:ilvl w:val="1"/>
          <w:numId w:val="100"/>
        </w:numPr>
        <w:tabs>
          <w:tab w:val="clear" w:pos="1440"/>
          <w:tab w:val="num" w:pos="851"/>
        </w:tabs>
        <w:spacing w:before="100" w:beforeAutospacing="1" w:after="100" w:afterAutospacing="1"/>
        <w:ind w:left="426" w:firstLine="141"/>
        <w:jc w:val="both"/>
        <w:rPr>
          <w:rFonts w:ascii="Verdana" w:hAnsi="Verdana"/>
          <w:sz w:val="18"/>
          <w:szCs w:val="18"/>
        </w:rPr>
      </w:pPr>
      <w:r w:rsidRPr="00E544EC">
        <w:rPr>
          <w:rFonts w:ascii="Verdana" w:hAnsi="Verdana"/>
          <w:sz w:val="18"/>
          <w:szCs w:val="18"/>
        </w:rPr>
        <w:t xml:space="preserve">Contratar empleados en cada entidad arrendadora, </w:t>
      </w:r>
    </w:p>
    <w:p w14:paraId="0D0F50DC" w14:textId="77777777" w:rsidR="00E544EC" w:rsidRPr="00E544EC" w:rsidRDefault="00E544EC" w:rsidP="009148AF">
      <w:pPr>
        <w:numPr>
          <w:ilvl w:val="1"/>
          <w:numId w:val="100"/>
        </w:numPr>
        <w:tabs>
          <w:tab w:val="clear" w:pos="1440"/>
          <w:tab w:val="num" w:pos="851"/>
        </w:tabs>
        <w:spacing w:before="100" w:beforeAutospacing="1" w:after="100" w:afterAutospacing="1"/>
        <w:ind w:left="426" w:firstLine="141"/>
        <w:jc w:val="both"/>
        <w:rPr>
          <w:rFonts w:ascii="Verdana" w:hAnsi="Verdana"/>
          <w:sz w:val="18"/>
          <w:szCs w:val="18"/>
        </w:rPr>
      </w:pPr>
      <w:r w:rsidRPr="00E544EC">
        <w:rPr>
          <w:rFonts w:ascii="Verdana" w:hAnsi="Verdana"/>
          <w:sz w:val="18"/>
          <w:szCs w:val="18"/>
        </w:rPr>
        <w:t xml:space="preserve">Revisar estructuras de gestión centralizada. </w:t>
      </w:r>
    </w:p>
    <w:p w14:paraId="1F9DC537" w14:textId="6F059C07" w:rsidR="00E544EC" w:rsidRPr="00E544EC" w:rsidRDefault="00E544EC" w:rsidP="009148AF">
      <w:pPr>
        <w:spacing w:before="100" w:beforeAutospacing="1" w:after="100" w:afterAutospacing="1"/>
        <w:ind w:left="426" w:hanging="142"/>
        <w:contextualSpacing/>
        <w:jc w:val="both"/>
        <w:outlineLvl w:val="2"/>
        <w:rPr>
          <w:rFonts w:ascii="Verdana" w:hAnsi="Verdana"/>
          <w:b/>
          <w:bCs/>
          <w:sz w:val="18"/>
          <w:szCs w:val="18"/>
        </w:rPr>
      </w:pPr>
      <w:r w:rsidRPr="00E544EC">
        <w:rPr>
          <w:rFonts w:ascii="Verdana" w:hAnsi="Verdana"/>
          <w:b/>
          <w:bCs/>
          <w:sz w:val="18"/>
          <w:szCs w:val="18"/>
        </w:rPr>
        <w:t>Seguridad jurídica</w:t>
      </w:r>
    </w:p>
    <w:p w14:paraId="02A398CA" w14:textId="77777777" w:rsidR="00E544EC" w:rsidRPr="00E544EC" w:rsidRDefault="00E544EC" w:rsidP="009148AF">
      <w:pPr>
        <w:numPr>
          <w:ilvl w:val="0"/>
          <w:numId w:val="101"/>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Consolida doctrina sobre: </w:t>
      </w:r>
    </w:p>
    <w:p w14:paraId="59292DA3" w14:textId="77777777" w:rsidR="00E544EC" w:rsidRPr="00E544EC" w:rsidRDefault="00E544EC" w:rsidP="007834EB">
      <w:pPr>
        <w:numPr>
          <w:ilvl w:val="1"/>
          <w:numId w:val="101"/>
        </w:numPr>
        <w:tabs>
          <w:tab w:val="clear" w:pos="928"/>
        </w:tabs>
        <w:spacing w:before="100" w:beforeAutospacing="1" w:after="100" w:afterAutospacing="1"/>
        <w:ind w:left="426" w:firstLine="0"/>
        <w:jc w:val="both"/>
        <w:rPr>
          <w:rFonts w:ascii="Verdana" w:hAnsi="Verdana"/>
          <w:sz w:val="18"/>
          <w:szCs w:val="18"/>
        </w:rPr>
      </w:pPr>
      <w:r w:rsidRPr="00E544EC">
        <w:rPr>
          <w:rFonts w:ascii="Verdana" w:hAnsi="Verdana"/>
          <w:sz w:val="18"/>
          <w:szCs w:val="18"/>
        </w:rPr>
        <w:t xml:space="preserve">Concepto de actividad económica, </w:t>
      </w:r>
    </w:p>
    <w:p w14:paraId="1BC89F29" w14:textId="77777777" w:rsidR="00E544EC" w:rsidRPr="00E544EC" w:rsidRDefault="00E544EC" w:rsidP="007834EB">
      <w:pPr>
        <w:numPr>
          <w:ilvl w:val="1"/>
          <w:numId w:val="101"/>
        </w:numPr>
        <w:tabs>
          <w:tab w:val="clear" w:pos="928"/>
        </w:tabs>
        <w:spacing w:before="100" w:beforeAutospacing="1" w:after="100" w:afterAutospacing="1"/>
        <w:ind w:left="426" w:firstLine="0"/>
        <w:jc w:val="both"/>
        <w:rPr>
          <w:rFonts w:ascii="Verdana" w:hAnsi="Verdana"/>
          <w:sz w:val="18"/>
          <w:szCs w:val="18"/>
        </w:rPr>
      </w:pPr>
      <w:r w:rsidRPr="00E544EC">
        <w:rPr>
          <w:rFonts w:ascii="Verdana" w:hAnsi="Verdana"/>
          <w:sz w:val="18"/>
          <w:szCs w:val="18"/>
        </w:rPr>
        <w:t xml:space="preserve">Interpretación estricta de beneficios fiscales. </w:t>
      </w:r>
    </w:p>
    <w:p w14:paraId="4D1C0F79" w14:textId="0D92B030" w:rsidR="00E544EC" w:rsidRPr="00E544EC" w:rsidRDefault="00E544EC" w:rsidP="009148AF">
      <w:pPr>
        <w:spacing w:before="100" w:beforeAutospacing="1" w:after="100" w:afterAutospacing="1"/>
        <w:ind w:left="426" w:hanging="142"/>
        <w:jc w:val="both"/>
        <w:outlineLvl w:val="1"/>
        <w:rPr>
          <w:rFonts w:ascii="Verdana" w:hAnsi="Verdana"/>
          <w:b/>
          <w:bCs/>
          <w:sz w:val="18"/>
          <w:szCs w:val="18"/>
        </w:rPr>
      </w:pPr>
      <w:r w:rsidRPr="00E544EC">
        <w:rPr>
          <w:rFonts w:ascii="Verdana" w:hAnsi="Verdana"/>
          <w:b/>
          <w:bCs/>
          <w:sz w:val="18"/>
          <w:szCs w:val="18"/>
        </w:rPr>
        <w:t>8. Valoración doctrinal</w:t>
      </w:r>
    </w:p>
    <w:p w14:paraId="488A85E0" w14:textId="77777777" w:rsidR="00E544EC" w:rsidRPr="00E544EC" w:rsidRDefault="00E544EC" w:rsidP="009148AF">
      <w:p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La sentencia opta por una interpretación:</w:t>
      </w:r>
    </w:p>
    <w:p w14:paraId="053EB1F4" w14:textId="77777777" w:rsidR="00E544EC" w:rsidRPr="00E544EC" w:rsidRDefault="00E544EC" w:rsidP="009148AF">
      <w:pPr>
        <w:numPr>
          <w:ilvl w:val="0"/>
          <w:numId w:val="102"/>
        </w:numPr>
        <w:spacing w:before="100" w:beforeAutospacing="1" w:after="100" w:afterAutospacing="1"/>
        <w:ind w:left="426" w:hanging="142"/>
        <w:contextualSpacing/>
        <w:jc w:val="both"/>
        <w:rPr>
          <w:rFonts w:ascii="Verdana" w:hAnsi="Verdana"/>
          <w:sz w:val="18"/>
          <w:szCs w:val="18"/>
        </w:rPr>
      </w:pPr>
      <w:r w:rsidRPr="00E544EC">
        <w:rPr>
          <w:rFonts w:ascii="Verdana" w:hAnsi="Verdana"/>
          <w:b/>
          <w:bCs/>
          <w:sz w:val="18"/>
          <w:szCs w:val="18"/>
        </w:rPr>
        <w:t>Literal y sistemática</w:t>
      </w:r>
      <w:r w:rsidRPr="00E544EC">
        <w:rPr>
          <w:rFonts w:ascii="Verdana" w:hAnsi="Verdana"/>
          <w:sz w:val="18"/>
          <w:szCs w:val="18"/>
        </w:rPr>
        <w:t xml:space="preserve"> (remisión al IRPF), </w:t>
      </w:r>
    </w:p>
    <w:p w14:paraId="513D8D5F" w14:textId="77777777" w:rsidR="00E544EC" w:rsidRDefault="00E544EC" w:rsidP="009148AF">
      <w:pPr>
        <w:numPr>
          <w:ilvl w:val="0"/>
          <w:numId w:val="102"/>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Frente a una interpretación </w:t>
      </w:r>
      <w:r w:rsidRPr="00E544EC">
        <w:rPr>
          <w:rFonts w:ascii="Verdana" w:hAnsi="Verdana"/>
          <w:b/>
          <w:bCs/>
          <w:sz w:val="18"/>
          <w:szCs w:val="18"/>
        </w:rPr>
        <w:t>económica o funcional de grupo</w:t>
      </w:r>
      <w:r w:rsidRPr="00E544EC">
        <w:rPr>
          <w:rFonts w:ascii="Verdana" w:hAnsi="Verdana"/>
          <w:sz w:val="18"/>
          <w:szCs w:val="18"/>
        </w:rPr>
        <w:t xml:space="preserve">. </w:t>
      </w:r>
    </w:p>
    <w:p w14:paraId="2306A3AA" w14:textId="77777777" w:rsidR="00AE3130" w:rsidRPr="00E544EC" w:rsidRDefault="00AE3130" w:rsidP="00AE3130">
      <w:pPr>
        <w:spacing w:before="100" w:beforeAutospacing="1" w:after="100" w:afterAutospacing="1"/>
        <w:ind w:left="426"/>
        <w:contextualSpacing/>
        <w:jc w:val="both"/>
        <w:rPr>
          <w:rFonts w:ascii="Verdana" w:hAnsi="Verdana"/>
          <w:sz w:val="18"/>
          <w:szCs w:val="18"/>
        </w:rPr>
      </w:pPr>
    </w:p>
    <w:p w14:paraId="41654409" w14:textId="77777777" w:rsidR="00E544EC" w:rsidRPr="00E544EC" w:rsidRDefault="00E544EC" w:rsidP="00AE3130">
      <w:p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Esto evidencia la tensión entre:</w:t>
      </w:r>
    </w:p>
    <w:p w14:paraId="64EFF4E5" w14:textId="77777777" w:rsidR="00E544EC" w:rsidRPr="00E544EC" w:rsidRDefault="00E544EC" w:rsidP="00AE3130">
      <w:pPr>
        <w:numPr>
          <w:ilvl w:val="0"/>
          <w:numId w:val="103"/>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La </w:t>
      </w:r>
      <w:r w:rsidRPr="00E544EC">
        <w:rPr>
          <w:rFonts w:ascii="Verdana" w:hAnsi="Verdana"/>
          <w:b/>
          <w:bCs/>
          <w:sz w:val="18"/>
          <w:szCs w:val="18"/>
        </w:rPr>
        <w:t>realidad empresarial (grupos)</w:t>
      </w:r>
      <w:r w:rsidRPr="00E544EC">
        <w:rPr>
          <w:rFonts w:ascii="Verdana" w:hAnsi="Verdana"/>
          <w:sz w:val="18"/>
          <w:szCs w:val="18"/>
        </w:rPr>
        <w:t xml:space="preserve"> </w:t>
      </w:r>
    </w:p>
    <w:p w14:paraId="6492D70C" w14:textId="77777777" w:rsidR="00E544EC" w:rsidRDefault="00E544EC" w:rsidP="00AE3130">
      <w:pPr>
        <w:numPr>
          <w:ilvl w:val="0"/>
          <w:numId w:val="103"/>
        </w:numPr>
        <w:spacing w:before="100" w:beforeAutospacing="1" w:after="100" w:afterAutospacing="1"/>
        <w:ind w:left="426" w:hanging="142"/>
        <w:contextualSpacing/>
        <w:jc w:val="both"/>
        <w:rPr>
          <w:rFonts w:ascii="Verdana" w:hAnsi="Verdana"/>
          <w:sz w:val="18"/>
          <w:szCs w:val="18"/>
        </w:rPr>
      </w:pPr>
      <w:r w:rsidRPr="00E544EC">
        <w:rPr>
          <w:rFonts w:ascii="Verdana" w:hAnsi="Verdana"/>
          <w:sz w:val="18"/>
          <w:szCs w:val="18"/>
        </w:rPr>
        <w:t xml:space="preserve">Y la </w:t>
      </w:r>
      <w:r w:rsidRPr="00E544EC">
        <w:rPr>
          <w:rFonts w:ascii="Verdana" w:hAnsi="Verdana"/>
          <w:b/>
          <w:bCs/>
          <w:sz w:val="18"/>
          <w:szCs w:val="18"/>
        </w:rPr>
        <w:t>configuración normativa fragmentada de los tributos</w:t>
      </w:r>
      <w:r w:rsidRPr="00E544EC">
        <w:rPr>
          <w:rFonts w:ascii="Verdana" w:hAnsi="Verdana"/>
          <w:sz w:val="18"/>
          <w:szCs w:val="18"/>
        </w:rPr>
        <w:t>.</w:t>
      </w:r>
    </w:p>
    <w:p w14:paraId="5D3C1DA2" w14:textId="77777777" w:rsidR="00AE3130" w:rsidRDefault="00AE3130" w:rsidP="00AE3130">
      <w:pPr>
        <w:spacing w:before="100" w:beforeAutospacing="1" w:after="100" w:afterAutospacing="1"/>
        <w:contextualSpacing/>
        <w:jc w:val="both"/>
        <w:rPr>
          <w:rFonts w:ascii="Verdana" w:hAnsi="Verdana"/>
          <w:sz w:val="18"/>
          <w:szCs w:val="18"/>
        </w:rPr>
      </w:pPr>
    </w:p>
    <w:p w14:paraId="35E83B7A" w14:textId="77777777" w:rsidR="00AE3130" w:rsidRPr="00E544EC" w:rsidRDefault="00AE3130" w:rsidP="00AE3130">
      <w:pPr>
        <w:spacing w:before="100" w:beforeAutospacing="1" w:after="100" w:afterAutospacing="1"/>
        <w:contextualSpacing/>
        <w:jc w:val="both"/>
        <w:rPr>
          <w:rFonts w:ascii="Verdana" w:hAnsi="Verdana"/>
          <w:sz w:val="18"/>
          <w:szCs w:val="18"/>
        </w:rPr>
      </w:pPr>
    </w:p>
    <w:p w14:paraId="64EE33E0" w14:textId="4791FB8C" w:rsidR="00E544EC" w:rsidRDefault="00E544EC">
      <w:pPr>
        <w:rPr>
          <w:rFonts w:ascii="Verdana" w:hAnsi="Verdana"/>
          <w:b/>
          <w:bCs/>
          <w:color w:val="800000"/>
          <w:sz w:val="22"/>
          <w:szCs w:val="22"/>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374BD3" w:rsidRPr="0075284B" w14:paraId="5E38BB47" w14:textId="77777777" w:rsidTr="00C822A9">
        <w:tc>
          <w:tcPr>
            <w:tcW w:w="180" w:type="dxa"/>
            <w:shd w:val="clear" w:color="auto" w:fill="FF6600"/>
          </w:tcPr>
          <w:p w14:paraId="7FA4A9B8" w14:textId="77777777" w:rsidR="00374BD3" w:rsidRPr="0075284B" w:rsidRDefault="00374BD3" w:rsidP="00C822A9">
            <w:pPr>
              <w:ind w:left="360"/>
              <w:rPr>
                <w:rFonts w:ascii="Verdana" w:hAnsi="Verdana"/>
                <w:b/>
                <w:bCs/>
                <w:color w:val="800000"/>
                <w:sz w:val="18"/>
                <w:szCs w:val="18"/>
              </w:rPr>
            </w:pPr>
          </w:p>
        </w:tc>
        <w:tc>
          <w:tcPr>
            <w:tcW w:w="8460" w:type="dxa"/>
          </w:tcPr>
          <w:p w14:paraId="6B0FF50C" w14:textId="00943A55" w:rsidR="00374BD3" w:rsidRPr="0075284B" w:rsidRDefault="0075284B" w:rsidP="00C822A9">
            <w:pPr>
              <w:pStyle w:val="Prrafodelista"/>
              <w:numPr>
                <w:ilvl w:val="0"/>
                <w:numId w:val="106"/>
              </w:numPr>
              <w:jc w:val="both"/>
              <w:rPr>
                <w:rFonts w:ascii="Verdana" w:hAnsi="Verdana"/>
                <w:b/>
                <w:bCs/>
                <w:color w:val="800000"/>
                <w:sz w:val="18"/>
                <w:szCs w:val="18"/>
              </w:rPr>
            </w:pPr>
            <w:r w:rsidRPr="0075284B">
              <w:rPr>
                <w:rFonts w:ascii="Verdana" w:hAnsi="Verdana"/>
                <w:b/>
                <w:bCs/>
                <w:color w:val="800000"/>
                <w:sz w:val="18"/>
                <w:szCs w:val="18"/>
              </w:rPr>
              <w:t>INSTRUCCIÓN AEAT 1-26 POR LA QUE SE MODIFICA LA INSTRUCCIÓN 1/2023, DE 31 DE MARZO, SOBRE LAS GARANTÍAS NECESARIAS PARA LA CONCESIÓN DE APLAZAMIENTOS Y FRACCIONAMIENTOS DE PAGO, Y PARA OBTENER LA SUSPENSIÓN DE LOS ACTOS ADMINISTRATIVOS OBJETO DE RECURSO Y RECLAMACIÓN</w:t>
            </w:r>
          </w:p>
        </w:tc>
      </w:tr>
    </w:tbl>
    <w:p w14:paraId="264B47EC" w14:textId="41757E9D" w:rsidR="00374BD3" w:rsidRPr="00374BD3" w:rsidRDefault="00374BD3" w:rsidP="0075284B">
      <w:pPr>
        <w:spacing w:before="100" w:beforeAutospacing="1" w:after="100" w:afterAutospacing="1"/>
        <w:ind w:left="284"/>
        <w:jc w:val="both"/>
        <w:outlineLvl w:val="1"/>
        <w:rPr>
          <w:rFonts w:ascii="Verdana" w:hAnsi="Verdana"/>
          <w:b/>
          <w:bCs/>
          <w:color w:val="C0504D" w:themeColor="accent2"/>
          <w:sz w:val="18"/>
          <w:szCs w:val="18"/>
        </w:rPr>
      </w:pPr>
      <w:r w:rsidRPr="00374BD3">
        <w:rPr>
          <w:rFonts w:ascii="Verdana" w:hAnsi="Verdana"/>
          <w:b/>
          <w:bCs/>
          <w:color w:val="C0504D" w:themeColor="accent2"/>
          <w:sz w:val="18"/>
          <w:szCs w:val="18"/>
        </w:rPr>
        <w:t>1. Contexto y origen de la norma</w:t>
      </w:r>
    </w:p>
    <w:p w14:paraId="3112EF51" w14:textId="77777777"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 xml:space="preserve">La Instrucción 1/2026 se dicta para </w:t>
      </w:r>
      <w:r w:rsidRPr="00374BD3">
        <w:rPr>
          <w:rFonts w:ascii="Verdana" w:hAnsi="Verdana"/>
          <w:b/>
          <w:bCs/>
          <w:sz w:val="18"/>
          <w:szCs w:val="18"/>
        </w:rPr>
        <w:t>modificar la Instrucción 1/2023</w:t>
      </w:r>
      <w:r w:rsidRPr="00374BD3">
        <w:rPr>
          <w:rFonts w:ascii="Verdana" w:hAnsi="Verdana"/>
          <w:sz w:val="18"/>
          <w:szCs w:val="18"/>
        </w:rPr>
        <w:t xml:space="preserve"> sobre:</w:t>
      </w:r>
    </w:p>
    <w:p w14:paraId="3E73D450" w14:textId="77777777" w:rsidR="00374BD3" w:rsidRPr="00374BD3" w:rsidRDefault="00374BD3" w:rsidP="0075284B">
      <w:pPr>
        <w:numPr>
          <w:ilvl w:val="0"/>
          <w:numId w:val="141"/>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Aplazamientos y fraccionamientos de pago de deudas tributarias </w:t>
      </w:r>
    </w:p>
    <w:p w14:paraId="7CA4CB63" w14:textId="77777777" w:rsidR="00374BD3" w:rsidRPr="00374BD3" w:rsidRDefault="00374BD3" w:rsidP="0075284B">
      <w:pPr>
        <w:numPr>
          <w:ilvl w:val="0"/>
          <w:numId w:val="141"/>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Suspensión de actos administrativos recurridos </w:t>
      </w:r>
    </w:p>
    <w:p w14:paraId="591B9C5C" w14:textId="77777777"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 xml:space="preserve">El motivo principal es una </w:t>
      </w:r>
      <w:r w:rsidRPr="00374BD3">
        <w:rPr>
          <w:rFonts w:ascii="Verdana" w:hAnsi="Verdana"/>
          <w:b/>
          <w:bCs/>
          <w:sz w:val="18"/>
          <w:szCs w:val="18"/>
        </w:rPr>
        <w:t>sentencia firme de la Audiencia Nacional (2025)</w:t>
      </w:r>
      <w:r w:rsidRPr="00374BD3">
        <w:rPr>
          <w:rFonts w:ascii="Verdana" w:hAnsi="Verdana"/>
          <w:sz w:val="18"/>
          <w:szCs w:val="18"/>
        </w:rPr>
        <w:t xml:space="preserve"> que:</w:t>
      </w:r>
    </w:p>
    <w:p w14:paraId="134A57F5" w14:textId="77777777" w:rsidR="00374BD3" w:rsidRPr="00374BD3" w:rsidRDefault="00374BD3" w:rsidP="0075284B">
      <w:pPr>
        <w:numPr>
          <w:ilvl w:val="0"/>
          <w:numId w:val="142"/>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Declara </w:t>
      </w:r>
      <w:r w:rsidRPr="00374BD3">
        <w:rPr>
          <w:rFonts w:ascii="Verdana" w:hAnsi="Verdana"/>
          <w:b/>
          <w:bCs/>
          <w:sz w:val="18"/>
          <w:szCs w:val="18"/>
        </w:rPr>
        <w:t>ilegal parte de la Instrucción 1/2023</w:t>
      </w:r>
      <w:r w:rsidRPr="00374BD3">
        <w:rPr>
          <w:rFonts w:ascii="Verdana" w:hAnsi="Verdana"/>
          <w:sz w:val="18"/>
          <w:szCs w:val="18"/>
        </w:rPr>
        <w:t xml:space="preserve"> </w:t>
      </w:r>
    </w:p>
    <w:p w14:paraId="261D0003" w14:textId="6D358717" w:rsidR="00374BD3" w:rsidRPr="00374BD3" w:rsidRDefault="00374BD3" w:rsidP="00170D1B">
      <w:pPr>
        <w:numPr>
          <w:ilvl w:val="0"/>
          <w:numId w:val="142"/>
        </w:numPr>
        <w:spacing w:before="100" w:beforeAutospacing="1" w:after="100" w:afterAutospacing="1"/>
        <w:ind w:left="709" w:hanging="425"/>
        <w:jc w:val="both"/>
        <w:rPr>
          <w:rFonts w:ascii="Verdana" w:hAnsi="Verdana"/>
          <w:sz w:val="18"/>
          <w:szCs w:val="18"/>
        </w:rPr>
      </w:pPr>
      <w:r w:rsidRPr="00374BD3">
        <w:rPr>
          <w:rFonts w:ascii="Verdana" w:hAnsi="Verdana"/>
          <w:sz w:val="18"/>
          <w:szCs w:val="18"/>
        </w:rPr>
        <w:t>En concreto, anula la obligación estricta sobre quién puede tasar bienes aportados como garantía</w:t>
      </w:r>
      <w:r w:rsidR="00170D1B">
        <w:rPr>
          <w:rFonts w:ascii="Verdana" w:hAnsi="Verdana"/>
          <w:sz w:val="18"/>
          <w:szCs w:val="18"/>
        </w:rPr>
        <w:t>.</w:t>
      </w:r>
    </w:p>
    <w:p w14:paraId="3B5A776E" w14:textId="3642AB24" w:rsidR="00374BD3" w:rsidRPr="00374BD3" w:rsidRDefault="00374BD3" w:rsidP="0075284B">
      <w:pPr>
        <w:spacing w:before="100" w:beforeAutospacing="1" w:after="100" w:afterAutospacing="1"/>
        <w:ind w:left="284"/>
        <w:jc w:val="both"/>
        <w:outlineLvl w:val="1"/>
        <w:rPr>
          <w:rFonts w:ascii="Verdana" w:hAnsi="Verdana"/>
          <w:b/>
          <w:bCs/>
          <w:color w:val="C0504D" w:themeColor="accent2"/>
          <w:sz w:val="18"/>
          <w:szCs w:val="18"/>
        </w:rPr>
      </w:pPr>
      <w:r w:rsidRPr="00374BD3">
        <w:rPr>
          <w:rFonts w:ascii="Verdana" w:hAnsi="Verdana"/>
          <w:b/>
          <w:bCs/>
          <w:color w:val="C0504D" w:themeColor="accent2"/>
          <w:sz w:val="18"/>
          <w:szCs w:val="18"/>
        </w:rPr>
        <w:t>2. Problema detectado por los tribunales</w:t>
      </w:r>
    </w:p>
    <w:p w14:paraId="18A49034" w14:textId="77777777"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La normativa anterior exigía que:</w:t>
      </w:r>
    </w:p>
    <w:p w14:paraId="7C3CDB2D" w14:textId="14288F83" w:rsidR="00374BD3" w:rsidRPr="00374BD3" w:rsidRDefault="00374BD3" w:rsidP="0075284B">
      <w:pPr>
        <w:numPr>
          <w:ilvl w:val="0"/>
          <w:numId w:val="143"/>
        </w:numPr>
        <w:spacing w:before="100" w:beforeAutospacing="1" w:after="100" w:afterAutospacing="1"/>
        <w:ind w:left="709" w:hanging="425"/>
        <w:jc w:val="both"/>
        <w:rPr>
          <w:rFonts w:ascii="Verdana" w:hAnsi="Verdana"/>
          <w:sz w:val="18"/>
          <w:szCs w:val="18"/>
        </w:rPr>
      </w:pPr>
      <w:r w:rsidRPr="00374BD3">
        <w:rPr>
          <w:rFonts w:ascii="Verdana" w:hAnsi="Verdana"/>
          <w:sz w:val="18"/>
          <w:szCs w:val="18"/>
        </w:rPr>
        <w:t xml:space="preserve">La tasación de bienes (como inmuebles) </w:t>
      </w:r>
      <w:r w:rsidRPr="00374BD3">
        <w:rPr>
          <w:rFonts w:ascii="Verdana" w:hAnsi="Verdana"/>
          <w:b/>
          <w:bCs/>
          <w:sz w:val="18"/>
          <w:szCs w:val="18"/>
        </w:rPr>
        <w:t xml:space="preserve">debía hacerse obligatoriamente por tasadores inscritos en registros </w:t>
      </w:r>
      <w:r w:rsidRPr="00CD78DD">
        <w:rPr>
          <w:rFonts w:ascii="Verdana" w:hAnsi="Verdana"/>
          <w:b/>
          <w:bCs/>
          <w:sz w:val="18"/>
          <w:szCs w:val="18"/>
        </w:rPr>
        <w:t>oficiales</w:t>
      </w:r>
      <w:r w:rsidR="00CD78DD">
        <w:rPr>
          <w:rFonts w:ascii="Verdana" w:hAnsi="Verdana"/>
          <w:sz w:val="18"/>
          <w:szCs w:val="18"/>
        </w:rPr>
        <w:t>.</w:t>
      </w:r>
    </w:p>
    <w:p w14:paraId="3D18B60F" w14:textId="0C34EC97" w:rsidR="00374BD3" w:rsidRPr="00374BD3" w:rsidRDefault="00374BD3" w:rsidP="0075284B">
      <w:pPr>
        <w:tabs>
          <w:tab w:val="num" w:pos="720"/>
        </w:tabs>
        <w:spacing w:before="100" w:beforeAutospacing="1" w:after="100" w:afterAutospacing="1"/>
        <w:ind w:left="284"/>
        <w:jc w:val="both"/>
        <w:rPr>
          <w:rFonts w:ascii="Verdana" w:hAnsi="Verdana"/>
          <w:sz w:val="18"/>
          <w:szCs w:val="18"/>
        </w:rPr>
      </w:pPr>
      <w:r w:rsidRPr="00374BD3">
        <w:rPr>
          <w:rFonts w:ascii="Verdana" w:hAnsi="Verdana"/>
          <w:sz w:val="18"/>
          <w:szCs w:val="18"/>
        </w:rPr>
        <w:t>El tribunal considera que esto</w:t>
      </w:r>
      <w:r w:rsidR="0075284B">
        <w:rPr>
          <w:rFonts w:ascii="Verdana" w:hAnsi="Verdana"/>
          <w:sz w:val="18"/>
          <w:szCs w:val="18"/>
        </w:rPr>
        <w:t xml:space="preserve"> r</w:t>
      </w:r>
      <w:r w:rsidRPr="00374BD3">
        <w:rPr>
          <w:rFonts w:ascii="Verdana" w:hAnsi="Verdana"/>
          <w:sz w:val="18"/>
          <w:szCs w:val="18"/>
        </w:rPr>
        <w:t xml:space="preserve">estringe indebidamente opciones </w:t>
      </w:r>
    </w:p>
    <w:p w14:paraId="780D25FA" w14:textId="77777777" w:rsidR="00374BD3" w:rsidRPr="00374BD3" w:rsidRDefault="00374BD3" w:rsidP="0075284B">
      <w:pPr>
        <w:numPr>
          <w:ilvl w:val="0"/>
          <w:numId w:val="144"/>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Convierte una preferencia legal en una obligación </w:t>
      </w:r>
    </w:p>
    <w:p w14:paraId="2B76E16E" w14:textId="77777777" w:rsidR="00374BD3" w:rsidRPr="00374BD3" w:rsidRDefault="00374BD3" w:rsidP="0075284B">
      <w:pPr>
        <w:numPr>
          <w:ilvl w:val="0"/>
          <w:numId w:val="144"/>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Va más allá de lo permitido por la normativa </w:t>
      </w:r>
    </w:p>
    <w:p w14:paraId="0AB30B50" w14:textId="4E2B80B1"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 xml:space="preserve">Resultado: ese requisito se declara </w:t>
      </w:r>
      <w:r w:rsidRPr="00374BD3">
        <w:rPr>
          <w:rFonts w:ascii="Verdana" w:hAnsi="Verdana"/>
          <w:b/>
          <w:bCs/>
          <w:sz w:val="18"/>
          <w:szCs w:val="18"/>
        </w:rPr>
        <w:t>nulo</w:t>
      </w:r>
      <w:r w:rsidRPr="00374BD3">
        <w:rPr>
          <w:rFonts w:ascii="Verdana" w:hAnsi="Verdana"/>
          <w:sz w:val="18"/>
          <w:szCs w:val="18"/>
        </w:rPr>
        <w:t xml:space="preserve"> </w:t>
      </w:r>
    </w:p>
    <w:p w14:paraId="65C14BC3" w14:textId="4EF40EFD" w:rsidR="00374BD3" w:rsidRPr="00374BD3" w:rsidRDefault="00374BD3" w:rsidP="0075284B">
      <w:pPr>
        <w:spacing w:before="100" w:beforeAutospacing="1" w:after="100" w:afterAutospacing="1"/>
        <w:ind w:left="284"/>
        <w:jc w:val="both"/>
        <w:outlineLvl w:val="1"/>
        <w:rPr>
          <w:rFonts w:ascii="Verdana" w:hAnsi="Verdana"/>
          <w:b/>
          <w:bCs/>
          <w:color w:val="C0504D" w:themeColor="accent2"/>
          <w:sz w:val="18"/>
          <w:szCs w:val="18"/>
        </w:rPr>
      </w:pPr>
      <w:r w:rsidRPr="00374BD3">
        <w:rPr>
          <w:rFonts w:ascii="Verdana" w:hAnsi="Verdana"/>
          <w:b/>
          <w:bCs/>
          <w:color w:val="C0504D" w:themeColor="accent2"/>
          <w:sz w:val="18"/>
          <w:szCs w:val="18"/>
        </w:rPr>
        <w:t>3. Cambio principal introducido</w:t>
      </w:r>
    </w:p>
    <w:p w14:paraId="43846D54" w14:textId="77777777"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La nueva instrucción modifica la regla sobre tasaciones:</w:t>
      </w:r>
    </w:p>
    <w:p w14:paraId="4A630229" w14:textId="03EFEEBC" w:rsidR="00374BD3" w:rsidRPr="00374BD3" w:rsidRDefault="00374BD3" w:rsidP="0075284B">
      <w:pPr>
        <w:spacing w:before="100" w:beforeAutospacing="1" w:after="100" w:afterAutospacing="1"/>
        <w:ind w:left="284"/>
        <w:jc w:val="both"/>
        <w:outlineLvl w:val="2"/>
        <w:rPr>
          <w:rFonts w:ascii="Verdana" w:hAnsi="Verdana"/>
          <w:b/>
          <w:bCs/>
          <w:sz w:val="18"/>
          <w:szCs w:val="18"/>
        </w:rPr>
      </w:pPr>
      <w:r w:rsidRPr="00374BD3">
        <w:rPr>
          <w:rFonts w:ascii="Verdana" w:hAnsi="Verdana"/>
          <w:b/>
          <w:bCs/>
          <w:sz w:val="18"/>
          <w:szCs w:val="18"/>
        </w:rPr>
        <w:t>Para aplazamientos y fraccionamientos:</w:t>
      </w:r>
    </w:p>
    <w:p w14:paraId="5356C625" w14:textId="1D7A5021" w:rsidR="00374BD3" w:rsidRPr="00374BD3" w:rsidRDefault="00374BD3" w:rsidP="0023770A">
      <w:pPr>
        <w:numPr>
          <w:ilvl w:val="0"/>
          <w:numId w:val="145"/>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La tasación por profesionales inscritos pasa a ser:</w:t>
      </w:r>
      <w:r w:rsidR="007834EB">
        <w:rPr>
          <w:rFonts w:ascii="Verdana" w:hAnsi="Verdana"/>
          <w:sz w:val="18"/>
          <w:szCs w:val="18"/>
        </w:rPr>
        <w:t xml:space="preserve"> </w:t>
      </w:r>
      <w:r w:rsidR="007834EB">
        <w:rPr>
          <w:rFonts w:ascii="Verdana" w:hAnsi="Verdana"/>
          <w:b/>
          <w:bCs/>
          <w:sz w:val="18"/>
          <w:szCs w:val="18"/>
        </w:rPr>
        <w:t>Pr</w:t>
      </w:r>
      <w:r w:rsidRPr="00374BD3">
        <w:rPr>
          <w:rFonts w:ascii="Verdana" w:hAnsi="Verdana"/>
          <w:b/>
          <w:bCs/>
          <w:sz w:val="18"/>
          <w:szCs w:val="18"/>
        </w:rPr>
        <w:t>eferente (no obligatoria)</w:t>
      </w:r>
      <w:r w:rsidRPr="00374BD3">
        <w:rPr>
          <w:rFonts w:ascii="Verdana" w:hAnsi="Verdana"/>
          <w:sz w:val="18"/>
          <w:szCs w:val="18"/>
        </w:rPr>
        <w:t xml:space="preserve"> </w:t>
      </w:r>
    </w:p>
    <w:p w14:paraId="42FC5ED2" w14:textId="7F0591B6" w:rsidR="00374BD3" w:rsidRPr="00374BD3" w:rsidRDefault="00374BD3" w:rsidP="0075284B">
      <w:pPr>
        <w:spacing w:before="100" w:beforeAutospacing="1" w:after="100" w:afterAutospacing="1"/>
        <w:ind w:left="284"/>
        <w:jc w:val="both"/>
        <w:outlineLvl w:val="2"/>
        <w:rPr>
          <w:rFonts w:ascii="Verdana" w:hAnsi="Verdana"/>
          <w:b/>
          <w:bCs/>
          <w:sz w:val="18"/>
          <w:szCs w:val="18"/>
        </w:rPr>
      </w:pPr>
      <w:r w:rsidRPr="00374BD3">
        <w:rPr>
          <w:rFonts w:ascii="Verdana" w:hAnsi="Verdana"/>
          <w:b/>
          <w:bCs/>
          <w:sz w:val="18"/>
          <w:szCs w:val="18"/>
        </w:rPr>
        <w:t>Para suspensiones de actos recurridos:</w:t>
      </w:r>
    </w:p>
    <w:p w14:paraId="66CE6EE9" w14:textId="22E40C3E" w:rsidR="00374BD3" w:rsidRPr="00374BD3" w:rsidRDefault="00374BD3" w:rsidP="0075284B">
      <w:pPr>
        <w:numPr>
          <w:ilvl w:val="0"/>
          <w:numId w:val="146"/>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Sigue siendo: </w:t>
      </w:r>
      <w:r w:rsidRPr="00374BD3">
        <w:rPr>
          <w:rFonts w:ascii="Verdana" w:hAnsi="Verdana"/>
          <w:b/>
          <w:bCs/>
          <w:sz w:val="18"/>
          <w:szCs w:val="18"/>
        </w:rPr>
        <w:t>Obligatorio usar tasadores inscritos</w:t>
      </w:r>
      <w:r w:rsidRPr="00374BD3">
        <w:rPr>
          <w:rFonts w:ascii="Verdana" w:hAnsi="Verdana"/>
          <w:sz w:val="18"/>
          <w:szCs w:val="18"/>
        </w:rPr>
        <w:t xml:space="preserve">, si existe registro </w:t>
      </w:r>
    </w:p>
    <w:p w14:paraId="1881CB92" w14:textId="21B66D55"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Diferencia clave:</w:t>
      </w:r>
    </w:p>
    <w:p w14:paraId="466B5B3B" w14:textId="77777777" w:rsidR="00374BD3" w:rsidRPr="00374BD3" w:rsidRDefault="00374BD3" w:rsidP="0022348F">
      <w:pPr>
        <w:numPr>
          <w:ilvl w:val="0"/>
          <w:numId w:val="147"/>
        </w:numPr>
        <w:spacing w:before="100" w:beforeAutospacing="1" w:after="100" w:afterAutospacing="1"/>
        <w:ind w:left="284" w:firstLine="0"/>
        <w:jc w:val="both"/>
        <w:rPr>
          <w:rFonts w:ascii="Verdana" w:hAnsi="Verdana"/>
          <w:sz w:val="18"/>
          <w:szCs w:val="18"/>
        </w:rPr>
      </w:pPr>
      <w:r w:rsidRPr="00374BD3">
        <w:rPr>
          <w:rFonts w:ascii="Verdana" w:hAnsi="Verdana"/>
          <w:b/>
          <w:bCs/>
          <w:sz w:val="18"/>
          <w:szCs w:val="18"/>
        </w:rPr>
        <w:t xml:space="preserve">Aplazamientos </w:t>
      </w:r>
      <w:r w:rsidRPr="00374BD3">
        <w:rPr>
          <w:rFonts w:ascii="Arial" w:hAnsi="Arial" w:cs="Arial"/>
          <w:b/>
          <w:bCs/>
          <w:sz w:val="18"/>
          <w:szCs w:val="18"/>
        </w:rPr>
        <w:t>→</w:t>
      </w:r>
      <w:r w:rsidRPr="00374BD3">
        <w:rPr>
          <w:rFonts w:ascii="Verdana" w:hAnsi="Verdana"/>
          <w:b/>
          <w:bCs/>
          <w:sz w:val="18"/>
          <w:szCs w:val="18"/>
        </w:rPr>
        <w:t xml:space="preserve"> flexibilidad</w:t>
      </w:r>
      <w:r w:rsidRPr="00374BD3">
        <w:rPr>
          <w:rFonts w:ascii="Verdana" w:hAnsi="Verdana"/>
          <w:sz w:val="18"/>
          <w:szCs w:val="18"/>
        </w:rPr>
        <w:t xml:space="preserve"> </w:t>
      </w:r>
    </w:p>
    <w:p w14:paraId="1F97D34F" w14:textId="77777777" w:rsidR="00374BD3" w:rsidRPr="00374BD3" w:rsidRDefault="00374BD3" w:rsidP="0022348F">
      <w:pPr>
        <w:numPr>
          <w:ilvl w:val="0"/>
          <w:numId w:val="147"/>
        </w:numPr>
        <w:spacing w:before="100" w:beforeAutospacing="1" w:after="100" w:afterAutospacing="1"/>
        <w:ind w:left="284" w:firstLine="0"/>
        <w:jc w:val="both"/>
        <w:rPr>
          <w:rFonts w:ascii="Verdana" w:hAnsi="Verdana"/>
          <w:sz w:val="18"/>
          <w:szCs w:val="18"/>
        </w:rPr>
      </w:pPr>
      <w:r w:rsidRPr="00374BD3">
        <w:rPr>
          <w:rFonts w:ascii="Verdana" w:hAnsi="Verdana"/>
          <w:b/>
          <w:bCs/>
          <w:sz w:val="18"/>
          <w:szCs w:val="18"/>
        </w:rPr>
        <w:t xml:space="preserve">Suspensiones </w:t>
      </w:r>
      <w:r w:rsidRPr="00374BD3">
        <w:rPr>
          <w:rFonts w:ascii="Arial" w:hAnsi="Arial" w:cs="Arial"/>
          <w:b/>
          <w:bCs/>
          <w:sz w:val="18"/>
          <w:szCs w:val="18"/>
        </w:rPr>
        <w:t>→</w:t>
      </w:r>
      <w:r w:rsidRPr="00374BD3">
        <w:rPr>
          <w:rFonts w:ascii="Verdana" w:hAnsi="Verdana"/>
          <w:b/>
          <w:bCs/>
          <w:sz w:val="18"/>
          <w:szCs w:val="18"/>
        </w:rPr>
        <w:t xml:space="preserve"> exigencia estricta</w:t>
      </w:r>
      <w:r w:rsidRPr="00374BD3">
        <w:rPr>
          <w:rFonts w:ascii="Verdana" w:hAnsi="Verdana"/>
          <w:sz w:val="18"/>
          <w:szCs w:val="18"/>
        </w:rPr>
        <w:t xml:space="preserve"> </w:t>
      </w:r>
    </w:p>
    <w:p w14:paraId="69054210" w14:textId="6B08A3F7" w:rsidR="00374BD3" w:rsidRPr="00374BD3" w:rsidRDefault="00374BD3" w:rsidP="0075284B">
      <w:pPr>
        <w:spacing w:before="100" w:beforeAutospacing="1" w:after="100" w:afterAutospacing="1"/>
        <w:ind w:left="284"/>
        <w:jc w:val="both"/>
        <w:outlineLvl w:val="1"/>
        <w:rPr>
          <w:rFonts w:ascii="Verdana" w:hAnsi="Verdana"/>
          <w:b/>
          <w:bCs/>
          <w:color w:val="C0504D" w:themeColor="accent2"/>
          <w:sz w:val="18"/>
          <w:szCs w:val="18"/>
        </w:rPr>
      </w:pPr>
      <w:r w:rsidRPr="00374BD3">
        <w:rPr>
          <w:rFonts w:ascii="Verdana" w:hAnsi="Verdana"/>
          <w:b/>
          <w:bCs/>
          <w:color w:val="C0504D" w:themeColor="accent2"/>
          <w:sz w:val="18"/>
          <w:szCs w:val="18"/>
        </w:rPr>
        <w:t>4. Nueva regulación de la valoración de inmuebles</w:t>
      </w:r>
    </w:p>
    <w:p w14:paraId="09C44079" w14:textId="77777777"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Se establece cómo deben ser los informes de tasación.</w:t>
      </w:r>
    </w:p>
    <w:p w14:paraId="48EA2192" w14:textId="45871D69" w:rsidR="00374BD3" w:rsidRPr="00374BD3" w:rsidRDefault="00374BD3" w:rsidP="0075284B">
      <w:pPr>
        <w:spacing w:before="100" w:beforeAutospacing="1" w:after="100" w:afterAutospacing="1"/>
        <w:ind w:left="284"/>
        <w:jc w:val="both"/>
        <w:outlineLvl w:val="2"/>
        <w:rPr>
          <w:rFonts w:ascii="Verdana" w:hAnsi="Verdana"/>
          <w:b/>
          <w:bCs/>
          <w:sz w:val="18"/>
          <w:szCs w:val="18"/>
        </w:rPr>
      </w:pPr>
      <w:r w:rsidRPr="00374BD3">
        <w:rPr>
          <w:rFonts w:ascii="Verdana" w:hAnsi="Verdana"/>
          <w:b/>
          <w:bCs/>
          <w:sz w:val="18"/>
          <w:szCs w:val="18"/>
        </w:rPr>
        <w:lastRenderedPageBreak/>
        <w:t>Contenido mínimo obligatorio:</w:t>
      </w:r>
    </w:p>
    <w:p w14:paraId="5916C00B" w14:textId="77777777"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El informe debe incluir, entre otros:</w:t>
      </w:r>
    </w:p>
    <w:p w14:paraId="58D25650"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Datos del solicitante y finalidad </w:t>
      </w:r>
    </w:p>
    <w:p w14:paraId="18461F9E"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Identificación del bien (registro y catastro) </w:t>
      </w:r>
    </w:p>
    <w:p w14:paraId="5537C118"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Documentación y comprobaciones </w:t>
      </w:r>
    </w:p>
    <w:p w14:paraId="56F7A79C"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Análisis del mercado inmobiliario </w:t>
      </w:r>
    </w:p>
    <w:p w14:paraId="75E5E91B"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Características del terreno </w:t>
      </w:r>
    </w:p>
    <w:p w14:paraId="102C9E0F"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Situación ambiental (posibles contaminaciones) </w:t>
      </w:r>
    </w:p>
    <w:p w14:paraId="1AB852A2"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Descripción de edificaciones </w:t>
      </w:r>
    </w:p>
    <w:p w14:paraId="2C46D8A2"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Situación urbanística </w:t>
      </w:r>
    </w:p>
    <w:p w14:paraId="34F19924"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Estado de ocupación y cargas </w:t>
      </w:r>
    </w:p>
    <w:p w14:paraId="338CCF33"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Valoración técnica (valor de mercado y valor sostenible) </w:t>
      </w:r>
    </w:p>
    <w:p w14:paraId="3BF59831"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Fecha, firma y validez </w:t>
      </w:r>
    </w:p>
    <w:p w14:paraId="57DC6046" w14:textId="77777777" w:rsidR="00374BD3" w:rsidRPr="00374BD3" w:rsidRDefault="00374BD3" w:rsidP="0022348F">
      <w:pPr>
        <w:numPr>
          <w:ilvl w:val="0"/>
          <w:numId w:val="148"/>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Documentación anexa </w:t>
      </w:r>
    </w:p>
    <w:p w14:paraId="38DBDE4F" w14:textId="6699673B" w:rsidR="00374BD3" w:rsidRPr="00374BD3" w:rsidRDefault="00374BD3" w:rsidP="0075284B">
      <w:pPr>
        <w:spacing w:before="100" w:beforeAutospacing="1" w:after="100" w:afterAutospacing="1"/>
        <w:ind w:left="284"/>
        <w:jc w:val="both"/>
        <w:outlineLvl w:val="1"/>
        <w:rPr>
          <w:rFonts w:ascii="Verdana" w:hAnsi="Verdana"/>
          <w:b/>
          <w:bCs/>
          <w:color w:val="C0504D" w:themeColor="accent2"/>
          <w:sz w:val="18"/>
          <w:szCs w:val="18"/>
        </w:rPr>
      </w:pPr>
      <w:r w:rsidRPr="00374BD3">
        <w:rPr>
          <w:rFonts w:ascii="Verdana" w:hAnsi="Verdana"/>
          <w:b/>
          <w:bCs/>
          <w:color w:val="C0504D" w:themeColor="accent2"/>
          <w:sz w:val="18"/>
          <w:szCs w:val="18"/>
        </w:rPr>
        <w:t>5. Consecuencias prácticas importantes</w:t>
      </w:r>
    </w:p>
    <w:p w14:paraId="65EC4275" w14:textId="07BA624D" w:rsidR="00374BD3" w:rsidRPr="00374BD3" w:rsidRDefault="00374BD3" w:rsidP="0075284B">
      <w:pPr>
        <w:spacing w:before="100" w:beforeAutospacing="1" w:after="100" w:afterAutospacing="1"/>
        <w:ind w:left="284"/>
        <w:jc w:val="both"/>
        <w:outlineLvl w:val="2"/>
        <w:rPr>
          <w:rFonts w:ascii="Verdana" w:hAnsi="Verdana"/>
          <w:b/>
          <w:bCs/>
          <w:sz w:val="18"/>
          <w:szCs w:val="18"/>
        </w:rPr>
      </w:pPr>
      <w:r w:rsidRPr="00374BD3">
        <w:rPr>
          <w:rFonts w:ascii="Verdana" w:hAnsi="Verdana"/>
          <w:b/>
          <w:bCs/>
          <w:sz w:val="18"/>
          <w:szCs w:val="18"/>
        </w:rPr>
        <w:t>Motivos de denegación de solicitudes:</w:t>
      </w:r>
    </w:p>
    <w:p w14:paraId="33BE6077" w14:textId="77777777" w:rsidR="00374BD3" w:rsidRPr="00374BD3" w:rsidRDefault="00374BD3" w:rsidP="0022348F">
      <w:pPr>
        <w:numPr>
          <w:ilvl w:val="0"/>
          <w:numId w:val="149"/>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Tasación mal hecha o incompleta </w:t>
      </w:r>
    </w:p>
    <w:p w14:paraId="29878688" w14:textId="77777777" w:rsidR="00374BD3" w:rsidRPr="00374BD3" w:rsidRDefault="00374BD3" w:rsidP="0022348F">
      <w:pPr>
        <w:numPr>
          <w:ilvl w:val="0"/>
          <w:numId w:val="149"/>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Informe que no siga la estructura exigida </w:t>
      </w:r>
    </w:p>
    <w:p w14:paraId="4F40C5F4" w14:textId="77777777" w:rsidR="00374BD3" w:rsidRPr="00374BD3" w:rsidRDefault="00374BD3" w:rsidP="0022348F">
      <w:pPr>
        <w:numPr>
          <w:ilvl w:val="0"/>
          <w:numId w:val="149"/>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Valoraciones con condicionantes o dudas </w:t>
      </w:r>
    </w:p>
    <w:p w14:paraId="02F7047A" w14:textId="77777777" w:rsidR="00374BD3" w:rsidRPr="00374BD3" w:rsidRDefault="00374BD3" w:rsidP="0022348F">
      <w:pPr>
        <w:numPr>
          <w:ilvl w:val="0"/>
          <w:numId w:val="149"/>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Falta de claridad en el valor del bien </w:t>
      </w:r>
    </w:p>
    <w:p w14:paraId="59735FD6" w14:textId="1A1918CB"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La Administración puede rechazar la solicitud justificando los defectos detectados</w:t>
      </w:r>
    </w:p>
    <w:p w14:paraId="6F9EEC56" w14:textId="4C161F44" w:rsidR="00374BD3" w:rsidRPr="00374BD3" w:rsidRDefault="00374BD3" w:rsidP="0075284B">
      <w:pPr>
        <w:spacing w:before="100" w:beforeAutospacing="1" w:after="100" w:afterAutospacing="1"/>
        <w:ind w:left="284"/>
        <w:jc w:val="both"/>
        <w:outlineLvl w:val="1"/>
        <w:rPr>
          <w:rFonts w:ascii="Verdana" w:hAnsi="Verdana"/>
          <w:b/>
          <w:bCs/>
          <w:color w:val="C0504D" w:themeColor="accent2"/>
          <w:sz w:val="18"/>
          <w:szCs w:val="18"/>
        </w:rPr>
      </w:pPr>
      <w:r w:rsidRPr="00374BD3">
        <w:rPr>
          <w:rFonts w:ascii="Verdana" w:hAnsi="Verdana"/>
          <w:b/>
          <w:bCs/>
          <w:color w:val="C0504D" w:themeColor="accent2"/>
          <w:sz w:val="18"/>
          <w:szCs w:val="18"/>
        </w:rPr>
        <w:t xml:space="preserve"> 6. Actualización normativa</w:t>
      </w:r>
    </w:p>
    <w:p w14:paraId="3EDD87B1" w14:textId="77777777"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Se actualizan referencias legales:</w:t>
      </w:r>
    </w:p>
    <w:p w14:paraId="53AB733B" w14:textId="77777777" w:rsidR="00374BD3" w:rsidRPr="00374BD3" w:rsidRDefault="00374BD3" w:rsidP="0022348F">
      <w:pPr>
        <w:numPr>
          <w:ilvl w:val="0"/>
          <w:numId w:val="150"/>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Se sustituye una resolución de 2005 (derogada) </w:t>
      </w:r>
    </w:p>
    <w:p w14:paraId="737087C8" w14:textId="77777777" w:rsidR="00374BD3" w:rsidRPr="00374BD3" w:rsidRDefault="00374BD3" w:rsidP="0022348F">
      <w:pPr>
        <w:numPr>
          <w:ilvl w:val="0"/>
          <w:numId w:val="150"/>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Por una nueva de </w:t>
      </w:r>
      <w:r w:rsidRPr="00374BD3">
        <w:rPr>
          <w:rFonts w:ascii="Verdana" w:hAnsi="Verdana"/>
          <w:b/>
          <w:bCs/>
          <w:sz w:val="18"/>
          <w:szCs w:val="18"/>
        </w:rPr>
        <w:t>24 de septiembre de 2025</w:t>
      </w:r>
      <w:r w:rsidRPr="00374BD3">
        <w:rPr>
          <w:rFonts w:ascii="Verdana" w:hAnsi="Verdana"/>
          <w:sz w:val="18"/>
          <w:szCs w:val="18"/>
        </w:rPr>
        <w:t xml:space="preserve"> </w:t>
      </w:r>
    </w:p>
    <w:p w14:paraId="47184947" w14:textId="2C96FB42" w:rsidR="00374BD3" w:rsidRPr="00374BD3" w:rsidRDefault="00374BD3" w:rsidP="0075284B">
      <w:pPr>
        <w:spacing w:before="100" w:beforeAutospacing="1" w:after="100" w:afterAutospacing="1"/>
        <w:ind w:left="284"/>
        <w:jc w:val="both"/>
        <w:outlineLvl w:val="1"/>
        <w:rPr>
          <w:rFonts w:ascii="Verdana" w:hAnsi="Verdana"/>
          <w:b/>
          <w:bCs/>
          <w:color w:val="C0504D" w:themeColor="accent2"/>
          <w:sz w:val="18"/>
          <w:szCs w:val="18"/>
        </w:rPr>
      </w:pPr>
      <w:r w:rsidRPr="00374BD3">
        <w:rPr>
          <w:rFonts w:ascii="Verdana" w:hAnsi="Verdana"/>
          <w:b/>
          <w:bCs/>
          <w:color w:val="C0504D" w:themeColor="accent2"/>
          <w:sz w:val="18"/>
          <w:szCs w:val="18"/>
        </w:rPr>
        <w:t>7. Entrada en vigor</w:t>
      </w:r>
    </w:p>
    <w:p w14:paraId="09BFFED0" w14:textId="77777777" w:rsidR="00374BD3" w:rsidRPr="00374BD3" w:rsidRDefault="00374BD3" w:rsidP="0022348F">
      <w:pPr>
        <w:numPr>
          <w:ilvl w:val="0"/>
          <w:numId w:val="151"/>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Entra en vigor </w:t>
      </w:r>
      <w:r w:rsidRPr="00374BD3">
        <w:rPr>
          <w:rFonts w:ascii="Verdana" w:hAnsi="Verdana"/>
          <w:b/>
          <w:bCs/>
          <w:sz w:val="18"/>
          <w:szCs w:val="18"/>
        </w:rPr>
        <w:t>al día siguiente de su firma (7 abril 2026)</w:t>
      </w:r>
      <w:r w:rsidRPr="00374BD3">
        <w:rPr>
          <w:rFonts w:ascii="Verdana" w:hAnsi="Verdana"/>
          <w:sz w:val="18"/>
          <w:szCs w:val="18"/>
        </w:rPr>
        <w:t xml:space="preserve"> </w:t>
      </w:r>
    </w:p>
    <w:p w14:paraId="259F391F" w14:textId="01664562" w:rsidR="00374BD3" w:rsidRPr="00374BD3" w:rsidRDefault="00374BD3" w:rsidP="0022348F">
      <w:pPr>
        <w:numPr>
          <w:ilvl w:val="0"/>
          <w:numId w:val="151"/>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Se aplica </w:t>
      </w:r>
      <w:r w:rsidR="0022348F" w:rsidRPr="00374BD3">
        <w:rPr>
          <w:rFonts w:ascii="Verdana" w:hAnsi="Verdana"/>
          <w:sz w:val="18"/>
          <w:szCs w:val="18"/>
        </w:rPr>
        <w:t>a:</w:t>
      </w:r>
      <w:r w:rsidR="0022348F" w:rsidRPr="00374BD3">
        <w:rPr>
          <w:rFonts w:ascii="Verdana" w:hAnsi="Verdana"/>
          <w:b/>
          <w:bCs/>
          <w:sz w:val="18"/>
          <w:szCs w:val="18"/>
        </w:rPr>
        <w:t xml:space="preserve"> Todos</w:t>
      </w:r>
      <w:r w:rsidRPr="00374BD3">
        <w:rPr>
          <w:rFonts w:ascii="Verdana" w:hAnsi="Verdana"/>
          <w:b/>
          <w:bCs/>
          <w:sz w:val="18"/>
          <w:szCs w:val="18"/>
        </w:rPr>
        <w:t xml:space="preserve"> los expedientes en tramitación</w:t>
      </w:r>
      <w:r w:rsidRPr="00374BD3">
        <w:rPr>
          <w:rFonts w:ascii="Verdana" w:hAnsi="Verdana"/>
          <w:sz w:val="18"/>
          <w:szCs w:val="18"/>
        </w:rPr>
        <w:t xml:space="preserve"> </w:t>
      </w:r>
    </w:p>
    <w:p w14:paraId="244DDE6D" w14:textId="6D940D10" w:rsidR="00374BD3" w:rsidRPr="00374BD3" w:rsidRDefault="00374BD3" w:rsidP="0075284B">
      <w:pPr>
        <w:spacing w:before="100" w:beforeAutospacing="1" w:after="100" w:afterAutospacing="1"/>
        <w:ind w:left="284"/>
        <w:jc w:val="both"/>
        <w:outlineLvl w:val="0"/>
        <w:rPr>
          <w:rFonts w:ascii="Verdana" w:hAnsi="Verdana"/>
          <w:b/>
          <w:bCs/>
          <w:color w:val="C0504D" w:themeColor="accent2"/>
          <w:kern w:val="36"/>
          <w:sz w:val="18"/>
          <w:szCs w:val="18"/>
        </w:rPr>
      </w:pPr>
      <w:r w:rsidRPr="00374BD3">
        <w:rPr>
          <w:rFonts w:ascii="Verdana" w:hAnsi="Verdana"/>
          <w:b/>
          <w:bCs/>
          <w:color w:val="C0504D" w:themeColor="accent2"/>
          <w:kern w:val="36"/>
          <w:sz w:val="18"/>
          <w:szCs w:val="18"/>
        </w:rPr>
        <w:t>Conclusión clara</w:t>
      </w:r>
    </w:p>
    <w:p w14:paraId="5A5ABB23" w14:textId="77777777" w:rsidR="00374BD3" w:rsidRPr="00374BD3" w:rsidRDefault="00374BD3" w:rsidP="0075284B">
      <w:pPr>
        <w:spacing w:before="100" w:beforeAutospacing="1" w:after="100" w:afterAutospacing="1"/>
        <w:ind w:left="284"/>
        <w:jc w:val="both"/>
        <w:rPr>
          <w:rFonts w:ascii="Verdana" w:hAnsi="Verdana"/>
          <w:sz w:val="18"/>
          <w:szCs w:val="18"/>
        </w:rPr>
      </w:pPr>
      <w:r w:rsidRPr="00374BD3">
        <w:rPr>
          <w:rFonts w:ascii="Verdana" w:hAnsi="Verdana"/>
          <w:sz w:val="18"/>
          <w:szCs w:val="18"/>
        </w:rPr>
        <w:t>Esta instrucción:</w:t>
      </w:r>
    </w:p>
    <w:p w14:paraId="65CA08C0" w14:textId="77777777" w:rsidR="00374BD3" w:rsidRPr="00374BD3" w:rsidRDefault="00374BD3" w:rsidP="0022348F">
      <w:pPr>
        <w:numPr>
          <w:ilvl w:val="0"/>
          <w:numId w:val="152"/>
        </w:numPr>
        <w:spacing w:before="100" w:beforeAutospacing="1" w:after="100" w:afterAutospacing="1"/>
        <w:ind w:left="284" w:firstLine="0"/>
        <w:jc w:val="both"/>
        <w:rPr>
          <w:rFonts w:ascii="Verdana" w:hAnsi="Verdana"/>
          <w:sz w:val="18"/>
          <w:szCs w:val="18"/>
        </w:rPr>
      </w:pPr>
      <w:r w:rsidRPr="00374BD3">
        <w:rPr>
          <w:rFonts w:ascii="Verdana" w:hAnsi="Verdana"/>
          <w:b/>
          <w:bCs/>
          <w:sz w:val="18"/>
          <w:szCs w:val="18"/>
        </w:rPr>
        <w:t>Corrige un exceso de exigencia legal</w:t>
      </w:r>
      <w:r w:rsidRPr="00374BD3">
        <w:rPr>
          <w:rFonts w:ascii="Verdana" w:hAnsi="Verdana"/>
          <w:sz w:val="18"/>
          <w:szCs w:val="18"/>
        </w:rPr>
        <w:t xml:space="preserve"> detectado por los tribunales </w:t>
      </w:r>
    </w:p>
    <w:p w14:paraId="12BEA231" w14:textId="77777777" w:rsidR="00374BD3" w:rsidRPr="00374BD3" w:rsidRDefault="00374BD3" w:rsidP="0022348F">
      <w:pPr>
        <w:numPr>
          <w:ilvl w:val="0"/>
          <w:numId w:val="152"/>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Introduce una </w:t>
      </w:r>
      <w:r w:rsidRPr="00374BD3">
        <w:rPr>
          <w:rFonts w:ascii="Verdana" w:hAnsi="Verdana"/>
          <w:b/>
          <w:bCs/>
          <w:sz w:val="18"/>
          <w:szCs w:val="18"/>
        </w:rPr>
        <w:t>distinción clave</w:t>
      </w:r>
      <w:r w:rsidRPr="00374BD3">
        <w:rPr>
          <w:rFonts w:ascii="Verdana" w:hAnsi="Verdana"/>
          <w:sz w:val="18"/>
          <w:szCs w:val="18"/>
        </w:rPr>
        <w:t xml:space="preserve">: </w:t>
      </w:r>
    </w:p>
    <w:p w14:paraId="3660EF9E" w14:textId="77777777" w:rsidR="00374BD3" w:rsidRPr="00374BD3" w:rsidRDefault="00374BD3" w:rsidP="0022348F">
      <w:pPr>
        <w:numPr>
          <w:ilvl w:val="1"/>
          <w:numId w:val="152"/>
        </w:numPr>
        <w:spacing w:before="100" w:beforeAutospacing="1" w:after="100" w:afterAutospacing="1"/>
        <w:ind w:left="284" w:firstLine="709"/>
        <w:jc w:val="both"/>
        <w:rPr>
          <w:rFonts w:ascii="Verdana" w:hAnsi="Verdana"/>
          <w:sz w:val="18"/>
          <w:szCs w:val="18"/>
        </w:rPr>
      </w:pPr>
      <w:r w:rsidRPr="00374BD3">
        <w:rPr>
          <w:rFonts w:ascii="Verdana" w:hAnsi="Verdana"/>
          <w:sz w:val="18"/>
          <w:szCs w:val="18"/>
        </w:rPr>
        <w:t xml:space="preserve">Flexibilidad en aplazamientos </w:t>
      </w:r>
    </w:p>
    <w:p w14:paraId="3FD5549E" w14:textId="77777777" w:rsidR="00374BD3" w:rsidRPr="00374BD3" w:rsidRDefault="00374BD3" w:rsidP="0022348F">
      <w:pPr>
        <w:numPr>
          <w:ilvl w:val="1"/>
          <w:numId w:val="152"/>
        </w:numPr>
        <w:spacing w:before="100" w:beforeAutospacing="1" w:after="100" w:afterAutospacing="1"/>
        <w:ind w:left="284" w:firstLine="709"/>
        <w:jc w:val="both"/>
        <w:rPr>
          <w:rFonts w:ascii="Verdana" w:hAnsi="Verdana"/>
          <w:sz w:val="18"/>
          <w:szCs w:val="18"/>
        </w:rPr>
      </w:pPr>
      <w:r w:rsidRPr="00374BD3">
        <w:rPr>
          <w:rFonts w:ascii="Verdana" w:hAnsi="Verdana"/>
          <w:sz w:val="18"/>
          <w:szCs w:val="18"/>
        </w:rPr>
        <w:t xml:space="preserve">Rigidez en suspensiones </w:t>
      </w:r>
    </w:p>
    <w:p w14:paraId="761C1187" w14:textId="77777777" w:rsidR="00374BD3" w:rsidRPr="00374BD3" w:rsidRDefault="00374BD3" w:rsidP="0022348F">
      <w:pPr>
        <w:numPr>
          <w:ilvl w:val="0"/>
          <w:numId w:val="152"/>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 xml:space="preserve">Refuerza el control técnico de las tasaciones </w:t>
      </w:r>
    </w:p>
    <w:p w14:paraId="2DD969F8" w14:textId="77777777" w:rsidR="00374BD3" w:rsidRPr="00374BD3" w:rsidRDefault="00374BD3" w:rsidP="0022348F">
      <w:pPr>
        <w:numPr>
          <w:ilvl w:val="0"/>
          <w:numId w:val="152"/>
        </w:numPr>
        <w:spacing w:before="100" w:beforeAutospacing="1" w:after="100" w:afterAutospacing="1"/>
        <w:ind w:left="284" w:firstLine="0"/>
        <w:jc w:val="both"/>
        <w:rPr>
          <w:rFonts w:ascii="Verdana" w:hAnsi="Verdana"/>
          <w:sz w:val="18"/>
          <w:szCs w:val="18"/>
        </w:rPr>
      </w:pPr>
      <w:r w:rsidRPr="00374BD3">
        <w:rPr>
          <w:rFonts w:ascii="Verdana" w:hAnsi="Verdana"/>
          <w:sz w:val="18"/>
          <w:szCs w:val="18"/>
        </w:rPr>
        <w:t>Aumenta la importancia de presentar informes completos y bien estructurados</w:t>
      </w:r>
    </w:p>
    <w:p w14:paraId="0DEA1817" w14:textId="36AC6736" w:rsidR="00BB0B45" w:rsidRDefault="00BB0B45" w:rsidP="00374BD3">
      <w:pPr>
        <w:ind w:left="284"/>
        <w:rPr>
          <w:rFonts w:ascii="Verdana" w:hAnsi="Verdana"/>
          <w:b/>
          <w:bCs/>
          <w:color w:val="800000"/>
          <w:sz w:val="22"/>
          <w:szCs w:val="22"/>
        </w:rPr>
      </w:pPr>
    </w:p>
    <w:p w14:paraId="75909260" w14:textId="77777777" w:rsidR="00443069" w:rsidRDefault="00443069">
      <w:pPr>
        <w:rPr>
          <w:rFonts w:ascii="Verdana" w:hAnsi="Verdana"/>
          <w:b/>
          <w:bCs/>
          <w:color w:val="800000"/>
          <w:sz w:val="22"/>
          <w:szCs w:val="22"/>
        </w:rPr>
      </w:pPr>
      <w:r>
        <w:rPr>
          <w:rFonts w:ascii="Verdana" w:hAnsi="Verdana"/>
          <w:b/>
          <w:bCs/>
          <w:color w:val="800000"/>
          <w:sz w:val="22"/>
          <w:szCs w:val="22"/>
        </w:rPr>
        <w:br w:type="page"/>
      </w:r>
    </w:p>
    <w:p w14:paraId="558046F4" w14:textId="56A791C8" w:rsidR="00BA69E0" w:rsidRPr="000E481A" w:rsidRDefault="00BA69E0" w:rsidP="00B77991">
      <w:pPr>
        <w:pStyle w:val="Sangradetextonormal"/>
        <w:tabs>
          <w:tab w:val="left" w:pos="0"/>
        </w:tabs>
        <w:ind w:left="0"/>
        <w:rPr>
          <w:rFonts w:ascii="Verdana" w:eastAsia="Calibri" w:hAnsi="Verdana" w:cs="Arial"/>
          <w:bCs/>
          <w:sz w:val="22"/>
          <w:szCs w:val="22"/>
        </w:rPr>
      </w:pPr>
      <w:r w:rsidRPr="000E481A">
        <w:rPr>
          <w:rFonts w:ascii="Verdana" w:hAnsi="Verdana"/>
          <w:b/>
          <w:bCs/>
          <w:color w:val="800000"/>
          <w:sz w:val="22"/>
          <w:szCs w:val="22"/>
        </w:rPr>
        <w:lastRenderedPageBreak/>
        <w:t xml:space="preserve">DISPOSICIONES PUBLICADAS DURANTE </w:t>
      </w:r>
      <w:r w:rsidR="009F35DE">
        <w:rPr>
          <w:rFonts w:ascii="Verdana" w:hAnsi="Verdana"/>
          <w:b/>
          <w:bCs/>
          <w:color w:val="800000"/>
          <w:sz w:val="22"/>
          <w:szCs w:val="22"/>
        </w:rPr>
        <w:t>LOS MESES DE MARZO Y</w:t>
      </w:r>
      <w:r w:rsidR="00A76E90" w:rsidRPr="000E481A">
        <w:rPr>
          <w:rFonts w:ascii="Verdana" w:hAnsi="Verdana"/>
          <w:b/>
          <w:bCs/>
          <w:color w:val="800000"/>
          <w:sz w:val="22"/>
          <w:szCs w:val="22"/>
        </w:rPr>
        <w:t xml:space="preserve"> </w:t>
      </w:r>
      <w:r w:rsidRPr="000E481A">
        <w:rPr>
          <w:rFonts w:ascii="Verdana" w:hAnsi="Verdana"/>
          <w:b/>
          <w:bCs/>
          <w:color w:val="800000"/>
          <w:sz w:val="22"/>
          <w:szCs w:val="22"/>
        </w:rPr>
        <w:t xml:space="preserve">ABRIL DE </w:t>
      </w:r>
      <w:r w:rsidR="003D7D41">
        <w:rPr>
          <w:rFonts w:ascii="Verdana" w:hAnsi="Verdana"/>
          <w:b/>
          <w:bCs/>
          <w:color w:val="800000"/>
          <w:sz w:val="22"/>
          <w:szCs w:val="22"/>
        </w:rPr>
        <w:t>202</w:t>
      </w:r>
      <w:r w:rsidR="00F515FF">
        <w:rPr>
          <w:rFonts w:ascii="Verdana" w:hAnsi="Verdana"/>
          <w:b/>
          <w:bCs/>
          <w:color w:val="800000"/>
          <w:sz w:val="22"/>
          <w:szCs w:val="22"/>
        </w:rPr>
        <w:t>6</w:t>
      </w:r>
    </w:p>
    <w:p w14:paraId="30634136" w14:textId="77777777" w:rsidR="00A90DCA" w:rsidRDefault="00A90DCA" w:rsidP="00A90DCA">
      <w:pPr>
        <w:pStyle w:val="Sangradetextonormal"/>
        <w:tabs>
          <w:tab w:val="left" w:pos="0"/>
        </w:tabs>
        <w:ind w:left="0"/>
        <w:rPr>
          <w:rFonts w:ascii="Verdana" w:hAnsi="Verdana"/>
          <w:color w:val="333333"/>
          <w:sz w:val="18"/>
          <w:szCs w:val="18"/>
        </w:rPr>
      </w:pPr>
    </w:p>
    <w:p w14:paraId="507B54E7" w14:textId="77777777" w:rsidR="00937965" w:rsidRPr="00937965" w:rsidRDefault="00937965" w:rsidP="00937965">
      <w:pPr>
        <w:pStyle w:val="Sangradetextonormal"/>
        <w:tabs>
          <w:tab w:val="left" w:pos="0"/>
        </w:tabs>
        <w:ind w:left="0"/>
        <w:rPr>
          <w:rFonts w:ascii="Verdana" w:hAnsi="Verdana"/>
          <w:b/>
          <w:bCs/>
          <w:color w:val="800000"/>
          <w:sz w:val="18"/>
          <w:szCs w:val="18"/>
        </w:rPr>
      </w:pPr>
      <w:r w:rsidRPr="00937965">
        <w:rPr>
          <w:rFonts w:ascii="Verdana" w:hAnsi="Verdana"/>
          <w:b/>
          <w:bCs/>
          <w:color w:val="800000"/>
          <w:sz w:val="18"/>
          <w:szCs w:val="18"/>
        </w:rPr>
        <w:t>Procesos de facturación</w:t>
      </w:r>
    </w:p>
    <w:p w14:paraId="4B452E47" w14:textId="2674F3D1" w:rsidR="0089511E" w:rsidRPr="00937965" w:rsidRDefault="00937965" w:rsidP="00937965">
      <w:pPr>
        <w:jc w:val="both"/>
        <w:rPr>
          <w:rFonts w:ascii="Verdana" w:hAnsi="Verdana"/>
          <w:sz w:val="18"/>
          <w:szCs w:val="18"/>
        </w:rPr>
      </w:pPr>
      <w:r w:rsidRPr="00937965">
        <w:rPr>
          <w:rFonts w:ascii="Verdana" w:hAnsi="Verdana"/>
          <w:sz w:val="18"/>
          <w:szCs w:val="18"/>
        </w:rPr>
        <w:t>Real Decreto 238/2026, de 25 de marzo, por el que se desarrolla el sistema de facturación electrónica obligatoria entre empresarios y profesionales y por el que se modifica el Reglamento por el que se regulan las obligaciones de facturación, aprobado por el Real Decreto 1619/2012, de 30 de noviembre.</w:t>
      </w:r>
    </w:p>
    <w:p w14:paraId="5C2299C8" w14:textId="15220A14" w:rsidR="00937965" w:rsidRDefault="00937965" w:rsidP="00937965">
      <w:pPr>
        <w:pStyle w:val="Sangradetextonormal"/>
        <w:tabs>
          <w:tab w:val="left" w:pos="0"/>
        </w:tabs>
        <w:ind w:left="0"/>
        <w:rPr>
          <w:rFonts w:ascii="Verdana" w:hAnsi="Verdana"/>
          <w:i/>
          <w:iCs/>
          <w:sz w:val="18"/>
          <w:szCs w:val="18"/>
        </w:rPr>
      </w:pPr>
      <w:r w:rsidRPr="00937965">
        <w:rPr>
          <w:rFonts w:ascii="Verdana" w:hAnsi="Verdana"/>
          <w:i/>
          <w:iCs/>
          <w:sz w:val="18"/>
          <w:szCs w:val="18"/>
        </w:rPr>
        <w:t>Ministerio de la Presidencia. B.O.E. núm. 79 de 31 de marzo de 2026.</w:t>
      </w:r>
    </w:p>
    <w:p w14:paraId="38A0F9A5" w14:textId="77777777" w:rsidR="00443069" w:rsidRDefault="00443069" w:rsidP="00937965">
      <w:pPr>
        <w:pStyle w:val="Sangradetextonormal"/>
        <w:tabs>
          <w:tab w:val="left" w:pos="0"/>
        </w:tabs>
        <w:ind w:left="0"/>
        <w:rPr>
          <w:rFonts w:ascii="Verdana" w:hAnsi="Verdana"/>
          <w:i/>
          <w:iCs/>
          <w:sz w:val="18"/>
          <w:szCs w:val="18"/>
        </w:rPr>
      </w:pPr>
    </w:p>
    <w:p w14:paraId="43E79EBF" w14:textId="77777777" w:rsidR="00443069" w:rsidRPr="00443069" w:rsidRDefault="00443069" w:rsidP="00443069">
      <w:pPr>
        <w:pStyle w:val="Sangradetextonormal"/>
        <w:tabs>
          <w:tab w:val="left" w:pos="0"/>
        </w:tabs>
        <w:ind w:left="0"/>
        <w:rPr>
          <w:rFonts w:ascii="Verdana" w:hAnsi="Verdana"/>
          <w:b/>
          <w:bCs/>
          <w:color w:val="800000"/>
          <w:sz w:val="18"/>
          <w:szCs w:val="18"/>
        </w:rPr>
      </w:pPr>
      <w:r w:rsidRPr="00443069">
        <w:rPr>
          <w:rFonts w:ascii="Verdana" w:hAnsi="Verdana"/>
          <w:b/>
          <w:bCs/>
          <w:color w:val="800000"/>
          <w:sz w:val="18"/>
          <w:szCs w:val="18"/>
        </w:rPr>
        <w:t>Procedimientos administrativos. Compensación de beneficios fiscales</w:t>
      </w:r>
    </w:p>
    <w:p w14:paraId="1D4C7B54" w14:textId="27C1E7B2" w:rsidR="00443069" w:rsidRDefault="00443069" w:rsidP="00443069">
      <w:pPr>
        <w:pStyle w:val="Sangradetextonormal"/>
        <w:tabs>
          <w:tab w:val="left" w:pos="0"/>
        </w:tabs>
        <w:ind w:left="0"/>
        <w:rPr>
          <w:rFonts w:ascii="Verdana" w:hAnsi="Verdana"/>
          <w:i/>
          <w:iCs/>
          <w:sz w:val="18"/>
          <w:szCs w:val="18"/>
        </w:rPr>
      </w:pPr>
      <w:r w:rsidRPr="00443069">
        <w:rPr>
          <w:rFonts w:ascii="Verdana" w:hAnsi="Verdana"/>
          <w:sz w:val="18"/>
          <w:szCs w:val="18"/>
        </w:rPr>
        <w:t>Resolución de 14 de abril de 2026, de la Secretaría General de Financiación Autonómica y Local, por la que se regula el procedimiento de compensación de los beneficios fiscales en las cuotas correspondientes al ejercicio 2026 del Impuesto sobre Bienes Inmuebles y del Impuesto sobre Actividades Económicas, por los daños causados por las inundaciones y otros sucesos acaecidos en diferentes municipios de las comunidades autónomas de Andalucía y Extremadura</w:t>
      </w:r>
      <w:r w:rsidRPr="00443069">
        <w:rPr>
          <w:rFonts w:ascii="Verdana" w:hAnsi="Verdana"/>
          <w:i/>
          <w:iCs/>
          <w:sz w:val="18"/>
          <w:szCs w:val="18"/>
        </w:rPr>
        <w:t>.</w:t>
      </w:r>
    </w:p>
    <w:p w14:paraId="54A6E737" w14:textId="79F313A3" w:rsidR="00ED7BC2" w:rsidRDefault="00443069" w:rsidP="00937965">
      <w:pPr>
        <w:pStyle w:val="Sangradetextonormal"/>
        <w:tabs>
          <w:tab w:val="left" w:pos="0"/>
        </w:tabs>
        <w:ind w:left="0"/>
        <w:rPr>
          <w:rFonts w:ascii="Verdana" w:hAnsi="Verdana"/>
          <w:i/>
          <w:iCs/>
          <w:sz w:val="18"/>
          <w:szCs w:val="18"/>
        </w:rPr>
      </w:pPr>
      <w:r>
        <w:rPr>
          <w:rFonts w:ascii="Verdana" w:hAnsi="Verdana"/>
          <w:i/>
          <w:iCs/>
          <w:sz w:val="18"/>
          <w:szCs w:val="18"/>
        </w:rPr>
        <w:t>Ministerio de Hacienda. B.O.E. núm. 96 de 20 de abril d 2026.</w:t>
      </w:r>
    </w:p>
    <w:p w14:paraId="59B56253" w14:textId="77777777" w:rsidR="00ED7BC2" w:rsidRPr="00937965" w:rsidRDefault="00ED7BC2" w:rsidP="00937965">
      <w:pPr>
        <w:pStyle w:val="Sangradetextonormal"/>
        <w:tabs>
          <w:tab w:val="left" w:pos="0"/>
        </w:tabs>
        <w:ind w:left="0"/>
        <w:rPr>
          <w:rFonts w:ascii="Verdana" w:hAnsi="Verdana"/>
          <w:i/>
          <w:iCs/>
          <w:sz w:val="18"/>
          <w:szCs w:val="18"/>
        </w:rPr>
      </w:pPr>
    </w:p>
    <w:p w14:paraId="61CA98D6" w14:textId="77777777" w:rsidR="00937965" w:rsidRDefault="00937965" w:rsidP="00937965">
      <w:pPr>
        <w:pStyle w:val="Sangradetextonormal"/>
        <w:tabs>
          <w:tab w:val="left" w:pos="0"/>
        </w:tabs>
        <w:ind w:left="0"/>
        <w:rPr>
          <w:rFonts w:ascii="Verdana" w:hAnsi="Verdana"/>
          <w:b/>
          <w:bCs/>
          <w:color w:val="800000"/>
          <w:sz w:val="18"/>
          <w:szCs w:val="18"/>
        </w:rPr>
      </w:pPr>
    </w:p>
    <w:p w14:paraId="6A4BFE05" w14:textId="77777777" w:rsidR="00937965" w:rsidRDefault="00937965" w:rsidP="00937965">
      <w:pPr>
        <w:pStyle w:val="Sangradetextonormal"/>
        <w:tabs>
          <w:tab w:val="left" w:pos="0"/>
        </w:tabs>
        <w:ind w:left="0"/>
        <w:rPr>
          <w:rFonts w:ascii="Verdana" w:hAnsi="Verdana"/>
          <w:b/>
          <w:bCs/>
          <w:color w:val="800000"/>
          <w:sz w:val="18"/>
          <w:szCs w:val="18"/>
        </w:rPr>
      </w:pPr>
    </w:p>
    <w:p w14:paraId="0869E5C6" w14:textId="77777777" w:rsidR="00937965" w:rsidRDefault="00937965" w:rsidP="00937965">
      <w:pPr>
        <w:pStyle w:val="Sangradetextonormal"/>
        <w:tabs>
          <w:tab w:val="left" w:pos="0"/>
        </w:tabs>
        <w:ind w:left="0"/>
        <w:rPr>
          <w:rFonts w:ascii="Verdana" w:hAnsi="Verdana"/>
          <w:i/>
          <w:iCs/>
          <w:color w:val="333333"/>
          <w:sz w:val="18"/>
          <w:szCs w:val="18"/>
        </w:rPr>
      </w:pPr>
    </w:p>
    <w:p w14:paraId="30522A34" w14:textId="5E59BC9E" w:rsidR="00740E46" w:rsidRPr="00234E75" w:rsidRDefault="00740E46" w:rsidP="00184F4B">
      <w:pPr>
        <w:jc w:val="center"/>
        <w:rPr>
          <w:rFonts w:ascii="Verdana" w:hAnsi="Verdana"/>
          <w:b/>
          <w:bCs/>
          <w:color w:val="800000"/>
          <w:sz w:val="18"/>
          <w:szCs w:val="18"/>
        </w:rPr>
      </w:pPr>
      <w:r w:rsidRPr="00234E75">
        <w:rPr>
          <w:rFonts w:ascii="Verdana" w:hAnsi="Verdana"/>
          <w:b/>
          <w:bCs/>
          <w:color w:val="800000"/>
          <w:sz w:val="18"/>
          <w:szCs w:val="18"/>
        </w:rPr>
        <w:t>DISPOS</w:t>
      </w:r>
      <w:r w:rsidR="00234E75" w:rsidRPr="00234E75">
        <w:rPr>
          <w:rFonts w:ascii="Verdana" w:hAnsi="Verdana"/>
          <w:b/>
          <w:bCs/>
          <w:color w:val="800000"/>
          <w:sz w:val="18"/>
          <w:szCs w:val="18"/>
        </w:rPr>
        <w:t>ICIONES AUTONÓMI</w:t>
      </w:r>
      <w:r w:rsidR="007A5B3D">
        <w:rPr>
          <w:rFonts w:ascii="Verdana" w:hAnsi="Verdana"/>
          <w:b/>
          <w:bCs/>
          <w:color w:val="800000"/>
          <w:sz w:val="18"/>
          <w:szCs w:val="18"/>
        </w:rPr>
        <w:t>C</w:t>
      </w:r>
      <w:r w:rsidR="00234E75" w:rsidRPr="00234E75">
        <w:rPr>
          <w:rFonts w:ascii="Verdana" w:hAnsi="Verdana"/>
          <w:b/>
          <w:bCs/>
          <w:color w:val="800000"/>
          <w:sz w:val="18"/>
          <w:szCs w:val="18"/>
        </w:rPr>
        <w:t>AS Y FORALES</w:t>
      </w:r>
    </w:p>
    <w:p w14:paraId="641CEAA8" w14:textId="77777777" w:rsidR="00234E75" w:rsidRDefault="00234E75" w:rsidP="002658E0">
      <w:pPr>
        <w:jc w:val="both"/>
        <w:rPr>
          <w:rFonts w:ascii="Verdana" w:hAnsi="Verdana"/>
          <w:color w:val="333333"/>
          <w:sz w:val="18"/>
          <w:szCs w:val="18"/>
        </w:rPr>
      </w:pPr>
    </w:p>
    <w:p w14:paraId="33555C31" w14:textId="77777777" w:rsidR="0089511E" w:rsidRPr="0089511E" w:rsidRDefault="0089511E" w:rsidP="0089511E">
      <w:pPr>
        <w:rPr>
          <w:rFonts w:ascii="Verdana" w:hAnsi="Verdana"/>
          <w:b/>
          <w:bCs/>
          <w:color w:val="800000"/>
          <w:sz w:val="18"/>
          <w:szCs w:val="18"/>
        </w:rPr>
      </w:pPr>
      <w:r w:rsidRPr="0089511E">
        <w:rPr>
          <w:rFonts w:ascii="Verdana" w:hAnsi="Verdana"/>
          <w:b/>
          <w:bCs/>
          <w:color w:val="800000"/>
          <w:sz w:val="18"/>
          <w:szCs w:val="18"/>
        </w:rPr>
        <w:t>COMUNIDAD AUTÓNOMA DE CANARIAS</w:t>
      </w:r>
    </w:p>
    <w:p w14:paraId="65A9C44A" w14:textId="77777777" w:rsidR="00ED7BC2" w:rsidRPr="00ED7BC2" w:rsidRDefault="00ED7BC2" w:rsidP="00ED7BC2">
      <w:pPr>
        <w:jc w:val="both"/>
        <w:rPr>
          <w:rFonts w:ascii="Verdana" w:hAnsi="Verdana"/>
          <w:b/>
          <w:bCs/>
          <w:color w:val="800000"/>
          <w:sz w:val="18"/>
          <w:szCs w:val="18"/>
        </w:rPr>
      </w:pPr>
      <w:r w:rsidRPr="00ED7BC2">
        <w:rPr>
          <w:rFonts w:ascii="Verdana" w:hAnsi="Verdana"/>
          <w:b/>
          <w:bCs/>
          <w:color w:val="800000"/>
          <w:sz w:val="18"/>
          <w:szCs w:val="18"/>
        </w:rPr>
        <w:t>Presupuestos</w:t>
      </w:r>
    </w:p>
    <w:p w14:paraId="3C222583" w14:textId="77777777" w:rsidR="00ED7BC2" w:rsidRDefault="00ED7BC2" w:rsidP="00ED7BC2">
      <w:pPr>
        <w:jc w:val="both"/>
        <w:rPr>
          <w:rFonts w:ascii="Verdana" w:hAnsi="Verdana"/>
          <w:sz w:val="18"/>
          <w:szCs w:val="18"/>
        </w:rPr>
      </w:pPr>
      <w:r w:rsidRPr="00ED7BC2">
        <w:rPr>
          <w:rFonts w:ascii="Verdana" w:hAnsi="Verdana"/>
          <w:sz w:val="18"/>
          <w:szCs w:val="18"/>
        </w:rPr>
        <w:t>Ley 9/2025, de 23 de diciembre, de Presupuestos Generales de la Comunidad Autónoma de Canarias para 2026.</w:t>
      </w:r>
    </w:p>
    <w:p w14:paraId="3E9C4E8E" w14:textId="496DA198" w:rsidR="00ED7BC2" w:rsidRDefault="00ED7BC2" w:rsidP="00ED7BC2">
      <w:pPr>
        <w:jc w:val="both"/>
        <w:rPr>
          <w:rFonts w:ascii="Verdana" w:hAnsi="Verdana"/>
          <w:i/>
          <w:iCs/>
          <w:sz w:val="18"/>
          <w:szCs w:val="18"/>
        </w:rPr>
      </w:pPr>
      <w:bookmarkStart w:id="5" w:name="_Hlk228177712"/>
      <w:r w:rsidRPr="00ED7BC2">
        <w:rPr>
          <w:rFonts w:ascii="Verdana" w:hAnsi="Verdana"/>
          <w:i/>
          <w:iCs/>
          <w:sz w:val="18"/>
          <w:szCs w:val="18"/>
        </w:rPr>
        <w:t>B.O.E. núm. 82 de 3 de abril de 2026</w:t>
      </w:r>
      <w:r w:rsidR="001846DC">
        <w:rPr>
          <w:rFonts w:ascii="Verdana" w:hAnsi="Verdana"/>
          <w:i/>
          <w:iCs/>
          <w:sz w:val="18"/>
          <w:szCs w:val="18"/>
        </w:rPr>
        <w:t>.</w:t>
      </w:r>
    </w:p>
    <w:bookmarkEnd w:id="5"/>
    <w:p w14:paraId="756147EE" w14:textId="77777777" w:rsidR="001846DC" w:rsidRDefault="001846DC" w:rsidP="00ED7BC2">
      <w:pPr>
        <w:jc w:val="both"/>
        <w:rPr>
          <w:rFonts w:ascii="Verdana" w:hAnsi="Verdana"/>
          <w:i/>
          <w:iCs/>
          <w:sz w:val="18"/>
          <w:szCs w:val="18"/>
        </w:rPr>
      </w:pPr>
    </w:p>
    <w:p w14:paraId="2896CF9C" w14:textId="1698A0BD" w:rsidR="001846DC" w:rsidRPr="001846DC" w:rsidRDefault="001846DC" w:rsidP="001846DC">
      <w:pPr>
        <w:rPr>
          <w:rFonts w:ascii="Verdana" w:hAnsi="Verdana"/>
          <w:b/>
          <w:bCs/>
          <w:color w:val="800000"/>
          <w:sz w:val="18"/>
          <w:szCs w:val="18"/>
        </w:rPr>
      </w:pPr>
      <w:r w:rsidRPr="001846DC">
        <w:rPr>
          <w:rFonts w:ascii="Verdana" w:hAnsi="Verdana"/>
          <w:b/>
          <w:bCs/>
          <w:color w:val="800000"/>
          <w:sz w:val="18"/>
          <w:szCs w:val="18"/>
        </w:rPr>
        <w:t>COMUNIDAD FORAL DE NAVARRA</w:t>
      </w:r>
    </w:p>
    <w:p w14:paraId="7A26F2A5" w14:textId="77777777" w:rsidR="001846DC" w:rsidRPr="001846DC" w:rsidRDefault="001846DC" w:rsidP="001846DC">
      <w:pPr>
        <w:rPr>
          <w:rFonts w:ascii="Verdana" w:hAnsi="Verdana"/>
          <w:b/>
          <w:bCs/>
          <w:color w:val="800000"/>
          <w:sz w:val="18"/>
          <w:szCs w:val="18"/>
        </w:rPr>
      </w:pPr>
      <w:r w:rsidRPr="001846DC">
        <w:rPr>
          <w:rFonts w:ascii="Verdana" w:hAnsi="Verdana"/>
          <w:b/>
          <w:bCs/>
          <w:color w:val="800000"/>
          <w:sz w:val="18"/>
          <w:szCs w:val="18"/>
        </w:rPr>
        <w:t>Impuestos</w:t>
      </w:r>
    </w:p>
    <w:p w14:paraId="5C069C0F" w14:textId="43379A2E" w:rsidR="001846DC" w:rsidRPr="001846DC" w:rsidRDefault="001846DC" w:rsidP="001846DC">
      <w:pPr>
        <w:jc w:val="both"/>
        <w:rPr>
          <w:rFonts w:ascii="Verdana" w:hAnsi="Verdana"/>
          <w:sz w:val="18"/>
          <w:szCs w:val="18"/>
        </w:rPr>
      </w:pPr>
      <w:r w:rsidRPr="001846DC">
        <w:rPr>
          <w:rFonts w:ascii="Verdana" w:hAnsi="Verdana"/>
          <w:sz w:val="18"/>
          <w:szCs w:val="18"/>
        </w:rPr>
        <w:t>Decreto Foral Legislativo 1/2026, de 1 de abril, de Armonización Tributaria, por el que se modifica el Impuesto sobre el Valor Añadido y el Impuesto sobre el Valor de la Producción de la Energía Eléctrica.</w:t>
      </w:r>
    </w:p>
    <w:p w14:paraId="6A9E9272" w14:textId="0E7B16AD" w:rsidR="001846DC" w:rsidRDefault="001846DC" w:rsidP="001846DC">
      <w:pPr>
        <w:jc w:val="both"/>
        <w:rPr>
          <w:rFonts w:ascii="Verdana" w:hAnsi="Verdana"/>
          <w:i/>
          <w:iCs/>
          <w:sz w:val="18"/>
          <w:szCs w:val="18"/>
        </w:rPr>
      </w:pPr>
      <w:r w:rsidRPr="00ED7BC2">
        <w:rPr>
          <w:rFonts w:ascii="Verdana" w:hAnsi="Verdana"/>
          <w:i/>
          <w:iCs/>
          <w:sz w:val="18"/>
          <w:szCs w:val="18"/>
        </w:rPr>
        <w:t xml:space="preserve">B.O.E. núm. </w:t>
      </w:r>
      <w:r>
        <w:rPr>
          <w:rFonts w:ascii="Verdana" w:hAnsi="Verdana"/>
          <w:i/>
          <w:iCs/>
          <w:sz w:val="18"/>
          <w:szCs w:val="18"/>
        </w:rPr>
        <w:t>101</w:t>
      </w:r>
      <w:r w:rsidRPr="00ED7BC2">
        <w:rPr>
          <w:rFonts w:ascii="Verdana" w:hAnsi="Verdana"/>
          <w:i/>
          <w:iCs/>
          <w:sz w:val="18"/>
          <w:szCs w:val="18"/>
        </w:rPr>
        <w:t xml:space="preserve"> de </w:t>
      </w:r>
      <w:r>
        <w:rPr>
          <w:rFonts w:ascii="Verdana" w:hAnsi="Verdana"/>
          <w:i/>
          <w:iCs/>
          <w:sz w:val="18"/>
          <w:szCs w:val="18"/>
        </w:rPr>
        <w:t>25</w:t>
      </w:r>
      <w:r w:rsidRPr="00ED7BC2">
        <w:rPr>
          <w:rFonts w:ascii="Verdana" w:hAnsi="Verdana"/>
          <w:i/>
          <w:iCs/>
          <w:sz w:val="18"/>
          <w:szCs w:val="18"/>
        </w:rPr>
        <w:t xml:space="preserve"> de abril de 2026</w:t>
      </w:r>
      <w:r>
        <w:rPr>
          <w:rFonts w:ascii="Verdana" w:hAnsi="Verdana"/>
          <w:i/>
          <w:iCs/>
          <w:sz w:val="18"/>
          <w:szCs w:val="18"/>
        </w:rPr>
        <w:t>.</w:t>
      </w:r>
    </w:p>
    <w:p w14:paraId="49B80B40" w14:textId="77777777" w:rsidR="00ED7BC2" w:rsidRDefault="00ED7BC2" w:rsidP="00ED7BC2">
      <w:pPr>
        <w:jc w:val="both"/>
        <w:rPr>
          <w:rFonts w:ascii="Verdana" w:hAnsi="Verdana"/>
          <w:sz w:val="18"/>
          <w:szCs w:val="18"/>
        </w:rPr>
      </w:pPr>
    </w:p>
    <w:p w14:paraId="490B203F" w14:textId="0D7E84C4" w:rsidR="00A90DCA" w:rsidRPr="00ED7BC2" w:rsidRDefault="00A90DCA" w:rsidP="00ED7BC2">
      <w:pPr>
        <w:jc w:val="both"/>
        <w:rPr>
          <w:rFonts w:ascii="Verdana" w:hAnsi="Verdana"/>
          <w:sz w:val="18"/>
          <w:szCs w:val="18"/>
        </w:rPr>
      </w:pPr>
      <w:r w:rsidRPr="00ED7BC2">
        <w:rPr>
          <w:rFonts w:ascii="Verdana" w:hAnsi="Verdana"/>
          <w:sz w:val="18"/>
          <w:szCs w:val="18"/>
        </w:rPr>
        <w:br w:type="page"/>
      </w:r>
    </w:p>
    <w:p w14:paraId="4644040C" w14:textId="5B407324" w:rsidR="00BA69E0" w:rsidRPr="0002766B" w:rsidRDefault="00BA69E0" w:rsidP="0020486D">
      <w:pPr>
        <w:pStyle w:val="Sangradetextonormal"/>
        <w:ind w:left="0"/>
        <w:rPr>
          <w:rFonts w:ascii="Verdana" w:hAnsi="Verdana"/>
          <w:b/>
          <w:bCs/>
          <w:color w:val="800000"/>
          <w:sz w:val="22"/>
          <w:szCs w:val="22"/>
        </w:rPr>
      </w:pPr>
      <w:r w:rsidRPr="0002766B">
        <w:rPr>
          <w:rFonts w:ascii="Verdana" w:hAnsi="Verdana"/>
          <w:b/>
          <w:bCs/>
          <w:color w:val="800000"/>
          <w:sz w:val="22"/>
          <w:szCs w:val="22"/>
        </w:rPr>
        <w:lastRenderedPageBreak/>
        <w:t xml:space="preserve">CALENDARIO FISCAL PARA EL MES DE MAYO DE </w:t>
      </w:r>
      <w:r w:rsidR="00C7642D">
        <w:rPr>
          <w:rFonts w:ascii="Verdana" w:hAnsi="Verdana"/>
          <w:b/>
          <w:bCs/>
          <w:color w:val="800000"/>
          <w:sz w:val="22"/>
          <w:szCs w:val="22"/>
        </w:rPr>
        <w:t>202</w:t>
      </w:r>
      <w:r w:rsidR="00F515FF">
        <w:rPr>
          <w:rFonts w:ascii="Verdana" w:hAnsi="Verdana"/>
          <w:b/>
          <w:bCs/>
          <w:color w:val="800000"/>
          <w:sz w:val="22"/>
          <w:szCs w:val="22"/>
        </w:rPr>
        <w:t>5</w:t>
      </w:r>
    </w:p>
    <w:p w14:paraId="7CACB977" w14:textId="77777777" w:rsidR="00D456A1" w:rsidRPr="00D456A1" w:rsidRDefault="00D456A1" w:rsidP="00D456A1">
      <w:pPr>
        <w:jc w:val="both"/>
        <w:rPr>
          <w:rFonts w:ascii="Verdana" w:hAnsi="Verdana"/>
          <w:sz w:val="18"/>
          <w:szCs w:val="18"/>
        </w:rPr>
      </w:pPr>
    </w:p>
    <w:p w14:paraId="003C2597" w14:textId="77777777" w:rsidR="00D456A1" w:rsidRPr="007F3922" w:rsidRDefault="00D456A1" w:rsidP="00222208">
      <w:pPr>
        <w:jc w:val="both"/>
        <w:rPr>
          <w:rFonts w:ascii="Verdana" w:hAnsi="Verdana"/>
          <w:sz w:val="18"/>
          <w:szCs w:val="18"/>
        </w:rPr>
      </w:pPr>
    </w:p>
    <w:p w14:paraId="52ADED8A" w14:textId="34001191" w:rsidR="00B67855" w:rsidRPr="00E86B0F" w:rsidRDefault="00E86B0F" w:rsidP="00B67855">
      <w:pPr>
        <w:shd w:val="clear" w:color="auto" w:fill="FFFFFF"/>
        <w:spacing w:after="100" w:afterAutospacing="1"/>
        <w:outlineLvl w:val="0"/>
        <w:rPr>
          <w:rFonts w:ascii="Verdana" w:hAnsi="Verdana" w:cs="Arial"/>
          <w:b/>
          <w:bCs/>
          <w:color w:val="C0504D" w:themeColor="accent2"/>
          <w:kern w:val="36"/>
          <w:sz w:val="18"/>
          <w:szCs w:val="18"/>
        </w:rPr>
      </w:pPr>
      <w:r w:rsidRPr="00E86B0F">
        <w:rPr>
          <w:rFonts w:ascii="Verdana" w:hAnsi="Verdana" w:cs="Arial"/>
          <w:b/>
          <w:bCs/>
          <w:color w:val="C0504D" w:themeColor="accent2"/>
          <w:kern w:val="36"/>
          <w:sz w:val="18"/>
          <w:szCs w:val="18"/>
        </w:rPr>
        <w:t>DESDE EL 6 DE MAYO AL 30 DE JUNIO</w:t>
      </w:r>
    </w:p>
    <w:p w14:paraId="2BDD1BC8" w14:textId="77777777" w:rsidR="005D7771" w:rsidRPr="005D7771" w:rsidRDefault="005D7771">
      <w:pPr>
        <w:pStyle w:val="Ttulo3"/>
        <w:shd w:val="clear" w:color="auto" w:fill="FFFFFF"/>
        <w:rPr>
          <w:rFonts w:ascii="Verdana" w:hAnsi="Verdana" w:cs="Arial"/>
          <w:b w:val="0"/>
          <w:bCs w:val="0"/>
          <w:color w:val="000000"/>
          <w:sz w:val="18"/>
          <w:szCs w:val="18"/>
        </w:rPr>
      </w:pPr>
      <w:r w:rsidRPr="005D7771">
        <w:rPr>
          <w:rStyle w:val="Fuerte"/>
          <w:rFonts w:ascii="Verdana" w:hAnsi="Verdana" w:cs="Arial"/>
          <w:b/>
          <w:bCs/>
          <w:color w:val="000000"/>
          <w:sz w:val="18"/>
          <w:szCs w:val="18"/>
        </w:rPr>
        <w:t>Renta</w:t>
      </w:r>
    </w:p>
    <w:p w14:paraId="5C7F8E03" w14:textId="77777777" w:rsidR="005D7771" w:rsidRPr="005D7771" w:rsidRDefault="005D7771" w:rsidP="005D7771">
      <w:pPr>
        <w:pStyle w:val="NormalWeb"/>
        <w:numPr>
          <w:ilvl w:val="0"/>
          <w:numId w:val="153"/>
        </w:numPr>
        <w:shd w:val="clear" w:color="auto" w:fill="FFFFFF"/>
        <w:spacing w:before="0" w:beforeAutospacing="0"/>
        <w:rPr>
          <w:rFonts w:ascii="Verdana" w:hAnsi="Verdana" w:cs="Arial"/>
          <w:color w:val="000000"/>
          <w:sz w:val="18"/>
          <w:szCs w:val="18"/>
        </w:rPr>
      </w:pPr>
      <w:r w:rsidRPr="005D7771">
        <w:rPr>
          <w:rFonts w:ascii="Verdana" w:hAnsi="Verdana" w:cs="Arial"/>
          <w:color w:val="000000"/>
          <w:sz w:val="18"/>
          <w:szCs w:val="18"/>
        </w:rPr>
        <w:t>Presentación por teléfono de la declaración de Renta 2025</w:t>
      </w:r>
    </w:p>
    <w:p w14:paraId="2477F86F" w14:textId="77777777" w:rsidR="005D7771" w:rsidRPr="005D7771" w:rsidRDefault="005D7771">
      <w:pPr>
        <w:pStyle w:val="Ttulo3"/>
        <w:shd w:val="clear" w:color="auto" w:fill="FFFFFF"/>
        <w:rPr>
          <w:rFonts w:ascii="Verdana" w:hAnsi="Verdana" w:cs="Arial"/>
          <w:b w:val="0"/>
          <w:bCs w:val="0"/>
          <w:color w:val="000000"/>
          <w:sz w:val="18"/>
          <w:szCs w:val="18"/>
        </w:rPr>
      </w:pPr>
      <w:r w:rsidRPr="005D7771">
        <w:rPr>
          <w:rStyle w:val="Fuerte"/>
          <w:rFonts w:ascii="Verdana" w:hAnsi="Verdana" w:cs="Arial"/>
          <w:b/>
          <w:bCs/>
          <w:color w:val="000000"/>
          <w:sz w:val="18"/>
          <w:szCs w:val="18"/>
        </w:rPr>
        <w:t>Sociedades</w:t>
      </w:r>
    </w:p>
    <w:p w14:paraId="29829105" w14:textId="77777777" w:rsidR="005D7771" w:rsidRPr="005D7771" w:rsidRDefault="005D7771" w:rsidP="005D7771">
      <w:pPr>
        <w:pStyle w:val="NormalWeb"/>
        <w:numPr>
          <w:ilvl w:val="0"/>
          <w:numId w:val="154"/>
        </w:numPr>
        <w:shd w:val="clear" w:color="auto" w:fill="FFFFFF"/>
        <w:spacing w:before="0" w:beforeAutospacing="0"/>
        <w:rPr>
          <w:rFonts w:ascii="Verdana" w:hAnsi="Verdana" w:cs="Arial"/>
          <w:color w:val="000000"/>
          <w:sz w:val="18"/>
          <w:szCs w:val="18"/>
        </w:rPr>
      </w:pPr>
      <w:r w:rsidRPr="005D7771">
        <w:rPr>
          <w:rFonts w:ascii="Verdana" w:hAnsi="Verdana" w:cs="Arial"/>
          <w:color w:val="000000"/>
          <w:sz w:val="18"/>
          <w:szCs w:val="18"/>
        </w:rPr>
        <w:t>Comunicación de la entidad constitutiva declarante de la declaración informativa del Impuesto Complementario. Para periodos impositivos finalizados antes del 31 de marzo de 2025: 240</w:t>
      </w:r>
    </w:p>
    <w:p w14:paraId="1102265D" w14:textId="77777777" w:rsidR="005D7771" w:rsidRPr="005D7771" w:rsidRDefault="005D7771" w:rsidP="005D7771">
      <w:pPr>
        <w:pStyle w:val="NormalWeb"/>
        <w:numPr>
          <w:ilvl w:val="0"/>
          <w:numId w:val="155"/>
        </w:numPr>
        <w:shd w:val="clear" w:color="auto" w:fill="FFFFFF"/>
        <w:spacing w:before="0" w:beforeAutospacing="0"/>
        <w:rPr>
          <w:rFonts w:ascii="Verdana" w:hAnsi="Verdana" w:cs="Arial"/>
          <w:color w:val="000000"/>
          <w:sz w:val="18"/>
          <w:szCs w:val="18"/>
        </w:rPr>
      </w:pPr>
      <w:r w:rsidRPr="005D7771">
        <w:rPr>
          <w:rFonts w:ascii="Verdana" w:hAnsi="Verdana" w:cs="Arial"/>
          <w:color w:val="000000"/>
          <w:sz w:val="18"/>
          <w:szCs w:val="18"/>
        </w:rPr>
        <w:t>Declaración informativa del Impuesto Complementario. Para periodos impositivos finalizados antes del 31 de marzo de 2025: 241</w:t>
      </w:r>
    </w:p>
    <w:p w14:paraId="1EDC79D8" w14:textId="40927BFA" w:rsidR="00B67855" w:rsidRPr="005D7771" w:rsidRDefault="005D7771" w:rsidP="00CD78DD">
      <w:pPr>
        <w:shd w:val="clear" w:color="auto" w:fill="FFFFFF"/>
        <w:spacing w:after="100" w:afterAutospacing="1"/>
        <w:contextualSpacing/>
        <w:outlineLvl w:val="0"/>
        <w:rPr>
          <w:rFonts w:ascii="Verdana" w:hAnsi="Verdana" w:cs="Arial"/>
          <w:b/>
          <w:bCs/>
          <w:color w:val="C0504D" w:themeColor="accent2"/>
          <w:kern w:val="36"/>
          <w:sz w:val="18"/>
          <w:szCs w:val="18"/>
        </w:rPr>
      </w:pPr>
      <w:r w:rsidRPr="005D7771">
        <w:rPr>
          <w:rFonts w:ascii="Verdana" w:hAnsi="Verdana" w:cs="Arial"/>
          <w:b/>
          <w:bCs/>
          <w:color w:val="C0504D" w:themeColor="accent2"/>
          <w:kern w:val="36"/>
          <w:sz w:val="18"/>
          <w:szCs w:val="18"/>
        </w:rPr>
        <w:t>HASTA EL 12 DE MAYO</w:t>
      </w:r>
    </w:p>
    <w:p w14:paraId="518C5830" w14:textId="77777777" w:rsidR="00B67855" w:rsidRPr="005D7771" w:rsidRDefault="00B67855" w:rsidP="00CD78DD">
      <w:pPr>
        <w:contextualSpacing/>
        <w:rPr>
          <w:rFonts w:ascii="Verdana" w:hAnsi="Verdana"/>
          <w:sz w:val="18"/>
          <w:szCs w:val="18"/>
        </w:rPr>
      </w:pPr>
    </w:p>
    <w:p w14:paraId="0B3B0633" w14:textId="77777777" w:rsidR="00B67855" w:rsidRPr="005D7771" w:rsidRDefault="00B67855" w:rsidP="00CD78DD">
      <w:pPr>
        <w:pStyle w:val="Ttulo3"/>
        <w:shd w:val="clear" w:color="auto" w:fill="FFFFFF"/>
        <w:contextualSpacing/>
        <w:rPr>
          <w:rFonts w:ascii="Verdana" w:hAnsi="Verdana" w:cs="Arial"/>
          <w:b w:val="0"/>
          <w:bCs w:val="0"/>
          <w:color w:val="000000"/>
          <w:sz w:val="18"/>
          <w:szCs w:val="18"/>
        </w:rPr>
      </w:pPr>
      <w:r w:rsidRPr="005D7771">
        <w:rPr>
          <w:rStyle w:val="Fuerte"/>
          <w:rFonts w:ascii="Verdana" w:hAnsi="Verdana" w:cs="Arial"/>
          <w:b/>
          <w:bCs/>
          <w:color w:val="000000"/>
          <w:sz w:val="18"/>
          <w:szCs w:val="18"/>
        </w:rPr>
        <w:t>INTRASTAT - Estadística Comercio Intracomunitario</w:t>
      </w:r>
    </w:p>
    <w:p w14:paraId="726984E0" w14:textId="77777777" w:rsidR="00B67855" w:rsidRPr="005D7771" w:rsidRDefault="00B67855" w:rsidP="00B67855">
      <w:pPr>
        <w:pStyle w:val="NormalWeb"/>
        <w:numPr>
          <w:ilvl w:val="0"/>
          <w:numId w:val="132"/>
        </w:numPr>
        <w:shd w:val="clear" w:color="auto" w:fill="FFFFFF"/>
        <w:spacing w:before="0" w:beforeAutospacing="0"/>
        <w:rPr>
          <w:rFonts w:ascii="Verdana" w:hAnsi="Verdana" w:cs="Arial"/>
          <w:color w:val="000000"/>
          <w:sz w:val="18"/>
          <w:szCs w:val="18"/>
        </w:rPr>
      </w:pPr>
      <w:r w:rsidRPr="005D7771">
        <w:rPr>
          <w:rFonts w:ascii="Verdana" w:hAnsi="Verdana" w:cs="Arial"/>
          <w:color w:val="000000"/>
          <w:sz w:val="18"/>
          <w:szCs w:val="18"/>
        </w:rPr>
        <w:t>Abril 2026. Obligados a suministrar información estadística</w:t>
      </w:r>
    </w:p>
    <w:p w14:paraId="192F854E" w14:textId="126C3911" w:rsidR="00B67855" w:rsidRPr="005D7771" w:rsidRDefault="005D7771" w:rsidP="00B67855">
      <w:pPr>
        <w:shd w:val="clear" w:color="auto" w:fill="FFFFFF"/>
        <w:spacing w:after="100" w:afterAutospacing="1"/>
        <w:outlineLvl w:val="0"/>
        <w:rPr>
          <w:rFonts w:ascii="Verdana" w:hAnsi="Verdana" w:cs="Arial"/>
          <w:b/>
          <w:bCs/>
          <w:color w:val="C0504D" w:themeColor="accent2"/>
          <w:kern w:val="36"/>
          <w:sz w:val="18"/>
          <w:szCs w:val="18"/>
        </w:rPr>
      </w:pPr>
      <w:r w:rsidRPr="005D7771">
        <w:rPr>
          <w:rFonts w:ascii="Verdana" w:hAnsi="Verdana" w:cs="Arial"/>
          <w:b/>
          <w:bCs/>
          <w:color w:val="C0504D" w:themeColor="accent2"/>
          <w:kern w:val="36"/>
          <w:sz w:val="18"/>
          <w:szCs w:val="18"/>
        </w:rPr>
        <w:t>HASTA EL 20 DE MAYO</w:t>
      </w:r>
    </w:p>
    <w:p w14:paraId="4F19B8A2" w14:textId="77777777" w:rsidR="00B67855" w:rsidRPr="005D7771" w:rsidRDefault="00B67855" w:rsidP="00B67855">
      <w:pPr>
        <w:shd w:val="clear" w:color="auto" w:fill="FFFFFF"/>
        <w:spacing w:after="100" w:afterAutospacing="1"/>
        <w:outlineLvl w:val="2"/>
        <w:rPr>
          <w:rFonts w:ascii="Verdana" w:hAnsi="Verdana" w:cs="Arial"/>
          <w:color w:val="000000"/>
          <w:sz w:val="18"/>
          <w:szCs w:val="18"/>
        </w:rPr>
      </w:pPr>
      <w:r w:rsidRPr="005D7771">
        <w:rPr>
          <w:rFonts w:ascii="Verdana" w:hAnsi="Verdana" w:cs="Arial"/>
          <w:b/>
          <w:bCs/>
          <w:color w:val="000000"/>
          <w:sz w:val="18"/>
          <w:szCs w:val="18"/>
        </w:rPr>
        <w:t>Renta y Sociedades</w:t>
      </w:r>
    </w:p>
    <w:p w14:paraId="28CCFAA4" w14:textId="77777777" w:rsidR="00B67855" w:rsidRPr="005D7771" w:rsidRDefault="00B67855" w:rsidP="005D7771">
      <w:pPr>
        <w:shd w:val="clear" w:color="auto" w:fill="FFFFFF"/>
        <w:spacing w:after="100" w:afterAutospacing="1"/>
        <w:jc w:val="both"/>
        <w:rPr>
          <w:rFonts w:ascii="Verdana" w:hAnsi="Verdana" w:cs="Arial"/>
          <w:color w:val="000000"/>
          <w:sz w:val="18"/>
          <w:szCs w:val="18"/>
        </w:rPr>
      </w:pPr>
      <w:r w:rsidRPr="005D7771">
        <w:rPr>
          <w:rFonts w:ascii="Verdana" w:hAnsi="Verdana" w:cs="Arial"/>
          <w:color w:val="000000"/>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5AB82C9C" w14:textId="77777777" w:rsidR="00B67855" w:rsidRPr="005D7771" w:rsidRDefault="00B67855" w:rsidP="00B67855">
      <w:pPr>
        <w:numPr>
          <w:ilvl w:val="0"/>
          <w:numId w:val="133"/>
        </w:numPr>
        <w:shd w:val="clear" w:color="auto" w:fill="FFFFFF"/>
        <w:spacing w:after="100" w:afterAutospacing="1"/>
        <w:rPr>
          <w:rFonts w:ascii="Verdana" w:hAnsi="Verdana" w:cs="Arial"/>
          <w:color w:val="000000"/>
          <w:sz w:val="18"/>
          <w:szCs w:val="18"/>
        </w:rPr>
      </w:pPr>
      <w:r w:rsidRPr="005D7771">
        <w:rPr>
          <w:rFonts w:ascii="Verdana" w:hAnsi="Verdana" w:cs="Arial"/>
          <w:color w:val="000000"/>
          <w:sz w:val="18"/>
          <w:szCs w:val="18"/>
        </w:rPr>
        <w:t>Abril 2026. Grandes empresas: 111, 115, 117, 123, 124, 126, 128, 216, 230</w:t>
      </w:r>
    </w:p>
    <w:p w14:paraId="66943E00" w14:textId="77777777" w:rsidR="00B67855" w:rsidRPr="005D7771" w:rsidRDefault="00B67855" w:rsidP="00B67855">
      <w:pPr>
        <w:shd w:val="clear" w:color="auto" w:fill="FFFFFF"/>
        <w:spacing w:after="100" w:afterAutospacing="1"/>
        <w:outlineLvl w:val="2"/>
        <w:rPr>
          <w:rFonts w:ascii="Verdana" w:hAnsi="Verdana" w:cs="Arial"/>
          <w:color w:val="000000"/>
          <w:sz w:val="18"/>
          <w:szCs w:val="18"/>
        </w:rPr>
      </w:pPr>
      <w:r w:rsidRPr="005D7771">
        <w:rPr>
          <w:rFonts w:ascii="Verdana" w:hAnsi="Verdana" w:cs="Arial"/>
          <w:b/>
          <w:bCs/>
          <w:color w:val="000000"/>
          <w:sz w:val="18"/>
          <w:szCs w:val="18"/>
        </w:rPr>
        <w:t>IVA</w:t>
      </w:r>
    </w:p>
    <w:p w14:paraId="601B8454" w14:textId="77777777" w:rsidR="00B67855" w:rsidRPr="005D7771" w:rsidRDefault="00B67855" w:rsidP="005D7771">
      <w:pPr>
        <w:numPr>
          <w:ilvl w:val="0"/>
          <w:numId w:val="134"/>
        </w:numPr>
        <w:shd w:val="clear" w:color="auto" w:fill="FFFFFF"/>
        <w:spacing w:after="100" w:afterAutospacing="1"/>
        <w:jc w:val="both"/>
        <w:rPr>
          <w:rFonts w:ascii="Verdana" w:hAnsi="Verdana" w:cs="Arial"/>
          <w:color w:val="000000"/>
          <w:sz w:val="18"/>
          <w:szCs w:val="18"/>
        </w:rPr>
      </w:pPr>
      <w:r w:rsidRPr="005D7771">
        <w:rPr>
          <w:rFonts w:ascii="Verdana" w:hAnsi="Verdana" w:cs="Arial"/>
          <w:color w:val="000000"/>
          <w:sz w:val="18"/>
          <w:szCs w:val="18"/>
        </w:rPr>
        <w:t>Abril 2026. Declaración recapitulativa de operaciones intracomunitarias: 349</w:t>
      </w:r>
    </w:p>
    <w:p w14:paraId="1AB06DCC" w14:textId="77777777" w:rsidR="00B67855" w:rsidRPr="005D7771" w:rsidRDefault="00B67855" w:rsidP="005D7771">
      <w:pPr>
        <w:numPr>
          <w:ilvl w:val="0"/>
          <w:numId w:val="134"/>
        </w:numPr>
        <w:shd w:val="clear" w:color="auto" w:fill="FFFFFF"/>
        <w:spacing w:after="100" w:afterAutospacing="1"/>
        <w:jc w:val="both"/>
        <w:rPr>
          <w:rFonts w:ascii="Verdana" w:hAnsi="Verdana" w:cs="Arial"/>
          <w:color w:val="000000"/>
          <w:sz w:val="18"/>
          <w:szCs w:val="18"/>
        </w:rPr>
      </w:pPr>
      <w:r w:rsidRPr="005D7771">
        <w:rPr>
          <w:rFonts w:ascii="Verdana" w:hAnsi="Verdana" w:cs="Arial"/>
          <w:color w:val="000000"/>
          <w:sz w:val="18"/>
          <w:szCs w:val="18"/>
        </w:rPr>
        <w:t>Solicitud de devolución por sujetos pasivos en el régimen simplificado del IVA y que ejerzan la actividad de transporte de viajeros o de mercancías por carretera, por adquirir determinados medios de transporte: 308</w:t>
      </w:r>
    </w:p>
    <w:p w14:paraId="7D70F86F" w14:textId="77777777" w:rsidR="00B67855" w:rsidRPr="005D7771" w:rsidRDefault="00B67855" w:rsidP="00B67855">
      <w:pPr>
        <w:shd w:val="clear" w:color="auto" w:fill="FFFFFF"/>
        <w:spacing w:after="100" w:afterAutospacing="1"/>
        <w:outlineLvl w:val="2"/>
        <w:rPr>
          <w:rFonts w:ascii="Verdana" w:hAnsi="Verdana" w:cs="Arial"/>
          <w:color w:val="000000"/>
          <w:sz w:val="18"/>
          <w:szCs w:val="18"/>
        </w:rPr>
      </w:pPr>
      <w:r w:rsidRPr="005D7771">
        <w:rPr>
          <w:rFonts w:ascii="Verdana" w:hAnsi="Verdana" w:cs="Arial"/>
          <w:b/>
          <w:bCs/>
          <w:color w:val="000000"/>
          <w:sz w:val="18"/>
          <w:szCs w:val="18"/>
        </w:rPr>
        <w:t>Impuesto sobre las Primas de Seguros</w:t>
      </w:r>
    </w:p>
    <w:p w14:paraId="71F7A58B" w14:textId="77777777" w:rsidR="00B67855" w:rsidRPr="005D7771" w:rsidRDefault="00B67855" w:rsidP="00B67855">
      <w:pPr>
        <w:numPr>
          <w:ilvl w:val="0"/>
          <w:numId w:val="135"/>
        </w:numPr>
        <w:shd w:val="clear" w:color="auto" w:fill="FFFFFF"/>
        <w:spacing w:after="100" w:afterAutospacing="1"/>
        <w:rPr>
          <w:rFonts w:ascii="Verdana" w:hAnsi="Verdana" w:cs="Arial"/>
          <w:color w:val="000000"/>
          <w:sz w:val="18"/>
          <w:szCs w:val="18"/>
        </w:rPr>
      </w:pPr>
      <w:r w:rsidRPr="005D7771">
        <w:rPr>
          <w:rFonts w:ascii="Verdana" w:hAnsi="Verdana" w:cs="Arial"/>
          <w:color w:val="000000"/>
          <w:sz w:val="18"/>
          <w:szCs w:val="18"/>
        </w:rPr>
        <w:t>Abril 2026: 430</w:t>
      </w:r>
    </w:p>
    <w:p w14:paraId="4496C300" w14:textId="77777777" w:rsidR="00B67855" w:rsidRPr="005D7771" w:rsidRDefault="00B67855" w:rsidP="00B67855">
      <w:pPr>
        <w:shd w:val="clear" w:color="auto" w:fill="FFFFFF"/>
        <w:spacing w:after="100" w:afterAutospacing="1"/>
        <w:outlineLvl w:val="2"/>
        <w:rPr>
          <w:rFonts w:ascii="Verdana" w:hAnsi="Verdana" w:cs="Arial"/>
          <w:color w:val="000000"/>
          <w:sz w:val="18"/>
          <w:szCs w:val="18"/>
        </w:rPr>
      </w:pPr>
      <w:r w:rsidRPr="005D7771">
        <w:rPr>
          <w:rFonts w:ascii="Verdana" w:hAnsi="Verdana" w:cs="Arial"/>
          <w:b/>
          <w:bCs/>
          <w:color w:val="000000"/>
          <w:sz w:val="18"/>
          <w:szCs w:val="18"/>
        </w:rPr>
        <w:t>Impuestos Especiales de Fabricación</w:t>
      </w:r>
    </w:p>
    <w:p w14:paraId="66C3BA6E" w14:textId="77777777" w:rsidR="00B67855" w:rsidRPr="005D7771" w:rsidRDefault="00B67855" w:rsidP="005D7771">
      <w:pPr>
        <w:numPr>
          <w:ilvl w:val="0"/>
          <w:numId w:val="136"/>
        </w:numPr>
        <w:shd w:val="clear" w:color="auto" w:fill="FFFFFF"/>
        <w:spacing w:after="100" w:afterAutospacing="1"/>
        <w:jc w:val="both"/>
        <w:rPr>
          <w:rFonts w:ascii="Verdana" w:hAnsi="Verdana" w:cs="Arial"/>
          <w:color w:val="000000"/>
          <w:sz w:val="18"/>
          <w:szCs w:val="18"/>
        </w:rPr>
      </w:pPr>
      <w:r w:rsidRPr="005D7771">
        <w:rPr>
          <w:rFonts w:ascii="Verdana" w:hAnsi="Verdana" w:cs="Arial"/>
          <w:color w:val="000000"/>
          <w:sz w:val="18"/>
          <w:szCs w:val="18"/>
        </w:rPr>
        <w:t>Febrero 2026. Grandes empresas: 561, 562, 563</w:t>
      </w:r>
    </w:p>
    <w:p w14:paraId="7DD3E938" w14:textId="77777777" w:rsidR="00B67855" w:rsidRPr="005D7771" w:rsidRDefault="00B67855" w:rsidP="005D7771">
      <w:pPr>
        <w:numPr>
          <w:ilvl w:val="0"/>
          <w:numId w:val="136"/>
        </w:numPr>
        <w:shd w:val="clear" w:color="auto" w:fill="FFFFFF"/>
        <w:spacing w:after="100" w:afterAutospacing="1"/>
        <w:jc w:val="both"/>
        <w:rPr>
          <w:rFonts w:ascii="Verdana" w:hAnsi="Verdana" w:cs="Arial"/>
          <w:color w:val="000000"/>
          <w:sz w:val="18"/>
          <w:szCs w:val="18"/>
        </w:rPr>
      </w:pPr>
      <w:r w:rsidRPr="005D7771">
        <w:rPr>
          <w:rFonts w:ascii="Verdana" w:hAnsi="Verdana" w:cs="Arial"/>
          <w:color w:val="000000"/>
          <w:sz w:val="18"/>
          <w:szCs w:val="18"/>
        </w:rPr>
        <w:t>Abril 2026: 548, 566, 581</w:t>
      </w:r>
    </w:p>
    <w:p w14:paraId="45A712B0" w14:textId="77777777" w:rsidR="00B67855" w:rsidRPr="005D7771" w:rsidRDefault="00B67855" w:rsidP="005D7771">
      <w:pPr>
        <w:numPr>
          <w:ilvl w:val="0"/>
          <w:numId w:val="136"/>
        </w:numPr>
        <w:shd w:val="clear" w:color="auto" w:fill="FFFFFF"/>
        <w:spacing w:after="100" w:afterAutospacing="1"/>
        <w:jc w:val="both"/>
        <w:rPr>
          <w:rFonts w:ascii="Verdana" w:hAnsi="Verdana" w:cs="Arial"/>
          <w:color w:val="000000"/>
          <w:sz w:val="18"/>
          <w:szCs w:val="18"/>
        </w:rPr>
      </w:pPr>
      <w:r w:rsidRPr="005D7771">
        <w:rPr>
          <w:rFonts w:ascii="Verdana" w:hAnsi="Verdana" w:cs="Arial"/>
          <w:color w:val="000000"/>
          <w:sz w:val="18"/>
          <w:szCs w:val="18"/>
        </w:rPr>
        <w:t>Abril 2026: 573 (Autoliquidación), A24 (Solicitud de devolución)</w:t>
      </w:r>
    </w:p>
    <w:p w14:paraId="3584C1D4" w14:textId="77777777" w:rsidR="00B67855" w:rsidRPr="005D7771" w:rsidRDefault="00B67855" w:rsidP="005D7771">
      <w:pPr>
        <w:numPr>
          <w:ilvl w:val="0"/>
          <w:numId w:val="136"/>
        </w:numPr>
        <w:shd w:val="clear" w:color="auto" w:fill="FFFFFF"/>
        <w:spacing w:after="100" w:afterAutospacing="1"/>
        <w:jc w:val="both"/>
        <w:rPr>
          <w:rFonts w:ascii="Verdana" w:hAnsi="Verdana" w:cs="Arial"/>
          <w:color w:val="000000"/>
          <w:sz w:val="18"/>
          <w:szCs w:val="18"/>
        </w:rPr>
      </w:pPr>
      <w:r w:rsidRPr="005D7771">
        <w:rPr>
          <w:rFonts w:ascii="Verdana" w:hAnsi="Verdana" w:cs="Arial"/>
          <w:color w:val="000000"/>
          <w:sz w:val="18"/>
          <w:szCs w:val="18"/>
        </w:rPr>
        <w:t>Primer trimestre 2026. Excepto grandes empresas: 561, 562, 563</w:t>
      </w:r>
    </w:p>
    <w:p w14:paraId="410CBE54" w14:textId="77777777" w:rsidR="00B67855" w:rsidRPr="005D7771" w:rsidRDefault="00B67855" w:rsidP="005D7771">
      <w:pPr>
        <w:numPr>
          <w:ilvl w:val="0"/>
          <w:numId w:val="136"/>
        </w:numPr>
        <w:shd w:val="clear" w:color="auto" w:fill="FFFFFF"/>
        <w:spacing w:after="100" w:afterAutospacing="1"/>
        <w:jc w:val="both"/>
        <w:rPr>
          <w:rFonts w:ascii="Verdana" w:hAnsi="Verdana" w:cs="Arial"/>
          <w:color w:val="000000"/>
          <w:sz w:val="18"/>
          <w:szCs w:val="18"/>
        </w:rPr>
      </w:pPr>
      <w:r w:rsidRPr="005D7771">
        <w:rPr>
          <w:rFonts w:ascii="Verdana" w:hAnsi="Verdana" w:cs="Arial"/>
          <w:color w:val="000000"/>
          <w:sz w:val="18"/>
          <w:szCs w:val="18"/>
        </w:rPr>
        <w:t>Declaración de operaciones por los destinatarios registrados y representantes fiscales: 510</w:t>
      </w:r>
    </w:p>
    <w:p w14:paraId="20EE6DF7" w14:textId="77777777" w:rsidR="00B67855" w:rsidRPr="005D7771" w:rsidRDefault="00B67855" w:rsidP="00B67855">
      <w:pPr>
        <w:shd w:val="clear" w:color="auto" w:fill="FFFFFF"/>
        <w:spacing w:after="100" w:afterAutospacing="1"/>
        <w:outlineLvl w:val="2"/>
        <w:rPr>
          <w:rFonts w:ascii="Verdana" w:hAnsi="Verdana" w:cs="Arial"/>
          <w:color w:val="000000"/>
          <w:sz w:val="18"/>
          <w:szCs w:val="18"/>
        </w:rPr>
      </w:pPr>
      <w:r w:rsidRPr="005D7771">
        <w:rPr>
          <w:rFonts w:ascii="Verdana" w:hAnsi="Verdana" w:cs="Arial"/>
          <w:b/>
          <w:bCs/>
          <w:color w:val="000000"/>
          <w:sz w:val="18"/>
          <w:szCs w:val="18"/>
        </w:rPr>
        <w:t>Impuesto Especial sobre la Electricidad</w:t>
      </w:r>
    </w:p>
    <w:p w14:paraId="75FD6136" w14:textId="77777777" w:rsidR="00B67855" w:rsidRPr="005D7771" w:rsidRDefault="00B67855" w:rsidP="00B67855">
      <w:pPr>
        <w:numPr>
          <w:ilvl w:val="0"/>
          <w:numId w:val="137"/>
        </w:numPr>
        <w:shd w:val="clear" w:color="auto" w:fill="FFFFFF"/>
        <w:spacing w:after="100" w:afterAutospacing="1"/>
        <w:rPr>
          <w:rFonts w:ascii="Verdana" w:hAnsi="Verdana" w:cs="Arial"/>
          <w:color w:val="000000"/>
          <w:sz w:val="18"/>
          <w:szCs w:val="18"/>
        </w:rPr>
      </w:pPr>
      <w:r w:rsidRPr="005D7771">
        <w:rPr>
          <w:rFonts w:ascii="Verdana" w:hAnsi="Verdana" w:cs="Arial"/>
          <w:color w:val="000000"/>
          <w:sz w:val="18"/>
          <w:szCs w:val="18"/>
        </w:rPr>
        <w:lastRenderedPageBreak/>
        <w:t>Abril 2026. Grandes empresas: 560</w:t>
      </w:r>
    </w:p>
    <w:p w14:paraId="14875592" w14:textId="77777777" w:rsidR="00B67855" w:rsidRPr="005D7771" w:rsidRDefault="00B67855" w:rsidP="00B67855">
      <w:pPr>
        <w:shd w:val="clear" w:color="auto" w:fill="FFFFFF"/>
        <w:spacing w:after="100" w:afterAutospacing="1"/>
        <w:outlineLvl w:val="2"/>
        <w:rPr>
          <w:rFonts w:ascii="Verdana" w:hAnsi="Verdana" w:cs="Arial"/>
          <w:color w:val="000000"/>
          <w:sz w:val="18"/>
          <w:szCs w:val="18"/>
        </w:rPr>
      </w:pPr>
      <w:r w:rsidRPr="005D7771">
        <w:rPr>
          <w:rFonts w:ascii="Verdana" w:hAnsi="Verdana" w:cs="Arial"/>
          <w:b/>
          <w:bCs/>
          <w:color w:val="000000"/>
          <w:sz w:val="18"/>
          <w:szCs w:val="18"/>
        </w:rPr>
        <w:t>Impuestos Medioambientales</w:t>
      </w:r>
    </w:p>
    <w:p w14:paraId="26EA8CBF" w14:textId="77777777" w:rsidR="00B67855" w:rsidRPr="005D7771" w:rsidRDefault="00B67855" w:rsidP="00B67855">
      <w:pPr>
        <w:numPr>
          <w:ilvl w:val="0"/>
          <w:numId w:val="138"/>
        </w:numPr>
        <w:shd w:val="clear" w:color="auto" w:fill="FFFFFF"/>
        <w:spacing w:after="100" w:afterAutospacing="1"/>
        <w:rPr>
          <w:rFonts w:ascii="Verdana" w:hAnsi="Verdana" w:cs="Arial"/>
          <w:color w:val="000000"/>
          <w:sz w:val="18"/>
          <w:szCs w:val="18"/>
        </w:rPr>
      </w:pPr>
      <w:r w:rsidRPr="005D7771">
        <w:rPr>
          <w:rFonts w:ascii="Verdana" w:hAnsi="Verdana" w:cs="Arial"/>
          <w:color w:val="000000"/>
          <w:sz w:val="18"/>
          <w:szCs w:val="18"/>
        </w:rPr>
        <w:t>Abril 2026. Impuesto especial sobre los envases de plástico no reutilizables. Autoliquidación: 592</w:t>
      </w:r>
    </w:p>
    <w:p w14:paraId="0F26328A" w14:textId="77777777" w:rsidR="00B67855" w:rsidRPr="005D7771" w:rsidRDefault="00B67855" w:rsidP="00B67855">
      <w:pPr>
        <w:numPr>
          <w:ilvl w:val="0"/>
          <w:numId w:val="138"/>
        </w:numPr>
        <w:shd w:val="clear" w:color="auto" w:fill="FFFFFF"/>
        <w:spacing w:after="100" w:afterAutospacing="1"/>
        <w:rPr>
          <w:rFonts w:ascii="Verdana" w:hAnsi="Verdana" w:cs="Arial"/>
          <w:color w:val="000000"/>
          <w:sz w:val="18"/>
          <w:szCs w:val="18"/>
        </w:rPr>
      </w:pPr>
      <w:r w:rsidRPr="005D7771">
        <w:rPr>
          <w:rFonts w:ascii="Verdana" w:hAnsi="Verdana" w:cs="Arial"/>
          <w:color w:val="000000"/>
          <w:sz w:val="18"/>
          <w:szCs w:val="18"/>
        </w:rPr>
        <w:t>Año 2026. Impuesto sobre el valor de la producción de la energía eléctrica. Primer pago fraccionado: 583</w:t>
      </w:r>
    </w:p>
    <w:p w14:paraId="476D7F9F" w14:textId="77777777" w:rsidR="00B67855" w:rsidRPr="005D7771" w:rsidRDefault="00B67855" w:rsidP="00B67855">
      <w:pPr>
        <w:shd w:val="clear" w:color="auto" w:fill="FFFFFF"/>
        <w:spacing w:after="100" w:afterAutospacing="1"/>
        <w:outlineLvl w:val="2"/>
        <w:rPr>
          <w:rFonts w:ascii="Verdana" w:hAnsi="Verdana" w:cs="Arial"/>
          <w:color w:val="000000"/>
          <w:sz w:val="18"/>
          <w:szCs w:val="18"/>
        </w:rPr>
      </w:pPr>
      <w:r w:rsidRPr="005D7771">
        <w:rPr>
          <w:rFonts w:ascii="Verdana" w:hAnsi="Verdana" w:cs="Arial"/>
          <w:b/>
          <w:bCs/>
          <w:color w:val="000000"/>
          <w:sz w:val="18"/>
          <w:szCs w:val="18"/>
        </w:rPr>
        <w:t>Impuestos sobre las Transacciones Financieras</w:t>
      </w:r>
    </w:p>
    <w:p w14:paraId="4EC5C609" w14:textId="77777777" w:rsidR="00B67855" w:rsidRPr="005D7771" w:rsidRDefault="00B67855" w:rsidP="00B67855">
      <w:pPr>
        <w:numPr>
          <w:ilvl w:val="0"/>
          <w:numId w:val="139"/>
        </w:numPr>
        <w:shd w:val="clear" w:color="auto" w:fill="FFFFFF"/>
        <w:spacing w:after="100" w:afterAutospacing="1"/>
        <w:rPr>
          <w:rFonts w:ascii="Verdana" w:hAnsi="Verdana" w:cs="Arial"/>
          <w:color w:val="000000"/>
          <w:sz w:val="18"/>
          <w:szCs w:val="18"/>
        </w:rPr>
      </w:pPr>
      <w:r w:rsidRPr="005D7771">
        <w:rPr>
          <w:rFonts w:ascii="Verdana" w:hAnsi="Verdana" w:cs="Arial"/>
          <w:color w:val="000000"/>
          <w:sz w:val="18"/>
          <w:szCs w:val="18"/>
        </w:rPr>
        <w:t>Abril 2026: 604</w:t>
      </w:r>
    </w:p>
    <w:p w14:paraId="68E41A95" w14:textId="1A1F996D" w:rsidR="00B67855" w:rsidRPr="005D7771" w:rsidRDefault="005D7771" w:rsidP="00B67855">
      <w:pPr>
        <w:shd w:val="clear" w:color="auto" w:fill="FFFFFF"/>
        <w:spacing w:after="100" w:afterAutospacing="1"/>
        <w:outlineLvl w:val="0"/>
        <w:rPr>
          <w:rFonts w:ascii="Verdana" w:hAnsi="Verdana" w:cs="Arial"/>
          <w:b/>
          <w:bCs/>
          <w:color w:val="C0504D" w:themeColor="accent2"/>
          <w:kern w:val="36"/>
          <w:sz w:val="18"/>
          <w:szCs w:val="18"/>
        </w:rPr>
      </w:pPr>
      <w:r w:rsidRPr="005D7771">
        <w:rPr>
          <w:rFonts w:ascii="Verdana" w:hAnsi="Verdana" w:cs="Arial"/>
          <w:b/>
          <w:bCs/>
          <w:color w:val="C0504D" w:themeColor="accent2"/>
          <w:kern w:val="36"/>
          <w:sz w:val="18"/>
          <w:szCs w:val="18"/>
        </w:rPr>
        <w:t>HASTA EL 31 DE MAYO</w:t>
      </w:r>
    </w:p>
    <w:p w14:paraId="12D3DFB5" w14:textId="6539D7E0" w:rsidR="00B67855" w:rsidRPr="005D7771" w:rsidRDefault="00B67855" w:rsidP="00B67855">
      <w:pPr>
        <w:pStyle w:val="Ttulo3"/>
        <w:shd w:val="clear" w:color="auto" w:fill="FFFFFF"/>
        <w:rPr>
          <w:rFonts w:ascii="Verdana" w:hAnsi="Verdana" w:cs="Arial"/>
          <w:color w:val="000000"/>
          <w:sz w:val="18"/>
          <w:szCs w:val="18"/>
        </w:rPr>
      </w:pPr>
      <w:r w:rsidRPr="005D7771">
        <w:rPr>
          <w:rStyle w:val="Fuerte"/>
          <w:rFonts w:ascii="Verdana" w:hAnsi="Verdana" w:cs="Arial"/>
          <w:b/>
          <w:bCs/>
          <w:color w:val="000000"/>
          <w:sz w:val="18"/>
          <w:szCs w:val="18"/>
        </w:rPr>
        <w:t>IVA</w:t>
      </w:r>
    </w:p>
    <w:p w14:paraId="5CE565BB" w14:textId="77777777" w:rsidR="00B67855" w:rsidRDefault="00B67855" w:rsidP="00B67855">
      <w:pPr>
        <w:pStyle w:val="NormalWeb"/>
        <w:numPr>
          <w:ilvl w:val="0"/>
          <w:numId w:val="140"/>
        </w:numPr>
        <w:shd w:val="clear" w:color="auto" w:fill="FFFFFF"/>
        <w:spacing w:before="0" w:beforeAutospacing="0"/>
        <w:rPr>
          <w:rFonts w:ascii="Verdana" w:hAnsi="Verdana" w:cs="Arial"/>
          <w:color w:val="000000"/>
          <w:sz w:val="18"/>
          <w:szCs w:val="18"/>
        </w:rPr>
      </w:pPr>
      <w:r w:rsidRPr="005D7771">
        <w:rPr>
          <w:rFonts w:ascii="Verdana" w:hAnsi="Verdana" w:cs="Arial"/>
          <w:color w:val="000000"/>
          <w:sz w:val="18"/>
          <w:szCs w:val="18"/>
        </w:rPr>
        <w:t>Abril 2026. Ventanilla única - Régimen de importación: 369</w:t>
      </w:r>
    </w:p>
    <w:p w14:paraId="5D512D8E" w14:textId="71DAB5D1" w:rsidR="005D7771" w:rsidRPr="005D7771" w:rsidRDefault="005D7771" w:rsidP="005D7771">
      <w:pPr>
        <w:shd w:val="clear" w:color="auto" w:fill="FFFFFF"/>
        <w:spacing w:after="100" w:afterAutospacing="1"/>
        <w:outlineLvl w:val="0"/>
        <w:rPr>
          <w:rFonts w:ascii="Verdana" w:hAnsi="Verdana" w:cs="Arial"/>
          <w:b/>
          <w:bCs/>
          <w:color w:val="C0504D" w:themeColor="accent2"/>
          <w:kern w:val="36"/>
          <w:sz w:val="18"/>
          <w:szCs w:val="18"/>
        </w:rPr>
      </w:pPr>
      <w:r w:rsidRPr="005D7771">
        <w:rPr>
          <w:rFonts w:ascii="Verdana" w:hAnsi="Verdana" w:cs="Arial"/>
          <w:b/>
          <w:bCs/>
          <w:color w:val="C0504D" w:themeColor="accent2"/>
          <w:kern w:val="36"/>
          <w:sz w:val="18"/>
          <w:szCs w:val="18"/>
        </w:rPr>
        <w:t>HASTA EL 1 DE JUNIO</w:t>
      </w:r>
    </w:p>
    <w:p w14:paraId="0E4D90D5" w14:textId="77777777" w:rsidR="005D7771" w:rsidRPr="005D7771" w:rsidRDefault="005D7771" w:rsidP="005D7771">
      <w:pPr>
        <w:pStyle w:val="NormalWeb"/>
        <w:rPr>
          <w:rFonts w:ascii="Verdana" w:hAnsi="Verdana" w:cs="Arial"/>
          <w:color w:val="000000"/>
          <w:sz w:val="18"/>
          <w:szCs w:val="18"/>
        </w:rPr>
      </w:pPr>
      <w:r w:rsidRPr="005D7771">
        <w:rPr>
          <w:rFonts w:ascii="Verdana" w:hAnsi="Verdana" w:cs="Arial"/>
          <w:b/>
          <w:bCs/>
          <w:color w:val="000000"/>
          <w:sz w:val="18"/>
          <w:szCs w:val="18"/>
        </w:rPr>
        <w:t>IVA</w:t>
      </w:r>
    </w:p>
    <w:p w14:paraId="50B9F29A" w14:textId="77777777" w:rsidR="005D7771" w:rsidRPr="005D7771" w:rsidRDefault="005D7771" w:rsidP="005D7771">
      <w:pPr>
        <w:pStyle w:val="NormalWeb"/>
        <w:numPr>
          <w:ilvl w:val="0"/>
          <w:numId w:val="156"/>
        </w:numPr>
        <w:rPr>
          <w:rFonts w:ascii="Verdana" w:hAnsi="Verdana" w:cs="Arial"/>
          <w:color w:val="000000"/>
          <w:sz w:val="18"/>
          <w:szCs w:val="18"/>
        </w:rPr>
      </w:pPr>
      <w:r w:rsidRPr="005D7771">
        <w:rPr>
          <w:rFonts w:ascii="Verdana" w:hAnsi="Verdana" w:cs="Arial"/>
          <w:color w:val="000000"/>
          <w:sz w:val="18"/>
          <w:szCs w:val="18"/>
        </w:rPr>
        <w:t>Abril 2026. Autoliquidación: 303</w:t>
      </w:r>
    </w:p>
    <w:p w14:paraId="089CD2C5" w14:textId="77777777" w:rsidR="005D7771" w:rsidRPr="005D7771" w:rsidRDefault="005D7771" w:rsidP="005D7771">
      <w:pPr>
        <w:pStyle w:val="NormalWeb"/>
        <w:numPr>
          <w:ilvl w:val="0"/>
          <w:numId w:val="156"/>
        </w:numPr>
        <w:rPr>
          <w:rFonts w:ascii="Verdana" w:hAnsi="Verdana" w:cs="Arial"/>
          <w:color w:val="000000"/>
          <w:sz w:val="18"/>
          <w:szCs w:val="18"/>
        </w:rPr>
      </w:pPr>
      <w:r w:rsidRPr="005D7771">
        <w:rPr>
          <w:rFonts w:ascii="Verdana" w:hAnsi="Verdana" w:cs="Arial"/>
          <w:color w:val="000000"/>
          <w:sz w:val="18"/>
          <w:szCs w:val="18"/>
        </w:rPr>
        <w:t>Abril 2026. Grupo de entidades, modelo individual: 322</w:t>
      </w:r>
    </w:p>
    <w:p w14:paraId="034E745C" w14:textId="77777777" w:rsidR="005D7771" w:rsidRPr="005D7771" w:rsidRDefault="005D7771" w:rsidP="005D7771">
      <w:pPr>
        <w:pStyle w:val="NormalWeb"/>
        <w:numPr>
          <w:ilvl w:val="0"/>
          <w:numId w:val="156"/>
        </w:numPr>
        <w:rPr>
          <w:rFonts w:ascii="Verdana" w:hAnsi="Verdana" w:cs="Arial"/>
          <w:color w:val="000000"/>
          <w:sz w:val="18"/>
          <w:szCs w:val="18"/>
        </w:rPr>
      </w:pPr>
      <w:r w:rsidRPr="005D7771">
        <w:rPr>
          <w:rFonts w:ascii="Verdana" w:hAnsi="Verdana" w:cs="Arial"/>
          <w:color w:val="000000"/>
          <w:sz w:val="18"/>
          <w:szCs w:val="18"/>
        </w:rPr>
        <w:t>Abril 2026. Grupo de entidades, modelo agregado: 353</w:t>
      </w:r>
    </w:p>
    <w:p w14:paraId="73D2A803" w14:textId="77777777" w:rsidR="005D7771" w:rsidRPr="005D7771" w:rsidRDefault="005D7771" w:rsidP="005D7771">
      <w:pPr>
        <w:pStyle w:val="NormalWeb"/>
        <w:numPr>
          <w:ilvl w:val="0"/>
          <w:numId w:val="156"/>
        </w:numPr>
        <w:rPr>
          <w:rFonts w:ascii="Verdana" w:hAnsi="Verdana" w:cs="Arial"/>
          <w:color w:val="000000"/>
          <w:sz w:val="18"/>
          <w:szCs w:val="18"/>
        </w:rPr>
      </w:pPr>
      <w:r w:rsidRPr="005D7771">
        <w:rPr>
          <w:rFonts w:ascii="Verdana" w:hAnsi="Verdana" w:cs="Arial"/>
          <w:color w:val="000000"/>
          <w:sz w:val="18"/>
          <w:szCs w:val="18"/>
        </w:rPr>
        <w:t>Abril 2026. Operaciones asimiladas a las importaciones: 380</w:t>
      </w:r>
    </w:p>
    <w:p w14:paraId="73847CF1" w14:textId="77777777" w:rsidR="005D7771" w:rsidRPr="005D7771" w:rsidRDefault="005D7771" w:rsidP="005D7771">
      <w:pPr>
        <w:pStyle w:val="NormalWeb"/>
        <w:rPr>
          <w:rFonts w:ascii="Verdana" w:hAnsi="Verdana" w:cs="Arial"/>
          <w:color w:val="000000"/>
          <w:sz w:val="18"/>
          <w:szCs w:val="18"/>
        </w:rPr>
      </w:pPr>
      <w:r w:rsidRPr="005D7771">
        <w:rPr>
          <w:rFonts w:ascii="Verdana" w:hAnsi="Verdana" w:cs="Arial"/>
          <w:b/>
          <w:bCs/>
          <w:color w:val="000000"/>
          <w:sz w:val="18"/>
          <w:szCs w:val="18"/>
        </w:rPr>
        <w:t>Impuestos Medioambientales</w:t>
      </w:r>
    </w:p>
    <w:p w14:paraId="3CBA1214" w14:textId="77777777" w:rsidR="005D7771" w:rsidRPr="005D7771" w:rsidRDefault="005D7771" w:rsidP="005D7771">
      <w:pPr>
        <w:pStyle w:val="NormalWeb"/>
        <w:numPr>
          <w:ilvl w:val="0"/>
          <w:numId w:val="157"/>
        </w:numPr>
        <w:rPr>
          <w:rFonts w:ascii="Verdana" w:hAnsi="Verdana" w:cs="Arial"/>
          <w:color w:val="000000"/>
          <w:sz w:val="18"/>
          <w:szCs w:val="18"/>
        </w:rPr>
      </w:pPr>
      <w:r w:rsidRPr="005D7771">
        <w:rPr>
          <w:rFonts w:ascii="Verdana" w:hAnsi="Verdana" w:cs="Arial"/>
          <w:color w:val="000000"/>
          <w:sz w:val="18"/>
          <w:szCs w:val="18"/>
        </w:rPr>
        <w:t>Abril 2026. Impuesto especial sobre los envases de plástico no reutilizables. Presentación contabilidad y libro registro de existencias</w:t>
      </w:r>
    </w:p>
    <w:p w14:paraId="49544BBA" w14:textId="77777777" w:rsidR="005D7771" w:rsidRPr="005D7771" w:rsidRDefault="005D7771" w:rsidP="005D7771">
      <w:pPr>
        <w:pStyle w:val="NormalWeb"/>
        <w:jc w:val="both"/>
        <w:rPr>
          <w:rFonts w:ascii="Verdana" w:hAnsi="Verdana" w:cs="Arial"/>
          <w:color w:val="000000"/>
          <w:sz w:val="18"/>
          <w:szCs w:val="18"/>
        </w:rPr>
      </w:pPr>
      <w:r w:rsidRPr="005D7771">
        <w:rPr>
          <w:rFonts w:ascii="Verdana" w:hAnsi="Verdana" w:cs="Arial"/>
          <w:b/>
          <w:bCs/>
          <w:color w:val="000000"/>
          <w:sz w:val="18"/>
          <w:szCs w:val="18"/>
        </w:rPr>
        <w:t>Declaración informativa mensual de las operaciones realizadas por los empresarios o profesionales adheridos al sistema de gestión de cobros a través de cualquier tipo de tarjetas y mediante pagos asociados a números de teléfono móvil</w:t>
      </w:r>
    </w:p>
    <w:p w14:paraId="41E9FCD5" w14:textId="77777777" w:rsidR="005D7771" w:rsidRPr="005D7771" w:rsidRDefault="005D7771" w:rsidP="005D7771">
      <w:pPr>
        <w:pStyle w:val="NormalWeb"/>
        <w:numPr>
          <w:ilvl w:val="0"/>
          <w:numId w:val="158"/>
        </w:numPr>
        <w:rPr>
          <w:rFonts w:ascii="Verdana" w:hAnsi="Verdana" w:cs="Arial"/>
          <w:color w:val="000000"/>
          <w:sz w:val="18"/>
          <w:szCs w:val="18"/>
        </w:rPr>
      </w:pPr>
      <w:r w:rsidRPr="005D7771">
        <w:rPr>
          <w:rFonts w:ascii="Verdana" w:hAnsi="Verdana" w:cs="Arial"/>
          <w:color w:val="000000"/>
          <w:sz w:val="18"/>
          <w:szCs w:val="18"/>
        </w:rPr>
        <w:t>Abril 2026: 170</w:t>
      </w:r>
    </w:p>
    <w:p w14:paraId="48953E30" w14:textId="77777777" w:rsidR="005D7771" w:rsidRPr="005D7771" w:rsidRDefault="005D7771" w:rsidP="005D7771">
      <w:pPr>
        <w:pStyle w:val="NormalWeb"/>
        <w:jc w:val="both"/>
        <w:rPr>
          <w:rFonts w:ascii="Verdana" w:hAnsi="Verdana" w:cs="Arial"/>
          <w:color w:val="000000"/>
          <w:sz w:val="18"/>
          <w:szCs w:val="18"/>
        </w:rPr>
      </w:pPr>
      <w:r w:rsidRPr="005D7771">
        <w:rPr>
          <w:rFonts w:ascii="Verdana" w:hAnsi="Verdana" w:cs="Arial"/>
          <w:b/>
          <w:bCs/>
          <w:color w:val="000000"/>
          <w:sz w:val="18"/>
          <w:szCs w:val="18"/>
        </w:rPr>
        <w:t>Declaración informativa mensual de cuentas en toda clase de instituciones financieras y resumen anual de retenciones e ingresos a cuenta sobre rendimientos del capital mobiliario y rentas obtenidas por la contraprestación derivada de cuentas en toda clase de instituciones financieras</w:t>
      </w:r>
    </w:p>
    <w:p w14:paraId="207F83DE" w14:textId="77777777" w:rsidR="005D7771" w:rsidRPr="005D7771" w:rsidRDefault="005D7771" w:rsidP="005D7771">
      <w:pPr>
        <w:pStyle w:val="NormalWeb"/>
        <w:numPr>
          <w:ilvl w:val="0"/>
          <w:numId w:val="159"/>
        </w:numPr>
        <w:rPr>
          <w:rFonts w:ascii="Verdana" w:hAnsi="Verdana" w:cs="Arial"/>
          <w:color w:val="000000"/>
          <w:sz w:val="18"/>
          <w:szCs w:val="18"/>
        </w:rPr>
      </w:pPr>
      <w:r w:rsidRPr="005D7771">
        <w:rPr>
          <w:rFonts w:ascii="Verdana" w:hAnsi="Verdana" w:cs="Arial"/>
          <w:color w:val="000000"/>
          <w:sz w:val="18"/>
          <w:szCs w:val="18"/>
        </w:rPr>
        <w:t>Abril 2026: 196</w:t>
      </w:r>
    </w:p>
    <w:p w14:paraId="56F2999D" w14:textId="77777777" w:rsidR="005D7771" w:rsidRPr="005D7771" w:rsidRDefault="005D7771" w:rsidP="005D7771">
      <w:pPr>
        <w:pStyle w:val="NormalWeb"/>
        <w:rPr>
          <w:rFonts w:ascii="Verdana" w:hAnsi="Verdana" w:cs="Arial"/>
          <w:color w:val="000000"/>
          <w:sz w:val="18"/>
          <w:szCs w:val="18"/>
        </w:rPr>
      </w:pPr>
      <w:r w:rsidRPr="005D7771">
        <w:rPr>
          <w:rFonts w:ascii="Verdana" w:hAnsi="Verdana" w:cs="Arial"/>
          <w:b/>
          <w:bCs/>
          <w:color w:val="000000"/>
          <w:sz w:val="18"/>
          <w:szCs w:val="18"/>
        </w:rPr>
        <w:t>Declaración informativa anual de cuentas financieras en el ámbito de la asistencia mutua</w:t>
      </w:r>
    </w:p>
    <w:p w14:paraId="33FBFE31" w14:textId="77777777" w:rsidR="005D7771" w:rsidRPr="005D7771" w:rsidRDefault="005D7771" w:rsidP="005D7771">
      <w:pPr>
        <w:pStyle w:val="NormalWeb"/>
        <w:numPr>
          <w:ilvl w:val="0"/>
          <w:numId w:val="160"/>
        </w:numPr>
        <w:rPr>
          <w:rFonts w:ascii="Verdana" w:hAnsi="Verdana" w:cs="Arial"/>
          <w:color w:val="000000"/>
          <w:sz w:val="18"/>
          <w:szCs w:val="18"/>
        </w:rPr>
      </w:pPr>
      <w:r w:rsidRPr="005D7771">
        <w:rPr>
          <w:rFonts w:ascii="Verdana" w:hAnsi="Verdana" w:cs="Arial"/>
          <w:color w:val="000000"/>
          <w:sz w:val="18"/>
          <w:szCs w:val="18"/>
        </w:rPr>
        <w:t>Año 2025: 289</w:t>
      </w:r>
    </w:p>
    <w:p w14:paraId="655375B1" w14:textId="77777777" w:rsidR="005D7771" w:rsidRPr="005D7771" w:rsidRDefault="005D7771" w:rsidP="005D7771">
      <w:pPr>
        <w:pStyle w:val="NormalWeb"/>
        <w:rPr>
          <w:rFonts w:ascii="Verdana" w:hAnsi="Verdana" w:cs="Arial"/>
          <w:color w:val="000000"/>
          <w:sz w:val="18"/>
          <w:szCs w:val="18"/>
        </w:rPr>
      </w:pPr>
      <w:r w:rsidRPr="005D7771">
        <w:rPr>
          <w:rFonts w:ascii="Verdana" w:hAnsi="Verdana" w:cs="Arial"/>
          <w:b/>
          <w:bCs/>
          <w:color w:val="000000"/>
          <w:sz w:val="18"/>
          <w:szCs w:val="18"/>
        </w:rPr>
        <w:t>Declaración informativa anual de cuentas financieras de determinadas personas estadounidenses (FATCA)</w:t>
      </w:r>
    </w:p>
    <w:p w14:paraId="4DD6E39D" w14:textId="77777777" w:rsidR="005D7771" w:rsidRPr="005D7771" w:rsidRDefault="005D7771" w:rsidP="005D7771">
      <w:pPr>
        <w:pStyle w:val="NormalWeb"/>
        <w:numPr>
          <w:ilvl w:val="0"/>
          <w:numId w:val="161"/>
        </w:numPr>
        <w:rPr>
          <w:rFonts w:ascii="Verdana" w:hAnsi="Verdana" w:cs="Arial"/>
          <w:color w:val="000000"/>
          <w:sz w:val="18"/>
          <w:szCs w:val="18"/>
        </w:rPr>
      </w:pPr>
      <w:r w:rsidRPr="005D7771">
        <w:rPr>
          <w:rFonts w:ascii="Verdana" w:hAnsi="Verdana" w:cs="Arial"/>
          <w:color w:val="000000"/>
          <w:sz w:val="18"/>
          <w:szCs w:val="18"/>
        </w:rPr>
        <w:lastRenderedPageBreak/>
        <w:t>Año 2025: 290</w:t>
      </w:r>
    </w:p>
    <w:p w14:paraId="47E6CF7B" w14:textId="54519F26" w:rsidR="005D7771" w:rsidRPr="005D7771" w:rsidRDefault="005D7771" w:rsidP="005D7771">
      <w:pPr>
        <w:shd w:val="clear" w:color="auto" w:fill="FFFFFF"/>
        <w:spacing w:after="100" w:afterAutospacing="1"/>
        <w:outlineLvl w:val="0"/>
        <w:rPr>
          <w:rFonts w:ascii="Verdana" w:hAnsi="Verdana" w:cs="Arial"/>
          <w:b/>
          <w:bCs/>
          <w:color w:val="C0504D" w:themeColor="accent2"/>
          <w:kern w:val="36"/>
          <w:sz w:val="18"/>
          <w:szCs w:val="18"/>
        </w:rPr>
      </w:pPr>
      <w:r w:rsidRPr="005D7771">
        <w:rPr>
          <w:rFonts w:ascii="Verdana" w:hAnsi="Verdana" w:cs="Arial"/>
          <w:b/>
          <w:bCs/>
          <w:color w:val="C0504D" w:themeColor="accent2"/>
          <w:kern w:val="36"/>
          <w:sz w:val="18"/>
          <w:szCs w:val="18"/>
        </w:rPr>
        <w:t>DESDE EL 1 DE JUNIO AL 30 DE JUNIO</w:t>
      </w:r>
    </w:p>
    <w:p w14:paraId="7CB28C87" w14:textId="77777777" w:rsidR="005D7771" w:rsidRPr="005D7771" w:rsidRDefault="005D7771" w:rsidP="005D7771">
      <w:pPr>
        <w:pStyle w:val="NormalWeb"/>
        <w:numPr>
          <w:ilvl w:val="0"/>
          <w:numId w:val="162"/>
        </w:numPr>
        <w:rPr>
          <w:rFonts w:ascii="Verdana" w:hAnsi="Verdana" w:cs="Arial"/>
          <w:color w:val="000000"/>
          <w:sz w:val="18"/>
          <w:szCs w:val="18"/>
        </w:rPr>
      </w:pPr>
      <w:r w:rsidRPr="005D7771">
        <w:rPr>
          <w:rFonts w:ascii="Verdana" w:hAnsi="Verdana" w:cs="Arial"/>
          <w:color w:val="000000"/>
          <w:sz w:val="18"/>
          <w:szCs w:val="18"/>
        </w:rPr>
        <w:t>Presentación en las oficinas de la Agencia Tributaria de la declaración de Renta 2025</w:t>
      </w:r>
    </w:p>
    <w:p w14:paraId="73C1E7F6" w14:textId="77777777" w:rsidR="005D7771" w:rsidRPr="005D7771" w:rsidRDefault="005D7771" w:rsidP="005D7771">
      <w:pPr>
        <w:pStyle w:val="NormalWeb"/>
        <w:shd w:val="clear" w:color="auto" w:fill="FFFFFF"/>
        <w:spacing w:before="0" w:beforeAutospacing="0"/>
        <w:rPr>
          <w:rFonts w:ascii="Verdana" w:hAnsi="Verdana" w:cs="Arial"/>
          <w:color w:val="000000"/>
          <w:sz w:val="18"/>
          <w:szCs w:val="18"/>
        </w:rPr>
      </w:pPr>
    </w:p>
    <w:p w14:paraId="7A7969CA" w14:textId="77777777" w:rsidR="00B67855" w:rsidRPr="00B67855" w:rsidRDefault="00B67855" w:rsidP="00B67855">
      <w:pPr>
        <w:pStyle w:val="NormalWeb"/>
        <w:shd w:val="clear" w:color="auto" w:fill="FFFFFF"/>
        <w:spacing w:before="0" w:beforeAutospacing="0"/>
        <w:rPr>
          <w:rFonts w:ascii="Verdana" w:hAnsi="Verdana" w:cs="Arial"/>
          <w:color w:val="000000"/>
          <w:sz w:val="18"/>
          <w:szCs w:val="18"/>
        </w:rPr>
      </w:pPr>
    </w:p>
    <w:p w14:paraId="375E4A23" w14:textId="77777777" w:rsidR="00B67855" w:rsidRPr="00B67855" w:rsidRDefault="00B67855" w:rsidP="00B67855">
      <w:pPr>
        <w:pStyle w:val="NormalWeb"/>
        <w:shd w:val="clear" w:color="auto" w:fill="FFFFFF"/>
        <w:spacing w:before="0" w:beforeAutospacing="0"/>
        <w:rPr>
          <w:rFonts w:ascii="Verdana" w:hAnsi="Verdana" w:cs="Arial"/>
          <w:color w:val="000000"/>
          <w:sz w:val="18"/>
          <w:szCs w:val="18"/>
        </w:rPr>
      </w:pPr>
    </w:p>
    <w:p w14:paraId="6C3F67A2" w14:textId="77777777" w:rsidR="00B67855" w:rsidRPr="00B67855" w:rsidRDefault="00B67855" w:rsidP="00B67855">
      <w:pPr>
        <w:pStyle w:val="NormalWeb"/>
        <w:shd w:val="clear" w:color="auto" w:fill="FFFFFF"/>
        <w:spacing w:before="0" w:beforeAutospacing="0"/>
        <w:rPr>
          <w:rFonts w:ascii="Verdana" w:hAnsi="Verdana" w:cs="Arial"/>
          <w:color w:val="000000"/>
          <w:sz w:val="18"/>
          <w:szCs w:val="18"/>
        </w:rPr>
      </w:pPr>
    </w:p>
    <w:p w14:paraId="71A52259" w14:textId="77777777" w:rsidR="00B67855" w:rsidRPr="00B67855" w:rsidRDefault="00B67855" w:rsidP="00B67855">
      <w:pPr>
        <w:shd w:val="clear" w:color="auto" w:fill="FFFFFF"/>
        <w:spacing w:after="100" w:afterAutospacing="1"/>
        <w:rPr>
          <w:rFonts w:ascii="Arial" w:hAnsi="Arial" w:cs="Arial"/>
          <w:color w:val="000000"/>
        </w:rPr>
      </w:pPr>
    </w:p>
    <w:p w14:paraId="194A054D" w14:textId="4A35FDF1" w:rsidR="00B67855" w:rsidRDefault="00B67855" w:rsidP="00B67855">
      <w:pPr>
        <w:spacing w:after="100" w:afterAutospacing="1"/>
      </w:pPr>
    </w:p>
    <w:p w14:paraId="347818AC" w14:textId="77777777" w:rsidR="00B67855" w:rsidRPr="00B67855" w:rsidRDefault="00B67855" w:rsidP="00B67855">
      <w:pPr>
        <w:spacing w:after="100" w:afterAutospacing="1"/>
      </w:pPr>
    </w:p>
    <w:p w14:paraId="6126ACF9" w14:textId="77777777" w:rsidR="00BA69E0" w:rsidRDefault="00BA69E0">
      <w:pPr>
        <w:jc w:val="both"/>
        <w:rPr>
          <w:rFonts w:ascii="Verdana" w:hAnsi="Verdana"/>
          <w:sz w:val="18"/>
          <w:szCs w:val="18"/>
        </w:rPr>
      </w:pPr>
    </w:p>
    <w:p w14:paraId="23C6B309" w14:textId="77777777" w:rsidR="001608CE" w:rsidRDefault="001608CE">
      <w:pPr>
        <w:jc w:val="both"/>
        <w:rPr>
          <w:rFonts w:ascii="Verdana" w:hAnsi="Verdana"/>
          <w:sz w:val="18"/>
          <w:szCs w:val="18"/>
        </w:rPr>
      </w:pPr>
    </w:p>
    <w:sectPr w:rsidR="001608CE" w:rsidSect="003A3315">
      <w:footerReference w:type="even" r:id="rId8"/>
      <w:pgSz w:w="11906" w:h="16838"/>
      <w:pgMar w:top="1843" w:right="1701" w:bottom="1797" w:left="1701" w:header="708" w:footer="9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51CE" w14:textId="77777777" w:rsidR="007D3ECB" w:rsidRDefault="007D3ECB">
      <w:r>
        <w:separator/>
      </w:r>
    </w:p>
  </w:endnote>
  <w:endnote w:type="continuationSeparator" w:id="0">
    <w:p w14:paraId="3F8EDB8C" w14:textId="77777777" w:rsidR="007D3ECB" w:rsidRDefault="007D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A54C" w14:textId="77777777" w:rsidR="00D15D18" w:rsidRDefault="00D15D1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DE0FBB" w14:textId="77777777" w:rsidR="00D15D18" w:rsidRDefault="00D15D1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BBC2" w14:textId="77777777" w:rsidR="007D3ECB" w:rsidRDefault="007D3ECB">
      <w:r>
        <w:separator/>
      </w:r>
    </w:p>
  </w:footnote>
  <w:footnote w:type="continuationSeparator" w:id="0">
    <w:p w14:paraId="3FA8BF21" w14:textId="77777777" w:rsidR="007D3ECB" w:rsidRDefault="007D3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7131"/>
    <w:multiLevelType w:val="multilevel"/>
    <w:tmpl w:val="4488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96EE0"/>
    <w:multiLevelType w:val="multilevel"/>
    <w:tmpl w:val="CEF0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8D5780"/>
    <w:multiLevelType w:val="multilevel"/>
    <w:tmpl w:val="1B2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549E1"/>
    <w:multiLevelType w:val="multilevel"/>
    <w:tmpl w:val="E7BE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1B09AE"/>
    <w:multiLevelType w:val="multilevel"/>
    <w:tmpl w:val="26E8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B5361E"/>
    <w:multiLevelType w:val="multilevel"/>
    <w:tmpl w:val="CD66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32EB3"/>
    <w:multiLevelType w:val="multilevel"/>
    <w:tmpl w:val="9DA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43578A"/>
    <w:multiLevelType w:val="multilevel"/>
    <w:tmpl w:val="0CAE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A4689E"/>
    <w:multiLevelType w:val="singleLevel"/>
    <w:tmpl w:val="FFFFFFFF"/>
    <w:lvl w:ilvl="0">
      <w:start w:val="1"/>
      <w:numFmt w:val="bullet"/>
      <w:lvlText w:val=""/>
      <w:lvlJc w:val="left"/>
      <w:pPr>
        <w:ind w:left="720" w:hanging="360"/>
      </w:pPr>
      <w:rPr>
        <w:rFonts w:ascii="Symbol" w:hAnsi="Symbol" w:cs="Times New Roman" w:hint="default"/>
      </w:rPr>
    </w:lvl>
  </w:abstractNum>
  <w:abstractNum w:abstractNumId="10" w15:restartNumberingAfterBreak="0">
    <w:nsid w:val="06E5259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06EC3031"/>
    <w:multiLevelType w:val="multilevel"/>
    <w:tmpl w:val="285A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8C3FF7"/>
    <w:multiLevelType w:val="multilevel"/>
    <w:tmpl w:val="49A49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182526"/>
    <w:multiLevelType w:val="multilevel"/>
    <w:tmpl w:val="A2A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E20203"/>
    <w:multiLevelType w:val="multilevel"/>
    <w:tmpl w:val="BA48D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DC5D14"/>
    <w:multiLevelType w:val="hybridMultilevel"/>
    <w:tmpl w:val="0840C95C"/>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0B07381A"/>
    <w:multiLevelType w:val="hybridMultilevel"/>
    <w:tmpl w:val="FCBA0B02"/>
    <w:lvl w:ilvl="0" w:tplc="35B481B8">
      <w:start w:val="1"/>
      <w:numFmt w:val="decimal"/>
      <w:lvlText w:val="%1."/>
      <w:lvlJc w:val="left"/>
      <w:pPr>
        <w:ind w:left="64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15:restartNumberingAfterBreak="0">
    <w:nsid w:val="0B3F1B1D"/>
    <w:multiLevelType w:val="multilevel"/>
    <w:tmpl w:val="9FDC2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740414"/>
    <w:multiLevelType w:val="multilevel"/>
    <w:tmpl w:val="341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117F9E"/>
    <w:multiLevelType w:val="multilevel"/>
    <w:tmpl w:val="33C2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CF43D6"/>
    <w:multiLevelType w:val="multilevel"/>
    <w:tmpl w:val="6388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AB335F"/>
    <w:multiLevelType w:val="multilevel"/>
    <w:tmpl w:val="E44A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F27440"/>
    <w:multiLevelType w:val="multilevel"/>
    <w:tmpl w:val="2CC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26065F"/>
    <w:multiLevelType w:val="multilevel"/>
    <w:tmpl w:val="2A6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3E1EAB"/>
    <w:multiLevelType w:val="hybridMultilevel"/>
    <w:tmpl w:val="6E726336"/>
    <w:lvl w:ilvl="0" w:tplc="35B481B8">
      <w:start w:val="1"/>
      <w:numFmt w:val="decimal"/>
      <w:lvlText w:val="%1."/>
      <w:lvlJc w:val="left"/>
      <w:pPr>
        <w:ind w:left="72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11AA535B"/>
    <w:multiLevelType w:val="multilevel"/>
    <w:tmpl w:val="1D3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B32E06"/>
    <w:multiLevelType w:val="multilevel"/>
    <w:tmpl w:val="AD6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AB5E43"/>
    <w:multiLevelType w:val="multilevel"/>
    <w:tmpl w:val="E8B03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B134BE"/>
    <w:multiLevelType w:val="multilevel"/>
    <w:tmpl w:val="3200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3D2411"/>
    <w:multiLevelType w:val="hybridMultilevel"/>
    <w:tmpl w:val="AE36BE2A"/>
    <w:lvl w:ilvl="0" w:tplc="35B481B8">
      <w:start w:val="1"/>
      <w:numFmt w:val="decimal"/>
      <w:lvlText w:val="%1."/>
      <w:lvlJc w:val="left"/>
      <w:pPr>
        <w:ind w:left="64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0" w15:restartNumberingAfterBreak="0">
    <w:nsid w:val="14B048BD"/>
    <w:multiLevelType w:val="hybridMultilevel"/>
    <w:tmpl w:val="87C2C2EA"/>
    <w:lvl w:ilvl="0" w:tplc="EF38CE86">
      <w:start w:val="13"/>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15A80F9D"/>
    <w:multiLevelType w:val="multilevel"/>
    <w:tmpl w:val="708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D35C72"/>
    <w:multiLevelType w:val="multilevel"/>
    <w:tmpl w:val="8C1E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670463"/>
    <w:multiLevelType w:val="multilevel"/>
    <w:tmpl w:val="1952C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F52F50"/>
    <w:multiLevelType w:val="multilevel"/>
    <w:tmpl w:val="9710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A650BD"/>
    <w:multiLevelType w:val="multilevel"/>
    <w:tmpl w:val="72C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C4435C"/>
    <w:multiLevelType w:val="multilevel"/>
    <w:tmpl w:val="A3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2428DE"/>
    <w:multiLevelType w:val="hybridMultilevel"/>
    <w:tmpl w:val="013A7170"/>
    <w:lvl w:ilvl="0" w:tplc="B5DE94A4">
      <w:start w:val="5"/>
      <w:numFmt w:val="decimal"/>
      <w:lvlText w:val="%1."/>
      <w:lvlJc w:val="left"/>
      <w:pPr>
        <w:tabs>
          <w:tab w:val="num" w:pos="502"/>
        </w:tabs>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D550F33"/>
    <w:multiLevelType w:val="hybridMultilevel"/>
    <w:tmpl w:val="803AC1FC"/>
    <w:lvl w:ilvl="0" w:tplc="EF38CE86">
      <w:start w:val="13"/>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15:restartNumberingAfterBreak="0">
    <w:nsid w:val="1E1F53CF"/>
    <w:multiLevelType w:val="multilevel"/>
    <w:tmpl w:val="EBB2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F749E0"/>
    <w:multiLevelType w:val="multilevel"/>
    <w:tmpl w:val="9A04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915E34"/>
    <w:multiLevelType w:val="multilevel"/>
    <w:tmpl w:val="9CFE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97666C"/>
    <w:multiLevelType w:val="multilevel"/>
    <w:tmpl w:val="1CC63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0A59E3"/>
    <w:multiLevelType w:val="multilevel"/>
    <w:tmpl w:val="5634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4460E6"/>
    <w:multiLevelType w:val="hybridMultilevel"/>
    <w:tmpl w:val="1576A8D8"/>
    <w:lvl w:ilvl="0" w:tplc="0C0A000F">
      <w:start w:val="1"/>
      <w:numFmt w:val="decimal"/>
      <w:lvlText w:val="%1."/>
      <w:lvlJc w:val="left"/>
      <w:pPr>
        <w:ind w:left="502"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6292D7C"/>
    <w:multiLevelType w:val="multilevel"/>
    <w:tmpl w:val="52BE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853E05"/>
    <w:multiLevelType w:val="multilevel"/>
    <w:tmpl w:val="1A9E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0D16FB"/>
    <w:multiLevelType w:val="multilevel"/>
    <w:tmpl w:val="AF2E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640C24"/>
    <w:multiLevelType w:val="multilevel"/>
    <w:tmpl w:val="C51A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7E0221"/>
    <w:multiLevelType w:val="multilevel"/>
    <w:tmpl w:val="AF52548E"/>
    <w:lvl w:ilvl="0">
      <w:start w:val="13"/>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A9B3DFF"/>
    <w:multiLevelType w:val="multilevel"/>
    <w:tmpl w:val="2372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9E31D4"/>
    <w:multiLevelType w:val="multilevel"/>
    <w:tmpl w:val="9FA64362"/>
    <w:lvl w:ilvl="0">
      <w:start w:val="13"/>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1152BA"/>
    <w:multiLevelType w:val="multilevel"/>
    <w:tmpl w:val="C89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193C66"/>
    <w:multiLevelType w:val="multilevel"/>
    <w:tmpl w:val="87C8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EE246EB"/>
    <w:multiLevelType w:val="multilevel"/>
    <w:tmpl w:val="D42C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0222D7"/>
    <w:multiLevelType w:val="multilevel"/>
    <w:tmpl w:val="726A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1F61DE"/>
    <w:multiLevelType w:val="multilevel"/>
    <w:tmpl w:val="B7CC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2F265B"/>
    <w:multiLevelType w:val="multilevel"/>
    <w:tmpl w:val="5E5A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672696"/>
    <w:multiLevelType w:val="hybridMultilevel"/>
    <w:tmpl w:val="FE5A4D72"/>
    <w:lvl w:ilvl="0" w:tplc="558E7B6A">
      <w:start w:val="5"/>
      <w:numFmt w:val="decimal"/>
      <w:lvlText w:val="%1."/>
      <w:lvlJc w:val="left"/>
      <w:pPr>
        <w:ind w:left="502"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30E87324"/>
    <w:multiLevelType w:val="multilevel"/>
    <w:tmpl w:val="F94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3F33A4"/>
    <w:multiLevelType w:val="multilevel"/>
    <w:tmpl w:val="A6DC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46825CD"/>
    <w:multiLevelType w:val="multilevel"/>
    <w:tmpl w:val="B31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71083E"/>
    <w:multiLevelType w:val="multilevel"/>
    <w:tmpl w:val="D418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0A7112"/>
    <w:multiLevelType w:val="hybridMultilevel"/>
    <w:tmpl w:val="3640AF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4" w15:restartNumberingAfterBreak="0">
    <w:nsid w:val="3536059E"/>
    <w:multiLevelType w:val="hybridMultilevel"/>
    <w:tmpl w:val="7DE6619E"/>
    <w:lvl w:ilvl="0" w:tplc="EF38CE86">
      <w:start w:val="13"/>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5" w15:restartNumberingAfterBreak="0">
    <w:nsid w:val="3564041F"/>
    <w:multiLevelType w:val="hybridMultilevel"/>
    <w:tmpl w:val="4F4C9094"/>
    <w:lvl w:ilvl="0" w:tplc="CB8E91A8">
      <w:start w:val="4"/>
      <w:numFmt w:val="decimal"/>
      <w:lvlText w:val="%1."/>
      <w:lvlJc w:val="left"/>
      <w:pPr>
        <w:tabs>
          <w:tab w:val="num" w:pos="502"/>
        </w:tabs>
        <w:ind w:left="502" w:hanging="360"/>
      </w:pPr>
      <w:rPr>
        <w:rFonts w:hint="default"/>
      </w:rPr>
    </w:lvl>
    <w:lvl w:ilvl="1" w:tplc="0C0A000F">
      <w:start w:val="1"/>
      <w:numFmt w:val="decimal"/>
      <w:lvlText w:val="%2."/>
      <w:lvlJc w:val="left"/>
      <w:pPr>
        <w:ind w:left="502"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35A710F3"/>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67" w15:restartNumberingAfterBreak="0">
    <w:nsid w:val="373F3066"/>
    <w:multiLevelType w:val="hybridMultilevel"/>
    <w:tmpl w:val="3E8853AA"/>
    <w:lvl w:ilvl="0" w:tplc="FFFFFFFF">
      <w:start w:val="1"/>
      <w:numFmt w:val="bullet"/>
      <w:lvlText w:val=""/>
      <w:lvlJc w:val="left"/>
      <w:pPr>
        <w:ind w:left="1004" w:hanging="360"/>
      </w:pPr>
      <w:rPr>
        <w:rFonts w:ascii="Symbol" w:hAnsi="Symbol"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8" w15:restartNumberingAfterBreak="0">
    <w:nsid w:val="38D174AE"/>
    <w:multiLevelType w:val="multilevel"/>
    <w:tmpl w:val="0A98A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FB3802"/>
    <w:multiLevelType w:val="hybridMultilevel"/>
    <w:tmpl w:val="D7080EEA"/>
    <w:lvl w:ilvl="0" w:tplc="FFFFFFFF">
      <w:start w:val="1"/>
      <w:numFmt w:val="bullet"/>
      <w:lvlText w:val=""/>
      <w:lvlJc w:val="left"/>
      <w:pPr>
        <w:ind w:left="1440" w:hanging="360"/>
      </w:pPr>
      <w:rPr>
        <w:rFonts w:ascii="Symbol" w:hAnsi="Symbol"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0" w15:restartNumberingAfterBreak="0">
    <w:nsid w:val="39BA4F42"/>
    <w:multiLevelType w:val="multilevel"/>
    <w:tmpl w:val="A3CA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C320D3"/>
    <w:multiLevelType w:val="multilevel"/>
    <w:tmpl w:val="CF52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1D2BBA"/>
    <w:multiLevelType w:val="multilevel"/>
    <w:tmpl w:val="6E68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504F7C"/>
    <w:multiLevelType w:val="multilevel"/>
    <w:tmpl w:val="1EA6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697FB4"/>
    <w:multiLevelType w:val="multilevel"/>
    <w:tmpl w:val="CE20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A21112"/>
    <w:multiLevelType w:val="multilevel"/>
    <w:tmpl w:val="23C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B98787C"/>
    <w:multiLevelType w:val="multilevel"/>
    <w:tmpl w:val="9418062C"/>
    <w:lvl w:ilvl="0">
      <w:start w:val="13"/>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4B59EB"/>
    <w:multiLevelType w:val="multilevel"/>
    <w:tmpl w:val="CC5C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D1D48F5"/>
    <w:multiLevelType w:val="hybridMultilevel"/>
    <w:tmpl w:val="56E62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DC02F78"/>
    <w:multiLevelType w:val="multilevel"/>
    <w:tmpl w:val="795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E9F1C99"/>
    <w:multiLevelType w:val="hybridMultilevel"/>
    <w:tmpl w:val="8EBE88D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1" w15:restartNumberingAfterBreak="0">
    <w:nsid w:val="3FBA0A7A"/>
    <w:multiLevelType w:val="hybridMultilevel"/>
    <w:tmpl w:val="2CD8DCA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2" w15:restartNumberingAfterBreak="0">
    <w:nsid w:val="408B66B4"/>
    <w:multiLevelType w:val="hybridMultilevel"/>
    <w:tmpl w:val="BC9C385C"/>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3" w15:restartNumberingAfterBreak="0">
    <w:nsid w:val="40D569DC"/>
    <w:multiLevelType w:val="multilevel"/>
    <w:tmpl w:val="F0C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25B50BF"/>
    <w:multiLevelType w:val="singleLevel"/>
    <w:tmpl w:val="FFFFFFFF"/>
    <w:lvl w:ilvl="0">
      <w:start w:val="1"/>
      <w:numFmt w:val="bullet"/>
      <w:lvlText w:val=""/>
      <w:lvlJc w:val="left"/>
      <w:pPr>
        <w:ind w:left="360" w:hanging="360"/>
      </w:pPr>
      <w:rPr>
        <w:rFonts w:ascii="Symbol" w:hAnsi="Symbol" w:cs="Times New Roman" w:hint="default"/>
      </w:rPr>
    </w:lvl>
  </w:abstractNum>
  <w:abstractNum w:abstractNumId="85" w15:restartNumberingAfterBreak="0">
    <w:nsid w:val="42C3636B"/>
    <w:multiLevelType w:val="multilevel"/>
    <w:tmpl w:val="AAA8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353079B"/>
    <w:multiLevelType w:val="multilevel"/>
    <w:tmpl w:val="058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5730ADB"/>
    <w:multiLevelType w:val="hybridMultilevel"/>
    <w:tmpl w:val="43F69028"/>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88" w15:restartNumberingAfterBreak="0">
    <w:nsid w:val="45DA7387"/>
    <w:multiLevelType w:val="multilevel"/>
    <w:tmpl w:val="810E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417ABD"/>
    <w:multiLevelType w:val="multilevel"/>
    <w:tmpl w:val="D660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6672EF0"/>
    <w:multiLevelType w:val="multilevel"/>
    <w:tmpl w:val="D6204BEA"/>
    <w:lvl w:ilvl="0">
      <w:start w:val="13"/>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7543594"/>
    <w:multiLevelType w:val="multilevel"/>
    <w:tmpl w:val="482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7AC55BB"/>
    <w:multiLevelType w:val="multilevel"/>
    <w:tmpl w:val="665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8791217"/>
    <w:multiLevelType w:val="hybridMultilevel"/>
    <w:tmpl w:val="4D9E117E"/>
    <w:lvl w:ilvl="0" w:tplc="0C0A000F">
      <w:start w:val="1"/>
      <w:numFmt w:val="decimal"/>
      <w:lvlText w:val="%1."/>
      <w:lvlJc w:val="left"/>
      <w:pPr>
        <w:tabs>
          <w:tab w:val="num" w:pos="360"/>
        </w:tabs>
        <w:ind w:left="360" w:hanging="360"/>
      </w:pPr>
    </w:lvl>
    <w:lvl w:ilvl="1" w:tplc="9CE22D1C">
      <w:start w:val="1"/>
      <w:numFmt w:val="decimal"/>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94" w15:restartNumberingAfterBreak="0">
    <w:nsid w:val="49C72507"/>
    <w:multiLevelType w:val="multilevel"/>
    <w:tmpl w:val="5AE8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9F4591F"/>
    <w:multiLevelType w:val="hybridMultilevel"/>
    <w:tmpl w:val="6CC88D2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6" w15:restartNumberingAfterBreak="0">
    <w:nsid w:val="4A334973"/>
    <w:multiLevelType w:val="multilevel"/>
    <w:tmpl w:val="F5BC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4915B2"/>
    <w:multiLevelType w:val="multilevel"/>
    <w:tmpl w:val="1F8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7E301E"/>
    <w:multiLevelType w:val="multilevel"/>
    <w:tmpl w:val="3EA6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2D060F"/>
    <w:multiLevelType w:val="multilevel"/>
    <w:tmpl w:val="300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DC96756"/>
    <w:multiLevelType w:val="hybridMultilevel"/>
    <w:tmpl w:val="0D24829A"/>
    <w:lvl w:ilvl="0" w:tplc="EF38CE86">
      <w:start w:val="13"/>
      <w:numFmt w:val="bullet"/>
      <w:lvlText w:val="-"/>
      <w:lvlJc w:val="left"/>
      <w:pPr>
        <w:ind w:left="64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1" w15:restartNumberingAfterBreak="0">
    <w:nsid w:val="4E22314C"/>
    <w:multiLevelType w:val="multilevel"/>
    <w:tmpl w:val="F28A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E3916FA"/>
    <w:multiLevelType w:val="multilevel"/>
    <w:tmpl w:val="3194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F0C4177"/>
    <w:multiLevelType w:val="hybridMultilevel"/>
    <w:tmpl w:val="0600664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04" w15:restartNumberingAfterBreak="0">
    <w:nsid w:val="5045247D"/>
    <w:multiLevelType w:val="hybridMultilevel"/>
    <w:tmpl w:val="F0E639C4"/>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5" w15:restartNumberingAfterBreak="0">
    <w:nsid w:val="51014851"/>
    <w:multiLevelType w:val="multilevel"/>
    <w:tmpl w:val="305C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8F1500"/>
    <w:multiLevelType w:val="hybridMultilevel"/>
    <w:tmpl w:val="5B30A8AA"/>
    <w:lvl w:ilvl="0" w:tplc="EF38CE86">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22A6B27"/>
    <w:multiLevelType w:val="multilevel"/>
    <w:tmpl w:val="0374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2D73EB0"/>
    <w:multiLevelType w:val="multilevel"/>
    <w:tmpl w:val="3F1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532326B"/>
    <w:multiLevelType w:val="multilevel"/>
    <w:tmpl w:val="FBE0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549152F"/>
    <w:multiLevelType w:val="multilevel"/>
    <w:tmpl w:val="A6606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C1055B"/>
    <w:multiLevelType w:val="multilevel"/>
    <w:tmpl w:val="27FC6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6C9243F"/>
    <w:multiLevelType w:val="multilevel"/>
    <w:tmpl w:val="990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7BB5D05"/>
    <w:multiLevelType w:val="multilevel"/>
    <w:tmpl w:val="9872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A507594"/>
    <w:multiLevelType w:val="multilevel"/>
    <w:tmpl w:val="25E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AD8589A"/>
    <w:multiLevelType w:val="multilevel"/>
    <w:tmpl w:val="91DA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AF412AD"/>
    <w:multiLevelType w:val="multilevel"/>
    <w:tmpl w:val="6316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AFE0F01"/>
    <w:multiLevelType w:val="multilevel"/>
    <w:tmpl w:val="903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C131404"/>
    <w:multiLevelType w:val="multilevel"/>
    <w:tmpl w:val="3216F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F44556"/>
    <w:multiLevelType w:val="hybridMultilevel"/>
    <w:tmpl w:val="FF86860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5E14618B"/>
    <w:multiLevelType w:val="multilevel"/>
    <w:tmpl w:val="D0A6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E8134F7"/>
    <w:multiLevelType w:val="multilevel"/>
    <w:tmpl w:val="66EA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EE94AFB"/>
    <w:multiLevelType w:val="multilevel"/>
    <w:tmpl w:val="82B02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0880D73"/>
    <w:multiLevelType w:val="multilevel"/>
    <w:tmpl w:val="47D4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0B26434"/>
    <w:multiLevelType w:val="hybridMultilevel"/>
    <w:tmpl w:val="FF6806F2"/>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5" w15:restartNumberingAfterBreak="0">
    <w:nsid w:val="60DF1B91"/>
    <w:multiLevelType w:val="hybridMultilevel"/>
    <w:tmpl w:val="B4C68F5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6173505D"/>
    <w:multiLevelType w:val="multilevel"/>
    <w:tmpl w:val="792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2E359C6"/>
    <w:multiLevelType w:val="hybridMultilevel"/>
    <w:tmpl w:val="B86EC2CE"/>
    <w:lvl w:ilvl="0" w:tplc="35B481B8">
      <w:start w:val="1"/>
      <w:numFmt w:val="decimal"/>
      <w:lvlText w:val="%1."/>
      <w:lvlJc w:val="left"/>
      <w:pPr>
        <w:tabs>
          <w:tab w:val="num" w:pos="360"/>
        </w:tabs>
        <w:ind w:left="360" w:hanging="360"/>
      </w:pPr>
    </w:lvl>
    <w:lvl w:ilvl="1" w:tplc="EF38CE86">
      <w:start w:val="13"/>
      <w:numFmt w:val="bullet"/>
      <w:lvlText w:val="-"/>
      <w:legacy w:legacy="1" w:legacySpace="360" w:legacyIndent="360"/>
      <w:lvlJc w:val="left"/>
      <w:pPr>
        <w:ind w:left="1080" w:hanging="360"/>
      </w:pPr>
      <w:rPr>
        <w:rFonts w:ascii="Times New Roman" w:hAnsi="Times New Roman"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8" w15:restartNumberingAfterBreak="0">
    <w:nsid w:val="64223848"/>
    <w:multiLevelType w:val="hybridMultilevel"/>
    <w:tmpl w:val="A544A602"/>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29" w15:restartNumberingAfterBreak="0">
    <w:nsid w:val="64537DED"/>
    <w:multiLevelType w:val="multilevel"/>
    <w:tmpl w:val="9D12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4DE7719"/>
    <w:multiLevelType w:val="multilevel"/>
    <w:tmpl w:val="8FA8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2F7C23"/>
    <w:multiLevelType w:val="multilevel"/>
    <w:tmpl w:val="5708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AF75D59"/>
    <w:multiLevelType w:val="multilevel"/>
    <w:tmpl w:val="F94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B21238D"/>
    <w:multiLevelType w:val="multilevel"/>
    <w:tmpl w:val="BE682FD8"/>
    <w:lvl w:ilvl="0">
      <w:start w:val="13"/>
      <w:numFmt w:val="bullet"/>
      <w:lvlText w:val="-"/>
      <w:lvlJc w:val="left"/>
      <w:pPr>
        <w:tabs>
          <w:tab w:val="num" w:pos="720"/>
        </w:tabs>
        <w:ind w:left="720" w:hanging="360"/>
      </w:pPr>
      <w:rPr>
        <w:rFonts w:ascii="Times New Roman" w:hAnsi="Times New Roman"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BE17804"/>
    <w:multiLevelType w:val="multilevel"/>
    <w:tmpl w:val="F086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BE7438B"/>
    <w:multiLevelType w:val="multilevel"/>
    <w:tmpl w:val="FDC4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C8A34A1"/>
    <w:multiLevelType w:val="multilevel"/>
    <w:tmpl w:val="85DA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D0E09A2"/>
    <w:multiLevelType w:val="multilevel"/>
    <w:tmpl w:val="811C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E0D34E9"/>
    <w:multiLevelType w:val="multilevel"/>
    <w:tmpl w:val="0B82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0791958"/>
    <w:multiLevelType w:val="multilevel"/>
    <w:tmpl w:val="FF48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0AC4B62"/>
    <w:multiLevelType w:val="multilevel"/>
    <w:tmpl w:val="8322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12033FA"/>
    <w:multiLevelType w:val="multilevel"/>
    <w:tmpl w:val="7522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18007AB"/>
    <w:multiLevelType w:val="multilevel"/>
    <w:tmpl w:val="D10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1A45F8D"/>
    <w:multiLevelType w:val="multilevel"/>
    <w:tmpl w:val="E53A9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42337A7"/>
    <w:multiLevelType w:val="multilevel"/>
    <w:tmpl w:val="9A5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5EA573C"/>
    <w:multiLevelType w:val="multilevel"/>
    <w:tmpl w:val="AA88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5FE5C5A"/>
    <w:multiLevelType w:val="multilevel"/>
    <w:tmpl w:val="62B2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6014ECA"/>
    <w:multiLevelType w:val="multilevel"/>
    <w:tmpl w:val="A0A2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6782B55"/>
    <w:multiLevelType w:val="hybridMultilevel"/>
    <w:tmpl w:val="3AB81A3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9" w15:restartNumberingAfterBreak="0">
    <w:nsid w:val="771370A5"/>
    <w:multiLevelType w:val="multilevel"/>
    <w:tmpl w:val="8E20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8BA40AD"/>
    <w:multiLevelType w:val="multilevel"/>
    <w:tmpl w:val="FA4A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1E4F25"/>
    <w:multiLevelType w:val="multilevel"/>
    <w:tmpl w:val="148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977132B"/>
    <w:multiLevelType w:val="multilevel"/>
    <w:tmpl w:val="2264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9B4538A"/>
    <w:multiLevelType w:val="multilevel"/>
    <w:tmpl w:val="56FED4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A9A32E9"/>
    <w:multiLevelType w:val="multilevel"/>
    <w:tmpl w:val="9A3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AAD0EA7"/>
    <w:multiLevelType w:val="multilevel"/>
    <w:tmpl w:val="AA56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C4D7269"/>
    <w:multiLevelType w:val="multilevel"/>
    <w:tmpl w:val="D8BC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EC80E76"/>
    <w:multiLevelType w:val="multilevel"/>
    <w:tmpl w:val="CF40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F9016CD"/>
    <w:multiLevelType w:val="multilevel"/>
    <w:tmpl w:val="DB0E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473770">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16cid:durableId="673531159">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16cid:durableId="1169128430">
    <w:abstractNumId w:val="9"/>
  </w:num>
  <w:num w:numId="4" w16cid:durableId="1800763856">
    <w:abstractNumId w:val="66"/>
  </w:num>
  <w:num w:numId="5" w16cid:durableId="1595168650">
    <w:abstractNumId w:val="127"/>
  </w:num>
  <w:num w:numId="6" w16cid:durableId="478113414">
    <w:abstractNumId w:val="44"/>
  </w:num>
  <w:num w:numId="7" w16cid:durableId="953249084">
    <w:abstractNumId w:val="90"/>
  </w:num>
  <w:num w:numId="8" w16cid:durableId="2018532167">
    <w:abstractNumId w:val="76"/>
  </w:num>
  <w:num w:numId="9" w16cid:durableId="1771003888">
    <w:abstractNumId w:val="105"/>
  </w:num>
  <w:num w:numId="10" w16cid:durableId="1935161320">
    <w:abstractNumId w:val="49"/>
  </w:num>
  <w:num w:numId="11" w16cid:durableId="1070614685">
    <w:abstractNumId w:val="51"/>
  </w:num>
  <w:num w:numId="12" w16cid:durableId="199906463">
    <w:abstractNumId w:val="157"/>
  </w:num>
  <w:num w:numId="13" w16cid:durableId="1052970475">
    <w:abstractNumId w:val="136"/>
  </w:num>
  <w:num w:numId="14" w16cid:durableId="156919298">
    <w:abstractNumId w:val="47"/>
  </w:num>
  <w:num w:numId="15" w16cid:durableId="881406391">
    <w:abstractNumId w:val="91"/>
  </w:num>
  <w:num w:numId="16" w16cid:durableId="374427561">
    <w:abstractNumId w:val="21"/>
  </w:num>
  <w:num w:numId="17" w16cid:durableId="1168638186">
    <w:abstractNumId w:val="141"/>
  </w:num>
  <w:num w:numId="18" w16cid:durableId="288359450">
    <w:abstractNumId w:val="19"/>
  </w:num>
  <w:num w:numId="19" w16cid:durableId="637876635">
    <w:abstractNumId w:val="41"/>
  </w:num>
  <w:num w:numId="20" w16cid:durableId="242102726">
    <w:abstractNumId w:val="84"/>
  </w:num>
  <w:num w:numId="21" w16cid:durableId="1258099081">
    <w:abstractNumId w:val="69"/>
  </w:num>
  <w:num w:numId="22" w16cid:durableId="1759868956">
    <w:abstractNumId w:val="30"/>
  </w:num>
  <w:num w:numId="23" w16cid:durableId="527527573">
    <w:abstractNumId w:val="133"/>
  </w:num>
  <w:num w:numId="24" w16cid:durableId="644161393">
    <w:abstractNumId w:val="67"/>
  </w:num>
  <w:num w:numId="25" w16cid:durableId="2144733604">
    <w:abstractNumId w:val="103"/>
  </w:num>
  <w:num w:numId="26" w16cid:durableId="1944527905">
    <w:abstractNumId w:val="106"/>
  </w:num>
  <w:num w:numId="27" w16cid:durableId="1772503418">
    <w:abstractNumId w:val="81"/>
  </w:num>
  <w:num w:numId="28" w16cid:durableId="502282417">
    <w:abstractNumId w:val="109"/>
  </w:num>
  <w:num w:numId="29" w16cid:durableId="2020351457">
    <w:abstractNumId w:val="110"/>
  </w:num>
  <w:num w:numId="30" w16cid:durableId="904753489">
    <w:abstractNumId w:val="118"/>
  </w:num>
  <w:num w:numId="31" w16cid:durableId="1179468283">
    <w:abstractNumId w:val="124"/>
  </w:num>
  <w:num w:numId="32" w16cid:durableId="1988437253">
    <w:abstractNumId w:val="87"/>
  </w:num>
  <w:num w:numId="33" w16cid:durableId="406389396">
    <w:abstractNumId w:val="104"/>
  </w:num>
  <w:num w:numId="34" w16cid:durableId="228074718">
    <w:abstractNumId w:val="128"/>
  </w:num>
  <w:num w:numId="35" w16cid:durableId="2052223630">
    <w:abstractNumId w:val="82"/>
  </w:num>
  <w:num w:numId="36" w16cid:durableId="1425224824">
    <w:abstractNumId w:val="0"/>
    <w:lvlOverride w:ilvl="0">
      <w:lvl w:ilvl="0">
        <w:start w:val="1"/>
        <w:numFmt w:val="bullet"/>
        <w:lvlText w:val=""/>
        <w:lvlJc w:val="left"/>
        <w:pPr>
          <w:ind w:left="720" w:hanging="360"/>
        </w:pPr>
        <w:rPr>
          <w:rFonts w:ascii="Symbol" w:hAnsi="Symbol" w:hint="default"/>
        </w:rPr>
      </w:lvl>
    </w:lvlOverride>
  </w:num>
  <w:num w:numId="37" w16cid:durableId="376902739">
    <w:abstractNumId w:val="10"/>
  </w:num>
  <w:num w:numId="38" w16cid:durableId="232551218">
    <w:abstractNumId w:val="0"/>
    <w:lvlOverride w:ilvl="0">
      <w:lvl w:ilvl="0">
        <w:start w:val="1"/>
        <w:numFmt w:val="bullet"/>
        <w:lvlText w:val=""/>
        <w:lvlJc w:val="left"/>
        <w:pPr>
          <w:ind w:left="720" w:hanging="360"/>
        </w:pPr>
        <w:rPr>
          <w:rFonts w:ascii="Symbol" w:hAnsi="Symbol" w:cs="Times New Roman" w:hint="default"/>
        </w:rPr>
      </w:lvl>
    </w:lvlOverride>
  </w:num>
  <w:num w:numId="39" w16cid:durableId="622618966">
    <w:abstractNumId w:val="78"/>
  </w:num>
  <w:num w:numId="40" w16cid:durableId="1106387635">
    <w:abstractNumId w:val="153"/>
  </w:num>
  <w:num w:numId="41" w16cid:durableId="1352534766">
    <w:abstractNumId w:val="119"/>
  </w:num>
  <w:num w:numId="42" w16cid:durableId="366178743">
    <w:abstractNumId w:val="26"/>
  </w:num>
  <w:num w:numId="43" w16cid:durableId="1498421855">
    <w:abstractNumId w:val="60"/>
  </w:num>
  <w:num w:numId="44" w16cid:durableId="1476533357">
    <w:abstractNumId w:val="144"/>
  </w:num>
  <w:num w:numId="45" w16cid:durableId="1549687845">
    <w:abstractNumId w:val="95"/>
  </w:num>
  <w:num w:numId="46" w16cid:durableId="1404330591">
    <w:abstractNumId w:val="63"/>
  </w:num>
  <w:num w:numId="47" w16cid:durableId="1775787523">
    <w:abstractNumId w:val="148"/>
  </w:num>
  <w:num w:numId="48" w16cid:durableId="458113730">
    <w:abstractNumId w:val="80"/>
  </w:num>
  <w:num w:numId="49" w16cid:durableId="1585803662">
    <w:abstractNumId w:val="64"/>
  </w:num>
  <w:num w:numId="50" w16cid:durableId="1491750568">
    <w:abstractNumId w:val="100"/>
  </w:num>
  <w:num w:numId="51" w16cid:durableId="1405446704">
    <w:abstractNumId w:val="15"/>
  </w:num>
  <w:num w:numId="52" w16cid:durableId="213199351">
    <w:abstractNumId w:val="38"/>
  </w:num>
  <w:num w:numId="53" w16cid:durableId="979922361">
    <w:abstractNumId w:val="24"/>
  </w:num>
  <w:num w:numId="54" w16cid:durableId="3241284">
    <w:abstractNumId w:val="29"/>
  </w:num>
  <w:num w:numId="55" w16cid:durableId="653533222">
    <w:abstractNumId w:val="16"/>
  </w:num>
  <w:num w:numId="56" w16cid:durableId="55128345">
    <w:abstractNumId w:val="125"/>
  </w:num>
  <w:num w:numId="57" w16cid:durableId="1115638525">
    <w:abstractNumId w:val="36"/>
  </w:num>
  <w:num w:numId="58" w16cid:durableId="430005345">
    <w:abstractNumId w:val="39"/>
  </w:num>
  <w:num w:numId="59" w16cid:durableId="1152327188">
    <w:abstractNumId w:val="102"/>
  </w:num>
  <w:num w:numId="60" w16cid:durableId="384834545">
    <w:abstractNumId w:val="28"/>
  </w:num>
  <w:num w:numId="61" w16cid:durableId="1378700257">
    <w:abstractNumId w:val="43"/>
  </w:num>
  <w:num w:numId="62" w16cid:durableId="366370007">
    <w:abstractNumId w:val="98"/>
  </w:num>
  <w:num w:numId="63" w16cid:durableId="1152022584">
    <w:abstractNumId w:val="130"/>
  </w:num>
  <w:num w:numId="64" w16cid:durableId="2144497713">
    <w:abstractNumId w:val="79"/>
  </w:num>
  <w:num w:numId="65" w16cid:durableId="149761459">
    <w:abstractNumId w:val="46"/>
  </w:num>
  <w:num w:numId="66" w16cid:durableId="1030032860">
    <w:abstractNumId w:val="156"/>
  </w:num>
  <w:num w:numId="67" w16cid:durableId="162009199">
    <w:abstractNumId w:val="48"/>
  </w:num>
  <w:num w:numId="68" w16cid:durableId="527716530">
    <w:abstractNumId w:val="93"/>
  </w:num>
  <w:num w:numId="69" w16cid:durableId="1542667788">
    <w:abstractNumId w:val="4"/>
  </w:num>
  <w:num w:numId="70" w16cid:durableId="1873104918">
    <w:abstractNumId w:val="22"/>
  </w:num>
  <w:num w:numId="71" w16cid:durableId="1764375330">
    <w:abstractNumId w:val="34"/>
  </w:num>
  <w:num w:numId="72" w16cid:durableId="240870900">
    <w:abstractNumId w:val="68"/>
  </w:num>
  <w:num w:numId="73" w16cid:durableId="1099522907">
    <w:abstractNumId w:val="17"/>
  </w:num>
  <w:num w:numId="74" w16cid:durableId="124859250">
    <w:abstractNumId w:val="151"/>
  </w:num>
  <w:num w:numId="75" w16cid:durableId="1157067387">
    <w:abstractNumId w:val="111"/>
  </w:num>
  <w:num w:numId="76" w16cid:durableId="549536787">
    <w:abstractNumId w:val="33"/>
  </w:num>
  <w:num w:numId="77" w16cid:durableId="1660690448">
    <w:abstractNumId w:val="99"/>
  </w:num>
  <w:num w:numId="78" w16cid:durableId="1279412687">
    <w:abstractNumId w:val="77"/>
  </w:num>
  <w:num w:numId="79" w16cid:durableId="1591158451">
    <w:abstractNumId w:val="75"/>
  </w:num>
  <w:num w:numId="80" w16cid:durableId="307050281">
    <w:abstractNumId w:val="121"/>
  </w:num>
  <w:num w:numId="81" w16cid:durableId="1048141751">
    <w:abstractNumId w:val="132"/>
  </w:num>
  <w:num w:numId="82" w16cid:durableId="285241534">
    <w:abstractNumId w:val="117"/>
  </w:num>
  <w:num w:numId="83" w16cid:durableId="1583758196">
    <w:abstractNumId w:val="138"/>
  </w:num>
  <w:num w:numId="84" w16cid:durableId="2054498880">
    <w:abstractNumId w:val="23"/>
  </w:num>
  <w:num w:numId="85" w16cid:durableId="1241255569">
    <w:abstractNumId w:val="73"/>
  </w:num>
  <w:num w:numId="86" w16cid:durableId="962225507">
    <w:abstractNumId w:val="25"/>
  </w:num>
  <w:num w:numId="87" w16cid:durableId="1366062390">
    <w:abstractNumId w:val="129"/>
  </w:num>
  <w:num w:numId="88" w16cid:durableId="1648705236">
    <w:abstractNumId w:val="137"/>
  </w:num>
  <w:num w:numId="89" w16cid:durableId="660162836">
    <w:abstractNumId w:val="89"/>
  </w:num>
  <w:num w:numId="90" w16cid:durableId="1440639662">
    <w:abstractNumId w:val="113"/>
  </w:num>
  <w:num w:numId="91" w16cid:durableId="1274169031">
    <w:abstractNumId w:val="115"/>
  </w:num>
  <w:num w:numId="92" w16cid:durableId="130055393">
    <w:abstractNumId w:val="158"/>
  </w:num>
  <w:num w:numId="93" w16cid:durableId="647902207">
    <w:abstractNumId w:val="155"/>
  </w:num>
  <w:num w:numId="94" w16cid:durableId="306976862">
    <w:abstractNumId w:val="143"/>
  </w:num>
  <w:num w:numId="95" w16cid:durableId="1326743426">
    <w:abstractNumId w:val="32"/>
  </w:num>
  <w:num w:numId="96" w16cid:durableId="1602225917">
    <w:abstractNumId w:val="6"/>
  </w:num>
  <w:num w:numId="97" w16cid:durableId="147946907">
    <w:abstractNumId w:val="94"/>
  </w:num>
  <w:num w:numId="98" w16cid:durableId="1374423540">
    <w:abstractNumId w:val="139"/>
  </w:num>
  <w:num w:numId="99" w16cid:durableId="1340041999">
    <w:abstractNumId w:val="154"/>
  </w:num>
  <w:num w:numId="100" w16cid:durableId="827941884">
    <w:abstractNumId w:val="146"/>
  </w:num>
  <w:num w:numId="101" w16cid:durableId="1605455317">
    <w:abstractNumId w:val="12"/>
  </w:num>
  <w:num w:numId="102" w16cid:durableId="420223067">
    <w:abstractNumId w:val="35"/>
  </w:num>
  <w:num w:numId="103" w16cid:durableId="326908617">
    <w:abstractNumId w:val="40"/>
  </w:num>
  <w:num w:numId="104" w16cid:durableId="1069503588">
    <w:abstractNumId w:val="65"/>
  </w:num>
  <w:num w:numId="105" w16cid:durableId="448932427">
    <w:abstractNumId w:val="58"/>
  </w:num>
  <w:num w:numId="106" w16cid:durableId="2111852396">
    <w:abstractNumId w:val="37"/>
  </w:num>
  <w:num w:numId="107" w16cid:durableId="1263105380">
    <w:abstractNumId w:val="112"/>
  </w:num>
  <w:num w:numId="108" w16cid:durableId="1843007309">
    <w:abstractNumId w:val="120"/>
  </w:num>
  <w:num w:numId="109" w16cid:durableId="1828090146">
    <w:abstractNumId w:val="56"/>
  </w:num>
  <w:num w:numId="110" w16cid:durableId="1885604374">
    <w:abstractNumId w:val="135"/>
  </w:num>
  <w:num w:numId="111" w16cid:durableId="1730497836">
    <w:abstractNumId w:val="42"/>
  </w:num>
  <w:num w:numId="112" w16cid:durableId="195192012">
    <w:abstractNumId w:val="126"/>
  </w:num>
  <w:num w:numId="113" w16cid:durableId="1253855659">
    <w:abstractNumId w:val="71"/>
  </w:num>
  <w:num w:numId="114" w16cid:durableId="786505793">
    <w:abstractNumId w:val="114"/>
  </w:num>
  <w:num w:numId="115" w16cid:durableId="1515848081">
    <w:abstractNumId w:val="31"/>
  </w:num>
  <w:num w:numId="116" w16cid:durableId="475103085">
    <w:abstractNumId w:val="70"/>
  </w:num>
  <w:num w:numId="117" w16cid:durableId="435952821">
    <w:abstractNumId w:val="72"/>
  </w:num>
  <w:num w:numId="118" w16cid:durableId="1134834224">
    <w:abstractNumId w:val="8"/>
  </w:num>
  <w:num w:numId="119" w16cid:durableId="821897456">
    <w:abstractNumId w:val="14"/>
  </w:num>
  <w:num w:numId="120" w16cid:durableId="1179196497">
    <w:abstractNumId w:val="122"/>
  </w:num>
  <w:num w:numId="121" w16cid:durableId="1115637191">
    <w:abstractNumId w:val="1"/>
  </w:num>
  <w:num w:numId="122" w16cid:durableId="1312976175">
    <w:abstractNumId w:val="52"/>
  </w:num>
  <w:num w:numId="123" w16cid:durableId="1907644663">
    <w:abstractNumId w:val="7"/>
  </w:num>
  <w:num w:numId="124" w16cid:durableId="1972785465">
    <w:abstractNumId w:val="83"/>
  </w:num>
  <w:num w:numId="125" w16cid:durableId="1562056951">
    <w:abstractNumId w:val="101"/>
  </w:num>
  <w:num w:numId="126" w16cid:durableId="213929096">
    <w:abstractNumId w:val="3"/>
  </w:num>
  <w:num w:numId="127" w16cid:durableId="821048459">
    <w:abstractNumId w:val="88"/>
  </w:num>
  <w:num w:numId="128" w16cid:durableId="133717134">
    <w:abstractNumId w:val="145"/>
  </w:num>
  <w:num w:numId="129" w16cid:durableId="539781863">
    <w:abstractNumId w:val="74"/>
  </w:num>
  <w:num w:numId="130" w16cid:durableId="1258519521">
    <w:abstractNumId w:val="134"/>
  </w:num>
  <w:num w:numId="131" w16cid:durableId="1255817329">
    <w:abstractNumId w:val="55"/>
  </w:num>
  <w:num w:numId="132" w16cid:durableId="537399747">
    <w:abstractNumId w:val="123"/>
  </w:num>
  <w:num w:numId="133" w16cid:durableId="1591309864">
    <w:abstractNumId w:val="18"/>
  </w:num>
  <w:num w:numId="134" w16cid:durableId="1026561260">
    <w:abstractNumId w:val="59"/>
  </w:num>
  <w:num w:numId="135" w16cid:durableId="1543783127">
    <w:abstractNumId w:val="97"/>
  </w:num>
  <w:num w:numId="136" w16cid:durableId="1056051982">
    <w:abstractNumId w:val="5"/>
  </w:num>
  <w:num w:numId="137" w16cid:durableId="1416509551">
    <w:abstractNumId w:val="85"/>
  </w:num>
  <w:num w:numId="138" w16cid:durableId="760419318">
    <w:abstractNumId w:val="96"/>
  </w:num>
  <w:num w:numId="139" w16cid:durableId="421075040">
    <w:abstractNumId w:val="142"/>
  </w:num>
  <w:num w:numId="140" w16cid:durableId="917860193">
    <w:abstractNumId w:val="149"/>
  </w:num>
  <w:num w:numId="141" w16cid:durableId="2122451185">
    <w:abstractNumId w:val="147"/>
  </w:num>
  <w:num w:numId="142" w16cid:durableId="1065571200">
    <w:abstractNumId w:val="50"/>
  </w:num>
  <w:num w:numId="143" w16cid:durableId="1960644078">
    <w:abstractNumId w:val="54"/>
  </w:num>
  <w:num w:numId="144" w16cid:durableId="1870221600">
    <w:abstractNumId w:val="45"/>
  </w:num>
  <w:num w:numId="145" w16cid:durableId="84696601">
    <w:abstractNumId w:val="152"/>
  </w:num>
  <w:num w:numId="146" w16cid:durableId="569729912">
    <w:abstractNumId w:val="57"/>
  </w:num>
  <w:num w:numId="147" w16cid:durableId="234751474">
    <w:abstractNumId w:val="61"/>
  </w:num>
  <w:num w:numId="148" w16cid:durableId="987049004">
    <w:abstractNumId w:val="86"/>
  </w:num>
  <w:num w:numId="149" w16cid:durableId="1167945157">
    <w:abstractNumId w:val="92"/>
  </w:num>
  <w:num w:numId="150" w16cid:durableId="1194416245">
    <w:abstractNumId w:val="140"/>
  </w:num>
  <w:num w:numId="151" w16cid:durableId="1697727716">
    <w:abstractNumId w:val="116"/>
  </w:num>
  <w:num w:numId="152" w16cid:durableId="641887635">
    <w:abstractNumId w:val="27"/>
  </w:num>
  <w:num w:numId="153" w16cid:durableId="443692198">
    <w:abstractNumId w:val="11"/>
  </w:num>
  <w:num w:numId="154" w16cid:durableId="1650940248">
    <w:abstractNumId w:val="2"/>
  </w:num>
  <w:num w:numId="155" w16cid:durableId="1091196033">
    <w:abstractNumId w:val="107"/>
  </w:num>
  <w:num w:numId="156" w16cid:durableId="1684211629">
    <w:abstractNumId w:val="13"/>
  </w:num>
  <w:num w:numId="157" w16cid:durableId="827095184">
    <w:abstractNumId w:val="53"/>
  </w:num>
  <w:num w:numId="158" w16cid:durableId="1664971122">
    <w:abstractNumId w:val="150"/>
  </w:num>
  <w:num w:numId="159" w16cid:durableId="1917324363">
    <w:abstractNumId w:val="131"/>
  </w:num>
  <w:num w:numId="160" w16cid:durableId="2134639149">
    <w:abstractNumId w:val="108"/>
  </w:num>
  <w:num w:numId="161" w16cid:durableId="1347714116">
    <w:abstractNumId w:val="62"/>
  </w:num>
  <w:num w:numId="162" w16cid:durableId="189897411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1B"/>
    <w:rsid w:val="000023C4"/>
    <w:rsid w:val="0000395F"/>
    <w:rsid w:val="00005A11"/>
    <w:rsid w:val="0001031D"/>
    <w:rsid w:val="000124A5"/>
    <w:rsid w:val="00013526"/>
    <w:rsid w:val="00015B02"/>
    <w:rsid w:val="00016D79"/>
    <w:rsid w:val="00022CE3"/>
    <w:rsid w:val="00022EB8"/>
    <w:rsid w:val="0002766B"/>
    <w:rsid w:val="00034DA4"/>
    <w:rsid w:val="00035F73"/>
    <w:rsid w:val="00045C1D"/>
    <w:rsid w:val="00046FD9"/>
    <w:rsid w:val="00047B47"/>
    <w:rsid w:val="000518AC"/>
    <w:rsid w:val="0005195E"/>
    <w:rsid w:val="000531F0"/>
    <w:rsid w:val="00054E45"/>
    <w:rsid w:val="00061A10"/>
    <w:rsid w:val="00061CF9"/>
    <w:rsid w:val="000627D2"/>
    <w:rsid w:val="00065FE6"/>
    <w:rsid w:val="00066E87"/>
    <w:rsid w:val="0007005E"/>
    <w:rsid w:val="00071F86"/>
    <w:rsid w:val="00074C97"/>
    <w:rsid w:val="00076C4A"/>
    <w:rsid w:val="000809B5"/>
    <w:rsid w:val="00082B33"/>
    <w:rsid w:val="000838C6"/>
    <w:rsid w:val="00083EEE"/>
    <w:rsid w:val="00085303"/>
    <w:rsid w:val="00093F9F"/>
    <w:rsid w:val="00094D33"/>
    <w:rsid w:val="00095A14"/>
    <w:rsid w:val="00096F0F"/>
    <w:rsid w:val="000A0CEA"/>
    <w:rsid w:val="000A1566"/>
    <w:rsid w:val="000A18EA"/>
    <w:rsid w:val="000A46EB"/>
    <w:rsid w:val="000A6D43"/>
    <w:rsid w:val="000A7434"/>
    <w:rsid w:val="000B0991"/>
    <w:rsid w:val="000B0E83"/>
    <w:rsid w:val="000B0ED0"/>
    <w:rsid w:val="000B1830"/>
    <w:rsid w:val="000B5979"/>
    <w:rsid w:val="000C5844"/>
    <w:rsid w:val="000C6CC3"/>
    <w:rsid w:val="000D0416"/>
    <w:rsid w:val="000D06EE"/>
    <w:rsid w:val="000D0B60"/>
    <w:rsid w:val="000D2700"/>
    <w:rsid w:val="000D66D3"/>
    <w:rsid w:val="000D6903"/>
    <w:rsid w:val="000D7C56"/>
    <w:rsid w:val="000E24F9"/>
    <w:rsid w:val="000E3D9F"/>
    <w:rsid w:val="000E481A"/>
    <w:rsid w:val="000E4EA6"/>
    <w:rsid w:val="000E6CC9"/>
    <w:rsid w:val="000E7B50"/>
    <w:rsid w:val="000F102B"/>
    <w:rsid w:val="000F1FCB"/>
    <w:rsid w:val="000F27FF"/>
    <w:rsid w:val="000F2E1B"/>
    <w:rsid w:val="000F3571"/>
    <w:rsid w:val="000F4935"/>
    <w:rsid w:val="000F4E47"/>
    <w:rsid w:val="000F79C8"/>
    <w:rsid w:val="0010038E"/>
    <w:rsid w:val="0010181B"/>
    <w:rsid w:val="00101D2E"/>
    <w:rsid w:val="00105204"/>
    <w:rsid w:val="00110C2A"/>
    <w:rsid w:val="00111ACF"/>
    <w:rsid w:val="001154CE"/>
    <w:rsid w:val="001163FC"/>
    <w:rsid w:val="00116B18"/>
    <w:rsid w:val="0012280C"/>
    <w:rsid w:val="00123182"/>
    <w:rsid w:val="00125DF6"/>
    <w:rsid w:val="00125F9C"/>
    <w:rsid w:val="0013066C"/>
    <w:rsid w:val="00133DC9"/>
    <w:rsid w:val="00134B7D"/>
    <w:rsid w:val="00135713"/>
    <w:rsid w:val="00135E97"/>
    <w:rsid w:val="00136423"/>
    <w:rsid w:val="00136BB8"/>
    <w:rsid w:val="00142C6B"/>
    <w:rsid w:val="00143131"/>
    <w:rsid w:val="00143638"/>
    <w:rsid w:val="00145584"/>
    <w:rsid w:val="001471F5"/>
    <w:rsid w:val="00147809"/>
    <w:rsid w:val="00147C14"/>
    <w:rsid w:val="00150AA5"/>
    <w:rsid w:val="001512E3"/>
    <w:rsid w:val="00157D15"/>
    <w:rsid w:val="001605FE"/>
    <w:rsid w:val="001608CE"/>
    <w:rsid w:val="00161CA2"/>
    <w:rsid w:val="00163127"/>
    <w:rsid w:val="00170D1B"/>
    <w:rsid w:val="00171E9D"/>
    <w:rsid w:val="00172D3C"/>
    <w:rsid w:val="00176F75"/>
    <w:rsid w:val="0018083E"/>
    <w:rsid w:val="001846DC"/>
    <w:rsid w:val="00184F4B"/>
    <w:rsid w:val="00185E04"/>
    <w:rsid w:val="0018618F"/>
    <w:rsid w:val="00186B45"/>
    <w:rsid w:val="001875F2"/>
    <w:rsid w:val="001920D0"/>
    <w:rsid w:val="001A0CC1"/>
    <w:rsid w:val="001A4D0C"/>
    <w:rsid w:val="001B3009"/>
    <w:rsid w:val="001B489C"/>
    <w:rsid w:val="001B60C7"/>
    <w:rsid w:val="001C42A9"/>
    <w:rsid w:val="001C4DDF"/>
    <w:rsid w:val="001D5DEF"/>
    <w:rsid w:val="001D799C"/>
    <w:rsid w:val="001E13C2"/>
    <w:rsid w:val="001E1B62"/>
    <w:rsid w:val="001E1C5A"/>
    <w:rsid w:val="001E3D90"/>
    <w:rsid w:val="001E66B5"/>
    <w:rsid w:val="001E6959"/>
    <w:rsid w:val="001E6C6F"/>
    <w:rsid w:val="001F0F12"/>
    <w:rsid w:val="001F287D"/>
    <w:rsid w:val="001F4E1E"/>
    <w:rsid w:val="00200494"/>
    <w:rsid w:val="00204217"/>
    <w:rsid w:val="0020486D"/>
    <w:rsid w:val="00215D2E"/>
    <w:rsid w:val="00216C29"/>
    <w:rsid w:val="00221FA4"/>
    <w:rsid w:val="00222208"/>
    <w:rsid w:val="002233C9"/>
    <w:rsid w:val="0022348F"/>
    <w:rsid w:val="00224598"/>
    <w:rsid w:val="0022577E"/>
    <w:rsid w:val="002275BB"/>
    <w:rsid w:val="00232F4E"/>
    <w:rsid w:val="00233B19"/>
    <w:rsid w:val="00234E75"/>
    <w:rsid w:val="00235076"/>
    <w:rsid w:val="002354CA"/>
    <w:rsid w:val="00237690"/>
    <w:rsid w:val="0023770A"/>
    <w:rsid w:val="00244A33"/>
    <w:rsid w:val="00244EB4"/>
    <w:rsid w:val="00245FB8"/>
    <w:rsid w:val="00246B3C"/>
    <w:rsid w:val="00257D0A"/>
    <w:rsid w:val="0026160F"/>
    <w:rsid w:val="002620B2"/>
    <w:rsid w:val="002658E0"/>
    <w:rsid w:val="00265D7C"/>
    <w:rsid w:val="00266866"/>
    <w:rsid w:val="002708C6"/>
    <w:rsid w:val="00270AE6"/>
    <w:rsid w:val="00270C29"/>
    <w:rsid w:val="002774CC"/>
    <w:rsid w:val="00281616"/>
    <w:rsid w:val="00281DE6"/>
    <w:rsid w:val="00284235"/>
    <w:rsid w:val="0028477A"/>
    <w:rsid w:val="002853BC"/>
    <w:rsid w:val="002864B0"/>
    <w:rsid w:val="0028671F"/>
    <w:rsid w:val="00291351"/>
    <w:rsid w:val="00291731"/>
    <w:rsid w:val="0029663A"/>
    <w:rsid w:val="002970D4"/>
    <w:rsid w:val="002A22F5"/>
    <w:rsid w:val="002A27AB"/>
    <w:rsid w:val="002A5F9B"/>
    <w:rsid w:val="002A6E88"/>
    <w:rsid w:val="002A7C37"/>
    <w:rsid w:val="002B037B"/>
    <w:rsid w:val="002B2927"/>
    <w:rsid w:val="002B3C2E"/>
    <w:rsid w:val="002B477F"/>
    <w:rsid w:val="002B6959"/>
    <w:rsid w:val="002C52C7"/>
    <w:rsid w:val="002C69B8"/>
    <w:rsid w:val="002C79DD"/>
    <w:rsid w:val="002D1D81"/>
    <w:rsid w:val="002D2574"/>
    <w:rsid w:val="002D2635"/>
    <w:rsid w:val="002D2FFB"/>
    <w:rsid w:val="002D48E4"/>
    <w:rsid w:val="002E3200"/>
    <w:rsid w:val="002F3809"/>
    <w:rsid w:val="002F44C7"/>
    <w:rsid w:val="003002A2"/>
    <w:rsid w:val="00301F89"/>
    <w:rsid w:val="0030471C"/>
    <w:rsid w:val="00312048"/>
    <w:rsid w:val="00315EAD"/>
    <w:rsid w:val="00316761"/>
    <w:rsid w:val="00327B79"/>
    <w:rsid w:val="003306EE"/>
    <w:rsid w:val="0033616F"/>
    <w:rsid w:val="00341055"/>
    <w:rsid w:val="003426C9"/>
    <w:rsid w:val="003431DA"/>
    <w:rsid w:val="003437DB"/>
    <w:rsid w:val="00344291"/>
    <w:rsid w:val="003510D3"/>
    <w:rsid w:val="0035385C"/>
    <w:rsid w:val="00362A43"/>
    <w:rsid w:val="00363D14"/>
    <w:rsid w:val="003659BB"/>
    <w:rsid w:val="00366B31"/>
    <w:rsid w:val="003706EA"/>
    <w:rsid w:val="00372CBC"/>
    <w:rsid w:val="00374BD3"/>
    <w:rsid w:val="0037578F"/>
    <w:rsid w:val="00376C84"/>
    <w:rsid w:val="00376E84"/>
    <w:rsid w:val="00382340"/>
    <w:rsid w:val="00384977"/>
    <w:rsid w:val="0039131F"/>
    <w:rsid w:val="00392C13"/>
    <w:rsid w:val="00397FC3"/>
    <w:rsid w:val="003A3315"/>
    <w:rsid w:val="003A4F72"/>
    <w:rsid w:val="003A6550"/>
    <w:rsid w:val="003A6606"/>
    <w:rsid w:val="003B04E9"/>
    <w:rsid w:val="003B07C3"/>
    <w:rsid w:val="003B67C9"/>
    <w:rsid w:val="003C0D11"/>
    <w:rsid w:val="003C15EB"/>
    <w:rsid w:val="003C2663"/>
    <w:rsid w:val="003C334C"/>
    <w:rsid w:val="003C4AAC"/>
    <w:rsid w:val="003C6543"/>
    <w:rsid w:val="003D2B81"/>
    <w:rsid w:val="003D58EB"/>
    <w:rsid w:val="003D686C"/>
    <w:rsid w:val="003D7D41"/>
    <w:rsid w:val="003E4E74"/>
    <w:rsid w:val="003E7217"/>
    <w:rsid w:val="003E7FC9"/>
    <w:rsid w:val="003F0CD9"/>
    <w:rsid w:val="003F2BE0"/>
    <w:rsid w:val="003F3A3D"/>
    <w:rsid w:val="003F7EEC"/>
    <w:rsid w:val="004008C3"/>
    <w:rsid w:val="004018E5"/>
    <w:rsid w:val="00402808"/>
    <w:rsid w:val="00402B1F"/>
    <w:rsid w:val="00410DDF"/>
    <w:rsid w:val="00410E1C"/>
    <w:rsid w:val="00415887"/>
    <w:rsid w:val="00420B47"/>
    <w:rsid w:val="0042116C"/>
    <w:rsid w:val="00425A03"/>
    <w:rsid w:val="00427632"/>
    <w:rsid w:val="004276A0"/>
    <w:rsid w:val="0043008C"/>
    <w:rsid w:val="00433AF8"/>
    <w:rsid w:val="00435363"/>
    <w:rsid w:val="004359AD"/>
    <w:rsid w:val="004374B4"/>
    <w:rsid w:val="00437A67"/>
    <w:rsid w:val="00441C41"/>
    <w:rsid w:val="00443069"/>
    <w:rsid w:val="00444CB4"/>
    <w:rsid w:val="004520CF"/>
    <w:rsid w:val="004525A2"/>
    <w:rsid w:val="0046255B"/>
    <w:rsid w:val="00465D8A"/>
    <w:rsid w:val="0046659A"/>
    <w:rsid w:val="00466B02"/>
    <w:rsid w:val="00466F9D"/>
    <w:rsid w:val="004673A0"/>
    <w:rsid w:val="004760D9"/>
    <w:rsid w:val="00486C66"/>
    <w:rsid w:val="004933CD"/>
    <w:rsid w:val="0049362C"/>
    <w:rsid w:val="00493E5B"/>
    <w:rsid w:val="004940C4"/>
    <w:rsid w:val="0049439A"/>
    <w:rsid w:val="00496728"/>
    <w:rsid w:val="004979D0"/>
    <w:rsid w:val="004A2F87"/>
    <w:rsid w:val="004A4227"/>
    <w:rsid w:val="004A5A73"/>
    <w:rsid w:val="004A60FE"/>
    <w:rsid w:val="004A7B68"/>
    <w:rsid w:val="004B0CB9"/>
    <w:rsid w:val="004B1474"/>
    <w:rsid w:val="004B42A5"/>
    <w:rsid w:val="004B7683"/>
    <w:rsid w:val="004C1B3B"/>
    <w:rsid w:val="004C1C4E"/>
    <w:rsid w:val="004C404F"/>
    <w:rsid w:val="004C490A"/>
    <w:rsid w:val="004C4A07"/>
    <w:rsid w:val="004C4BE5"/>
    <w:rsid w:val="004C59B8"/>
    <w:rsid w:val="004C5FDF"/>
    <w:rsid w:val="004C654A"/>
    <w:rsid w:val="004D0040"/>
    <w:rsid w:val="004D20A5"/>
    <w:rsid w:val="004D28C7"/>
    <w:rsid w:val="004D332A"/>
    <w:rsid w:val="004D741A"/>
    <w:rsid w:val="004E364D"/>
    <w:rsid w:val="004E6E0B"/>
    <w:rsid w:val="004F1D94"/>
    <w:rsid w:val="004F4F96"/>
    <w:rsid w:val="004F6165"/>
    <w:rsid w:val="00501788"/>
    <w:rsid w:val="005026C8"/>
    <w:rsid w:val="005041D7"/>
    <w:rsid w:val="005047FE"/>
    <w:rsid w:val="00506142"/>
    <w:rsid w:val="0050696E"/>
    <w:rsid w:val="005103E3"/>
    <w:rsid w:val="0051364A"/>
    <w:rsid w:val="00515EC4"/>
    <w:rsid w:val="00516CB4"/>
    <w:rsid w:val="005225BC"/>
    <w:rsid w:val="00523936"/>
    <w:rsid w:val="00523F0F"/>
    <w:rsid w:val="00526180"/>
    <w:rsid w:val="00526A9C"/>
    <w:rsid w:val="00537CA4"/>
    <w:rsid w:val="00537E2A"/>
    <w:rsid w:val="005424CD"/>
    <w:rsid w:val="0054376C"/>
    <w:rsid w:val="00543E5B"/>
    <w:rsid w:val="00546F76"/>
    <w:rsid w:val="00551A3E"/>
    <w:rsid w:val="00553733"/>
    <w:rsid w:val="00553C0A"/>
    <w:rsid w:val="005566A1"/>
    <w:rsid w:val="00556757"/>
    <w:rsid w:val="00557D36"/>
    <w:rsid w:val="00557EE2"/>
    <w:rsid w:val="00560337"/>
    <w:rsid w:val="00561D83"/>
    <w:rsid w:val="00562359"/>
    <w:rsid w:val="0056317D"/>
    <w:rsid w:val="005646EC"/>
    <w:rsid w:val="00574BA2"/>
    <w:rsid w:val="0058099A"/>
    <w:rsid w:val="00580FA9"/>
    <w:rsid w:val="00582AC7"/>
    <w:rsid w:val="00583295"/>
    <w:rsid w:val="0058379A"/>
    <w:rsid w:val="0058409A"/>
    <w:rsid w:val="0058790A"/>
    <w:rsid w:val="005908DE"/>
    <w:rsid w:val="00591873"/>
    <w:rsid w:val="0059196A"/>
    <w:rsid w:val="0059336C"/>
    <w:rsid w:val="005A37AC"/>
    <w:rsid w:val="005A4A21"/>
    <w:rsid w:val="005A5201"/>
    <w:rsid w:val="005A542E"/>
    <w:rsid w:val="005A67EE"/>
    <w:rsid w:val="005B1802"/>
    <w:rsid w:val="005B518E"/>
    <w:rsid w:val="005B78EF"/>
    <w:rsid w:val="005C0C3E"/>
    <w:rsid w:val="005C65A7"/>
    <w:rsid w:val="005D34A0"/>
    <w:rsid w:val="005D7771"/>
    <w:rsid w:val="005E0329"/>
    <w:rsid w:val="005E147F"/>
    <w:rsid w:val="005E3D47"/>
    <w:rsid w:val="005E4958"/>
    <w:rsid w:val="005E586B"/>
    <w:rsid w:val="005F34D9"/>
    <w:rsid w:val="005F36D0"/>
    <w:rsid w:val="005F37DC"/>
    <w:rsid w:val="005F593C"/>
    <w:rsid w:val="00600D71"/>
    <w:rsid w:val="00600DF3"/>
    <w:rsid w:val="00605EA9"/>
    <w:rsid w:val="00606438"/>
    <w:rsid w:val="00606BF9"/>
    <w:rsid w:val="00607CFC"/>
    <w:rsid w:val="00612FEC"/>
    <w:rsid w:val="0061356A"/>
    <w:rsid w:val="0061556B"/>
    <w:rsid w:val="006158C2"/>
    <w:rsid w:val="00617F2D"/>
    <w:rsid w:val="006207F2"/>
    <w:rsid w:val="00626133"/>
    <w:rsid w:val="00630135"/>
    <w:rsid w:val="00631C27"/>
    <w:rsid w:val="00636CE3"/>
    <w:rsid w:val="006374E0"/>
    <w:rsid w:val="00643B10"/>
    <w:rsid w:val="00650D3D"/>
    <w:rsid w:val="00651BC7"/>
    <w:rsid w:val="00651EA3"/>
    <w:rsid w:val="00662652"/>
    <w:rsid w:val="006637AC"/>
    <w:rsid w:val="00670C2A"/>
    <w:rsid w:val="006713CD"/>
    <w:rsid w:val="006717EC"/>
    <w:rsid w:val="006719FE"/>
    <w:rsid w:val="00672AA6"/>
    <w:rsid w:val="006742FE"/>
    <w:rsid w:val="00680138"/>
    <w:rsid w:val="00682D01"/>
    <w:rsid w:val="0068485E"/>
    <w:rsid w:val="006859C7"/>
    <w:rsid w:val="006874DC"/>
    <w:rsid w:val="00690AFC"/>
    <w:rsid w:val="00690B7B"/>
    <w:rsid w:val="00693DAC"/>
    <w:rsid w:val="00694870"/>
    <w:rsid w:val="00696D1E"/>
    <w:rsid w:val="006A1E2E"/>
    <w:rsid w:val="006A2C67"/>
    <w:rsid w:val="006A5A42"/>
    <w:rsid w:val="006A5E05"/>
    <w:rsid w:val="006A63E7"/>
    <w:rsid w:val="006A673C"/>
    <w:rsid w:val="006A6F97"/>
    <w:rsid w:val="006B10B0"/>
    <w:rsid w:val="006B29AB"/>
    <w:rsid w:val="006B32D6"/>
    <w:rsid w:val="006B4ECF"/>
    <w:rsid w:val="006B58ED"/>
    <w:rsid w:val="006C120A"/>
    <w:rsid w:val="006C2B62"/>
    <w:rsid w:val="006C6CF9"/>
    <w:rsid w:val="006D153A"/>
    <w:rsid w:val="006D1B39"/>
    <w:rsid w:val="006D2422"/>
    <w:rsid w:val="006D2B4A"/>
    <w:rsid w:val="006D53BA"/>
    <w:rsid w:val="006D5D37"/>
    <w:rsid w:val="006D6F1C"/>
    <w:rsid w:val="006E1125"/>
    <w:rsid w:val="006E163F"/>
    <w:rsid w:val="006E1DEC"/>
    <w:rsid w:val="006E7274"/>
    <w:rsid w:val="006F3045"/>
    <w:rsid w:val="006F39D2"/>
    <w:rsid w:val="006F4AF7"/>
    <w:rsid w:val="006F6234"/>
    <w:rsid w:val="007013A4"/>
    <w:rsid w:val="00702FEC"/>
    <w:rsid w:val="00705B96"/>
    <w:rsid w:val="00705DF8"/>
    <w:rsid w:val="0070608C"/>
    <w:rsid w:val="0071096D"/>
    <w:rsid w:val="00711491"/>
    <w:rsid w:val="00711D98"/>
    <w:rsid w:val="007122CD"/>
    <w:rsid w:val="007155E5"/>
    <w:rsid w:val="00716374"/>
    <w:rsid w:val="00716DF2"/>
    <w:rsid w:val="00717D35"/>
    <w:rsid w:val="00722CE9"/>
    <w:rsid w:val="00731F45"/>
    <w:rsid w:val="0073205D"/>
    <w:rsid w:val="00732389"/>
    <w:rsid w:val="00732677"/>
    <w:rsid w:val="00732AE3"/>
    <w:rsid w:val="007357BD"/>
    <w:rsid w:val="007368C7"/>
    <w:rsid w:val="007405F8"/>
    <w:rsid w:val="00740E46"/>
    <w:rsid w:val="007442E5"/>
    <w:rsid w:val="00744675"/>
    <w:rsid w:val="00745AF0"/>
    <w:rsid w:val="00745E65"/>
    <w:rsid w:val="0074701B"/>
    <w:rsid w:val="00747CBA"/>
    <w:rsid w:val="00751249"/>
    <w:rsid w:val="0075284B"/>
    <w:rsid w:val="007532A0"/>
    <w:rsid w:val="00753C22"/>
    <w:rsid w:val="00754B22"/>
    <w:rsid w:val="00757828"/>
    <w:rsid w:val="007700CD"/>
    <w:rsid w:val="007709BC"/>
    <w:rsid w:val="00774D0B"/>
    <w:rsid w:val="00776389"/>
    <w:rsid w:val="007767BB"/>
    <w:rsid w:val="007834EB"/>
    <w:rsid w:val="00787073"/>
    <w:rsid w:val="00796E5C"/>
    <w:rsid w:val="007A1388"/>
    <w:rsid w:val="007A26B4"/>
    <w:rsid w:val="007A48B9"/>
    <w:rsid w:val="007A5B3D"/>
    <w:rsid w:val="007A76C3"/>
    <w:rsid w:val="007B1414"/>
    <w:rsid w:val="007B39AB"/>
    <w:rsid w:val="007B7371"/>
    <w:rsid w:val="007B7B4E"/>
    <w:rsid w:val="007C05BC"/>
    <w:rsid w:val="007C2305"/>
    <w:rsid w:val="007C3389"/>
    <w:rsid w:val="007C3B66"/>
    <w:rsid w:val="007C4326"/>
    <w:rsid w:val="007C477B"/>
    <w:rsid w:val="007C5605"/>
    <w:rsid w:val="007C59A1"/>
    <w:rsid w:val="007D0EA6"/>
    <w:rsid w:val="007D1AB6"/>
    <w:rsid w:val="007D1F15"/>
    <w:rsid w:val="007D310A"/>
    <w:rsid w:val="007D3ECB"/>
    <w:rsid w:val="007D70D7"/>
    <w:rsid w:val="007E0230"/>
    <w:rsid w:val="007E033D"/>
    <w:rsid w:val="007E3B5A"/>
    <w:rsid w:val="007E7EEC"/>
    <w:rsid w:val="007F1676"/>
    <w:rsid w:val="007F32E6"/>
    <w:rsid w:val="007F3922"/>
    <w:rsid w:val="007F4112"/>
    <w:rsid w:val="007F6E3B"/>
    <w:rsid w:val="008031F4"/>
    <w:rsid w:val="008032D4"/>
    <w:rsid w:val="00804076"/>
    <w:rsid w:val="00804B8A"/>
    <w:rsid w:val="00807182"/>
    <w:rsid w:val="008164AC"/>
    <w:rsid w:val="00820928"/>
    <w:rsid w:val="00821608"/>
    <w:rsid w:val="00821C36"/>
    <w:rsid w:val="00822996"/>
    <w:rsid w:val="00824E6B"/>
    <w:rsid w:val="008260AE"/>
    <w:rsid w:val="0083202D"/>
    <w:rsid w:val="00835018"/>
    <w:rsid w:val="008356E3"/>
    <w:rsid w:val="00835CBD"/>
    <w:rsid w:val="00835D37"/>
    <w:rsid w:val="008372AA"/>
    <w:rsid w:val="0084043A"/>
    <w:rsid w:val="00843724"/>
    <w:rsid w:val="00843D76"/>
    <w:rsid w:val="00845433"/>
    <w:rsid w:val="00852975"/>
    <w:rsid w:val="0086243C"/>
    <w:rsid w:val="008624F0"/>
    <w:rsid w:val="008655D1"/>
    <w:rsid w:val="00865845"/>
    <w:rsid w:val="00870306"/>
    <w:rsid w:val="00874E80"/>
    <w:rsid w:val="00875BC9"/>
    <w:rsid w:val="00877098"/>
    <w:rsid w:val="00882C77"/>
    <w:rsid w:val="008834EC"/>
    <w:rsid w:val="00883A58"/>
    <w:rsid w:val="00883F86"/>
    <w:rsid w:val="0088661A"/>
    <w:rsid w:val="0088786B"/>
    <w:rsid w:val="008914AC"/>
    <w:rsid w:val="00892296"/>
    <w:rsid w:val="008928BB"/>
    <w:rsid w:val="0089511E"/>
    <w:rsid w:val="00895919"/>
    <w:rsid w:val="008A02D8"/>
    <w:rsid w:val="008A0E58"/>
    <w:rsid w:val="008A329A"/>
    <w:rsid w:val="008A4FEA"/>
    <w:rsid w:val="008B1599"/>
    <w:rsid w:val="008B15E3"/>
    <w:rsid w:val="008B2497"/>
    <w:rsid w:val="008B2ABC"/>
    <w:rsid w:val="008B3A2A"/>
    <w:rsid w:val="008B3CBC"/>
    <w:rsid w:val="008C45BE"/>
    <w:rsid w:val="008C54CD"/>
    <w:rsid w:val="008C593E"/>
    <w:rsid w:val="008D0420"/>
    <w:rsid w:val="008D3E44"/>
    <w:rsid w:val="008E10B0"/>
    <w:rsid w:val="008E113A"/>
    <w:rsid w:val="008E12BB"/>
    <w:rsid w:val="008E3C4B"/>
    <w:rsid w:val="008E48FE"/>
    <w:rsid w:val="008E5B9B"/>
    <w:rsid w:val="008E6341"/>
    <w:rsid w:val="008E79B6"/>
    <w:rsid w:val="008F0EAB"/>
    <w:rsid w:val="008F214A"/>
    <w:rsid w:val="008F2A60"/>
    <w:rsid w:val="008F3C62"/>
    <w:rsid w:val="00902AB5"/>
    <w:rsid w:val="00903DFA"/>
    <w:rsid w:val="00905B99"/>
    <w:rsid w:val="009065ED"/>
    <w:rsid w:val="00906E64"/>
    <w:rsid w:val="00907DC0"/>
    <w:rsid w:val="0091280D"/>
    <w:rsid w:val="009148AF"/>
    <w:rsid w:val="00915457"/>
    <w:rsid w:val="0091637D"/>
    <w:rsid w:val="00920D20"/>
    <w:rsid w:val="009226BA"/>
    <w:rsid w:val="00922839"/>
    <w:rsid w:val="00922DB4"/>
    <w:rsid w:val="00923472"/>
    <w:rsid w:val="00923576"/>
    <w:rsid w:val="0092479E"/>
    <w:rsid w:val="00925D06"/>
    <w:rsid w:val="00926020"/>
    <w:rsid w:val="009262BA"/>
    <w:rsid w:val="00930ADA"/>
    <w:rsid w:val="00932E49"/>
    <w:rsid w:val="00933886"/>
    <w:rsid w:val="009346A2"/>
    <w:rsid w:val="00935067"/>
    <w:rsid w:val="00937965"/>
    <w:rsid w:val="00940916"/>
    <w:rsid w:val="00942DB4"/>
    <w:rsid w:val="0094511B"/>
    <w:rsid w:val="0094681D"/>
    <w:rsid w:val="0095004A"/>
    <w:rsid w:val="00950B50"/>
    <w:rsid w:val="009513B0"/>
    <w:rsid w:val="00952DFA"/>
    <w:rsid w:val="00953411"/>
    <w:rsid w:val="0095369C"/>
    <w:rsid w:val="00954A63"/>
    <w:rsid w:val="009637A4"/>
    <w:rsid w:val="0096382F"/>
    <w:rsid w:val="009650D4"/>
    <w:rsid w:val="00966E06"/>
    <w:rsid w:val="00970D68"/>
    <w:rsid w:val="0097389C"/>
    <w:rsid w:val="00973F22"/>
    <w:rsid w:val="009746EF"/>
    <w:rsid w:val="00974A3F"/>
    <w:rsid w:val="00974E9B"/>
    <w:rsid w:val="009770FF"/>
    <w:rsid w:val="00980146"/>
    <w:rsid w:val="00981C0B"/>
    <w:rsid w:val="00983263"/>
    <w:rsid w:val="00990AB8"/>
    <w:rsid w:val="00990C2A"/>
    <w:rsid w:val="00991E77"/>
    <w:rsid w:val="00992BAF"/>
    <w:rsid w:val="00992E4E"/>
    <w:rsid w:val="0099547C"/>
    <w:rsid w:val="009A3ED6"/>
    <w:rsid w:val="009A48A2"/>
    <w:rsid w:val="009A6519"/>
    <w:rsid w:val="009B0878"/>
    <w:rsid w:val="009B0B20"/>
    <w:rsid w:val="009B1EB4"/>
    <w:rsid w:val="009B2D08"/>
    <w:rsid w:val="009B38B8"/>
    <w:rsid w:val="009B4F97"/>
    <w:rsid w:val="009B5099"/>
    <w:rsid w:val="009B5384"/>
    <w:rsid w:val="009B55CA"/>
    <w:rsid w:val="009C06EF"/>
    <w:rsid w:val="009C112B"/>
    <w:rsid w:val="009C1342"/>
    <w:rsid w:val="009C3E0B"/>
    <w:rsid w:val="009C4C1D"/>
    <w:rsid w:val="009C713D"/>
    <w:rsid w:val="009D4742"/>
    <w:rsid w:val="009E05C3"/>
    <w:rsid w:val="009E2475"/>
    <w:rsid w:val="009E2785"/>
    <w:rsid w:val="009E4EDB"/>
    <w:rsid w:val="009F0CBE"/>
    <w:rsid w:val="009F2789"/>
    <w:rsid w:val="009F35DE"/>
    <w:rsid w:val="009F7378"/>
    <w:rsid w:val="00A00047"/>
    <w:rsid w:val="00A00BD7"/>
    <w:rsid w:val="00A01878"/>
    <w:rsid w:val="00A01C38"/>
    <w:rsid w:val="00A035B7"/>
    <w:rsid w:val="00A05635"/>
    <w:rsid w:val="00A05BE7"/>
    <w:rsid w:val="00A07B89"/>
    <w:rsid w:val="00A1314B"/>
    <w:rsid w:val="00A141F4"/>
    <w:rsid w:val="00A142C7"/>
    <w:rsid w:val="00A143C3"/>
    <w:rsid w:val="00A14896"/>
    <w:rsid w:val="00A15FF6"/>
    <w:rsid w:val="00A20531"/>
    <w:rsid w:val="00A24935"/>
    <w:rsid w:val="00A25802"/>
    <w:rsid w:val="00A26051"/>
    <w:rsid w:val="00A30B8F"/>
    <w:rsid w:val="00A30FFD"/>
    <w:rsid w:val="00A31A2E"/>
    <w:rsid w:val="00A32268"/>
    <w:rsid w:val="00A335B3"/>
    <w:rsid w:val="00A34710"/>
    <w:rsid w:val="00A37A65"/>
    <w:rsid w:val="00A4201B"/>
    <w:rsid w:val="00A433BD"/>
    <w:rsid w:val="00A43A6E"/>
    <w:rsid w:val="00A44D25"/>
    <w:rsid w:val="00A52647"/>
    <w:rsid w:val="00A53BE8"/>
    <w:rsid w:val="00A613E4"/>
    <w:rsid w:val="00A6252C"/>
    <w:rsid w:val="00A6358C"/>
    <w:rsid w:val="00A63CFE"/>
    <w:rsid w:val="00A6736B"/>
    <w:rsid w:val="00A712E9"/>
    <w:rsid w:val="00A71D19"/>
    <w:rsid w:val="00A7272B"/>
    <w:rsid w:val="00A73ED8"/>
    <w:rsid w:val="00A7514E"/>
    <w:rsid w:val="00A75564"/>
    <w:rsid w:val="00A76E90"/>
    <w:rsid w:val="00A83EBA"/>
    <w:rsid w:val="00A84450"/>
    <w:rsid w:val="00A86763"/>
    <w:rsid w:val="00A871FB"/>
    <w:rsid w:val="00A908D5"/>
    <w:rsid w:val="00A90DCA"/>
    <w:rsid w:val="00A948F7"/>
    <w:rsid w:val="00A949EE"/>
    <w:rsid w:val="00A96A5F"/>
    <w:rsid w:val="00A972EA"/>
    <w:rsid w:val="00A97CF8"/>
    <w:rsid w:val="00AA46AD"/>
    <w:rsid w:val="00AA625B"/>
    <w:rsid w:val="00AB3994"/>
    <w:rsid w:val="00AB3B5F"/>
    <w:rsid w:val="00AB589B"/>
    <w:rsid w:val="00AB5FBE"/>
    <w:rsid w:val="00AB6247"/>
    <w:rsid w:val="00AC001D"/>
    <w:rsid w:val="00AC20ED"/>
    <w:rsid w:val="00AC3375"/>
    <w:rsid w:val="00AC5154"/>
    <w:rsid w:val="00AC7CB3"/>
    <w:rsid w:val="00AD0402"/>
    <w:rsid w:val="00AD1B63"/>
    <w:rsid w:val="00AD251E"/>
    <w:rsid w:val="00AE1CAB"/>
    <w:rsid w:val="00AE2D05"/>
    <w:rsid w:val="00AE3130"/>
    <w:rsid w:val="00AE3CFE"/>
    <w:rsid w:val="00AE4F3F"/>
    <w:rsid w:val="00AF62C3"/>
    <w:rsid w:val="00AF74AD"/>
    <w:rsid w:val="00B01470"/>
    <w:rsid w:val="00B03B1A"/>
    <w:rsid w:val="00B0511B"/>
    <w:rsid w:val="00B0775F"/>
    <w:rsid w:val="00B12F2B"/>
    <w:rsid w:val="00B15C74"/>
    <w:rsid w:val="00B16152"/>
    <w:rsid w:val="00B173ED"/>
    <w:rsid w:val="00B20077"/>
    <w:rsid w:val="00B20CC0"/>
    <w:rsid w:val="00B23F0A"/>
    <w:rsid w:val="00B24AC8"/>
    <w:rsid w:val="00B24D54"/>
    <w:rsid w:val="00B327FE"/>
    <w:rsid w:val="00B33E80"/>
    <w:rsid w:val="00B35343"/>
    <w:rsid w:val="00B36734"/>
    <w:rsid w:val="00B42948"/>
    <w:rsid w:val="00B43AB9"/>
    <w:rsid w:val="00B44108"/>
    <w:rsid w:val="00B51604"/>
    <w:rsid w:val="00B52BB5"/>
    <w:rsid w:val="00B5360A"/>
    <w:rsid w:val="00B55891"/>
    <w:rsid w:val="00B559D9"/>
    <w:rsid w:val="00B56A2E"/>
    <w:rsid w:val="00B60AEF"/>
    <w:rsid w:val="00B62566"/>
    <w:rsid w:val="00B6268C"/>
    <w:rsid w:val="00B62905"/>
    <w:rsid w:val="00B631DA"/>
    <w:rsid w:val="00B65269"/>
    <w:rsid w:val="00B665B0"/>
    <w:rsid w:val="00B66AF5"/>
    <w:rsid w:val="00B66D4D"/>
    <w:rsid w:val="00B67855"/>
    <w:rsid w:val="00B722B3"/>
    <w:rsid w:val="00B73BA7"/>
    <w:rsid w:val="00B75FD0"/>
    <w:rsid w:val="00B77991"/>
    <w:rsid w:val="00B8069A"/>
    <w:rsid w:val="00B83CE0"/>
    <w:rsid w:val="00B85399"/>
    <w:rsid w:val="00B902E8"/>
    <w:rsid w:val="00B930C6"/>
    <w:rsid w:val="00B9387D"/>
    <w:rsid w:val="00BA03E7"/>
    <w:rsid w:val="00BA198F"/>
    <w:rsid w:val="00BA22E1"/>
    <w:rsid w:val="00BA2564"/>
    <w:rsid w:val="00BA3682"/>
    <w:rsid w:val="00BA3B12"/>
    <w:rsid w:val="00BA69E0"/>
    <w:rsid w:val="00BB0B45"/>
    <w:rsid w:val="00BB54A3"/>
    <w:rsid w:val="00BB7730"/>
    <w:rsid w:val="00BC0C74"/>
    <w:rsid w:val="00BC3362"/>
    <w:rsid w:val="00BC5294"/>
    <w:rsid w:val="00BC5769"/>
    <w:rsid w:val="00BC5848"/>
    <w:rsid w:val="00BC77B0"/>
    <w:rsid w:val="00BD6729"/>
    <w:rsid w:val="00BE074A"/>
    <w:rsid w:val="00BE149D"/>
    <w:rsid w:val="00BE2430"/>
    <w:rsid w:val="00BE377C"/>
    <w:rsid w:val="00BE475F"/>
    <w:rsid w:val="00BE4C00"/>
    <w:rsid w:val="00BE529F"/>
    <w:rsid w:val="00BE76AE"/>
    <w:rsid w:val="00BF19C5"/>
    <w:rsid w:val="00BF4497"/>
    <w:rsid w:val="00C001C7"/>
    <w:rsid w:val="00C004FB"/>
    <w:rsid w:val="00C02ADC"/>
    <w:rsid w:val="00C044A3"/>
    <w:rsid w:val="00C06293"/>
    <w:rsid w:val="00C0728E"/>
    <w:rsid w:val="00C10558"/>
    <w:rsid w:val="00C10666"/>
    <w:rsid w:val="00C11A22"/>
    <w:rsid w:val="00C12D33"/>
    <w:rsid w:val="00C12FDD"/>
    <w:rsid w:val="00C1491F"/>
    <w:rsid w:val="00C14EFB"/>
    <w:rsid w:val="00C15167"/>
    <w:rsid w:val="00C1734B"/>
    <w:rsid w:val="00C20ECF"/>
    <w:rsid w:val="00C22AC2"/>
    <w:rsid w:val="00C233B7"/>
    <w:rsid w:val="00C253FF"/>
    <w:rsid w:val="00C27BFF"/>
    <w:rsid w:val="00C300EA"/>
    <w:rsid w:val="00C316D5"/>
    <w:rsid w:val="00C326E4"/>
    <w:rsid w:val="00C331B2"/>
    <w:rsid w:val="00C331CA"/>
    <w:rsid w:val="00C34BCF"/>
    <w:rsid w:val="00C36929"/>
    <w:rsid w:val="00C404D7"/>
    <w:rsid w:val="00C406C2"/>
    <w:rsid w:val="00C424FB"/>
    <w:rsid w:val="00C44E23"/>
    <w:rsid w:val="00C4750D"/>
    <w:rsid w:val="00C545BB"/>
    <w:rsid w:val="00C54CCC"/>
    <w:rsid w:val="00C56873"/>
    <w:rsid w:val="00C57030"/>
    <w:rsid w:val="00C60907"/>
    <w:rsid w:val="00C633A5"/>
    <w:rsid w:val="00C6403E"/>
    <w:rsid w:val="00C64EBB"/>
    <w:rsid w:val="00C66929"/>
    <w:rsid w:val="00C67C11"/>
    <w:rsid w:val="00C73639"/>
    <w:rsid w:val="00C73B53"/>
    <w:rsid w:val="00C73CD8"/>
    <w:rsid w:val="00C76381"/>
    <w:rsid w:val="00C7642D"/>
    <w:rsid w:val="00C84CB8"/>
    <w:rsid w:val="00C85252"/>
    <w:rsid w:val="00C85766"/>
    <w:rsid w:val="00C91D2B"/>
    <w:rsid w:val="00C94A38"/>
    <w:rsid w:val="00C94E16"/>
    <w:rsid w:val="00C94F63"/>
    <w:rsid w:val="00CA0C49"/>
    <w:rsid w:val="00CA1073"/>
    <w:rsid w:val="00CA18B8"/>
    <w:rsid w:val="00CA2629"/>
    <w:rsid w:val="00CA2857"/>
    <w:rsid w:val="00CA5886"/>
    <w:rsid w:val="00CB0AA0"/>
    <w:rsid w:val="00CB0AD3"/>
    <w:rsid w:val="00CB0F2C"/>
    <w:rsid w:val="00CB114C"/>
    <w:rsid w:val="00CB2F95"/>
    <w:rsid w:val="00CB4774"/>
    <w:rsid w:val="00CB5136"/>
    <w:rsid w:val="00CB6FF0"/>
    <w:rsid w:val="00CB7765"/>
    <w:rsid w:val="00CC4085"/>
    <w:rsid w:val="00CD0C92"/>
    <w:rsid w:val="00CD1BC2"/>
    <w:rsid w:val="00CD20B8"/>
    <w:rsid w:val="00CD21A1"/>
    <w:rsid w:val="00CD78DD"/>
    <w:rsid w:val="00CD7B9B"/>
    <w:rsid w:val="00CE1AA7"/>
    <w:rsid w:val="00CE3A30"/>
    <w:rsid w:val="00CF16DF"/>
    <w:rsid w:val="00CF3A82"/>
    <w:rsid w:val="00CF4F6C"/>
    <w:rsid w:val="00CF6C22"/>
    <w:rsid w:val="00D02877"/>
    <w:rsid w:val="00D043AA"/>
    <w:rsid w:val="00D06444"/>
    <w:rsid w:val="00D06691"/>
    <w:rsid w:val="00D12250"/>
    <w:rsid w:val="00D14992"/>
    <w:rsid w:val="00D14D21"/>
    <w:rsid w:val="00D15D18"/>
    <w:rsid w:val="00D1626A"/>
    <w:rsid w:val="00D215C7"/>
    <w:rsid w:val="00D21CF7"/>
    <w:rsid w:val="00D23A17"/>
    <w:rsid w:val="00D23C94"/>
    <w:rsid w:val="00D240D3"/>
    <w:rsid w:val="00D26AB5"/>
    <w:rsid w:val="00D30F19"/>
    <w:rsid w:val="00D3346F"/>
    <w:rsid w:val="00D34C02"/>
    <w:rsid w:val="00D37B9D"/>
    <w:rsid w:val="00D41479"/>
    <w:rsid w:val="00D420E0"/>
    <w:rsid w:val="00D42437"/>
    <w:rsid w:val="00D45213"/>
    <w:rsid w:val="00D45456"/>
    <w:rsid w:val="00D456A1"/>
    <w:rsid w:val="00D45B8D"/>
    <w:rsid w:val="00D475BB"/>
    <w:rsid w:val="00D5193D"/>
    <w:rsid w:val="00D51B7B"/>
    <w:rsid w:val="00D57BF2"/>
    <w:rsid w:val="00D60589"/>
    <w:rsid w:val="00D6105F"/>
    <w:rsid w:val="00D631C3"/>
    <w:rsid w:val="00D65264"/>
    <w:rsid w:val="00D653D6"/>
    <w:rsid w:val="00D65C4D"/>
    <w:rsid w:val="00D7306B"/>
    <w:rsid w:val="00D74B26"/>
    <w:rsid w:val="00D8084A"/>
    <w:rsid w:val="00D82DAD"/>
    <w:rsid w:val="00D85E7F"/>
    <w:rsid w:val="00D9060B"/>
    <w:rsid w:val="00D94298"/>
    <w:rsid w:val="00D94391"/>
    <w:rsid w:val="00D94550"/>
    <w:rsid w:val="00D956E5"/>
    <w:rsid w:val="00DA0953"/>
    <w:rsid w:val="00DA1D29"/>
    <w:rsid w:val="00DA22B8"/>
    <w:rsid w:val="00DA3DB8"/>
    <w:rsid w:val="00DA5B95"/>
    <w:rsid w:val="00DB4889"/>
    <w:rsid w:val="00DB6AF9"/>
    <w:rsid w:val="00DC2F0B"/>
    <w:rsid w:val="00DC457F"/>
    <w:rsid w:val="00DC4F18"/>
    <w:rsid w:val="00DC5BBF"/>
    <w:rsid w:val="00DD0128"/>
    <w:rsid w:val="00DD087C"/>
    <w:rsid w:val="00DD1181"/>
    <w:rsid w:val="00DD3264"/>
    <w:rsid w:val="00DD4B89"/>
    <w:rsid w:val="00DD5D06"/>
    <w:rsid w:val="00DD6450"/>
    <w:rsid w:val="00DE2100"/>
    <w:rsid w:val="00DE5B3D"/>
    <w:rsid w:val="00DF16A2"/>
    <w:rsid w:val="00DF212B"/>
    <w:rsid w:val="00DF28E6"/>
    <w:rsid w:val="00DF4C7F"/>
    <w:rsid w:val="00DF608D"/>
    <w:rsid w:val="00DF70D2"/>
    <w:rsid w:val="00DF76F6"/>
    <w:rsid w:val="00DF787F"/>
    <w:rsid w:val="00E00E0F"/>
    <w:rsid w:val="00E03C25"/>
    <w:rsid w:val="00E04D48"/>
    <w:rsid w:val="00E053F8"/>
    <w:rsid w:val="00E064B3"/>
    <w:rsid w:val="00E079E0"/>
    <w:rsid w:val="00E11695"/>
    <w:rsid w:val="00E15AFC"/>
    <w:rsid w:val="00E177F6"/>
    <w:rsid w:val="00E208AD"/>
    <w:rsid w:val="00E20F6F"/>
    <w:rsid w:val="00E26311"/>
    <w:rsid w:val="00E30B00"/>
    <w:rsid w:val="00E31509"/>
    <w:rsid w:val="00E32A3F"/>
    <w:rsid w:val="00E34FB5"/>
    <w:rsid w:val="00E35C76"/>
    <w:rsid w:val="00E3722A"/>
    <w:rsid w:val="00E37C0C"/>
    <w:rsid w:val="00E40990"/>
    <w:rsid w:val="00E40BC3"/>
    <w:rsid w:val="00E41BCC"/>
    <w:rsid w:val="00E44B4A"/>
    <w:rsid w:val="00E46303"/>
    <w:rsid w:val="00E4661C"/>
    <w:rsid w:val="00E46E37"/>
    <w:rsid w:val="00E47B0E"/>
    <w:rsid w:val="00E52B52"/>
    <w:rsid w:val="00E53E44"/>
    <w:rsid w:val="00E540DD"/>
    <w:rsid w:val="00E544EC"/>
    <w:rsid w:val="00E568E9"/>
    <w:rsid w:val="00E57FC6"/>
    <w:rsid w:val="00E615B8"/>
    <w:rsid w:val="00E61A46"/>
    <w:rsid w:val="00E62A3E"/>
    <w:rsid w:val="00E62B1C"/>
    <w:rsid w:val="00E7560E"/>
    <w:rsid w:val="00E75D61"/>
    <w:rsid w:val="00E80842"/>
    <w:rsid w:val="00E8270C"/>
    <w:rsid w:val="00E82979"/>
    <w:rsid w:val="00E86B0F"/>
    <w:rsid w:val="00E908D0"/>
    <w:rsid w:val="00E90ACC"/>
    <w:rsid w:val="00E91E44"/>
    <w:rsid w:val="00E92CAA"/>
    <w:rsid w:val="00E9356E"/>
    <w:rsid w:val="00E94817"/>
    <w:rsid w:val="00E969CE"/>
    <w:rsid w:val="00E97C99"/>
    <w:rsid w:val="00EA0785"/>
    <w:rsid w:val="00EB4076"/>
    <w:rsid w:val="00EB636C"/>
    <w:rsid w:val="00EC3019"/>
    <w:rsid w:val="00EC7217"/>
    <w:rsid w:val="00EC7A59"/>
    <w:rsid w:val="00ED26BD"/>
    <w:rsid w:val="00ED2A02"/>
    <w:rsid w:val="00ED75EE"/>
    <w:rsid w:val="00ED7BC2"/>
    <w:rsid w:val="00ED7C42"/>
    <w:rsid w:val="00EE230C"/>
    <w:rsid w:val="00EE3007"/>
    <w:rsid w:val="00EE52C1"/>
    <w:rsid w:val="00EE7788"/>
    <w:rsid w:val="00EF0EAF"/>
    <w:rsid w:val="00EF2411"/>
    <w:rsid w:val="00EF2F6E"/>
    <w:rsid w:val="00EF3161"/>
    <w:rsid w:val="00EF349E"/>
    <w:rsid w:val="00EF5135"/>
    <w:rsid w:val="00EF659E"/>
    <w:rsid w:val="00F01444"/>
    <w:rsid w:val="00F06614"/>
    <w:rsid w:val="00F07AEA"/>
    <w:rsid w:val="00F07D71"/>
    <w:rsid w:val="00F10F3B"/>
    <w:rsid w:val="00F12BB9"/>
    <w:rsid w:val="00F13504"/>
    <w:rsid w:val="00F1386D"/>
    <w:rsid w:val="00F15390"/>
    <w:rsid w:val="00F1671B"/>
    <w:rsid w:val="00F200AE"/>
    <w:rsid w:val="00F229BA"/>
    <w:rsid w:val="00F229CB"/>
    <w:rsid w:val="00F24719"/>
    <w:rsid w:val="00F2597F"/>
    <w:rsid w:val="00F31A95"/>
    <w:rsid w:val="00F321D7"/>
    <w:rsid w:val="00F33FAE"/>
    <w:rsid w:val="00F34573"/>
    <w:rsid w:val="00F34A1D"/>
    <w:rsid w:val="00F4102C"/>
    <w:rsid w:val="00F4410F"/>
    <w:rsid w:val="00F44478"/>
    <w:rsid w:val="00F446D4"/>
    <w:rsid w:val="00F50EFA"/>
    <w:rsid w:val="00F515FF"/>
    <w:rsid w:val="00F55596"/>
    <w:rsid w:val="00F55D66"/>
    <w:rsid w:val="00F5684E"/>
    <w:rsid w:val="00F57130"/>
    <w:rsid w:val="00F61028"/>
    <w:rsid w:val="00F612DD"/>
    <w:rsid w:val="00F6465F"/>
    <w:rsid w:val="00F66164"/>
    <w:rsid w:val="00F75E9F"/>
    <w:rsid w:val="00F76941"/>
    <w:rsid w:val="00F77D48"/>
    <w:rsid w:val="00F8509C"/>
    <w:rsid w:val="00F876AB"/>
    <w:rsid w:val="00F87DC4"/>
    <w:rsid w:val="00F90D79"/>
    <w:rsid w:val="00F9590C"/>
    <w:rsid w:val="00F96ED5"/>
    <w:rsid w:val="00F972C3"/>
    <w:rsid w:val="00F97C00"/>
    <w:rsid w:val="00FA1F79"/>
    <w:rsid w:val="00FA4C63"/>
    <w:rsid w:val="00FA59EB"/>
    <w:rsid w:val="00FA6184"/>
    <w:rsid w:val="00FA6930"/>
    <w:rsid w:val="00FA76B6"/>
    <w:rsid w:val="00FB2DF6"/>
    <w:rsid w:val="00FB438A"/>
    <w:rsid w:val="00FC1890"/>
    <w:rsid w:val="00FC23A7"/>
    <w:rsid w:val="00FC33FD"/>
    <w:rsid w:val="00FD1907"/>
    <w:rsid w:val="00FD1955"/>
    <w:rsid w:val="00FD1982"/>
    <w:rsid w:val="00FD2575"/>
    <w:rsid w:val="00FD2955"/>
    <w:rsid w:val="00FD3BA8"/>
    <w:rsid w:val="00FD67D9"/>
    <w:rsid w:val="00FE2A9A"/>
    <w:rsid w:val="00FE359A"/>
    <w:rsid w:val="00FE482E"/>
    <w:rsid w:val="00FE4879"/>
    <w:rsid w:val="00FE5868"/>
    <w:rsid w:val="00FE6388"/>
    <w:rsid w:val="00FE6D2A"/>
    <w:rsid w:val="00FF0449"/>
    <w:rsid w:val="00FF12C3"/>
    <w:rsid w:val="00FF46A5"/>
    <w:rsid w:val="00FF7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64226"/>
  <w15:docId w15:val="{E5317342-45B0-41A8-822B-DC5995AA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7D"/>
    <w:rPr>
      <w:sz w:val="24"/>
      <w:szCs w:val="24"/>
    </w:rPr>
  </w:style>
  <w:style w:type="paragraph" w:styleId="Ttulo1">
    <w:name w:val="heading 1"/>
    <w:basedOn w:val="Normal"/>
    <w:next w:val="Normal"/>
    <w:qFormat/>
    <w:rsid w:val="00143131"/>
    <w:pPr>
      <w:keepNext/>
      <w:jc w:val="both"/>
      <w:outlineLvl w:val="0"/>
    </w:pPr>
    <w:rPr>
      <w:u w:val="single"/>
    </w:rPr>
  </w:style>
  <w:style w:type="paragraph" w:styleId="Ttulo2">
    <w:name w:val="heading 2"/>
    <w:basedOn w:val="Normal"/>
    <w:next w:val="Normal"/>
    <w:qFormat/>
    <w:rsid w:val="00143131"/>
    <w:pPr>
      <w:keepNext/>
      <w:autoSpaceDE w:val="0"/>
      <w:autoSpaceDN w:val="0"/>
      <w:jc w:val="both"/>
      <w:outlineLvl w:val="1"/>
    </w:pPr>
    <w:rPr>
      <w:b/>
      <w:bCs/>
      <w:sz w:val="22"/>
      <w:szCs w:val="22"/>
    </w:rPr>
  </w:style>
  <w:style w:type="paragraph" w:styleId="Ttulo3">
    <w:name w:val="heading 3"/>
    <w:basedOn w:val="Normal"/>
    <w:next w:val="Normal"/>
    <w:link w:val="Ttulo3Car"/>
    <w:uiPriority w:val="9"/>
    <w:qFormat/>
    <w:rsid w:val="00143131"/>
    <w:pPr>
      <w:keepNext/>
      <w:autoSpaceDE w:val="0"/>
      <w:autoSpaceDN w:val="0"/>
      <w:outlineLvl w:val="2"/>
    </w:pPr>
    <w:rPr>
      <w:b/>
      <w:bCs/>
      <w:sz w:val="20"/>
      <w:szCs w:val="20"/>
    </w:rPr>
  </w:style>
  <w:style w:type="paragraph" w:styleId="Ttulo4">
    <w:name w:val="heading 4"/>
    <w:basedOn w:val="Normal"/>
    <w:next w:val="Normal"/>
    <w:qFormat/>
    <w:rsid w:val="00143131"/>
    <w:pPr>
      <w:keepNext/>
      <w:widowControl w:val="0"/>
      <w:pBdr>
        <w:top w:val="single" w:sz="6" w:space="1" w:color="auto"/>
        <w:left w:val="single" w:sz="6" w:space="1" w:color="auto"/>
        <w:bottom w:val="single" w:sz="6" w:space="1" w:color="auto"/>
        <w:right w:val="single" w:sz="6" w:space="1" w:color="auto"/>
      </w:pBdr>
      <w:shd w:val="clear" w:color="000000" w:fill="FFFFFF"/>
      <w:autoSpaceDE w:val="0"/>
      <w:autoSpaceDN w:val="0"/>
      <w:adjustRightInd w:val="0"/>
      <w:jc w:val="center"/>
      <w:outlineLvl w:val="3"/>
    </w:pPr>
    <w:rPr>
      <w:b/>
      <w:bCs/>
      <w:sz w:val="28"/>
      <w:szCs w:val="28"/>
    </w:rPr>
  </w:style>
  <w:style w:type="paragraph" w:styleId="Ttulo5">
    <w:name w:val="heading 5"/>
    <w:basedOn w:val="Normal"/>
    <w:next w:val="Normal"/>
    <w:qFormat/>
    <w:rsid w:val="00143131"/>
    <w:pPr>
      <w:keepNext/>
      <w:tabs>
        <w:tab w:val="left" w:pos="360"/>
      </w:tabs>
      <w:jc w:val="both"/>
      <w:outlineLvl w:val="4"/>
    </w:pPr>
    <w:rPr>
      <w:b/>
      <w:bCs/>
      <w:color w:val="800000"/>
      <w:szCs w:val="22"/>
    </w:rPr>
  </w:style>
  <w:style w:type="paragraph" w:styleId="Ttulo6">
    <w:name w:val="heading 6"/>
    <w:basedOn w:val="Normal"/>
    <w:next w:val="Normal"/>
    <w:qFormat/>
    <w:rsid w:val="00143131"/>
    <w:pPr>
      <w:keepNext/>
      <w:jc w:val="both"/>
      <w:outlineLvl w:val="5"/>
    </w:pPr>
    <w:rPr>
      <w:b/>
      <w:bCs/>
      <w:szCs w:val="22"/>
    </w:rPr>
  </w:style>
  <w:style w:type="paragraph" w:styleId="Ttulo7">
    <w:name w:val="heading 7"/>
    <w:basedOn w:val="Normal"/>
    <w:next w:val="Normal"/>
    <w:qFormat/>
    <w:rsid w:val="00143131"/>
    <w:pPr>
      <w:keepNext/>
      <w:tabs>
        <w:tab w:val="left" w:pos="360"/>
      </w:tabs>
      <w:jc w:val="both"/>
      <w:outlineLvl w:val="6"/>
    </w:pPr>
    <w:rPr>
      <w:b/>
      <w:bCs/>
      <w:i/>
      <w:iCs/>
      <w:color w:val="800000"/>
      <w:szCs w:val="22"/>
    </w:rPr>
  </w:style>
  <w:style w:type="paragraph" w:styleId="Ttulo8">
    <w:name w:val="heading 8"/>
    <w:basedOn w:val="Normal"/>
    <w:next w:val="Normal"/>
    <w:qFormat/>
    <w:rsid w:val="00143131"/>
    <w:pPr>
      <w:keepNext/>
      <w:ind w:left="180"/>
      <w:jc w:val="both"/>
      <w:outlineLvl w:val="7"/>
    </w:pPr>
    <w:rPr>
      <w:b/>
      <w:bCs/>
      <w:iCs/>
      <w:color w:val="800000"/>
      <w:szCs w:val="22"/>
    </w:rPr>
  </w:style>
  <w:style w:type="paragraph" w:styleId="Ttulo9">
    <w:name w:val="heading 9"/>
    <w:basedOn w:val="Normal"/>
    <w:next w:val="Normal"/>
    <w:qFormat/>
    <w:rsid w:val="00143131"/>
    <w:pPr>
      <w:keepNext/>
      <w:ind w:left="180"/>
      <w:outlineLvl w:val="8"/>
    </w:pPr>
    <w:rPr>
      <w:color w:val="80000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143131"/>
    <w:pPr>
      <w:tabs>
        <w:tab w:val="left" w:pos="360"/>
      </w:tabs>
      <w:jc w:val="both"/>
    </w:pPr>
    <w:rPr>
      <w:b/>
      <w:bCs/>
      <w:sz w:val="22"/>
      <w:szCs w:val="22"/>
    </w:rPr>
  </w:style>
  <w:style w:type="paragraph" w:styleId="Sangradetextonormal">
    <w:name w:val="Body Text Indent"/>
    <w:basedOn w:val="Normal"/>
    <w:link w:val="SangradetextonormalCar"/>
    <w:semiHidden/>
    <w:rsid w:val="00143131"/>
    <w:pPr>
      <w:ind w:left="360"/>
      <w:jc w:val="both"/>
    </w:pPr>
  </w:style>
  <w:style w:type="paragraph" w:styleId="Subttulo">
    <w:name w:val="Subtitle"/>
    <w:basedOn w:val="Normal"/>
    <w:qFormat/>
    <w:rsid w:val="00143131"/>
    <w:pPr>
      <w:widowControl w:val="0"/>
      <w:autoSpaceDE w:val="0"/>
      <w:autoSpaceDN w:val="0"/>
      <w:adjustRightInd w:val="0"/>
      <w:jc w:val="both"/>
    </w:pPr>
    <w:rPr>
      <w:b/>
      <w:bCs/>
      <w:sz w:val="28"/>
      <w:szCs w:val="28"/>
      <w:lang w:val="es-ES_tradnl"/>
    </w:rPr>
  </w:style>
  <w:style w:type="paragraph" w:styleId="Sangra2detindependiente">
    <w:name w:val="Body Text Indent 2"/>
    <w:basedOn w:val="Normal"/>
    <w:semiHidden/>
    <w:rsid w:val="00143131"/>
    <w:pPr>
      <w:ind w:left="180"/>
      <w:jc w:val="both"/>
    </w:pPr>
  </w:style>
  <w:style w:type="paragraph" w:styleId="Textoindependiente2">
    <w:name w:val="Body Text 2"/>
    <w:basedOn w:val="Normal"/>
    <w:semiHidden/>
    <w:rsid w:val="00143131"/>
    <w:pPr>
      <w:jc w:val="both"/>
    </w:pPr>
  </w:style>
  <w:style w:type="paragraph" w:styleId="Encabezado">
    <w:name w:val="header"/>
    <w:basedOn w:val="Normal"/>
    <w:link w:val="EncabezadoCar"/>
    <w:uiPriority w:val="99"/>
    <w:rsid w:val="00143131"/>
    <w:pPr>
      <w:tabs>
        <w:tab w:val="center" w:pos="4252"/>
        <w:tab w:val="right" w:pos="8504"/>
      </w:tabs>
    </w:pPr>
  </w:style>
  <w:style w:type="paragraph" w:styleId="Piedepgina">
    <w:name w:val="footer"/>
    <w:basedOn w:val="Normal"/>
    <w:link w:val="PiedepginaCar"/>
    <w:uiPriority w:val="99"/>
    <w:rsid w:val="00143131"/>
    <w:pPr>
      <w:tabs>
        <w:tab w:val="center" w:pos="4252"/>
        <w:tab w:val="right" w:pos="8504"/>
      </w:tabs>
    </w:pPr>
  </w:style>
  <w:style w:type="character" w:styleId="Nmerodepgina">
    <w:name w:val="page number"/>
    <w:basedOn w:val="Fuentedeprrafopredeter"/>
    <w:semiHidden/>
    <w:rsid w:val="00143131"/>
  </w:style>
  <w:style w:type="paragraph" w:styleId="Sangra3detindependiente">
    <w:name w:val="Body Text Indent 3"/>
    <w:basedOn w:val="Normal"/>
    <w:semiHidden/>
    <w:rsid w:val="00143131"/>
    <w:pPr>
      <w:ind w:left="540"/>
      <w:jc w:val="both"/>
    </w:pPr>
    <w:rPr>
      <w:iCs/>
      <w:szCs w:val="22"/>
    </w:rPr>
  </w:style>
  <w:style w:type="character" w:customStyle="1" w:styleId="textoblanccopia1">
    <w:name w:val="textoblanccopia1"/>
    <w:rsid w:val="00143131"/>
    <w:rPr>
      <w:rFonts w:ascii="Verdana" w:hAnsi="Verdana" w:hint="default"/>
      <w:b w:val="0"/>
      <w:bCs w:val="0"/>
      <w:i w:val="0"/>
      <w:iCs w:val="0"/>
      <w:color w:val="FFFFFF"/>
      <w:sz w:val="15"/>
      <w:szCs w:val="15"/>
    </w:rPr>
  </w:style>
  <w:style w:type="character" w:styleId="Hipervnculo">
    <w:name w:val="Hyperlink"/>
    <w:semiHidden/>
    <w:rsid w:val="00143131"/>
    <w:rPr>
      <w:color w:val="0000FF"/>
      <w:u w:val="single"/>
    </w:rPr>
  </w:style>
  <w:style w:type="character" w:styleId="Fuerte">
    <w:name w:val="Strong"/>
    <w:uiPriority w:val="22"/>
    <w:qFormat/>
    <w:rsid w:val="00143131"/>
    <w:rPr>
      <w:b/>
      <w:bCs/>
    </w:rPr>
  </w:style>
  <w:style w:type="character" w:styleId="nfasis">
    <w:name w:val="Emphasis"/>
    <w:uiPriority w:val="20"/>
    <w:qFormat/>
    <w:rsid w:val="00143131"/>
    <w:rPr>
      <w:i/>
      <w:iCs/>
    </w:rPr>
  </w:style>
  <w:style w:type="paragraph" w:customStyle="1" w:styleId="estilo5">
    <w:name w:val="estilo5"/>
    <w:basedOn w:val="Normal"/>
    <w:rsid w:val="00143131"/>
    <w:pPr>
      <w:spacing w:before="100" w:beforeAutospacing="1" w:after="100" w:afterAutospacing="1"/>
    </w:pPr>
    <w:rPr>
      <w:rFonts w:ascii="Arial" w:hAnsi="Arial" w:cs="Arial"/>
      <w:sz w:val="20"/>
      <w:szCs w:val="20"/>
    </w:rPr>
  </w:style>
  <w:style w:type="paragraph" w:customStyle="1" w:styleId="estilo1">
    <w:name w:val="estilo1"/>
    <w:basedOn w:val="Normal"/>
    <w:rsid w:val="00143131"/>
    <w:pPr>
      <w:spacing w:before="100" w:beforeAutospacing="1" w:after="100" w:afterAutospacing="1"/>
    </w:pPr>
    <w:rPr>
      <w:rFonts w:ascii="Arial" w:hAnsi="Arial" w:cs="Arial"/>
      <w:sz w:val="20"/>
      <w:szCs w:val="20"/>
    </w:rPr>
  </w:style>
  <w:style w:type="paragraph" w:customStyle="1" w:styleId="Ttulo35">
    <w:name w:val="Título 35"/>
    <w:basedOn w:val="Normal"/>
    <w:rsid w:val="00143131"/>
    <w:pPr>
      <w:pBdr>
        <w:top w:val="single" w:sz="6" w:space="2" w:color="000000"/>
      </w:pBdr>
      <w:spacing w:before="75"/>
      <w:jc w:val="both"/>
      <w:outlineLvl w:val="3"/>
    </w:pPr>
    <w:rPr>
      <w:color w:val="000000"/>
      <w:sz w:val="18"/>
      <w:szCs w:val="18"/>
    </w:rPr>
  </w:style>
  <w:style w:type="character" w:customStyle="1" w:styleId="Hipervnculo23">
    <w:name w:val="Hipervínculo23"/>
    <w:rsid w:val="00143131"/>
    <w:rPr>
      <w:rFonts w:ascii="Verdana" w:hAnsi="Verdana" w:hint="default"/>
      <w:b/>
      <w:bCs/>
      <w:strike w:val="0"/>
      <w:dstrike w:val="0"/>
      <w:color w:val="000000"/>
      <w:sz w:val="15"/>
      <w:szCs w:val="15"/>
      <w:u w:val="none"/>
      <w:effect w:val="none"/>
    </w:rPr>
  </w:style>
  <w:style w:type="character" w:styleId="Refdecomentario">
    <w:name w:val="annotation reference"/>
    <w:semiHidden/>
    <w:rsid w:val="00143131"/>
    <w:rPr>
      <w:sz w:val="16"/>
      <w:szCs w:val="16"/>
    </w:rPr>
  </w:style>
  <w:style w:type="paragraph" w:styleId="Textocomentario">
    <w:name w:val="annotation text"/>
    <w:basedOn w:val="Normal"/>
    <w:semiHidden/>
    <w:rsid w:val="00143131"/>
    <w:rPr>
      <w:sz w:val="20"/>
      <w:szCs w:val="20"/>
    </w:rPr>
  </w:style>
  <w:style w:type="paragraph" w:styleId="Asuntodelcomentario">
    <w:name w:val="annotation subject"/>
    <w:basedOn w:val="Textocomentario"/>
    <w:next w:val="Textocomentario"/>
    <w:semiHidden/>
    <w:rsid w:val="00143131"/>
    <w:rPr>
      <w:b/>
      <w:bCs/>
    </w:rPr>
  </w:style>
  <w:style w:type="paragraph" w:styleId="Textodeglobo">
    <w:name w:val="Balloon Text"/>
    <w:basedOn w:val="Normal"/>
    <w:semiHidden/>
    <w:rsid w:val="00143131"/>
    <w:rPr>
      <w:rFonts w:ascii="Tahoma" w:hAnsi="Tahoma" w:cs="Tahoma"/>
      <w:sz w:val="16"/>
      <w:szCs w:val="16"/>
    </w:rPr>
  </w:style>
  <w:style w:type="paragraph" w:styleId="Textoindependiente3">
    <w:name w:val="Body Text 3"/>
    <w:basedOn w:val="Normal"/>
    <w:semiHidden/>
    <w:rsid w:val="00143131"/>
    <w:pPr>
      <w:jc w:val="both"/>
    </w:pPr>
    <w:rPr>
      <w:sz w:val="22"/>
      <w:szCs w:val="22"/>
    </w:rPr>
  </w:style>
  <w:style w:type="paragraph" w:customStyle="1" w:styleId="ana">
    <w:name w:val="ana"/>
    <w:basedOn w:val="Normal"/>
    <w:rsid w:val="00143131"/>
    <w:pPr>
      <w:spacing w:before="100" w:beforeAutospacing="1" w:after="100" w:afterAutospacing="1"/>
    </w:pPr>
  </w:style>
  <w:style w:type="character" w:customStyle="1" w:styleId="negrita">
    <w:name w:val="negrita"/>
    <w:basedOn w:val="Fuentedeprrafopredeter"/>
    <w:rsid w:val="00143131"/>
  </w:style>
  <w:style w:type="character" w:customStyle="1" w:styleId="refdoc2">
    <w:name w:val="refdoc2"/>
    <w:basedOn w:val="Fuentedeprrafopredeter"/>
    <w:rsid w:val="00143131"/>
  </w:style>
  <w:style w:type="paragraph" w:styleId="Mapadeldocumento">
    <w:name w:val="Document Map"/>
    <w:basedOn w:val="Normal"/>
    <w:semiHidden/>
    <w:rsid w:val="00143131"/>
    <w:pPr>
      <w:shd w:val="clear" w:color="auto" w:fill="000080"/>
    </w:pPr>
    <w:rPr>
      <w:rFonts w:ascii="Tahoma" w:hAnsi="Tahoma" w:cs="Tahoma"/>
      <w:sz w:val="20"/>
      <w:szCs w:val="20"/>
    </w:rPr>
  </w:style>
  <w:style w:type="paragraph" w:styleId="NormalWeb">
    <w:name w:val="Normal (Web)"/>
    <w:basedOn w:val="Normal"/>
    <w:uiPriority w:val="99"/>
    <w:semiHidden/>
    <w:rsid w:val="00143131"/>
    <w:pPr>
      <w:spacing w:before="100" w:beforeAutospacing="1" w:after="100" w:afterAutospacing="1"/>
    </w:pPr>
    <w:rPr>
      <w:rFonts w:ascii="Arial Unicode MS" w:eastAsia="Arial Unicode MS" w:hAnsi="Arial Unicode MS" w:cs="Arial Unicode MS"/>
    </w:rPr>
  </w:style>
  <w:style w:type="character" w:customStyle="1" w:styleId="PiedepginaCar">
    <w:name w:val="Pie de página Car"/>
    <w:link w:val="Piedepgina"/>
    <w:uiPriority w:val="99"/>
    <w:rsid w:val="007A76C3"/>
    <w:rPr>
      <w:sz w:val="24"/>
      <w:szCs w:val="24"/>
    </w:rPr>
  </w:style>
  <w:style w:type="character" w:customStyle="1" w:styleId="EncabezadoCar">
    <w:name w:val="Encabezado Car"/>
    <w:link w:val="Encabezado"/>
    <w:uiPriority w:val="99"/>
    <w:rsid w:val="00A335B3"/>
    <w:rPr>
      <w:sz w:val="24"/>
      <w:szCs w:val="24"/>
    </w:rPr>
  </w:style>
  <w:style w:type="character" w:customStyle="1" w:styleId="TextoindependienteCar">
    <w:name w:val="Texto independiente Car"/>
    <w:link w:val="Textoindependiente"/>
    <w:semiHidden/>
    <w:rsid w:val="00EF0EAF"/>
    <w:rPr>
      <w:b/>
      <w:bCs/>
      <w:sz w:val="22"/>
      <w:szCs w:val="22"/>
    </w:rPr>
  </w:style>
  <w:style w:type="character" w:customStyle="1" w:styleId="SangradetextonormalCar">
    <w:name w:val="Sangría de texto normal Car"/>
    <w:link w:val="Sangradetextonormal"/>
    <w:semiHidden/>
    <w:rsid w:val="004979D0"/>
    <w:rPr>
      <w:sz w:val="24"/>
      <w:szCs w:val="24"/>
    </w:rPr>
  </w:style>
  <w:style w:type="paragraph" w:styleId="Prrafodelista">
    <w:name w:val="List Paragraph"/>
    <w:basedOn w:val="Normal"/>
    <w:uiPriority w:val="34"/>
    <w:qFormat/>
    <w:rsid w:val="008E6341"/>
    <w:pPr>
      <w:ind w:left="708"/>
    </w:pPr>
  </w:style>
  <w:style w:type="character" w:customStyle="1" w:styleId="apple-converted-space">
    <w:name w:val="apple-converted-space"/>
    <w:basedOn w:val="Fuentedeprrafopredeter"/>
    <w:rsid w:val="00744675"/>
  </w:style>
  <w:style w:type="paragraph" w:styleId="Revisin">
    <w:name w:val="Revision"/>
    <w:hidden/>
    <w:uiPriority w:val="99"/>
    <w:semiHidden/>
    <w:rsid w:val="004D0040"/>
    <w:rPr>
      <w:sz w:val="24"/>
      <w:szCs w:val="24"/>
    </w:rPr>
  </w:style>
  <w:style w:type="character" w:styleId="Mencinsinresolver">
    <w:name w:val="Unresolved Mention"/>
    <w:basedOn w:val="Fuentedeprrafopredeter"/>
    <w:uiPriority w:val="99"/>
    <w:semiHidden/>
    <w:unhideWhenUsed/>
    <w:rsid w:val="00AC3375"/>
    <w:rPr>
      <w:color w:val="605E5C"/>
      <w:shd w:val="clear" w:color="auto" w:fill="E1DFDD"/>
    </w:rPr>
  </w:style>
  <w:style w:type="character" w:customStyle="1" w:styleId="Ttulo3Car">
    <w:name w:val="Título 3 Car"/>
    <w:basedOn w:val="Fuentedeprrafopredeter"/>
    <w:link w:val="Ttulo3"/>
    <w:uiPriority w:val="9"/>
    <w:rsid w:val="005D7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5093">
      <w:bodyDiv w:val="1"/>
      <w:marLeft w:val="0"/>
      <w:marRight w:val="0"/>
      <w:marTop w:val="0"/>
      <w:marBottom w:val="0"/>
      <w:divBdr>
        <w:top w:val="none" w:sz="0" w:space="0" w:color="auto"/>
        <w:left w:val="none" w:sz="0" w:space="0" w:color="auto"/>
        <w:bottom w:val="none" w:sz="0" w:space="0" w:color="auto"/>
        <w:right w:val="none" w:sz="0" w:space="0" w:color="auto"/>
      </w:divBdr>
      <w:divsChild>
        <w:div w:id="1391460917">
          <w:marLeft w:val="0"/>
          <w:marRight w:val="0"/>
          <w:marTop w:val="0"/>
          <w:marBottom w:val="120"/>
          <w:divBdr>
            <w:top w:val="none" w:sz="0" w:space="0" w:color="auto"/>
            <w:left w:val="none" w:sz="0" w:space="0" w:color="auto"/>
            <w:bottom w:val="none" w:sz="0" w:space="0" w:color="auto"/>
            <w:right w:val="none" w:sz="0" w:space="0" w:color="auto"/>
          </w:divBdr>
        </w:div>
        <w:div w:id="1089079660">
          <w:marLeft w:val="0"/>
          <w:marRight w:val="0"/>
          <w:marTop w:val="0"/>
          <w:marBottom w:val="750"/>
          <w:divBdr>
            <w:top w:val="none" w:sz="0" w:space="0" w:color="auto"/>
            <w:left w:val="none" w:sz="0" w:space="0" w:color="auto"/>
            <w:bottom w:val="none" w:sz="0" w:space="0" w:color="auto"/>
            <w:right w:val="none" w:sz="0" w:space="0" w:color="auto"/>
          </w:divBdr>
        </w:div>
      </w:divsChild>
    </w:div>
    <w:div w:id="81266201">
      <w:bodyDiv w:val="1"/>
      <w:marLeft w:val="0"/>
      <w:marRight w:val="0"/>
      <w:marTop w:val="0"/>
      <w:marBottom w:val="0"/>
      <w:divBdr>
        <w:top w:val="none" w:sz="0" w:space="0" w:color="auto"/>
        <w:left w:val="none" w:sz="0" w:space="0" w:color="auto"/>
        <w:bottom w:val="none" w:sz="0" w:space="0" w:color="auto"/>
        <w:right w:val="none" w:sz="0" w:space="0" w:color="auto"/>
      </w:divBdr>
    </w:div>
    <w:div w:id="117603261">
      <w:bodyDiv w:val="1"/>
      <w:marLeft w:val="0"/>
      <w:marRight w:val="0"/>
      <w:marTop w:val="0"/>
      <w:marBottom w:val="0"/>
      <w:divBdr>
        <w:top w:val="none" w:sz="0" w:space="0" w:color="auto"/>
        <w:left w:val="none" w:sz="0" w:space="0" w:color="auto"/>
        <w:bottom w:val="none" w:sz="0" w:space="0" w:color="auto"/>
        <w:right w:val="none" w:sz="0" w:space="0" w:color="auto"/>
      </w:divBdr>
    </w:div>
    <w:div w:id="118111354">
      <w:bodyDiv w:val="1"/>
      <w:marLeft w:val="0"/>
      <w:marRight w:val="0"/>
      <w:marTop w:val="0"/>
      <w:marBottom w:val="0"/>
      <w:divBdr>
        <w:top w:val="single" w:sz="2" w:space="0" w:color="CC3640"/>
        <w:left w:val="none" w:sz="0" w:space="0" w:color="auto"/>
        <w:bottom w:val="none" w:sz="0" w:space="0" w:color="auto"/>
        <w:right w:val="none" w:sz="0" w:space="0" w:color="auto"/>
      </w:divBdr>
      <w:divsChild>
        <w:div w:id="1268660498">
          <w:marLeft w:val="0"/>
          <w:marRight w:val="0"/>
          <w:marTop w:val="0"/>
          <w:marBottom w:val="0"/>
          <w:divBdr>
            <w:top w:val="single" w:sz="2" w:space="0" w:color="FF0000"/>
            <w:left w:val="single" w:sz="2" w:space="0" w:color="FF0000"/>
            <w:bottom w:val="single" w:sz="2" w:space="0" w:color="FF0000"/>
            <w:right w:val="single" w:sz="2" w:space="0" w:color="FF0000"/>
          </w:divBdr>
          <w:divsChild>
            <w:div w:id="2022271736">
              <w:marLeft w:val="0"/>
              <w:marRight w:val="0"/>
              <w:marTop w:val="0"/>
              <w:marBottom w:val="0"/>
              <w:divBdr>
                <w:top w:val="none" w:sz="0" w:space="0" w:color="auto"/>
                <w:left w:val="single" w:sz="6" w:space="0" w:color="DDDDDD"/>
                <w:bottom w:val="none" w:sz="0" w:space="0" w:color="auto"/>
                <w:right w:val="none" w:sz="0" w:space="0" w:color="auto"/>
              </w:divBdr>
              <w:divsChild>
                <w:div w:id="863055992">
                  <w:marLeft w:val="0"/>
                  <w:marRight w:val="0"/>
                  <w:marTop w:val="0"/>
                  <w:marBottom w:val="0"/>
                  <w:divBdr>
                    <w:top w:val="single" w:sz="2" w:space="0" w:color="008000"/>
                    <w:left w:val="single" w:sz="2" w:space="0" w:color="008000"/>
                    <w:bottom w:val="single" w:sz="2" w:space="0" w:color="008000"/>
                    <w:right w:val="single" w:sz="2" w:space="0" w:color="008000"/>
                  </w:divBdr>
                  <w:divsChild>
                    <w:div w:id="1099258647">
                      <w:marLeft w:val="0"/>
                      <w:marRight w:val="0"/>
                      <w:marTop w:val="0"/>
                      <w:marBottom w:val="0"/>
                      <w:divBdr>
                        <w:top w:val="none" w:sz="0" w:space="0" w:color="auto"/>
                        <w:left w:val="none" w:sz="0" w:space="0" w:color="auto"/>
                        <w:bottom w:val="none" w:sz="0" w:space="0" w:color="auto"/>
                        <w:right w:val="none" w:sz="0" w:space="0" w:color="auto"/>
                      </w:divBdr>
                      <w:divsChild>
                        <w:div w:id="549995603">
                          <w:marLeft w:val="0"/>
                          <w:marRight w:val="0"/>
                          <w:marTop w:val="0"/>
                          <w:marBottom w:val="0"/>
                          <w:divBdr>
                            <w:top w:val="none" w:sz="0" w:space="0" w:color="auto"/>
                            <w:left w:val="none" w:sz="0" w:space="0" w:color="auto"/>
                            <w:bottom w:val="none" w:sz="0" w:space="0" w:color="auto"/>
                            <w:right w:val="none" w:sz="0" w:space="0" w:color="auto"/>
                          </w:divBdr>
                          <w:divsChild>
                            <w:div w:id="30902170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4740570">
      <w:bodyDiv w:val="1"/>
      <w:marLeft w:val="0"/>
      <w:marRight w:val="0"/>
      <w:marTop w:val="0"/>
      <w:marBottom w:val="0"/>
      <w:divBdr>
        <w:top w:val="none" w:sz="0" w:space="0" w:color="auto"/>
        <w:left w:val="none" w:sz="0" w:space="0" w:color="auto"/>
        <w:bottom w:val="none" w:sz="0" w:space="0" w:color="auto"/>
        <w:right w:val="none" w:sz="0" w:space="0" w:color="auto"/>
      </w:divBdr>
    </w:div>
    <w:div w:id="143737272">
      <w:bodyDiv w:val="1"/>
      <w:marLeft w:val="0"/>
      <w:marRight w:val="0"/>
      <w:marTop w:val="0"/>
      <w:marBottom w:val="0"/>
      <w:divBdr>
        <w:top w:val="none" w:sz="0" w:space="0" w:color="auto"/>
        <w:left w:val="none" w:sz="0" w:space="0" w:color="auto"/>
        <w:bottom w:val="none" w:sz="0" w:space="0" w:color="auto"/>
        <w:right w:val="none" w:sz="0" w:space="0" w:color="auto"/>
      </w:divBdr>
    </w:div>
    <w:div w:id="186677942">
      <w:bodyDiv w:val="1"/>
      <w:marLeft w:val="0"/>
      <w:marRight w:val="0"/>
      <w:marTop w:val="0"/>
      <w:marBottom w:val="0"/>
      <w:divBdr>
        <w:top w:val="none" w:sz="0" w:space="0" w:color="auto"/>
        <w:left w:val="none" w:sz="0" w:space="0" w:color="auto"/>
        <w:bottom w:val="none" w:sz="0" w:space="0" w:color="auto"/>
        <w:right w:val="none" w:sz="0" w:space="0" w:color="auto"/>
      </w:divBdr>
    </w:div>
    <w:div w:id="187647593">
      <w:bodyDiv w:val="1"/>
      <w:marLeft w:val="0"/>
      <w:marRight w:val="0"/>
      <w:marTop w:val="0"/>
      <w:marBottom w:val="0"/>
      <w:divBdr>
        <w:top w:val="none" w:sz="0" w:space="0" w:color="auto"/>
        <w:left w:val="none" w:sz="0" w:space="0" w:color="auto"/>
        <w:bottom w:val="none" w:sz="0" w:space="0" w:color="auto"/>
        <w:right w:val="none" w:sz="0" w:space="0" w:color="auto"/>
      </w:divBdr>
    </w:div>
    <w:div w:id="190073037">
      <w:bodyDiv w:val="1"/>
      <w:marLeft w:val="0"/>
      <w:marRight w:val="0"/>
      <w:marTop w:val="0"/>
      <w:marBottom w:val="0"/>
      <w:divBdr>
        <w:top w:val="none" w:sz="0" w:space="0" w:color="auto"/>
        <w:left w:val="none" w:sz="0" w:space="0" w:color="auto"/>
        <w:bottom w:val="none" w:sz="0" w:space="0" w:color="auto"/>
        <w:right w:val="none" w:sz="0" w:space="0" w:color="auto"/>
      </w:divBdr>
    </w:div>
    <w:div w:id="237055693">
      <w:bodyDiv w:val="1"/>
      <w:marLeft w:val="0"/>
      <w:marRight w:val="0"/>
      <w:marTop w:val="0"/>
      <w:marBottom w:val="0"/>
      <w:divBdr>
        <w:top w:val="none" w:sz="0" w:space="0" w:color="auto"/>
        <w:left w:val="none" w:sz="0" w:space="0" w:color="auto"/>
        <w:bottom w:val="none" w:sz="0" w:space="0" w:color="auto"/>
        <w:right w:val="none" w:sz="0" w:space="0" w:color="auto"/>
      </w:divBdr>
      <w:divsChild>
        <w:div w:id="818956096">
          <w:blockQuote w:val="1"/>
          <w:marLeft w:val="0"/>
          <w:marRight w:val="0"/>
          <w:marTop w:val="75"/>
          <w:marBottom w:val="75"/>
          <w:divBdr>
            <w:top w:val="none" w:sz="0" w:space="0" w:color="auto"/>
            <w:left w:val="none" w:sz="0" w:space="0" w:color="auto"/>
            <w:bottom w:val="none" w:sz="0" w:space="0" w:color="auto"/>
            <w:right w:val="none" w:sz="0" w:space="0" w:color="auto"/>
          </w:divBdr>
        </w:div>
      </w:divsChild>
    </w:div>
    <w:div w:id="244412594">
      <w:bodyDiv w:val="1"/>
      <w:marLeft w:val="0"/>
      <w:marRight w:val="0"/>
      <w:marTop w:val="0"/>
      <w:marBottom w:val="0"/>
      <w:divBdr>
        <w:top w:val="none" w:sz="0" w:space="0" w:color="auto"/>
        <w:left w:val="none" w:sz="0" w:space="0" w:color="auto"/>
        <w:bottom w:val="none" w:sz="0" w:space="0" w:color="auto"/>
        <w:right w:val="none" w:sz="0" w:space="0" w:color="auto"/>
      </w:divBdr>
    </w:div>
    <w:div w:id="257831343">
      <w:bodyDiv w:val="1"/>
      <w:marLeft w:val="0"/>
      <w:marRight w:val="0"/>
      <w:marTop w:val="0"/>
      <w:marBottom w:val="0"/>
      <w:divBdr>
        <w:top w:val="single" w:sz="2" w:space="0" w:color="CC3640"/>
        <w:left w:val="none" w:sz="0" w:space="0" w:color="auto"/>
        <w:bottom w:val="none" w:sz="0" w:space="0" w:color="auto"/>
        <w:right w:val="none" w:sz="0" w:space="0" w:color="auto"/>
      </w:divBdr>
      <w:divsChild>
        <w:div w:id="1801729999">
          <w:marLeft w:val="0"/>
          <w:marRight w:val="0"/>
          <w:marTop w:val="0"/>
          <w:marBottom w:val="0"/>
          <w:divBdr>
            <w:top w:val="single" w:sz="2" w:space="0" w:color="FF0000"/>
            <w:left w:val="single" w:sz="2" w:space="0" w:color="FF0000"/>
            <w:bottom w:val="single" w:sz="2" w:space="0" w:color="FF0000"/>
            <w:right w:val="single" w:sz="2" w:space="0" w:color="FF0000"/>
          </w:divBdr>
          <w:divsChild>
            <w:div w:id="1995446710">
              <w:marLeft w:val="0"/>
              <w:marRight w:val="0"/>
              <w:marTop w:val="0"/>
              <w:marBottom w:val="0"/>
              <w:divBdr>
                <w:top w:val="none" w:sz="0" w:space="0" w:color="auto"/>
                <w:left w:val="single" w:sz="6" w:space="0" w:color="DDDDDD"/>
                <w:bottom w:val="none" w:sz="0" w:space="0" w:color="auto"/>
                <w:right w:val="none" w:sz="0" w:space="0" w:color="auto"/>
              </w:divBdr>
              <w:divsChild>
                <w:div w:id="1255437500">
                  <w:marLeft w:val="0"/>
                  <w:marRight w:val="0"/>
                  <w:marTop w:val="0"/>
                  <w:marBottom w:val="0"/>
                  <w:divBdr>
                    <w:top w:val="single" w:sz="2" w:space="0" w:color="008000"/>
                    <w:left w:val="single" w:sz="2" w:space="0" w:color="008000"/>
                    <w:bottom w:val="single" w:sz="2" w:space="0" w:color="008000"/>
                    <w:right w:val="single" w:sz="2" w:space="0" w:color="008000"/>
                  </w:divBdr>
                  <w:divsChild>
                    <w:div w:id="923412268">
                      <w:marLeft w:val="0"/>
                      <w:marRight w:val="0"/>
                      <w:marTop w:val="0"/>
                      <w:marBottom w:val="0"/>
                      <w:divBdr>
                        <w:top w:val="none" w:sz="0" w:space="0" w:color="auto"/>
                        <w:left w:val="none" w:sz="0" w:space="0" w:color="auto"/>
                        <w:bottom w:val="none" w:sz="0" w:space="0" w:color="auto"/>
                        <w:right w:val="none" w:sz="0" w:space="0" w:color="auto"/>
                      </w:divBdr>
                      <w:divsChild>
                        <w:div w:id="2089034883">
                          <w:marLeft w:val="0"/>
                          <w:marRight w:val="0"/>
                          <w:marTop w:val="0"/>
                          <w:marBottom w:val="0"/>
                          <w:divBdr>
                            <w:top w:val="none" w:sz="0" w:space="0" w:color="auto"/>
                            <w:left w:val="none" w:sz="0" w:space="0" w:color="auto"/>
                            <w:bottom w:val="none" w:sz="0" w:space="0" w:color="auto"/>
                            <w:right w:val="none" w:sz="0" w:space="0" w:color="auto"/>
                          </w:divBdr>
                          <w:divsChild>
                            <w:div w:id="72333019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83462911">
      <w:bodyDiv w:val="1"/>
      <w:marLeft w:val="0"/>
      <w:marRight w:val="0"/>
      <w:marTop w:val="0"/>
      <w:marBottom w:val="0"/>
      <w:divBdr>
        <w:top w:val="none" w:sz="0" w:space="0" w:color="auto"/>
        <w:left w:val="none" w:sz="0" w:space="0" w:color="auto"/>
        <w:bottom w:val="none" w:sz="0" w:space="0" w:color="auto"/>
        <w:right w:val="none" w:sz="0" w:space="0" w:color="auto"/>
      </w:divBdr>
    </w:div>
    <w:div w:id="333534096">
      <w:bodyDiv w:val="1"/>
      <w:marLeft w:val="0"/>
      <w:marRight w:val="0"/>
      <w:marTop w:val="0"/>
      <w:marBottom w:val="0"/>
      <w:divBdr>
        <w:top w:val="none" w:sz="0" w:space="0" w:color="auto"/>
        <w:left w:val="none" w:sz="0" w:space="0" w:color="auto"/>
        <w:bottom w:val="none" w:sz="0" w:space="0" w:color="auto"/>
        <w:right w:val="none" w:sz="0" w:space="0" w:color="auto"/>
      </w:divBdr>
    </w:div>
    <w:div w:id="426579127">
      <w:bodyDiv w:val="1"/>
      <w:marLeft w:val="0"/>
      <w:marRight w:val="0"/>
      <w:marTop w:val="0"/>
      <w:marBottom w:val="0"/>
      <w:divBdr>
        <w:top w:val="none" w:sz="0" w:space="0" w:color="auto"/>
        <w:left w:val="none" w:sz="0" w:space="0" w:color="auto"/>
        <w:bottom w:val="none" w:sz="0" w:space="0" w:color="auto"/>
        <w:right w:val="none" w:sz="0" w:space="0" w:color="auto"/>
      </w:divBdr>
    </w:div>
    <w:div w:id="441849863">
      <w:bodyDiv w:val="1"/>
      <w:marLeft w:val="0"/>
      <w:marRight w:val="0"/>
      <w:marTop w:val="0"/>
      <w:marBottom w:val="0"/>
      <w:divBdr>
        <w:top w:val="none" w:sz="0" w:space="0" w:color="auto"/>
        <w:left w:val="none" w:sz="0" w:space="0" w:color="auto"/>
        <w:bottom w:val="none" w:sz="0" w:space="0" w:color="auto"/>
        <w:right w:val="none" w:sz="0" w:space="0" w:color="auto"/>
      </w:divBdr>
    </w:div>
    <w:div w:id="452600773">
      <w:bodyDiv w:val="1"/>
      <w:marLeft w:val="0"/>
      <w:marRight w:val="0"/>
      <w:marTop w:val="0"/>
      <w:marBottom w:val="0"/>
      <w:divBdr>
        <w:top w:val="none" w:sz="0" w:space="0" w:color="auto"/>
        <w:left w:val="none" w:sz="0" w:space="0" w:color="auto"/>
        <w:bottom w:val="none" w:sz="0" w:space="0" w:color="auto"/>
        <w:right w:val="none" w:sz="0" w:space="0" w:color="auto"/>
      </w:divBdr>
    </w:div>
    <w:div w:id="466320212">
      <w:bodyDiv w:val="1"/>
      <w:marLeft w:val="0"/>
      <w:marRight w:val="0"/>
      <w:marTop w:val="0"/>
      <w:marBottom w:val="0"/>
      <w:divBdr>
        <w:top w:val="none" w:sz="0" w:space="0" w:color="auto"/>
        <w:left w:val="none" w:sz="0" w:space="0" w:color="auto"/>
        <w:bottom w:val="none" w:sz="0" w:space="0" w:color="auto"/>
        <w:right w:val="none" w:sz="0" w:space="0" w:color="auto"/>
      </w:divBdr>
    </w:div>
    <w:div w:id="476342382">
      <w:bodyDiv w:val="1"/>
      <w:marLeft w:val="0"/>
      <w:marRight w:val="0"/>
      <w:marTop w:val="0"/>
      <w:marBottom w:val="0"/>
      <w:divBdr>
        <w:top w:val="none" w:sz="0" w:space="0" w:color="auto"/>
        <w:left w:val="none" w:sz="0" w:space="0" w:color="auto"/>
        <w:bottom w:val="none" w:sz="0" w:space="0" w:color="auto"/>
        <w:right w:val="none" w:sz="0" w:space="0" w:color="auto"/>
      </w:divBdr>
    </w:div>
    <w:div w:id="486018303">
      <w:bodyDiv w:val="1"/>
      <w:marLeft w:val="0"/>
      <w:marRight w:val="0"/>
      <w:marTop w:val="0"/>
      <w:marBottom w:val="0"/>
      <w:divBdr>
        <w:top w:val="none" w:sz="0" w:space="0" w:color="auto"/>
        <w:left w:val="none" w:sz="0" w:space="0" w:color="auto"/>
        <w:bottom w:val="none" w:sz="0" w:space="0" w:color="auto"/>
        <w:right w:val="none" w:sz="0" w:space="0" w:color="auto"/>
      </w:divBdr>
      <w:divsChild>
        <w:div w:id="1061514804">
          <w:marLeft w:val="0"/>
          <w:marRight w:val="0"/>
          <w:marTop w:val="480"/>
          <w:marBottom w:val="0"/>
          <w:divBdr>
            <w:top w:val="none" w:sz="0" w:space="0" w:color="auto"/>
            <w:left w:val="none" w:sz="0" w:space="0" w:color="auto"/>
            <w:bottom w:val="none" w:sz="0" w:space="0" w:color="auto"/>
            <w:right w:val="none" w:sz="0" w:space="0" w:color="auto"/>
          </w:divBdr>
          <w:divsChild>
            <w:div w:id="98450504">
              <w:marLeft w:val="0"/>
              <w:marRight w:val="0"/>
              <w:marTop w:val="0"/>
              <w:marBottom w:val="0"/>
              <w:divBdr>
                <w:top w:val="single" w:sz="6" w:space="16" w:color="9F2943"/>
                <w:left w:val="single" w:sz="6" w:space="16" w:color="9F2943"/>
                <w:bottom w:val="single" w:sz="6" w:space="16" w:color="9F2943"/>
                <w:right w:val="single" w:sz="6" w:space="16" w:color="9F2943"/>
              </w:divBdr>
            </w:div>
          </w:divsChild>
        </w:div>
        <w:div w:id="183596361">
          <w:marLeft w:val="0"/>
          <w:marRight w:val="0"/>
          <w:marTop w:val="360"/>
          <w:marBottom w:val="0"/>
          <w:divBdr>
            <w:top w:val="none" w:sz="0" w:space="0" w:color="auto"/>
            <w:left w:val="none" w:sz="0" w:space="0" w:color="auto"/>
            <w:bottom w:val="none" w:sz="0" w:space="0" w:color="auto"/>
            <w:right w:val="none" w:sz="0" w:space="0" w:color="auto"/>
          </w:divBdr>
        </w:div>
      </w:divsChild>
    </w:div>
    <w:div w:id="498693204">
      <w:bodyDiv w:val="1"/>
      <w:marLeft w:val="0"/>
      <w:marRight w:val="0"/>
      <w:marTop w:val="0"/>
      <w:marBottom w:val="0"/>
      <w:divBdr>
        <w:top w:val="single" w:sz="2" w:space="0" w:color="CC3640"/>
        <w:left w:val="none" w:sz="0" w:space="0" w:color="auto"/>
        <w:bottom w:val="none" w:sz="0" w:space="0" w:color="auto"/>
        <w:right w:val="none" w:sz="0" w:space="0" w:color="auto"/>
      </w:divBdr>
      <w:divsChild>
        <w:div w:id="610550322">
          <w:marLeft w:val="0"/>
          <w:marRight w:val="0"/>
          <w:marTop w:val="0"/>
          <w:marBottom w:val="0"/>
          <w:divBdr>
            <w:top w:val="single" w:sz="2" w:space="0" w:color="FF0000"/>
            <w:left w:val="single" w:sz="2" w:space="0" w:color="FF0000"/>
            <w:bottom w:val="single" w:sz="2" w:space="0" w:color="FF0000"/>
            <w:right w:val="single" w:sz="2" w:space="0" w:color="FF0000"/>
          </w:divBdr>
          <w:divsChild>
            <w:div w:id="665744867">
              <w:marLeft w:val="0"/>
              <w:marRight w:val="0"/>
              <w:marTop w:val="0"/>
              <w:marBottom w:val="0"/>
              <w:divBdr>
                <w:top w:val="none" w:sz="0" w:space="0" w:color="auto"/>
                <w:left w:val="single" w:sz="6" w:space="0" w:color="DDDDDD"/>
                <w:bottom w:val="none" w:sz="0" w:space="0" w:color="auto"/>
                <w:right w:val="none" w:sz="0" w:space="0" w:color="auto"/>
              </w:divBdr>
              <w:divsChild>
                <w:div w:id="487406584">
                  <w:marLeft w:val="0"/>
                  <w:marRight w:val="0"/>
                  <w:marTop w:val="0"/>
                  <w:marBottom w:val="0"/>
                  <w:divBdr>
                    <w:top w:val="single" w:sz="2" w:space="0" w:color="008000"/>
                    <w:left w:val="single" w:sz="2" w:space="0" w:color="008000"/>
                    <w:bottom w:val="single" w:sz="2" w:space="0" w:color="008000"/>
                    <w:right w:val="single" w:sz="2" w:space="0" w:color="008000"/>
                  </w:divBdr>
                  <w:divsChild>
                    <w:div w:id="1567691558">
                      <w:marLeft w:val="0"/>
                      <w:marRight w:val="0"/>
                      <w:marTop w:val="0"/>
                      <w:marBottom w:val="0"/>
                      <w:divBdr>
                        <w:top w:val="none" w:sz="0" w:space="0" w:color="auto"/>
                        <w:left w:val="none" w:sz="0" w:space="0" w:color="auto"/>
                        <w:bottom w:val="none" w:sz="0" w:space="0" w:color="auto"/>
                        <w:right w:val="none" w:sz="0" w:space="0" w:color="auto"/>
                      </w:divBdr>
                      <w:divsChild>
                        <w:div w:id="706756388">
                          <w:marLeft w:val="0"/>
                          <w:marRight w:val="0"/>
                          <w:marTop w:val="0"/>
                          <w:marBottom w:val="0"/>
                          <w:divBdr>
                            <w:top w:val="none" w:sz="0" w:space="0" w:color="auto"/>
                            <w:left w:val="none" w:sz="0" w:space="0" w:color="auto"/>
                            <w:bottom w:val="none" w:sz="0" w:space="0" w:color="auto"/>
                            <w:right w:val="none" w:sz="0" w:space="0" w:color="auto"/>
                          </w:divBdr>
                          <w:divsChild>
                            <w:div w:id="59298227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8415735">
      <w:bodyDiv w:val="1"/>
      <w:marLeft w:val="0"/>
      <w:marRight w:val="0"/>
      <w:marTop w:val="0"/>
      <w:marBottom w:val="0"/>
      <w:divBdr>
        <w:top w:val="none" w:sz="0" w:space="0" w:color="auto"/>
        <w:left w:val="none" w:sz="0" w:space="0" w:color="auto"/>
        <w:bottom w:val="none" w:sz="0" w:space="0" w:color="auto"/>
        <w:right w:val="none" w:sz="0" w:space="0" w:color="auto"/>
      </w:divBdr>
    </w:div>
    <w:div w:id="669256157">
      <w:bodyDiv w:val="1"/>
      <w:marLeft w:val="0"/>
      <w:marRight w:val="0"/>
      <w:marTop w:val="0"/>
      <w:marBottom w:val="0"/>
      <w:divBdr>
        <w:top w:val="single" w:sz="2" w:space="0" w:color="CC3640"/>
        <w:left w:val="none" w:sz="0" w:space="0" w:color="auto"/>
        <w:bottom w:val="none" w:sz="0" w:space="0" w:color="auto"/>
        <w:right w:val="none" w:sz="0" w:space="0" w:color="auto"/>
      </w:divBdr>
      <w:divsChild>
        <w:div w:id="880483157">
          <w:marLeft w:val="0"/>
          <w:marRight w:val="0"/>
          <w:marTop w:val="0"/>
          <w:marBottom w:val="0"/>
          <w:divBdr>
            <w:top w:val="single" w:sz="2" w:space="0" w:color="FF0000"/>
            <w:left w:val="single" w:sz="2" w:space="0" w:color="FF0000"/>
            <w:bottom w:val="single" w:sz="2" w:space="0" w:color="FF0000"/>
            <w:right w:val="single" w:sz="2" w:space="0" w:color="FF0000"/>
          </w:divBdr>
          <w:divsChild>
            <w:div w:id="1045638579">
              <w:marLeft w:val="0"/>
              <w:marRight w:val="0"/>
              <w:marTop w:val="0"/>
              <w:marBottom w:val="0"/>
              <w:divBdr>
                <w:top w:val="none" w:sz="0" w:space="0" w:color="auto"/>
                <w:left w:val="single" w:sz="6" w:space="0" w:color="DDDDDD"/>
                <w:bottom w:val="none" w:sz="0" w:space="0" w:color="auto"/>
                <w:right w:val="none" w:sz="0" w:space="0" w:color="auto"/>
              </w:divBdr>
              <w:divsChild>
                <w:div w:id="1707217472">
                  <w:marLeft w:val="0"/>
                  <w:marRight w:val="0"/>
                  <w:marTop w:val="0"/>
                  <w:marBottom w:val="0"/>
                  <w:divBdr>
                    <w:top w:val="single" w:sz="2" w:space="0" w:color="008000"/>
                    <w:left w:val="single" w:sz="2" w:space="0" w:color="008000"/>
                    <w:bottom w:val="single" w:sz="2" w:space="0" w:color="008000"/>
                    <w:right w:val="single" w:sz="2" w:space="0" w:color="008000"/>
                  </w:divBdr>
                  <w:divsChild>
                    <w:div w:id="713117180">
                      <w:marLeft w:val="0"/>
                      <w:marRight w:val="0"/>
                      <w:marTop w:val="0"/>
                      <w:marBottom w:val="0"/>
                      <w:divBdr>
                        <w:top w:val="none" w:sz="0" w:space="0" w:color="auto"/>
                        <w:left w:val="none" w:sz="0" w:space="0" w:color="auto"/>
                        <w:bottom w:val="none" w:sz="0" w:space="0" w:color="auto"/>
                        <w:right w:val="none" w:sz="0" w:space="0" w:color="auto"/>
                      </w:divBdr>
                      <w:divsChild>
                        <w:div w:id="1215585648">
                          <w:marLeft w:val="0"/>
                          <w:marRight w:val="0"/>
                          <w:marTop w:val="0"/>
                          <w:marBottom w:val="0"/>
                          <w:divBdr>
                            <w:top w:val="none" w:sz="0" w:space="0" w:color="auto"/>
                            <w:left w:val="none" w:sz="0" w:space="0" w:color="auto"/>
                            <w:bottom w:val="none" w:sz="0" w:space="0" w:color="auto"/>
                            <w:right w:val="none" w:sz="0" w:space="0" w:color="auto"/>
                          </w:divBdr>
                          <w:divsChild>
                            <w:div w:id="201812002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84674466">
      <w:bodyDiv w:val="1"/>
      <w:marLeft w:val="0"/>
      <w:marRight w:val="0"/>
      <w:marTop w:val="0"/>
      <w:marBottom w:val="0"/>
      <w:divBdr>
        <w:top w:val="none" w:sz="0" w:space="0" w:color="auto"/>
        <w:left w:val="none" w:sz="0" w:space="0" w:color="auto"/>
        <w:bottom w:val="none" w:sz="0" w:space="0" w:color="auto"/>
        <w:right w:val="none" w:sz="0" w:space="0" w:color="auto"/>
      </w:divBdr>
    </w:div>
    <w:div w:id="692388620">
      <w:bodyDiv w:val="1"/>
      <w:marLeft w:val="0"/>
      <w:marRight w:val="0"/>
      <w:marTop w:val="0"/>
      <w:marBottom w:val="0"/>
      <w:divBdr>
        <w:top w:val="none" w:sz="0" w:space="0" w:color="auto"/>
        <w:left w:val="none" w:sz="0" w:space="0" w:color="auto"/>
        <w:bottom w:val="none" w:sz="0" w:space="0" w:color="auto"/>
        <w:right w:val="none" w:sz="0" w:space="0" w:color="auto"/>
      </w:divBdr>
      <w:divsChild>
        <w:div w:id="219942655">
          <w:marLeft w:val="0"/>
          <w:marRight w:val="0"/>
          <w:marTop w:val="0"/>
          <w:marBottom w:val="0"/>
          <w:divBdr>
            <w:top w:val="none" w:sz="0" w:space="0" w:color="auto"/>
            <w:left w:val="none" w:sz="0" w:space="0" w:color="auto"/>
            <w:bottom w:val="none" w:sz="0" w:space="0" w:color="auto"/>
            <w:right w:val="none" w:sz="0" w:space="0" w:color="auto"/>
          </w:divBdr>
        </w:div>
        <w:div w:id="1542132622">
          <w:marLeft w:val="0"/>
          <w:marRight w:val="0"/>
          <w:marTop w:val="0"/>
          <w:marBottom w:val="0"/>
          <w:divBdr>
            <w:top w:val="none" w:sz="0" w:space="0" w:color="auto"/>
            <w:left w:val="none" w:sz="0" w:space="0" w:color="auto"/>
            <w:bottom w:val="none" w:sz="0" w:space="0" w:color="auto"/>
            <w:right w:val="none" w:sz="0" w:space="0" w:color="auto"/>
          </w:divBdr>
        </w:div>
      </w:divsChild>
    </w:div>
    <w:div w:id="715155162">
      <w:bodyDiv w:val="1"/>
      <w:marLeft w:val="0"/>
      <w:marRight w:val="0"/>
      <w:marTop w:val="0"/>
      <w:marBottom w:val="0"/>
      <w:divBdr>
        <w:top w:val="single" w:sz="2" w:space="0" w:color="CC3640"/>
        <w:left w:val="none" w:sz="0" w:space="0" w:color="auto"/>
        <w:bottom w:val="none" w:sz="0" w:space="0" w:color="auto"/>
        <w:right w:val="none" w:sz="0" w:space="0" w:color="auto"/>
      </w:divBdr>
      <w:divsChild>
        <w:div w:id="1153255460">
          <w:marLeft w:val="0"/>
          <w:marRight w:val="0"/>
          <w:marTop w:val="0"/>
          <w:marBottom w:val="0"/>
          <w:divBdr>
            <w:top w:val="single" w:sz="2" w:space="0" w:color="FF0000"/>
            <w:left w:val="single" w:sz="2" w:space="0" w:color="FF0000"/>
            <w:bottom w:val="single" w:sz="2" w:space="0" w:color="FF0000"/>
            <w:right w:val="single" w:sz="2" w:space="0" w:color="FF0000"/>
          </w:divBdr>
          <w:divsChild>
            <w:div w:id="527253510">
              <w:marLeft w:val="0"/>
              <w:marRight w:val="0"/>
              <w:marTop w:val="0"/>
              <w:marBottom w:val="0"/>
              <w:divBdr>
                <w:top w:val="none" w:sz="0" w:space="0" w:color="auto"/>
                <w:left w:val="single" w:sz="6" w:space="0" w:color="DDDDDD"/>
                <w:bottom w:val="none" w:sz="0" w:space="0" w:color="auto"/>
                <w:right w:val="none" w:sz="0" w:space="0" w:color="auto"/>
              </w:divBdr>
              <w:divsChild>
                <w:div w:id="779377464">
                  <w:marLeft w:val="0"/>
                  <w:marRight w:val="0"/>
                  <w:marTop w:val="0"/>
                  <w:marBottom w:val="0"/>
                  <w:divBdr>
                    <w:top w:val="single" w:sz="2" w:space="0" w:color="008000"/>
                    <w:left w:val="single" w:sz="2" w:space="0" w:color="008000"/>
                    <w:bottom w:val="single" w:sz="2" w:space="0" w:color="008000"/>
                    <w:right w:val="single" w:sz="2" w:space="0" w:color="008000"/>
                  </w:divBdr>
                  <w:divsChild>
                    <w:div w:id="391928115">
                      <w:marLeft w:val="0"/>
                      <w:marRight w:val="0"/>
                      <w:marTop w:val="0"/>
                      <w:marBottom w:val="0"/>
                      <w:divBdr>
                        <w:top w:val="none" w:sz="0" w:space="0" w:color="auto"/>
                        <w:left w:val="none" w:sz="0" w:space="0" w:color="auto"/>
                        <w:bottom w:val="none" w:sz="0" w:space="0" w:color="auto"/>
                        <w:right w:val="none" w:sz="0" w:space="0" w:color="auto"/>
                      </w:divBdr>
                      <w:divsChild>
                        <w:div w:id="1051687838">
                          <w:marLeft w:val="0"/>
                          <w:marRight w:val="0"/>
                          <w:marTop w:val="0"/>
                          <w:marBottom w:val="0"/>
                          <w:divBdr>
                            <w:top w:val="none" w:sz="0" w:space="0" w:color="auto"/>
                            <w:left w:val="none" w:sz="0" w:space="0" w:color="auto"/>
                            <w:bottom w:val="none" w:sz="0" w:space="0" w:color="auto"/>
                            <w:right w:val="none" w:sz="0" w:space="0" w:color="auto"/>
                          </w:divBdr>
                          <w:divsChild>
                            <w:div w:id="48767362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15156896">
      <w:bodyDiv w:val="1"/>
      <w:marLeft w:val="0"/>
      <w:marRight w:val="0"/>
      <w:marTop w:val="0"/>
      <w:marBottom w:val="0"/>
      <w:divBdr>
        <w:top w:val="none" w:sz="0" w:space="0" w:color="auto"/>
        <w:left w:val="none" w:sz="0" w:space="0" w:color="auto"/>
        <w:bottom w:val="none" w:sz="0" w:space="0" w:color="auto"/>
        <w:right w:val="none" w:sz="0" w:space="0" w:color="auto"/>
      </w:divBdr>
    </w:div>
    <w:div w:id="724139288">
      <w:bodyDiv w:val="1"/>
      <w:marLeft w:val="0"/>
      <w:marRight w:val="0"/>
      <w:marTop w:val="0"/>
      <w:marBottom w:val="0"/>
      <w:divBdr>
        <w:top w:val="none" w:sz="0" w:space="0" w:color="auto"/>
        <w:left w:val="none" w:sz="0" w:space="0" w:color="auto"/>
        <w:bottom w:val="none" w:sz="0" w:space="0" w:color="auto"/>
        <w:right w:val="none" w:sz="0" w:space="0" w:color="auto"/>
      </w:divBdr>
    </w:div>
    <w:div w:id="730496251">
      <w:bodyDiv w:val="1"/>
      <w:marLeft w:val="0"/>
      <w:marRight w:val="0"/>
      <w:marTop w:val="0"/>
      <w:marBottom w:val="0"/>
      <w:divBdr>
        <w:top w:val="none" w:sz="0" w:space="0" w:color="auto"/>
        <w:left w:val="none" w:sz="0" w:space="0" w:color="auto"/>
        <w:bottom w:val="none" w:sz="0" w:space="0" w:color="auto"/>
        <w:right w:val="none" w:sz="0" w:space="0" w:color="auto"/>
      </w:divBdr>
    </w:div>
    <w:div w:id="877471571">
      <w:bodyDiv w:val="1"/>
      <w:marLeft w:val="0"/>
      <w:marRight w:val="0"/>
      <w:marTop w:val="0"/>
      <w:marBottom w:val="0"/>
      <w:divBdr>
        <w:top w:val="none" w:sz="0" w:space="0" w:color="auto"/>
        <w:left w:val="none" w:sz="0" w:space="0" w:color="auto"/>
        <w:bottom w:val="none" w:sz="0" w:space="0" w:color="auto"/>
        <w:right w:val="none" w:sz="0" w:space="0" w:color="auto"/>
      </w:divBdr>
    </w:div>
    <w:div w:id="884024596">
      <w:bodyDiv w:val="1"/>
      <w:marLeft w:val="0"/>
      <w:marRight w:val="0"/>
      <w:marTop w:val="0"/>
      <w:marBottom w:val="0"/>
      <w:divBdr>
        <w:top w:val="single" w:sz="2" w:space="0" w:color="CC3640"/>
        <w:left w:val="none" w:sz="0" w:space="0" w:color="auto"/>
        <w:bottom w:val="none" w:sz="0" w:space="0" w:color="auto"/>
        <w:right w:val="none" w:sz="0" w:space="0" w:color="auto"/>
      </w:divBdr>
      <w:divsChild>
        <w:div w:id="332689487">
          <w:marLeft w:val="0"/>
          <w:marRight w:val="0"/>
          <w:marTop w:val="0"/>
          <w:marBottom w:val="0"/>
          <w:divBdr>
            <w:top w:val="single" w:sz="2" w:space="0" w:color="FF0000"/>
            <w:left w:val="single" w:sz="2" w:space="0" w:color="FF0000"/>
            <w:bottom w:val="single" w:sz="2" w:space="0" w:color="FF0000"/>
            <w:right w:val="single" w:sz="2" w:space="0" w:color="FF0000"/>
          </w:divBdr>
          <w:divsChild>
            <w:div w:id="1730765668">
              <w:marLeft w:val="0"/>
              <w:marRight w:val="0"/>
              <w:marTop w:val="0"/>
              <w:marBottom w:val="0"/>
              <w:divBdr>
                <w:top w:val="none" w:sz="0" w:space="0" w:color="auto"/>
                <w:left w:val="single" w:sz="6" w:space="0" w:color="DDDDDD"/>
                <w:bottom w:val="none" w:sz="0" w:space="0" w:color="auto"/>
                <w:right w:val="none" w:sz="0" w:space="0" w:color="auto"/>
              </w:divBdr>
              <w:divsChild>
                <w:div w:id="1518928372">
                  <w:marLeft w:val="0"/>
                  <w:marRight w:val="0"/>
                  <w:marTop w:val="0"/>
                  <w:marBottom w:val="0"/>
                  <w:divBdr>
                    <w:top w:val="single" w:sz="2" w:space="0" w:color="008000"/>
                    <w:left w:val="single" w:sz="2" w:space="0" w:color="008000"/>
                    <w:bottom w:val="single" w:sz="2" w:space="0" w:color="008000"/>
                    <w:right w:val="single" w:sz="2" w:space="0" w:color="008000"/>
                  </w:divBdr>
                  <w:divsChild>
                    <w:div w:id="1545827685">
                      <w:marLeft w:val="0"/>
                      <w:marRight w:val="0"/>
                      <w:marTop w:val="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sChild>
                            <w:div w:id="156483415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89341343">
      <w:bodyDiv w:val="1"/>
      <w:marLeft w:val="0"/>
      <w:marRight w:val="0"/>
      <w:marTop w:val="0"/>
      <w:marBottom w:val="0"/>
      <w:divBdr>
        <w:top w:val="single" w:sz="2" w:space="0" w:color="CC3640"/>
        <w:left w:val="none" w:sz="0" w:space="0" w:color="auto"/>
        <w:bottom w:val="none" w:sz="0" w:space="0" w:color="auto"/>
        <w:right w:val="none" w:sz="0" w:space="0" w:color="auto"/>
      </w:divBdr>
      <w:divsChild>
        <w:div w:id="546988741">
          <w:marLeft w:val="0"/>
          <w:marRight w:val="0"/>
          <w:marTop w:val="0"/>
          <w:marBottom w:val="0"/>
          <w:divBdr>
            <w:top w:val="single" w:sz="2" w:space="0" w:color="FF0000"/>
            <w:left w:val="single" w:sz="2" w:space="0" w:color="FF0000"/>
            <w:bottom w:val="single" w:sz="2" w:space="0" w:color="FF0000"/>
            <w:right w:val="single" w:sz="2" w:space="0" w:color="FF0000"/>
          </w:divBdr>
          <w:divsChild>
            <w:div w:id="1305621952">
              <w:marLeft w:val="0"/>
              <w:marRight w:val="0"/>
              <w:marTop w:val="0"/>
              <w:marBottom w:val="0"/>
              <w:divBdr>
                <w:top w:val="none" w:sz="0" w:space="0" w:color="auto"/>
                <w:left w:val="single" w:sz="6" w:space="0" w:color="DDDDDD"/>
                <w:bottom w:val="none" w:sz="0" w:space="0" w:color="auto"/>
                <w:right w:val="none" w:sz="0" w:space="0" w:color="auto"/>
              </w:divBdr>
              <w:divsChild>
                <w:div w:id="1916283102">
                  <w:marLeft w:val="0"/>
                  <w:marRight w:val="0"/>
                  <w:marTop w:val="0"/>
                  <w:marBottom w:val="0"/>
                  <w:divBdr>
                    <w:top w:val="single" w:sz="2" w:space="0" w:color="008000"/>
                    <w:left w:val="single" w:sz="2" w:space="0" w:color="008000"/>
                    <w:bottom w:val="single" w:sz="2" w:space="0" w:color="008000"/>
                    <w:right w:val="single" w:sz="2" w:space="0" w:color="008000"/>
                  </w:divBdr>
                  <w:divsChild>
                    <w:div w:id="924874773">
                      <w:marLeft w:val="0"/>
                      <w:marRight w:val="0"/>
                      <w:marTop w:val="0"/>
                      <w:marBottom w:val="0"/>
                      <w:divBdr>
                        <w:top w:val="none" w:sz="0" w:space="0" w:color="auto"/>
                        <w:left w:val="none" w:sz="0" w:space="0" w:color="auto"/>
                        <w:bottom w:val="none" w:sz="0" w:space="0" w:color="auto"/>
                        <w:right w:val="none" w:sz="0" w:space="0" w:color="auto"/>
                      </w:divBdr>
                      <w:divsChild>
                        <w:div w:id="802848311">
                          <w:marLeft w:val="0"/>
                          <w:marRight w:val="0"/>
                          <w:marTop w:val="0"/>
                          <w:marBottom w:val="0"/>
                          <w:divBdr>
                            <w:top w:val="none" w:sz="0" w:space="0" w:color="auto"/>
                            <w:left w:val="none" w:sz="0" w:space="0" w:color="auto"/>
                            <w:bottom w:val="none" w:sz="0" w:space="0" w:color="auto"/>
                            <w:right w:val="none" w:sz="0" w:space="0" w:color="auto"/>
                          </w:divBdr>
                          <w:divsChild>
                            <w:div w:id="56094648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905337589">
      <w:bodyDiv w:val="1"/>
      <w:marLeft w:val="0"/>
      <w:marRight w:val="0"/>
      <w:marTop w:val="0"/>
      <w:marBottom w:val="0"/>
      <w:divBdr>
        <w:top w:val="none" w:sz="0" w:space="0" w:color="auto"/>
        <w:left w:val="none" w:sz="0" w:space="0" w:color="auto"/>
        <w:bottom w:val="none" w:sz="0" w:space="0" w:color="auto"/>
        <w:right w:val="none" w:sz="0" w:space="0" w:color="auto"/>
      </w:divBdr>
    </w:div>
    <w:div w:id="920719318">
      <w:bodyDiv w:val="1"/>
      <w:marLeft w:val="0"/>
      <w:marRight w:val="0"/>
      <w:marTop w:val="0"/>
      <w:marBottom w:val="0"/>
      <w:divBdr>
        <w:top w:val="none" w:sz="0" w:space="0" w:color="auto"/>
        <w:left w:val="none" w:sz="0" w:space="0" w:color="auto"/>
        <w:bottom w:val="none" w:sz="0" w:space="0" w:color="auto"/>
        <w:right w:val="none" w:sz="0" w:space="0" w:color="auto"/>
      </w:divBdr>
    </w:div>
    <w:div w:id="931814132">
      <w:bodyDiv w:val="1"/>
      <w:marLeft w:val="0"/>
      <w:marRight w:val="0"/>
      <w:marTop w:val="0"/>
      <w:marBottom w:val="0"/>
      <w:divBdr>
        <w:top w:val="none" w:sz="0" w:space="0" w:color="auto"/>
        <w:left w:val="none" w:sz="0" w:space="0" w:color="auto"/>
        <w:bottom w:val="none" w:sz="0" w:space="0" w:color="auto"/>
        <w:right w:val="none" w:sz="0" w:space="0" w:color="auto"/>
      </w:divBdr>
    </w:div>
    <w:div w:id="951595901">
      <w:bodyDiv w:val="1"/>
      <w:marLeft w:val="0"/>
      <w:marRight w:val="0"/>
      <w:marTop w:val="0"/>
      <w:marBottom w:val="0"/>
      <w:divBdr>
        <w:top w:val="none" w:sz="0" w:space="0" w:color="auto"/>
        <w:left w:val="none" w:sz="0" w:space="0" w:color="auto"/>
        <w:bottom w:val="none" w:sz="0" w:space="0" w:color="auto"/>
        <w:right w:val="none" w:sz="0" w:space="0" w:color="auto"/>
      </w:divBdr>
    </w:div>
    <w:div w:id="970984535">
      <w:bodyDiv w:val="1"/>
      <w:marLeft w:val="0"/>
      <w:marRight w:val="0"/>
      <w:marTop w:val="0"/>
      <w:marBottom w:val="0"/>
      <w:divBdr>
        <w:top w:val="none" w:sz="0" w:space="0" w:color="auto"/>
        <w:left w:val="none" w:sz="0" w:space="0" w:color="auto"/>
        <w:bottom w:val="none" w:sz="0" w:space="0" w:color="auto"/>
        <w:right w:val="none" w:sz="0" w:space="0" w:color="auto"/>
      </w:divBdr>
    </w:div>
    <w:div w:id="973674582">
      <w:bodyDiv w:val="1"/>
      <w:marLeft w:val="0"/>
      <w:marRight w:val="0"/>
      <w:marTop w:val="0"/>
      <w:marBottom w:val="0"/>
      <w:divBdr>
        <w:top w:val="none" w:sz="0" w:space="0" w:color="auto"/>
        <w:left w:val="none" w:sz="0" w:space="0" w:color="auto"/>
        <w:bottom w:val="none" w:sz="0" w:space="0" w:color="auto"/>
        <w:right w:val="none" w:sz="0" w:space="0" w:color="auto"/>
      </w:divBdr>
    </w:div>
    <w:div w:id="980157664">
      <w:bodyDiv w:val="1"/>
      <w:marLeft w:val="0"/>
      <w:marRight w:val="0"/>
      <w:marTop w:val="0"/>
      <w:marBottom w:val="0"/>
      <w:divBdr>
        <w:top w:val="none" w:sz="0" w:space="0" w:color="auto"/>
        <w:left w:val="none" w:sz="0" w:space="0" w:color="auto"/>
        <w:bottom w:val="none" w:sz="0" w:space="0" w:color="auto"/>
        <w:right w:val="none" w:sz="0" w:space="0" w:color="auto"/>
      </w:divBdr>
    </w:div>
    <w:div w:id="1011681794">
      <w:bodyDiv w:val="1"/>
      <w:marLeft w:val="0"/>
      <w:marRight w:val="0"/>
      <w:marTop w:val="0"/>
      <w:marBottom w:val="0"/>
      <w:divBdr>
        <w:top w:val="none" w:sz="0" w:space="0" w:color="auto"/>
        <w:left w:val="none" w:sz="0" w:space="0" w:color="auto"/>
        <w:bottom w:val="none" w:sz="0" w:space="0" w:color="auto"/>
        <w:right w:val="none" w:sz="0" w:space="0" w:color="auto"/>
      </w:divBdr>
    </w:div>
    <w:div w:id="1050031614">
      <w:bodyDiv w:val="1"/>
      <w:marLeft w:val="0"/>
      <w:marRight w:val="0"/>
      <w:marTop w:val="0"/>
      <w:marBottom w:val="0"/>
      <w:divBdr>
        <w:top w:val="none" w:sz="0" w:space="0" w:color="auto"/>
        <w:left w:val="none" w:sz="0" w:space="0" w:color="auto"/>
        <w:bottom w:val="none" w:sz="0" w:space="0" w:color="auto"/>
        <w:right w:val="none" w:sz="0" w:space="0" w:color="auto"/>
      </w:divBdr>
    </w:div>
    <w:div w:id="1067417368">
      <w:bodyDiv w:val="1"/>
      <w:marLeft w:val="0"/>
      <w:marRight w:val="0"/>
      <w:marTop w:val="0"/>
      <w:marBottom w:val="0"/>
      <w:divBdr>
        <w:top w:val="none" w:sz="0" w:space="0" w:color="auto"/>
        <w:left w:val="none" w:sz="0" w:space="0" w:color="auto"/>
        <w:bottom w:val="none" w:sz="0" w:space="0" w:color="auto"/>
        <w:right w:val="none" w:sz="0" w:space="0" w:color="auto"/>
      </w:divBdr>
    </w:div>
    <w:div w:id="1088305104">
      <w:bodyDiv w:val="1"/>
      <w:marLeft w:val="0"/>
      <w:marRight w:val="0"/>
      <w:marTop w:val="0"/>
      <w:marBottom w:val="0"/>
      <w:divBdr>
        <w:top w:val="none" w:sz="0" w:space="0" w:color="auto"/>
        <w:left w:val="none" w:sz="0" w:space="0" w:color="auto"/>
        <w:bottom w:val="none" w:sz="0" w:space="0" w:color="auto"/>
        <w:right w:val="none" w:sz="0" w:space="0" w:color="auto"/>
      </w:divBdr>
    </w:div>
    <w:div w:id="1092774470">
      <w:bodyDiv w:val="1"/>
      <w:marLeft w:val="0"/>
      <w:marRight w:val="0"/>
      <w:marTop w:val="0"/>
      <w:marBottom w:val="0"/>
      <w:divBdr>
        <w:top w:val="none" w:sz="0" w:space="0" w:color="auto"/>
        <w:left w:val="none" w:sz="0" w:space="0" w:color="auto"/>
        <w:bottom w:val="none" w:sz="0" w:space="0" w:color="auto"/>
        <w:right w:val="none" w:sz="0" w:space="0" w:color="auto"/>
      </w:divBdr>
    </w:div>
    <w:div w:id="1108088342">
      <w:bodyDiv w:val="1"/>
      <w:marLeft w:val="0"/>
      <w:marRight w:val="0"/>
      <w:marTop w:val="0"/>
      <w:marBottom w:val="0"/>
      <w:divBdr>
        <w:top w:val="none" w:sz="0" w:space="0" w:color="auto"/>
        <w:left w:val="none" w:sz="0" w:space="0" w:color="auto"/>
        <w:bottom w:val="none" w:sz="0" w:space="0" w:color="auto"/>
        <w:right w:val="none" w:sz="0" w:space="0" w:color="auto"/>
      </w:divBdr>
    </w:div>
    <w:div w:id="1109819126">
      <w:bodyDiv w:val="1"/>
      <w:marLeft w:val="0"/>
      <w:marRight w:val="0"/>
      <w:marTop w:val="0"/>
      <w:marBottom w:val="0"/>
      <w:divBdr>
        <w:top w:val="none" w:sz="0" w:space="0" w:color="auto"/>
        <w:left w:val="none" w:sz="0" w:space="0" w:color="auto"/>
        <w:bottom w:val="none" w:sz="0" w:space="0" w:color="auto"/>
        <w:right w:val="none" w:sz="0" w:space="0" w:color="auto"/>
      </w:divBdr>
    </w:div>
    <w:div w:id="1202354322">
      <w:bodyDiv w:val="1"/>
      <w:marLeft w:val="0"/>
      <w:marRight w:val="0"/>
      <w:marTop w:val="0"/>
      <w:marBottom w:val="0"/>
      <w:divBdr>
        <w:top w:val="none" w:sz="0" w:space="0" w:color="auto"/>
        <w:left w:val="none" w:sz="0" w:space="0" w:color="auto"/>
        <w:bottom w:val="none" w:sz="0" w:space="0" w:color="auto"/>
        <w:right w:val="none" w:sz="0" w:space="0" w:color="auto"/>
      </w:divBdr>
    </w:div>
    <w:div w:id="1209074651">
      <w:bodyDiv w:val="1"/>
      <w:marLeft w:val="0"/>
      <w:marRight w:val="0"/>
      <w:marTop w:val="0"/>
      <w:marBottom w:val="0"/>
      <w:divBdr>
        <w:top w:val="none" w:sz="0" w:space="0" w:color="auto"/>
        <w:left w:val="none" w:sz="0" w:space="0" w:color="auto"/>
        <w:bottom w:val="none" w:sz="0" w:space="0" w:color="auto"/>
        <w:right w:val="none" w:sz="0" w:space="0" w:color="auto"/>
      </w:divBdr>
    </w:div>
    <w:div w:id="1385251300">
      <w:bodyDiv w:val="1"/>
      <w:marLeft w:val="0"/>
      <w:marRight w:val="0"/>
      <w:marTop w:val="0"/>
      <w:marBottom w:val="0"/>
      <w:divBdr>
        <w:top w:val="none" w:sz="0" w:space="0" w:color="auto"/>
        <w:left w:val="none" w:sz="0" w:space="0" w:color="auto"/>
        <w:bottom w:val="none" w:sz="0" w:space="0" w:color="auto"/>
        <w:right w:val="none" w:sz="0" w:space="0" w:color="auto"/>
      </w:divBdr>
      <w:divsChild>
        <w:div w:id="1072236130">
          <w:marLeft w:val="0"/>
          <w:marRight w:val="0"/>
          <w:marTop w:val="375"/>
          <w:marBottom w:val="0"/>
          <w:divBdr>
            <w:top w:val="none" w:sz="0" w:space="0" w:color="auto"/>
            <w:left w:val="none" w:sz="0" w:space="0" w:color="auto"/>
            <w:bottom w:val="none" w:sz="0" w:space="0" w:color="auto"/>
            <w:right w:val="none" w:sz="0" w:space="0" w:color="auto"/>
          </w:divBdr>
        </w:div>
        <w:div w:id="1608930652">
          <w:marLeft w:val="0"/>
          <w:marRight w:val="0"/>
          <w:marTop w:val="0"/>
          <w:marBottom w:val="0"/>
          <w:divBdr>
            <w:top w:val="none" w:sz="0" w:space="0" w:color="auto"/>
            <w:left w:val="none" w:sz="0" w:space="0" w:color="auto"/>
            <w:bottom w:val="none" w:sz="0" w:space="0" w:color="auto"/>
            <w:right w:val="none" w:sz="0" w:space="0" w:color="auto"/>
          </w:divBdr>
        </w:div>
      </w:divsChild>
    </w:div>
    <w:div w:id="1385563377">
      <w:bodyDiv w:val="1"/>
      <w:marLeft w:val="0"/>
      <w:marRight w:val="0"/>
      <w:marTop w:val="0"/>
      <w:marBottom w:val="0"/>
      <w:divBdr>
        <w:top w:val="none" w:sz="0" w:space="0" w:color="auto"/>
        <w:left w:val="none" w:sz="0" w:space="0" w:color="auto"/>
        <w:bottom w:val="none" w:sz="0" w:space="0" w:color="auto"/>
        <w:right w:val="none" w:sz="0" w:space="0" w:color="auto"/>
      </w:divBdr>
    </w:div>
    <w:div w:id="1386949272">
      <w:bodyDiv w:val="1"/>
      <w:marLeft w:val="0"/>
      <w:marRight w:val="0"/>
      <w:marTop w:val="0"/>
      <w:marBottom w:val="0"/>
      <w:divBdr>
        <w:top w:val="none" w:sz="0" w:space="0" w:color="auto"/>
        <w:left w:val="none" w:sz="0" w:space="0" w:color="auto"/>
        <w:bottom w:val="none" w:sz="0" w:space="0" w:color="auto"/>
        <w:right w:val="none" w:sz="0" w:space="0" w:color="auto"/>
      </w:divBdr>
    </w:div>
    <w:div w:id="1407922289">
      <w:bodyDiv w:val="1"/>
      <w:marLeft w:val="0"/>
      <w:marRight w:val="0"/>
      <w:marTop w:val="0"/>
      <w:marBottom w:val="0"/>
      <w:divBdr>
        <w:top w:val="none" w:sz="0" w:space="0" w:color="auto"/>
        <w:left w:val="none" w:sz="0" w:space="0" w:color="auto"/>
        <w:bottom w:val="none" w:sz="0" w:space="0" w:color="auto"/>
        <w:right w:val="none" w:sz="0" w:space="0" w:color="auto"/>
      </w:divBdr>
    </w:div>
    <w:div w:id="1450080713">
      <w:bodyDiv w:val="1"/>
      <w:marLeft w:val="0"/>
      <w:marRight w:val="0"/>
      <w:marTop w:val="0"/>
      <w:marBottom w:val="0"/>
      <w:divBdr>
        <w:top w:val="none" w:sz="0" w:space="0" w:color="auto"/>
        <w:left w:val="none" w:sz="0" w:space="0" w:color="auto"/>
        <w:bottom w:val="none" w:sz="0" w:space="0" w:color="auto"/>
        <w:right w:val="none" w:sz="0" w:space="0" w:color="auto"/>
      </w:divBdr>
    </w:div>
    <w:div w:id="1462457905">
      <w:bodyDiv w:val="1"/>
      <w:marLeft w:val="0"/>
      <w:marRight w:val="0"/>
      <w:marTop w:val="0"/>
      <w:marBottom w:val="0"/>
      <w:divBdr>
        <w:top w:val="none" w:sz="0" w:space="0" w:color="auto"/>
        <w:left w:val="none" w:sz="0" w:space="0" w:color="auto"/>
        <w:bottom w:val="none" w:sz="0" w:space="0" w:color="auto"/>
        <w:right w:val="none" w:sz="0" w:space="0" w:color="auto"/>
      </w:divBdr>
    </w:div>
    <w:div w:id="1493524393">
      <w:bodyDiv w:val="1"/>
      <w:marLeft w:val="0"/>
      <w:marRight w:val="0"/>
      <w:marTop w:val="0"/>
      <w:marBottom w:val="0"/>
      <w:divBdr>
        <w:top w:val="none" w:sz="0" w:space="0" w:color="auto"/>
        <w:left w:val="none" w:sz="0" w:space="0" w:color="auto"/>
        <w:bottom w:val="none" w:sz="0" w:space="0" w:color="auto"/>
        <w:right w:val="none" w:sz="0" w:space="0" w:color="auto"/>
      </w:divBdr>
    </w:div>
    <w:div w:id="1506166148">
      <w:bodyDiv w:val="1"/>
      <w:marLeft w:val="0"/>
      <w:marRight w:val="0"/>
      <w:marTop w:val="0"/>
      <w:marBottom w:val="0"/>
      <w:divBdr>
        <w:top w:val="none" w:sz="0" w:space="0" w:color="auto"/>
        <w:left w:val="none" w:sz="0" w:space="0" w:color="auto"/>
        <w:bottom w:val="none" w:sz="0" w:space="0" w:color="auto"/>
        <w:right w:val="none" w:sz="0" w:space="0" w:color="auto"/>
      </w:divBdr>
    </w:div>
    <w:div w:id="1550219453">
      <w:bodyDiv w:val="1"/>
      <w:marLeft w:val="0"/>
      <w:marRight w:val="0"/>
      <w:marTop w:val="0"/>
      <w:marBottom w:val="0"/>
      <w:divBdr>
        <w:top w:val="none" w:sz="0" w:space="0" w:color="auto"/>
        <w:left w:val="none" w:sz="0" w:space="0" w:color="auto"/>
        <w:bottom w:val="none" w:sz="0" w:space="0" w:color="auto"/>
        <w:right w:val="none" w:sz="0" w:space="0" w:color="auto"/>
      </w:divBdr>
    </w:div>
    <w:div w:id="1551841157">
      <w:bodyDiv w:val="1"/>
      <w:marLeft w:val="0"/>
      <w:marRight w:val="0"/>
      <w:marTop w:val="0"/>
      <w:marBottom w:val="0"/>
      <w:divBdr>
        <w:top w:val="none" w:sz="0" w:space="0" w:color="auto"/>
        <w:left w:val="none" w:sz="0" w:space="0" w:color="auto"/>
        <w:bottom w:val="none" w:sz="0" w:space="0" w:color="auto"/>
        <w:right w:val="none" w:sz="0" w:space="0" w:color="auto"/>
      </w:divBdr>
    </w:div>
    <w:div w:id="1593929751">
      <w:bodyDiv w:val="1"/>
      <w:marLeft w:val="0"/>
      <w:marRight w:val="0"/>
      <w:marTop w:val="0"/>
      <w:marBottom w:val="0"/>
      <w:divBdr>
        <w:top w:val="none" w:sz="0" w:space="0" w:color="auto"/>
        <w:left w:val="none" w:sz="0" w:space="0" w:color="auto"/>
        <w:bottom w:val="none" w:sz="0" w:space="0" w:color="auto"/>
        <w:right w:val="none" w:sz="0" w:space="0" w:color="auto"/>
      </w:divBdr>
    </w:div>
    <w:div w:id="1603611964">
      <w:bodyDiv w:val="1"/>
      <w:marLeft w:val="0"/>
      <w:marRight w:val="0"/>
      <w:marTop w:val="0"/>
      <w:marBottom w:val="0"/>
      <w:divBdr>
        <w:top w:val="none" w:sz="0" w:space="0" w:color="auto"/>
        <w:left w:val="none" w:sz="0" w:space="0" w:color="auto"/>
        <w:bottom w:val="none" w:sz="0" w:space="0" w:color="auto"/>
        <w:right w:val="none" w:sz="0" w:space="0" w:color="auto"/>
      </w:divBdr>
    </w:div>
    <w:div w:id="1638101911">
      <w:bodyDiv w:val="1"/>
      <w:marLeft w:val="0"/>
      <w:marRight w:val="0"/>
      <w:marTop w:val="0"/>
      <w:marBottom w:val="0"/>
      <w:divBdr>
        <w:top w:val="none" w:sz="0" w:space="0" w:color="auto"/>
        <w:left w:val="none" w:sz="0" w:space="0" w:color="auto"/>
        <w:bottom w:val="none" w:sz="0" w:space="0" w:color="auto"/>
        <w:right w:val="none" w:sz="0" w:space="0" w:color="auto"/>
      </w:divBdr>
    </w:div>
    <w:div w:id="1660964502">
      <w:bodyDiv w:val="1"/>
      <w:marLeft w:val="0"/>
      <w:marRight w:val="0"/>
      <w:marTop w:val="0"/>
      <w:marBottom w:val="0"/>
      <w:divBdr>
        <w:top w:val="none" w:sz="0" w:space="0" w:color="auto"/>
        <w:left w:val="none" w:sz="0" w:space="0" w:color="auto"/>
        <w:bottom w:val="none" w:sz="0" w:space="0" w:color="auto"/>
        <w:right w:val="none" w:sz="0" w:space="0" w:color="auto"/>
      </w:divBdr>
    </w:div>
    <w:div w:id="1668284761">
      <w:bodyDiv w:val="1"/>
      <w:marLeft w:val="0"/>
      <w:marRight w:val="0"/>
      <w:marTop w:val="0"/>
      <w:marBottom w:val="0"/>
      <w:divBdr>
        <w:top w:val="none" w:sz="0" w:space="0" w:color="auto"/>
        <w:left w:val="none" w:sz="0" w:space="0" w:color="auto"/>
        <w:bottom w:val="none" w:sz="0" w:space="0" w:color="auto"/>
        <w:right w:val="none" w:sz="0" w:space="0" w:color="auto"/>
      </w:divBdr>
    </w:div>
    <w:div w:id="1700397244">
      <w:bodyDiv w:val="1"/>
      <w:marLeft w:val="0"/>
      <w:marRight w:val="0"/>
      <w:marTop w:val="0"/>
      <w:marBottom w:val="0"/>
      <w:divBdr>
        <w:top w:val="none" w:sz="0" w:space="0" w:color="auto"/>
        <w:left w:val="none" w:sz="0" w:space="0" w:color="auto"/>
        <w:bottom w:val="none" w:sz="0" w:space="0" w:color="auto"/>
        <w:right w:val="none" w:sz="0" w:space="0" w:color="auto"/>
      </w:divBdr>
    </w:div>
    <w:div w:id="1716813163">
      <w:bodyDiv w:val="1"/>
      <w:marLeft w:val="0"/>
      <w:marRight w:val="0"/>
      <w:marTop w:val="0"/>
      <w:marBottom w:val="0"/>
      <w:divBdr>
        <w:top w:val="none" w:sz="0" w:space="0" w:color="auto"/>
        <w:left w:val="none" w:sz="0" w:space="0" w:color="auto"/>
        <w:bottom w:val="none" w:sz="0" w:space="0" w:color="auto"/>
        <w:right w:val="none" w:sz="0" w:space="0" w:color="auto"/>
      </w:divBdr>
    </w:div>
    <w:div w:id="1783844774">
      <w:bodyDiv w:val="1"/>
      <w:marLeft w:val="0"/>
      <w:marRight w:val="0"/>
      <w:marTop w:val="0"/>
      <w:marBottom w:val="0"/>
      <w:divBdr>
        <w:top w:val="single" w:sz="2" w:space="0" w:color="CC3640"/>
        <w:left w:val="none" w:sz="0" w:space="0" w:color="auto"/>
        <w:bottom w:val="none" w:sz="0" w:space="0" w:color="auto"/>
        <w:right w:val="none" w:sz="0" w:space="0" w:color="auto"/>
      </w:divBdr>
      <w:divsChild>
        <w:div w:id="810052024">
          <w:marLeft w:val="0"/>
          <w:marRight w:val="0"/>
          <w:marTop w:val="0"/>
          <w:marBottom w:val="0"/>
          <w:divBdr>
            <w:top w:val="single" w:sz="2" w:space="0" w:color="FF0000"/>
            <w:left w:val="single" w:sz="2" w:space="0" w:color="FF0000"/>
            <w:bottom w:val="single" w:sz="2" w:space="0" w:color="FF0000"/>
            <w:right w:val="single" w:sz="2" w:space="0" w:color="FF0000"/>
          </w:divBdr>
          <w:divsChild>
            <w:div w:id="1435132386">
              <w:marLeft w:val="0"/>
              <w:marRight w:val="0"/>
              <w:marTop w:val="0"/>
              <w:marBottom w:val="0"/>
              <w:divBdr>
                <w:top w:val="none" w:sz="0" w:space="0" w:color="auto"/>
                <w:left w:val="single" w:sz="6" w:space="0" w:color="DDDDDD"/>
                <w:bottom w:val="none" w:sz="0" w:space="0" w:color="auto"/>
                <w:right w:val="none" w:sz="0" w:space="0" w:color="auto"/>
              </w:divBdr>
              <w:divsChild>
                <w:div w:id="408623932">
                  <w:marLeft w:val="0"/>
                  <w:marRight w:val="0"/>
                  <w:marTop w:val="0"/>
                  <w:marBottom w:val="0"/>
                  <w:divBdr>
                    <w:top w:val="single" w:sz="2" w:space="0" w:color="008000"/>
                    <w:left w:val="single" w:sz="2" w:space="0" w:color="008000"/>
                    <w:bottom w:val="single" w:sz="2" w:space="0" w:color="008000"/>
                    <w:right w:val="single" w:sz="2" w:space="0" w:color="008000"/>
                  </w:divBdr>
                  <w:divsChild>
                    <w:div w:id="260575504">
                      <w:marLeft w:val="0"/>
                      <w:marRight w:val="0"/>
                      <w:marTop w:val="0"/>
                      <w:marBottom w:val="0"/>
                      <w:divBdr>
                        <w:top w:val="none" w:sz="0" w:space="0" w:color="auto"/>
                        <w:left w:val="none" w:sz="0" w:space="0" w:color="auto"/>
                        <w:bottom w:val="none" w:sz="0" w:space="0" w:color="auto"/>
                        <w:right w:val="none" w:sz="0" w:space="0" w:color="auto"/>
                      </w:divBdr>
                      <w:divsChild>
                        <w:div w:id="299574321">
                          <w:marLeft w:val="0"/>
                          <w:marRight w:val="0"/>
                          <w:marTop w:val="0"/>
                          <w:marBottom w:val="0"/>
                          <w:divBdr>
                            <w:top w:val="none" w:sz="0" w:space="0" w:color="auto"/>
                            <w:left w:val="none" w:sz="0" w:space="0" w:color="auto"/>
                            <w:bottom w:val="none" w:sz="0" w:space="0" w:color="auto"/>
                            <w:right w:val="none" w:sz="0" w:space="0" w:color="auto"/>
                          </w:divBdr>
                          <w:divsChild>
                            <w:div w:id="5362743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801341924">
      <w:bodyDiv w:val="1"/>
      <w:marLeft w:val="0"/>
      <w:marRight w:val="0"/>
      <w:marTop w:val="0"/>
      <w:marBottom w:val="0"/>
      <w:divBdr>
        <w:top w:val="none" w:sz="0" w:space="0" w:color="auto"/>
        <w:left w:val="none" w:sz="0" w:space="0" w:color="auto"/>
        <w:bottom w:val="none" w:sz="0" w:space="0" w:color="auto"/>
        <w:right w:val="none" w:sz="0" w:space="0" w:color="auto"/>
      </w:divBdr>
    </w:div>
    <w:div w:id="1836844399">
      <w:bodyDiv w:val="1"/>
      <w:marLeft w:val="0"/>
      <w:marRight w:val="0"/>
      <w:marTop w:val="0"/>
      <w:marBottom w:val="0"/>
      <w:divBdr>
        <w:top w:val="none" w:sz="0" w:space="0" w:color="auto"/>
        <w:left w:val="none" w:sz="0" w:space="0" w:color="auto"/>
        <w:bottom w:val="none" w:sz="0" w:space="0" w:color="auto"/>
        <w:right w:val="none" w:sz="0" w:space="0" w:color="auto"/>
      </w:divBdr>
    </w:div>
    <w:div w:id="1889147224">
      <w:bodyDiv w:val="1"/>
      <w:marLeft w:val="0"/>
      <w:marRight w:val="0"/>
      <w:marTop w:val="0"/>
      <w:marBottom w:val="0"/>
      <w:divBdr>
        <w:top w:val="single" w:sz="2" w:space="0" w:color="CC3640"/>
        <w:left w:val="none" w:sz="0" w:space="0" w:color="auto"/>
        <w:bottom w:val="none" w:sz="0" w:space="0" w:color="auto"/>
        <w:right w:val="none" w:sz="0" w:space="0" w:color="auto"/>
      </w:divBdr>
      <w:divsChild>
        <w:div w:id="52436563">
          <w:marLeft w:val="0"/>
          <w:marRight w:val="0"/>
          <w:marTop w:val="0"/>
          <w:marBottom w:val="0"/>
          <w:divBdr>
            <w:top w:val="single" w:sz="2" w:space="0" w:color="FF0000"/>
            <w:left w:val="single" w:sz="2" w:space="0" w:color="FF0000"/>
            <w:bottom w:val="single" w:sz="2" w:space="0" w:color="FF0000"/>
            <w:right w:val="single" w:sz="2" w:space="0" w:color="FF0000"/>
          </w:divBdr>
          <w:divsChild>
            <w:div w:id="611404762">
              <w:marLeft w:val="0"/>
              <w:marRight w:val="0"/>
              <w:marTop w:val="0"/>
              <w:marBottom w:val="0"/>
              <w:divBdr>
                <w:top w:val="none" w:sz="0" w:space="0" w:color="auto"/>
                <w:left w:val="single" w:sz="6" w:space="0" w:color="DDDDDD"/>
                <w:bottom w:val="none" w:sz="0" w:space="0" w:color="auto"/>
                <w:right w:val="none" w:sz="0" w:space="0" w:color="auto"/>
              </w:divBdr>
              <w:divsChild>
                <w:div w:id="667366001">
                  <w:marLeft w:val="0"/>
                  <w:marRight w:val="0"/>
                  <w:marTop w:val="0"/>
                  <w:marBottom w:val="0"/>
                  <w:divBdr>
                    <w:top w:val="single" w:sz="2" w:space="0" w:color="008000"/>
                    <w:left w:val="single" w:sz="2" w:space="0" w:color="008000"/>
                    <w:bottom w:val="single" w:sz="2" w:space="0" w:color="008000"/>
                    <w:right w:val="single" w:sz="2" w:space="0" w:color="008000"/>
                  </w:divBdr>
                  <w:divsChild>
                    <w:div w:id="6255278">
                      <w:marLeft w:val="0"/>
                      <w:marRight w:val="0"/>
                      <w:marTop w:val="0"/>
                      <w:marBottom w:val="0"/>
                      <w:divBdr>
                        <w:top w:val="none" w:sz="0" w:space="0" w:color="auto"/>
                        <w:left w:val="none" w:sz="0" w:space="0" w:color="auto"/>
                        <w:bottom w:val="none" w:sz="0" w:space="0" w:color="auto"/>
                        <w:right w:val="none" w:sz="0" w:space="0" w:color="auto"/>
                      </w:divBdr>
                      <w:divsChild>
                        <w:div w:id="1770001282">
                          <w:marLeft w:val="0"/>
                          <w:marRight w:val="0"/>
                          <w:marTop w:val="0"/>
                          <w:marBottom w:val="0"/>
                          <w:divBdr>
                            <w:top w:val="none" w:sz="0" w:space="0" w:color="auto"/>
                            <w:left w:val="none" w:sz="0" w:space="0" w:color="auto"/>
                            <w:bottom w:val="none" w:sz="0" w:space="0" w:color="auto"/>
                            <w:right w:val="none" w:sz="0" w:space="0" w:color="auto"/>
                          </w:divBdr>
                          <w:divsChild>
                            <w:div w:id="106876452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68124817">
      <w:bodyDiv w:val="1"/>
      <w:marLeft w:val="0"/>
      <w:marRight w:val="0"/>
      <w:marTop w:val="0"/>
      <w:marBottom w:val="0"/>
      <w:divBdr>
        <w:top w:val="none" w:sz="0" w:space="0" w:color="auto"/>
        <w:left w:val="none" w:sz="0" w:space="0" w:color="auto"/>
        <w:bottom w:val="none" w:sz="0" w:space="0" w:color="auto"/>
        <w:right w:val="none" w:sz="0" w:space="0" w:color="auto"/>
      </w:divBdr>
      <w:divsChild>
        <w:div w:id="2035689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559">
              <w:marLeft w:val="0"/>
              <w:marRight w:val="0"/>
              <w:marTop w:val="0"/>
              <w:marBottom w:val="0"/>
              <w:divBdr>
                <w:top w:val="none" w:sz="0" w:space="0" w:color="auto"/>
                <w:left w:val="none" w:sz="0" w:space="0" w:color="auto"/>
                <w:bottom w:val="none" w:sz="0" w:space="0" w:color="auto"/>
                <w:right w:val="none" w:sz="0" w:space="0" w:color="auto"/>
              </w:divBdr>
              <w:divsChild>
                <w:div w:id="1502354784">
                  <w:marLeft w:val="0"/>
                  <w:marRight w:val="0"/>
                  <w:marTop w:val="0"/>
                  <w:marBottom w:val="0"/>
                  <w:divBdr>
                    <w:top w:val="none" w:sz="0" w:space="0" w:color="auto"/>
                    <w:left w:val="none" w:sz="0" w:space="0" w:color="auto"/>
                    <w:bottom w:val="none" w:sz="0" w:space="0" w:color="auto"/>
                    <w:right w:val="none" w:sz="0" w:space="0" w:color="auto"/>
                  </w:divBdr>
                  <w:divsChild>
                    <w:div w:id="634218679">
                      <w:marLeft w:val="0"/>
                      <w:marRight w:val="0"/>
                      <w:marTop w:val="0"/>
                      <w:marBottom w:val="0"/>
                      <w:divBdr>
                        <w:top w:val="none" w:sz="0" w:space="0" w:color="auto"/>
                        <w:left w:val="none" w:sz="0" w:space="0" w:color="auto"/>
                        <w:bottom w:val="none" w:sz="0" w:space="0" w:color="auto"/>
                        <w:right w:val="none" w:sz="0" w:space="0" w:color="auto"/>
                      </w:divBdr>
                      <w:divsChild>
                        <w:div w:id="8735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785366">
      <w:bodyDiv w:val="1"/>
      <w:marLeft w:val="0"/>
      <w:marRight w:val="0"/>
      <w:marTop w:val="0"/>
      <w:marBottom w:val="0"/>
      <w:divBdr>
        <w:top w:val="single" w:sz="2" w:space="0" w:color="CC3640"/>
        <w:left w:val="none" w:sz="0" w:space="0" w:color="auto"/>
        <w:bottom w:val="none" w:sz="0" w:space="0" w:color="auto"/>
        <w:right w:val="none" w:sz="0" w:space="0" w:color="auto"/>
      </w:divBdr>
      <w:divsChild>
        <w:div w:id="366832771">
          <w:marLeft w:val="0"/>
          <w:marRight w:val="0"/>
          <w:marTop w:val="0"/>
          <w:marBottom w:val="0"/>
          <w:divBdr>
            <w:top w:val="single" w:sz="2" w:space="0" w:color="FF0000"/>
            <w:left w:val="single" w:sz="2" w:space="0" w:color="FF0000"/>
            <w:bottom w:val="single" w:sz="2" w:space="0" w:color="FF0000"/>
            <w:right w:val="single" w:sz="2" w:space="0" w:color="FF0000"/>
          </w:divBdr>
          <w:divsChild>
            <w:div w:id="939144029">
              <w:marLeft w:val="0"/>
              <w:marRight w:val="0"/>
              <w:marTop w:val="0"/>
              <w:marBottom w:val="0"/>
              <w:divBdr>
                <w:top w:val="none" w:sz="0" w:space="0" w:color="auto"/>
                <w:left w:val="single" w:sz="6" w:space="0" w:color="DDDDDD"/>
                <w:bottom w:val="none" w:sz="0" w:space="0" w:color="auto"/>
                <w:right w:val="none" w:sz="0" w:space="0" w:color="auto"/>
              </w:divBdr>
              <w:divsChild>
                <w:div w:id="389429954">
                  <w:marLeft w:val="0"/>
                  <w:marRight w:val="0"/>
                  <w:marTop w:val="0"/>
                  <w:marBottom w:val="0"/>
                  <w:divBdr>
                    <w:top w:val="single" w:sz="2" w:space="0" w:color="008000"/>
                    <w:left w:val="single" w:sz="2" w:space="0" w:color="008000"/>
                    <w:bottom w:val="single" w:sz="2" w:space="0" w:color="008000"/>
                    <w:right w:val="single" w:sz="2" w:space="0" w:color="008000"/>
                  </w:divBdr>
                  <w:divsChild>
                    <w:div w:id="1875968491">
                      <w:marLeft w:val="0"/>
                      <w:marRight w:val="0"/>
                      <w:marTop w:val="0"/>
                      <w:marBottom w:val="0"/>
                      <w:divBdr>
                        <w:top w:val="none" w:sz="0" w:space="0" w:color="auto"/>
                        <w:left w:val="none" w:sz="0" w:space="0" w:color="auto"/>
                        <w:bottom w:val="none" w:sz="0" w:space="0" w:color="auto"/>
                        <w:right w:val="none" w:sz="0" w:space="0" w:color="auto"/>
                      </w:divBdr>
                      <w:divsChild>
                        <w:div w:id="509833604">
                          <w:marLeft w:val="0"/>
                          <w:marRight w:val="0"/>
                          <w:marTop w:val="0"/>
                          <w:marBottom w:val="0"/>
                          <w:divBdr>
                            <w:top w:val="none" w:sz="0" w:space="0" w:color="auto"/>
                            <w:left w:val="none" w:sz="0" w:space="0" w:color="auto"/>
                            <w:bottom w:val="none" w:sz="0" w:space="0" w:color="auto"/>
                            <w:right w:val="none" w:sz="0" w:space="0" w:color="auto"/>
                          </w:divBdr>
                          <w:divsChild>
                            <w:div w:id="75224388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83191328">
      <w:bodyDiv w:val="1"/>
      <w:marLeft w:val="0"/>
      <w:marRight w:val="0"/>
      <w:marTop w:val="0"/>
      <w:marBottom w:val="0"/>
      <w:divBdr>
        <w:top w:val="none" w:sz="0" w:space="0" w:color="auto"/>
        <w:left w:val="none" w:sz="0" w:space="0" w:color="auto"/>
        <w:bottom w:val="none" w:sz="0" w:space="0" w:color="auto"/>
        <w:right w:val="none" w:sz="0" w:space="0" w:color="auto"/>
      </w:divBdr>
    </w:div>
    <w:div w:id="2012639921">
      <w:bodyDiv w:val="1"/>
      <w:marLeft w:val="0"/>
      <w:marRight w:val="0"/>
      <w:marTop w:val="0"/>
      <w:marBottom w:val="0"/>
      <w:divBdr>
        <w:top w:val="none" w:sz="0" w:space="0" w:color="auto"/>
        <w:left w:val="none" w:sz="0" w:space="0" w:color="auto"/>
        <w:bottom w:val="none" w:sz="0" w:space="0" w:color="auto"/>
        <w:right w:val="none" w:sz="0" w:space="0" w:color="auto"/>
      </w:divBdr>
    </w:div>
    <w:div w:id="2042123759">
      <w:bodyDiv w:val="1"/>
      <w:marLeft w:val="0"/>
      <w:marRight w:val="0"/>
      <w:marTop w:val="0"/>
      <w:marBottom w:val="0"/>
      <w:divBdr>
        <w:top w:val="none" w:sz="0" w:space="0" w:color="auto"/>
        <w:left w:val="none" w:sz="0" w:space="0" w:color="auto"/>
        <w:bottom w:val="none" w:sz="0" w:space="0" w:color="auto"/>
        <w:right w:val="none" w:sz="0" w:space="0" w:color="auto"/>
      </w:divBdr>
    </w:div>
    <w:div w:id="2124691935">
      <w:bodyDiv w:val="1"/>
      <w:marLeft w:val="0"/>
      <w:marRight w:val="0"/>
      <w:marTop w:val="0"/>
      <w:marBottom w:val="0"/>
      <w:divBdr>
        <w:top w:val="none" w:sz="0" w:space="0" w:color="auto"/>
        <w:left w:val="none" w:sz="0" w:space="0" w:color="auto"/>
        <w:bottom w:val="none" w:sz="0" w:space="0" w:color="auto"/>
        <w:right w:val="none" w:sz="0" w:space="0" w:color="auto"/>
      </w:divBdr>
    </w:div>
    <w:div w:id="2135515272">
      <w:bodyDiv w:val="1"/>
      <w:marLeft w:val="0"/>
      <w:marRight w:val="0"/>
      <w:marTop w:val="0"/>
      <w:marBottom w:val="0"/>
      <w:divBdr>
        <w:top w:val="single" w:sz="2" w:space="0" w:color="CC3640"/>
        <w:left w:val="none" w:sz="0" w:space="0" w:color="auto"/>
        <w:bottom w:val="none" w:sz="0" w:space="0" w:color="auto"/>
        <w:right w:val="none" w:sz="0" w:space="0" w:color="auto"/>
      </w:divBdr>
      <w:divsChild>
        <w:div w:id="200679710">
          <w:marLeft w:val="0"/>
          <w:marRight w:val="0"/>
          <w:marTop w:val="0"/>
          <w:marBottom w:val="0"/>
          <w:divBdr>
            <w:top w:val="single" w:sz="2" w:space="0" w:color="FF0000"/>
            <w:left w:val="single" w:sz="2" w:space="0" w:color="FF0000"/>
            <w:bottom w:val="single" w:sz="2" w:space="0" w:color="FF0000"/>
            <w:right w:val="single" w:sz="2" w:space="0" w:color="FF0000"/>
          </w:divBdr>
          <w:divsChild>
            <w:div w:id="1236672287">
              <w:marLeft w:val="0"/>
              <w:marRight w:val="0"/>
              <w:marTop w:val="0"/>
              <w:marBottom w:val="0"/>
              <w:divBdr>
                <w:top w:val="none" w:sz="0" w:space="0" w:color="auto"/>
                <w:left w:val="single" w:sz="6" w:space="0" w:color="DDDDDD"/>
                <w:bottom w:val="none" w:sz="0" w:space="0" w:color="auto"/>
                <w:right w:val="none" w:sz="0" w:space="0" w:color="auto"/>
              </w:divBdr>
              <w:divsChild>
                <w:div w:id="351808293">
                  <w:marLeft w:val="0"/>
                  <w:marRight w:val="0"/>
                  <w:marTop w:val="0"/>
                  <w:marBottom w:val="0"/>
                  <w:divBdr>
                    <w:top w:val="single" w:sz="2" w:space="0" w:color="008000"/>
                    <w:left w:val="single" w:sz="2" w:space="0" w:color="008000"/>
                    <w:bottom w:val="single" w:sz="2" w:space="0" w:color="008000"/>
                    <w:right w:val="single" w:sz="2" w:space="0" w:color="008000"/>
                  </w:divBdr>
                  <w:divsChild>
                    <w:div w:id="1330712214">
                      <w:marLeft w:val="0"/>
                      <w:marRight w:val="0"/>
                      <w:marTop w:val="0"/>
                      <w:marBottom w:val="0"/>
                      <w:divBdr>
                        <w:top w:val="none" w:sz="0" w:space="0" w:color="auto"/>
                        <w:left w:val="none" w:sz="0" w:space="0" w:color="auto"/>
                        <w:bottom w:val="none" w:sz="0" w:space="0" w:color="auto"/>
                        <w:right w:val="none" w:sz="0" w:space="0" w:color="auto"/>
                      </w:divBdr>
                      <w:divsChild>
                        <w:div w:id="1078134306">
                          <w:marLeft w:val="0"/>
                          <w:marRight w:val="0"/>
                          <w:marTop w:val="0"/>
                          <w:marBottom w:val="0"/>
                          <w:divBdr>
                            <w:top w:val="none" w:sz="0" w:space="0" w:color="auto"/>
                            <w:left w:val="none" w:sz="0" w:space="0" w:color="auto"/>
                            <w:bottom w:val="none" w:sz="0" w:space="0" w:color="auto"/>
                            <w:right w:val="none" w:sz="0" w:space="0" w:color="auto"/>
                          </w:divBdr>
                          <w:divsChild>
                            <w:div w:id="60164423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368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FFB0E-6A48-4052-8F2B-1ECEA9F5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5081</Words>
  <Characters>27948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MAYO</vt:lpstr>
    </vt:vector>
  </TitlesOfParts>
  <Company>Diplover S.L.</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MAYO</dc:title>
  <dc:creator>Juan Lorente</dc:creator>
  <cp:lastModifiedBy>Jose Luis Chico Bersabe</cp:lastModifiedBy>
  <cp:revision>4</cp:revision>
  <cp:lastPrinted>2008-04-22T19:12:00Z</cp:lastPrinted>
  <dcterms:created xsi:type="dcterms:W3CDTF">2026-04-27T08:18:00Z</dcterms:created>
  <dcterms:modified xsi:type="dcterms:W3CDTF">2026-04-28T17:39:00Z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-1545247589</vt:i4>
  </property>
</Properties>
</file>