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shd w:val="clear" w:color="auto" w:fill="800000"/>
        <w:tblCellMar>
          <w:left w:w="70" w:type="dxa"/>
          <w:right w:w="70" w:type="dxa"/>
        </w:tblCellMar>
        <w:tblLook w:val="0000" w:firstRow="0" w:lastRow="0" w:firstColumn="0" w:lastColumn="0" w:noHBand="0" w:noVBand="0"/>
      </w:tblPr>
      <w:tblGrid>
        <w:gridCol w:w="1146"/>
        <w:gridCol w:w="7348"/>
      </w:tblGrid>
      <w:tr w:rsidR="002F1978" w:rsidRPr="006261E3" w14:paraId="4DAB152A" w14:textId="77777777">
        <w:trPr>
          <w:trHeight w:val="889"/>
        </w:trPr>
        <w:tc>
          <w:tcPr>
            <w:tcW w:w="1150" w:type="dxa"/>
            <w:shd w:val="clear" w:color="auto" w:fill="000000"/>
            <w:vAlign w:val="center"/>
          </w:tcPr>
          <w:p w14:paraId="50C8AAA1" w14:textId="0A0D0AE8" w:rsidR="002F1978" w:rsidRPr="006261E3" w:rsidRDefault="002F1978">
            <w:pPr>
              <w:jc w:val="center"/>
              <w:rPr>
                <w:rFonts w:ascii="Verdana" w:hAnsi="Verdana"/>
                <w:b/>
                <w:bCs/>
              </w:rPr>
            </w:pPr>
            <w:r w:rsidRPr="006261E3">
              <w:rPr>
                <w:rFonts w:ascii="Verdana" w:hAnsi="Verdana"/>
                <w:b/>
                <w:bCs/>
              </w:rPr>
              <w:t>JUNIO</w:t>
            </w:r>
          </w:p>
          <w:p w14:paraId="3D46CF49" w14:textId="72AE4890" w:rsidR="002F1978" w:rsidRPr="006261E3" w:rsidRDefault="002F1978" w:rsidP="00AD2A34">
            <w:pPr>
              <w:jc w:val="center"/>
              <w:rPr>
                <w:rFonts w:ascii="Verdana" w:hAnsi="Verdana"/>
                <w:b/>
                <w:bCs/>
              </w:rPr>
            </w:pPr>
            <w:r w:rsidRPr="006261E3">
              <w:rPr>
                <w:rFonts w:ascii="Verdana" w:hAnsi="Verdana"/>
                <w:b/>
                <w:bCs/>
              </w:rPr>
              <w:t>20</w:t>
            </w:r>
            <w:r w:rsidR="00BB4166">
              <w:rPr>
                <w:rFonts w:ascii="Verdana" w:hAnsi="Verdana"/>
                <w:b/>
                <w:bCs/>
              </w:rPr>
              <w:t>2</w:t>
            </w:r>
            <w:r w:rsidR="00C15121">
              <w:rPr>
                <w:rFonts w:ascii="Verdana" w:hAnsi="Verdana"/>
                <w:b/>
                <w:bCs/>
              </w:rPr>
              <w:t>6</w:t>
            </w:r>
          </w:p>
        </w:tc>
        <w:tc>
          <w:tcPr>
            <w:tcW w:w="7494" w:type="dxa"/>
            <w:shd w:val="clear" w:color="auto" w:fill="993300"/>
            <w:vAlign w:val="center"/>
          </w:tcPr>
          <w:p w14:paraId="608AF377" w14:textId="77777777" w:rsidR="002F1978" w:rsidRPr="006261E3" w:rsidRDefault="002F1978">
            <w:pPr>
              <w:jc w:val="center"/>
              <w:rPr>
                <w:rFonts w:ascii="Verdana" w:hAnsi="Verdana"/>
                <w:b/>
                <w:bCs/>
                <w:color w:val="FFFFFF"/>
              </w:rPr>
            </w:pPr>
            <w:r w:rsidRPr="006261E3">
              <w:rPr>
                <w:rFonts w:ascii="Verdana" w:hAnsi="Verdana"/>
                <w:b/>
                <w:bCs/>
                <w:color w:val="FFFFFF"/>
              </w:rPr>
              <w:t>APUNTES SOBRE LA ACTUALIDAD FISCAL</w:t>
            </w:r>
          </w:p>
        </w:tc>
      </w:tr>
    </w:tbl>
    <w:p w14:paraId="3757CC8B" w14:textId="77777777" w:rsidR="002F1978" w:rsidRPr="005E1E27" w:rsidRDefault="002F1978">
      <w:pPr>
        <w:rPr>
          <w:rFonts w:ascii="Verdana" w:hAnsi="Verdana"/>
          <w:b/>
          <w:bCs/>
          <w:sz w:val="20"/>
          <w:szCs w:val="32"/>
        </w:rPr>
      </w:pPr>
    </w:p>
    <w:p w14:paraId="3E4EB3A2" w14:textId="77777777" w:rsidR="002F1978" w:rsidRPr="005E1E27" w:rsidRDefault="002F1978">
      <w:pPr>
        <w:rPr>
          <w:rFonts w:ascii="Verdana" w:hAnsi="Verdana"/>
          <w:b/>
          <w:bCs/>
          <w:sz w:val="20"/>
          <w:szCs w:val="32"/>
        </w:rPr>
      </w:pPr>
    </w:p>
    <w:p w14:paraId="6C4E1E19" w14:textId="77777777" w:rsidR="002F1978" w:rsidRPr="00DB410A" w:rsidRDefault="002F1978">
      <w:pPr>
        <w:pStyle w:val="Ttulo3"/>
        <w:jc w:val="center"/>
        <w:rPr>
          <w:rFonts w:ascii="Verdana" w:hAnsi="Verdana"/>
          <w:color w:val="800000"/>
        </w:rPr>
      </w:pPr>
      <w:r w:rsidRPr="00DB410A">
        <w:rPr>
          <w:rFonts w:ascii="Verdana" w:hAnsi="Verdana"/>
          <w:b/>
          <w:bCs/>
          <w:i/>
          <w:color w:val="800000"/>
        </w:rPr>
        <w:t>SUMARIO</w:t>
      </w:r>
    </w:p>
    <w:p w14:paraId="0BE59388" w14:textId="77777777" w:rsidR="002F1978" w:rsidRDefault="002F1978">
      <w:pPr>
        <w:jc w:val="center"/>
        <w:rPr>
          <w:rFonts w:ascii="Verdana" w:hAnsi="Verdana"/>
          <w:b/>
          <w:bCs/>
          <w:i/>
          <w:iCs/>
          <w:color w:val="800000"/>
          <w:sz w:val="18"/>
          <w:szCs w:val="18"/>
          <w:u w:val="single"/>
        </w:rPr>
      </w:pPr>
    </w:p>
    <w:p w14:paraId="7612A09D" w14:textId="6E78F846" w:rsidR="001D1F9E" w:rsidRPr="001A64CF" w:rsidRDefault="001A64CF">
      <w:pPr>
        <w:pStyle w:val="Prrafodelista"/>
        <w:numPr>
          <w:ilvl w:val="0"/>
          <w:numId w:val="2"/>
        </w:numPr>
        <w:ind w:left="426" w:hanging="284"/>
        <w:jc w:val="both"/>
        <w:rPr>
          <w:rFonts w:ascii="Verdana" w:hAnsi="Verdana"/>
          <w:b/>
          <w:bCs/>
          <w:i/>
          <w:iCs/>
          <w:color w:val="800000"/>
          <w:sz w:val="18"/>
          <w:szCs w:val="18"/>
        </w:rPr>
      </w:pPr>
      <w:r w:rsidRPr="001A64CF">
        <w:rPr>
          <w:rFonts w:ascii="Verdana" w:hAnsi="Verdana"/>
          <w:b/>
          <w:bCs/>
          <w:i/>
          <w:iCs/>
          <w:color w:val="800000"/>
          <w:sz w:val="18"/>
          <w:szCs w:val="18"/>
        </w:rPr>
        <w:t>NOTA SOBRE LOS EFECTOS, EN EL ÁMBITO TRIBUTARIO, DEL REAL DECRETO-LEY 16/2025, DE 23 DE DICIEMBRE, Y DEL REAL DECRETO-LEY 2/2026, DE 3 DE FEBRERO</w:t>
      </w:r>
    </w:p>
    <w:p w14:paraId="10E3A80A" w14:textId="0347374D" w:rsidR="00751139" w:rsidRDefault="001A64CF" w:rsidP="00C15121">
      <w:pPr>
        <w:ind w:left="426"/>
        <w:jc w:val="both"/>
        <w:rPr>
          <w:rFonts w:ascii="Verdana" w:hAnsi="Verdana"/>
          <w:b/>
          <w:bCs/>
          <w:i/>
          <w:iCs/>
          <w:color w:val="800000"/>
          <w:sz w:val="18"/>
          <w:szCs w:val="18"/>
        </w:rPr>
      </w:pPr>
      <w:r>
        <w:rPr>
          <w:rFonts w:ascii="Verdana" w:hAnsi="Verdana"/>
          <w:b/>
          <w:bCs/>
          <w:i/>
          <w:iCs/>
          <w:color w:val="800000"/>
          <w:sz w:val="18"/>
          <w:szCs w:val="18"/>
        </w:rPr>
        <w:t>La AEAT ha emitido una nota al respecto, que reproducimos.</w:t>
      </w:r>
    </w:p>
    <w:p w14:paraId="6BC669BB" w14:textId="77777777" w:rsidR="00830BCC" w:rsidRDefault="00830BCC" w:rsidP="00C15121">
      <w:pPr>
        <w:ind w:left="426"/>
        <w:jc w:val="both"/>
        <w:rPr>
          <w:rFonts w:ascii="Verdana" w:hAnsi="Verdana"/>
          <w:b/>
          <w:bCs/>
          <w:i/>
          <w:iCs/>
          <w:color w:val="800000"/>
          <w:sz w:val="18"/>
          <w:szCs w:val="18"/>
        </w:rPr>
      </w:pPr>
    </w:p>
    <w:p w14:paraId="7CEC2058" w14:textId="6BD45436" w:rsidR="00830BCC" w:rsidRPr="00830BCC" w:rsidRDefault="00830BCC">
      <w:pPr>
        <w:pStyle w:val="Prrafodelista"/>
        <w:numPr>
          <w:ilvl w:val="0"/>
          <w:numId w:val="2"/>
        </w:numPr>
        <w:ind w:left="426" w:hanging="284"/>
        <w:jc w:val="both"/>
        <w:rPr>
          <w:rFonts w:ascii="Verdana" w:hAnsi="Verdana"/>
          <w:b/>
          <w:bCs/>
          <w:i/>
          <w:iCs/>
          <w:color w:val="800000"/>
          <w:sz w:val="18"/>
          <w:szCs w:val="18"/>
        </w:rPr>
      </w:pPr>
      <w:r>
        <w:rPr>
          <w:rFonts w:ascii="Verdana" w:hAnsi="Verdana"/>
          <w:b/>
          <w:bCs/>
          <w:i/>
          <w:iCs/>
          <w:color w:val="800000"/>
          <w:sz w:val="18"/>
          <w:szCs w:val="18"/>
        </w:rPr>
        <w:t xml:space="preserve">IS.- </w:t>
      </w:r>
      <w:r w:rsidRPr="00830BCC">
        <w:rPr>
          <w:rFonts w:ascii="Verdana" w:hAnsi="Verdana"/>
          <w:b/>
          <w:bCs/>
          <w:i/>
          <w:iCs/>
          <w:color w:val="800000"/>
          <w:sz w:val="18"/>
          <w:szCs w:val="18"/>
        </w:rPr>
        <w:t>REGULARIZACIÓN DE EXISTENCIAS: CUANDO LA INSPECCIÓN INCREMENTE EL VALOR DE LAS EXISTENCIAS FINALES, EL CONTRIBUYENTE TIENE DERECHO A RECTIFICAR LA AUTOLIQUIDACIÓN DEL IMPUESTO SOBRE SOCIEDADES DEL EJERCICIO SIGUIENTE</w:t>
      </w:r>
    </w:p>
    <w:p w14:paraId="3760D0A1" w14:textId="578F7EB9" w:rsidR="00D729F7" w:rsidRDefault="00830BCC" w:rsidP="00154154">
      <w:pPr>
        <w:pStyle w:val="Prrafodelista"/>
        <w:ind w:left="426"/>
        <w:jc w:val="both"/>
        <w:rPr>
          <w:rFonts w:ascii="Verdana" w:hAnsi="Verdana"/>
          <w:b/>
          <w:bCs/>
          <w:i/>
          <w:iCs/>
          <w:color w:val="800000"/>
          <w:sz w:val="18"/>
          <w:szCs w:val="18"/>
        </w:rPr>
      </w:pPr>
      <w:r w:rsidRPr="00830BCC">
        <w:rPr>
          <w:rFonts w:ascii="Verdana" w:hAnsi="Verdana"/>
          <w:b/>
          <w:bCs/>
          <w:i/>
          <w:iCs/>
          <w:color w:val="800000"/>
          <w:sz w:val="18"/>
          <w:szCs w:val="18"/>
        </w:rPr>
        <w:t>En aplicación del principio de regularización íntegra, el Tribunal Económico-Administrativo Central concluye que, tras la comprobación administrativa de las existencias finales de un ejercicio, el ajuste correlativo en las existencias iniciales del ejercicio posterior no debe realizarse como corrección de un error contable, sino rectificando la autoliquidación del Impuesto sobre Sociedades del ejercicio siguiente.</w:t>
      </w:r>
    </w:p>
    <w:p w14:paraId="609FA501" w14:textId="77777777" w:rsidR="00A224F8" w:rsidRDefault="00A224F8" w:rsidP="00154154">
      <w:pPr>
        <w:pStyle w:val="Prrafodelista"/>
        <w:ind w:left="426"/>
        <w:jc w:val="both"/>
        <w:rPr>
          <w:rFonts w:ascii="Verdana" w:hAnsi="Verdana"/>
          <w:b/>
          <w:bCs/>
          <w:i/>
          <w:iCs/>
          <w:color w:val="800000"/>
          <w:sz w:val="18"/>
          <w:szCs w:val="18"/>
        </w:rPr>
      </w:pPr>
    </w:p>
    <w:p w14:paraId="3225277F" w14:textId="401F5F37" w:rsidR="00A224F8" w:rsidRDefault="00A224F8">
      <w:pPr>
        <w:pStyle w:val="Prrafodelista"/>
        <w:numPr>
          <w:ilvl w:val="0"/>
          <w:numId w:val="2"/>
        </w:numPr>
        <w:ind w:left="426" w:hanging="284"/>
        <w:jc w:val="both"/>
        <w:rPr>
          <w:rFonts w:ascii="Verdana" w:hAnsi="Verdana"/>
          <w:b/>
          <w:bCs/>
          <w:i/>
          <w:iCs/>
          <w:color w:val="800000"/>
          <w:sz w:val="18"/>
          <w:szCs w:val="18"/>
        </w:rPr>
      </w:pPr>
      <w:r>
        <w:rPr>
          <w:rFonts w:ascii="Verdana" w:hAnsi="Verdana"/>
          <w:b/>
          <w:bCs/>
          <w:i/>
          <w:iCs/>
          <w:color w:val="800000"/>
          <w:sz w:val="18"/>
          <w:szCs w:val="18"/>
        </w:rPr>
        <w:t xml:space="preserve">IRPF.- </w:t>
      </w:r>
      <w:r w:rsidRPr="00A224F8">
        <w:rPr>
          <w:rFonts w:ascii="Verdana" w:hAnsi="Verdana"/>
          <w:b/>
          <w:bCs/>
          <w:i/>
          <w:iCs/>
          <w:color w:val="800000"/>
          <w:sz w:val="18"/>
          <w:szCs w:val="18"/>
        </w:rPr>
        <w:t>EL TRIBUNAL SUPREMO CONSOLIDA EL CRITERIO DE PROPORCIONALIDAD EN LAS SANCIONES POR USO DE SOCIEDADES INTERPUESTAS</w:t>
      </w:r>
    </w:p>
    <w:p w14:paraId="6389BDC0" w14:textId="76CBD9EF" w:rsidR="00165B0E" w:rsidRDefault="00A224F8" w:rsidP="00A224F8">
      <w:pPr>
        <w:tabs>
          <w:tab w:val="left" w:pos="567"/>
        </w:tabs>
        <w:ind w:left="426"/>
        <w:jc w:val="both"/>
        <w:rPr>
          <w:rFonts w:ascii="Verdana" w:hAnsi="Verdana"/>
          <w:b/>
          <w:bCs/>
          <w:i/>
          <w:iCs/>
          <w:color w:val="800000"/>
          <w:sz w:val="18"/>
          <w:szCs w:val="18"/>
        </w:rPr>
      </w:pPr>
      <w:r w:rsidRPr="00A224F8">
        <w:rPr>
          <w:rFonts w:ascii="Verdana" w:hAnsi="Verdana"/>
          <w:b/>
          <w:bCs/>
          <w:i/>
          <w:iCs/>
          <w:color w:val="800000"/>
          <w:sz w:val="18"/>
          <w:szCs w:val="18"/>
        </w:rPr>
        <w:t>El Tribunal Supremo, en su sentencia 400/2026, de 30 de marzo, reitera su doctrina sobre el cálculo de la base de las sanciones del artículo 191 de la LGT en supuestos de simulación mediante sociedades interpuestas.</w:t>
      </w:r>
    </w:p>
    <w:p w14:paraId="0B0E9E99" w14:textId="77777777" w:rsidR="00060F04" w:rsidRDefault="00060F04" w:rsidP="00A224F8">
      <w:pPr>
        <w:tabs>
          <w:tab w:val="left" w:pos="567"/>
        </w:tabs>
        <w:ind w:left="426"/>
        <w:jc w:val="both"/>
        <w:rPr>
          <w:rFonts w:ascii="Verdana" w:hAnsi="Verdana"/>
          <w:b/>
          <w:bCs/>
          <w:i/>
          <w:iCs/>
          <w:color w:val="800000"/>
          <w:sz w:val="18"/>
          <w:szCs w:val="18"/>
        </w:rPr>
      </w:pPr>
    </w:p>
    <w:p w14:paraId="1F2E57C8" w14:textId="4D5F12B1" w:rsidR="00060F04" w:rsidRDefault="00060F04">
      <w:pPr>
        <w:pStyle w:val="Prrafodelista"/>
        <w:numPr>
          <w:ilvl w:val="0"/>
          <w:numId w:val="2"/>
        </w:numPr>
        <w:tabs>
          <w:tab w:val="left" w:pos="567"/>
        </w:tabs>
        <w:ind w:left="426" w:hanging="284"/>
        <w:jc w:val="both"/>
        <w:rPr>
          <w:rFonts w:ascii="Verdana" w:hAnsi="Verdana"/>
          <w:b/>
          <w:bCs/>
          <w:i/>
          <w:iCs/>
          <w:color w:val="800000"/>
          <w:sz w:val="18"/>
          <w:szCs w:val="18"/>
        </w:rPr>
      </w:pPr>
      <w:r w:rsidRPr="00060F04">
        <w:rPr>
          <w:rFonts w:ascii="Verdana" w:hAnsi="Verdana"/>
          <w:b/>
          <w:bCs/>
          <w:i/>
          <w:iCs/>
          <w:color w:val="800000"/>
          <w:sz w:val="18"/>
          <w:szCs w:val="18"/>
        </w:rPr>
        <w:t>TRATAMIENTO FISCAL DE LOS INTERESES DE UN PRÉSTAMO PARTICIPATIVO ENTRE SOCIEDADES NO VINCULADAS</w:t>
      </w:r>
    </w:p>
    <w:p w14:paraId="192BB33E" w14:textId="6FC52A32" w:rsidR="00060F04" w:rsidRDefault="00060F04" w:rsidP="00060F04">
      <w:pPr>
        <w:pStyle w:val="Prrafodelista"/>
        <w:tabs>
          <w:tab w:val="left" w:pos="567"/>
        </w:tabs>
        <w:ind w:left="426"/>
        <w:jc w:val="both"/>
        <w:rPr>
          <w:rFonts w:ascii="Verdana" w:hAnsi="Verdana"/>
          <w:b/>
          <w:bCs/>
          <w:i/>
          <w:iCs/>
          <w:color w:val="800000"/>
          <w:sz w:val="18"/>
          <w:szCs w:val="18"/>
        </w:rPr>
      </w:pPr>
      <w:r w:rsidRPr="00060F04">
        <w:rPr>
          <w:rFonts w:ascii="Verdana" w:hAnsi="Verdana"/>
          <w:b/>
          <w:bCs/>
          <w:i/>
          <w:iCs/>
          <w:color w:val="800000"/>
          <w:sz w:val="18"/>
          <w:szCs w:val="18"/>
        </w:rPr>
        <w:t>La Dirección General de Tributos analiza en la consulta vinculante V0047-26 el tratamiento contable y fiscal de los intereses derivados de un préstamo participativo concedido entre dos sociedades que no forman parte del mismo grupo mercantil.</w:t>
      </w:r>
    </w:p>
    <w:p w14:paraId="10F27B99" w14:textId="77777777" w:rsidR="00021AC4" w:rsidRDefault="00021AC4" w:rsidP="00060F04">
      <w:pPr>
        <w:pStyle w:val="Prrafodelista"/>
        <w:tabs>
          <w:tab w:val="left" w:pos="567"/>
        </w:tabs>
        <w:ind w:left="426"/>
        <w:jc w:val="both"/>
        <w:rPr>
          <w:rFonts w:ascii="Verdana" w:hAnsi="Verdana"/>
          <w:b/>
          <w:bCs/>
          <w:i/>
          <w:iCs/>
          <w:color w:val="800000"/>
          <w:sz w:val="18"/>
          <w:szCs w:val="18"/>
        </w:rPr>
      </w:pPr>
    </w:p>
    <w:p w14:paraId="75904741" w14:textId="0E94A2EA" w:rsidR="00C05304" w:rsidRDefault="00C05304" w:rsidP="001E094C">
      <w:pPr>
        <w:tabs>
          <w:tab w:val="left" w:pos="567"/>
        </w:tabs>
        <w:ind w:left="426" w:hanging="284"/>
        <w:jc w:val="both"/>
        <w:rPr>
          <w:rFonts w:ascii="Verdana" w:hAnsi="Verdana"/>
          <w:b/>
          <w:bCs/>
          <w:i/>
          <w:iCs/>
          <w:color w:val="800000"/>
          <w:sz w:val="18"/>
          <w:szCs w:val="18"/>
        </w:rPr>
      </w:pPr>
      <w:r w:rsidRPr="00C05304">
        <w:rPr>
          <w:rFonts w:ascii="Verdana" w:hAnsi="Verdana"/>
          <w:b/>
          <w:bCs/>
          <w:i/>
          <w:iCs/>
          <w:color w:val="800000"/>
          <w:sz w:val="18"/>
          <w:szCs w:val="18"/>
        </w:rPr>
        <w:t>5.</w:t>
      </w:r>
      <w:r w:rsidRPr="00C05304">
        <w:rPr>
          <w:rFonts w:ascii="Verdana" w:hAnsi="Verdana"/>
          <w:b/>
          <w:bCs/>
          <w:i/>
          <w:iCs/>
          <w:color w:val="800000"/>
          <w:sz w:val="18"/>
          <w:szCs w:val="18"/>
        </w:rPr>
        <w:tab/>
        <w:t>IVA.- LA DEDUCCIÓN Y COMPENSACIÓN DE CUOTAS DE IVA CONSTITUYE UN DERECHO DEL CONTRIBUYENTE Y NO UNA OPCIÓN TRIBUTARIA</w:t>
      </w:r>
    </w:p>
    <w:p w14:paraId="7AAF04EE" w14:textId="02CCC8B0" w:rsidR="00C05304" w:rsidRDefault="001E094C" w:rsidP="00C05304">
      <w:pPr>
        <w:pStyle w:val="Prrafodelista"/>
        <w:tabs>
          <w:tab w:val="left" w:pos="567"/>
        </w:tabs>
        <w:ind w:left="426"/>
        <w:jc w:val="both"/>
        <w:rPr>
          <w:rFonts w:ascii="Verdana" w:hAnsi="Verdana"/>
          <w:b/>
          <w:bCs/>
          <w:i/>
          <w:iCs/>
          <w:color w:val="800000"/>
          <w:sz w:val="18"/>
          <w:szCs w:val="18"/>
        </w:rPr>
      </w:pPr>
      <w:r>
        <w:rPr>
          <w:rFonts w:ascii="Verdana" w:hAnsi="Verdana"/>
          <w:b/>
          <w:bCs/>
          <w:i/>
          <w:iCs/>
          <w:color w:val="800000"/>
          <w:sz w:val="18"/>
          <w:szCs w:val="18"/>
        </w:rPr>
        <w:t>L</w:t>
      </w:r>
      <w:r w:rsidRPr="001E094C">
        <w:rPr>
          <w:rFonts w:ascii="Verdana" w:hAnsi="Verdana"/>
          <w:b/>
          <w:bCs/>
          <w:i/>
          <w:iCs/>
          <w:color w:val="800000"/>
          <w:sz w:val="18"/>
          <w:szCs w:val="18"/>
        </w:rPr>
        <w:t>a deducción y compensación de cuotas de IVA constituye un derecho del contribuyente y no una opción tributaria en el sentido del artículo 119.3 de la Ley General Tributaria (LGT)</w:t>
      </w:r>
      <w:r>
        <w:rPr>
          <w:rFonts w:ascii="Verdana" w:hAnsi="Verdana"/>
          <w:b/>
          <w:bCs/>
          <w:i/>
          <w:iCs/>
          <w:color w:val="800000"/>
          <w:sz w:val="18"/>
          <w:szCs w:val="18"/>
        </w:rPr>
        <w:t>.</w:t>
      </w:r>
    </w:p>
    <w:p w14:paraId="22737072" w14:textId="77777777" w:rsidR="001E094C" w:rsidRDefault="001E094C" w:rsidP="00C05304">
      <w:pPr>
        <w:pStyle w:val="Prrafodelista"/>
        <w:tabs>
          <w:tab w:val="left" w:pos="567"/>
        </w:tabs>
        <w:ind w:left="426"/>
        <w:jc w:val="both"/>
        <w:rPr>
          <w:rFonts w:ascii="Verdana" w:hAnsi="Verdana"/>
          <w:b/>
          <w:bCs/>
          <w:i/>
          <w:iCs/>
          <w:color w:val="800000"/>
          <w:sz w:val="18"/>
          <w:szCs w:val="18"/>
        </w:rPr>
      </w:pPr>
    </w:p>
    <w:p w14:paraId="3C30B8E2" w14:textId="0F64E6A8" w:rsidR="001E094C" w:rsidRPr="00E04064" w:rsidRDefault="001E094C">
      <w:pPr>
        <w:pStyle w:val="Prrafodelista"/>
        <w:numPr>
          <w:ilvl w:val="0"/>
          <w:numId w:val="45"/>
        </w:numPr>
        <w:tabs>
          <w:tab w:val="left" w:pos="567"/>
        </w:tabs>
        <w:ind w:left="426" w:hanging="284"/>
        <w:jc w:val="both"/>
        <w:rPr>
          <w:rFonts w:ascii="Verdana" w:hAnsi="Verdana"/>
          <w:b/>
          <w:bCs/>
          <w:i/>
          <w:color w:val="800000"/>
          <w:sz w:val="18"/>
          <w:szCs w:val="18"/>
        </w:rPr>
      </w:pPr>
      <w:r w:rsidRPr="00E04064">
        <w:rPr>
          <w:rFonts w:ascii="Verdana" w:hAnsi="Verdana"/>
          <w:b/>
          <w:bCs/>
          <w:i/>
          <w:color w:val="800000"/>
          <w:sz w:val="18"/>
          <w:szCs w:val="18"/>
        </w:rPr>
        <w:t>TRATAMIENTO FISCAL, TANTO EN EL IMPUESTO SOBRE SOCIEDADES COMO EN EL IVA, DE LA ADQUISICIÓN DE UN VEHÍCULO POR UNA SOCIEDAD, DESTINADO SUPUESTAMENTE A USO EXCLUSIVAMENTE EMPRESARIAL</w:t>
      </w:r>
    </w:p>
    <w:p w14:paraId="057950EC" w14:textId="088D496C" w:rsidR="001E094C" w:rsidRDefault="001E094C" w:rsidP="001E094C">
      <w:pPr>
        <w:tabs>
          <w:tab w:val="left" w:pos="567"/>
        </w:tabs>
        <w:ind w:left="426"/>
        <w:jc w:val="both"/>
        <w:rPr>
          <w:rFonts w:ascii="Verdana" w:hAnsi="Verdana"/>
          <w:b/>
          <w:bCs/>
          <w:i/>
          <w:iCs/>
          <w:color w:val="800000"/>
          <w:sz w:val="18"/>
          <w:szCs w:val="18"/>
        </w:rPr>
      </w:pPr>
      <w:r w:rsidRPr="001E094C">
        <w:rPr>
          <w:rFonts w:ascii="Verdana" w:hAnsi="Verdana"/>
          <w:b/>
          <w:bCs/>
          <w:i/>
          <w:iCs/>
          <w:color w:val="800000"/>
          <w:sz w:val="18"/>
          <w:szCs w:val="18"/>
        </w:rPr>
        <w:t>La Dirección General de Tributos analiza el tratamiento fiscal, tanto en el Impuesto sobre Sociedades como en el IVA, de la adquisición de un vehículo por una sociedad, destinado supuestamente a uso exclusivamente empresarial.</w:t>
      </w:r>
    </w:p>
    <w:p w14:paraId="307370D8" w14:textId="77777777" w:rsidR="00DF6F8F" w:rsidRDefault="00DF6F8F" w:rsidP="001E094C">
      <w:pPr>
        <w:tabs>
          <w:tab w:val="left" w:pos="567"/>
        </w:tabs>
        <w:ind w:left="426"/>
        <w:jc w:val="both"/>
        <w:rPr>
          <w:rFonts w:ascii="Verdana" w:hAnsi="Verdana"/>
          <w:b/>
          <w:bCs/>
          <w:i/>
          <w:iCs/>
          <w:color w:val="800000"/>
          <w:sz w:val="18"/>
          <w:szCs w:val="18"/>
        </w:rPr>
      </w:pPr>
    </w:p>
    <w:p w14:paraId="053A2F99" w14:textId="68A0A129" w:rsidR="00DF6F8F" w:rsidRPr="00DF6F8F" w:rsidRDefault="00DF6F8F" w:rsidP="00DF6F8F">
      <w:pPr>
        <w:pStyle w:val="Prrafodelista"/>
        <w:numPr>
          <w:ilvl w:val="0"/>
          <w:numId w:val="45"/>
        </w:numPr>
        <w:tabs>
          <w:tab w:val="left" w:pos="426"/>
        </w:tabs>
        <w:ind w:left="426" w:hanging="284"/>
        <w:jc w:val="both"/>
        <w:rPr>
          <w:rFonts w:ascii="Verdana" w:hAnsi="Verdana"/>
          <w:b/>
          <w:bCs/>
          <w:i/>
          <w:iCs/>
          <w:color w:val="800000"/>
          <w:sz w:val="18"/>
          <w:szCs w:val="18"/>
        </w:rPr>
      </w:pPr>
      <w:r>
        <w:rPr>
          <w:rFonts w:ascii="Verdana" w:hAnsi="Verdana"/>
          <w:b/>
          <w:bCs/>
          <w:i/>
          <w:iCs/>
          <w:color w:val="800000"/>
          <w:sz w:val="18"/>
          <w:szCs w:val="18"/>
        </w:rPr>
        <w:t>OPERACIONES VINCULADAS.</w:t>
      </w:r>
      <w:r w:rsidRPr="00DF6F8F">
        <w:t xml:space="preserve"> </w:t>
      </w:r>
      <w:r w:rsidRPr="00DF6F8F">
        <w:rPr>
          <w:rFonts w:ascii="Verdana" w:hAnsi="Verdana"/>
          <w:b/>
          <w:bCs/>
          <w:i/>
          <w:color w:val="800000"/>
          <w:sz w:val="18"/>
          <w:szCs w:val="18"/>
        </w:rPr>
        <w:t>VINCULACIÓN INDIRECTA ENTRE PERSONA FÍSICA Y ENTIDAD A EFECTOS DE OPERACIONES VINCULADAS: CRITERIO DEL TEAC</w:t>
      </w:r>
      <w:r>
        <w:rPr>
          <w:rFonts w:ascii="Verdana" w:hAnsi="Verdana"/>
          <w:b/>
          <w:bCs/>
          <w:i/>
          <w:iCs/>
          <w:color w:val="800000"/>
          <w:sz w:val="18"/>
          <w:szCs w:val="18"/>
        </w:rPr>
        <w:t xml:space="preserve"> </w:t>
      </w:r>
    </w:p>
    <w:p w14:paraId="79037A9E" w14:textId="2B7ED605" w:rsidR="00DF6F8F" w:rsidRDefault="00DF6F8F" w:rsidP="00DF6F8F">
      <w:pPr>
        <w:tabs>
          <w:tab w:val="left" w:pos="567"/>
        </w:tabs>
        <w:ind w:left="426"/>
        <w:jc w:val="both"/>
        <w:rPr>
          <w:rFonts w:ascii="Verdana" w:hAnsi="Verdana"/>
          <w:b/>
          <w:bCs/>
          <w:i/>
          <w:iCs/>
          <w:color w:val="800000"/>
          <w:sz w:val="18"/>
          <w:szCs w:val="18"/>
        </w:rPr>
      </w:pPr>
      <w:r w:rsidRPr="00DF6F8F">
        <w:rPr>
          <w:rFonts w:ascii="Verdana" w:hAnsi="Verdana"/>
          <w:b/>
          <w:bCs/>
          <w:i/>
          <w:iCs/>
          <w:color w:val="800000"/>
          <w:sz w:val="18"/>
          <w:szCs w:val="18"/>
        </w:rPr>
        <w:t>El TEAC considera que, aunque la literalidad de la norma establece la vinculación entre una entidad y otra entidad participada por la primera indirectamente en, al menos, el 25% del capital social o de los fondos propios, también es aplicable cuando se trata de una persona física.</w:t>
      </w:r>
    </w:p>
    <w:p w14:paraId="1E40E39C" w14:textId="77777777" w:rsidR="00C029C1" w:rsidRDefault="00C029C1" w:rsidP="00DF6F8F">
      <w:pPr>
        <w:tabs>
          <w:tab w:val="left" w:pos="567"/>
        </w:tabs>
        <w:ind w:left="426"/>
        <w:jc w:val="both"/>
        <w:rPr>
          <w:rFonts w:ascii="Verdana" w:hAnsi="Verdana"/>
          <w:b/>
          <w:bCs/>
          <w:i/>
          <w:iCs/>
          <w:color w:val="800000"/>
          <w:sz w:val="18"/>
          <w:szCs w:val="18"/>
        </w:rPr>
      </w:pPr>
    </w:p>
    <w:p w14:paraId="5C15CFC8" w14:textId="495980B0" w:rsidR="00C029C1" w:rsidRDefault="00EA30E6" w:rsidP="008A2D40">
      <w:pPr>
        <w:pStyle w:val="Prrafodelista"/>
        <w:numPr>
          <w:ilvl w:val="0"/>
          <w:numId w:val="50"/>
        </w:numPr>
        <w:tabs>
          <w:tab w:val="left" w:pos="426"/>
        </w:tabs>
        <w:ind w:left="426" w:hanging="284"/>
        <w:jc w:val="both"/>
        <w:rPr>
          <w:rFonts w:ascii="Verdana" w:hAnsi="Verdana"/>
          <w:b/>
          <w:bCs/>
          <w:color w:val="800000"/>
          <w:sz w:val="18"/>
          <w:szCs w:val="18"/>
        </w:rPr>
      </w:pPr>
      <w:r w:rsidRPr="00EA30E6">
        <w:rPr>
          <w:rFonts w:ascii="Verdana" w:hAnsi="Verdana"/>
          <w:b/>
          <w:bCs/>
          <w:color w:val="800000"/>
          <w:sz w:val="18"/>
          <w:szCs w:val="18"/>
        </w:rPr>
        <w:lastRenderedPageBreak/>
        <w:t xml:space="preserve">IVA .- </w:t>
      </w:r>
      <w:r w:rsidR="00C029C1" w:rsidRPr="00EA30E6">
        <w:rPr>
          <w:rFonts w:ascii="Verdana" w:hAnsi="Verdana"/>
          <w:b/>
          <w:bCs/>
          <w:color w:val="800000"/>
          <w:sz w:val="18"/>
          <w:szCs w:val="18"/>
        </w:rPr>
        <w:t>CLAVES PARA DETERMINAR LA TRIBUTACIÓN DEL IVA EN SERVICIOS DE ENSEÑANZA ONLINE Y PUBLICACIONES DIGITALES</w:t>
      </w:r>
    </w:p>
    <w:p w14:paraId="1AC6124C" w14:textId="6B4D4D52" w:rsidR="00EA30E6" w:rsidRDefault="00EA30E6" w:rsidP="00EA30E6">
      <w:pPr>
        <w:ind w:left="426"/>
        <w:jc w:val="both"/>
        <w:rPr>
          <w:rFonts w:ascii="Verdana" w:hAnsi="Verdana"/>
          <w:b/>
          <w:bCs/>
          <w:color w:val="800000"/>
          <w:sz w:val="18"/>
          <w:szCs w:val="18"/>
        </w:rPr>
      </w:pPr>
      <w:r w:rsidRPr="00EA30E6">
        <w:rPr>
          <w:rFonts w:ascii="Verdana" w:hAnsi="Verdana"/>
          <w:b/>
          <w:bCs/>
          <w:i/>
          <w:iCs/>
          <w:color w:val="800000"/>
          <w:sz w:val="18"/>
          <w:szCs w:val="18"/>
        </w:rPr>
        <w:t xml:space="preserve">La DGT analiza el IVA aplicable a servicios de formación online prestados por plataformas digitales, diferenciando entre servicios educativos exentos y servicios electrónicos sujetos al 21%, así como la tributación de </w:t>
      </w:r>
      <w:proofErr w:type="spellStart"/>
      <w:r w:rsidRPr="00EA30E6">
        <w:rPr>
          <w:rFonts w:ascii="Verdana" w:hAnsi="Verdana"/>
          <w:b/>
          <w:bCs/>
          <w:i/>
          <w:iCs/>
          <w:color w:val="800000"/>
          <w:sz w:val="18"/>
          <w:szCs w:val="18"/>
        </w:rPr>
        <w:t>infoproductos</w:t>
      </w:r>
      <w:proofErr w:type="spellEnd"/>
      <w:r w:rsidRPr="00EA30E6">
        <w:rPr>
          <w:rFonts w:ascii="Verdana" w:hAnsi="Verdana"/>
          <w:b/>
          <w:bCs/>
          <w:i/>
          <w:iCs/>
          <w:color w:val="800000"/>
          <w:sz w:val="18"/>
          <w:szCs w:val="18"/>
        </w:rPr>
        <w:t xml:space="preserve"> y publicaciones digitales al tipo superreducido del 4%.</w:t>
      </w:r>
    </w:p>
    <w:p w14:paraId="5263EBBC" w14:textId="77777777" w:rsidR="00EA30E6" w:rsidRPr="00EA30E6" w:rsidRDefault="00EA30E6" w:rsidP="00EA30E6">
      <w:pPr>
        <w:tabs>
          <w:tab w:val="left" w:pos="426"/>
        </w:tabs>
        <w:jc w:val="both"/>
        <w:rPr>
          <w:rFonts w:ascii="Verdana" w:hAnsi="Verdana"/>
          <w:b/>
          <w:bCs/>
          <w:color w:val="800000"/>
          <w:sz w:val="18"/>
          <w:szCs w:val="18"/>
        </w:rPr>
      </w:pPr>
    </w:p>
    <w:p w14:paraId="50E86A69" w14:textId="77777777" w:rsidR="00EE661B" w:rsidRDefault="00EE661B" w:rsidP="00413727">
      <w:pPr>
        <w:tabs>
          <w:tab w:val="left" w:pos="284"/>
        </w:tabs>
        <w:ind w:left="284"/>
        <w:jc w:val="both"/>
        <w:rPr>
          <w:rFonts w:ascii="Verdana" w:hAnsi="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2B44A4" w:rsidRPr="001A64CF" w14:paraId="34588293" w14:textId="77777777" w:rsidTr="00D40788">
        <w:tc>
          <w:tcPr>
            <w:tcW w:w="180" w:type="dxa"/>
            <w:shd w:val="clear" w:color="auto" w:fill="FF6600"/>
          </w:tcPr>
          <w:p w14:paraId="22E37D39" w14:textId="77777777" w:rsidR="002B44A4" w:rsidRPr="001A64CF" w:rsidRDefault="002B44A4" w:rsidP="00D40788">
            <w:pPr>
              <w:pStyle w:val="Textoindependiente"/>
              <w:rPr>
                <w:rFonts w:ascii="Verdana" w:hAnsi="Verdana"/>
                <w:color w:val="800000"/>
                <w:sz w:val="16"/>
                <w:szCs w:val="16"/>
              </w:rPr>
            </w:pPr>
            <w:bookmarkStart w:id="0" w:name="_Hlk72520559"/>
          </w:p>
        </w:tc>
        <w:tc>
          <w:tcPr>
            <w:tcW w:w="8460" w:type="dxa"/>
          </w:tcPr>
          <w:p w14:paraId="0C47AA2F" w14:textId="3A836F43" w:rsidR="002B44A4" w:rsidRPr="001A64CF" w:rsidRDefault="001A64CF">
            <w:pPr>
              <w:numPr>
                <w:ilvl w:val="0"/>
                <w:numId w:val="1"/>
              </w:numPr>
              <w:tabs>
                <w:tab w:val="clear" w:pos="720"/>
                <w:tab w:val="num" w:pos="317"/>
                <w:tab w:val="left" w:pos="360"/>
              </w:tabs>
              <w:ind w:left="317" w:hanging="283"/>
              <w:jc w:val="both"/>
              <w:rPr>
                <w:rFonts w:ascii="Verdana" w:hAnsi="Verdana"/>
                <w:b/>
                <w:bCs/>
                <w:color w:val="800000"/>
                <w:sz w:val="16"/>
                <w:szCs w:val="16"/>
              </w:rPr>
            </w:pPr>
            <w:r w:rsidRPr="001A64CF">
              <w:rPr>
                <w:rFonts w:ascii="Verdana" w:hAnsi="Verdana"/>
                <w:b/>
                <w:bCs/>
                <w:color w:val="800000"/>
                <w:sz w:val="18"/>
                <w:szCs w:val="18"/>
              </w:rPr>
              <w:t>NOTA SOBRE LOS EFECTOS, EN EL ÁMBITO TRIBUTARIO, DEL REAL DECRETO-LEY 16/2025, DE 23 DE DICIEMBRE, Y DEL REAL DECRETO-LEY 2/2026, DE 3 DE FEBRERO</w:t>
            </w:r>
          </w:p>
        </w:tc>
      </w:tr>
      <w:bookmarkEnd w:id="0"/>
    </w:tbl>
    <w:p w14:paraId="2FB5A72A" w14:textId="77777777" w:rsidR="002B44A4" w:rsidRDefault="002B44A4" w:rsidP="007D0656">
      <w:pPr>
        <w:tabs>
          <w:tab w:val="left" w:pos="360"/>
        </w:tabs>
        <w:ind w:left="720"/>
        <w:jc w:val="both"/>
        <w:rPr>
          <w:rFonts w:ascii="Verdana" w:hAnsi="Verdana"/>
          <w:b/>
          <w:bCs/>
          <w:i/>
          <w:iCs/>
          <w:color w:val="800000"/>
          <w:sz w:val="18"/>
          <w:szCs w:val="18"/>
        </w:rPr>
      </w:pPr>
    </w:p>
    <w:p w14:paraId="0087BE5B" w14:textId="77777777" w:rsidR="001A64CF" w:rsidRPr="001A64CF" w:rsidRDefault="001A64CF" w:rsidP="001A64CF">
      <w:pPr>
        <w:ind w:left="284"/>
        <w:jc w:val="both"/>
        <w:rPr>
          <w:rFonts w:ascii="Verdana" w:hAnsi="Verdana"/>
          <w:bCs/>
          <w:iCs/>
          <w:sz w:val="18"/>
          <w:szCs w:val="18"/>
        </w:rPr>
      </w:pPr>
      <w:r w:rsidRPr="001A64CF">
        <w:rPr>
          <w:rFonts w:ascii="Verdana" w:hAnsi="Verdana"/>
          <w:bCs/>
          <w:iCs/>
          <w:sz w:val="18"/>
          <w:szCs w:val="18"/>
        </w:rPr>
        <w:t>De conformidad con los criterios establecidos por la Dirección General de Tributos, los efectos en el ámbito tributario producidos por el  Real Decreto-ley 16/2025, de 23 de diciembre, por el que se prorrogan determinadas medidas para hacer frente a situaciones de vulnerabilidad social, y se adoptan medidas urgentes en materia tributaria y de Seguridad Social, y el Real Decreto-ley 2/2026, de 3 de febrero, por el que se adoptan medidas urgentes para hacer frente a situaciones de vulnerabilidad social, en materia tributaria y relativas a los recursos de los sistemas de financiación territorial, ambos no convalidados, son los siguientes:</w:t>
      </w:r>
    </w:p>
    <w:p w14:paraId="729E6A8B" w14:textId="77777777" w:rsidR="001A64CF" w:rsidRPr="001A64CF" w:rsidRDefault="001A64CF" w:rsidP="001A64CF">
      <w:pPr>
        <w:ind w:left="284"/>
        <w:jc w:val="both"/>
        <w:rPr>
          <w:rFonts w:ascii="Verdana" w:hAnsi="Verdana"/>
          <w:bCs/>
          <w:iCs/>
          <w:sz w:val="18"/>
          <w:szCs w:val="18"/>
        </w:rPr>
      </w:pPr>
    </w:p>
    <w:p w14:paraId="426A4D42" w14:textId="77777777" w:rsidR="001A64CF" w:rsidRPr="004B5BCC" w:rsidRDefault="001A64CF" w:rsidP="001A64CF">
      <w:pPr>
        <w:ind w:left="284"/>
        <w:jc w:val="both"/>
        <w:rPr>
          <w:rFonts w:ascii="Verdana" w:hAnsi="Verdana"/>
          <w:b/>
          <w:iCs/>
          <w:color w:val="800000"/>
          <w:sz w:val="18"/>
          <w:szCs w:val="18"/>
        </w:rPr>
      </w:pPr>
      <w:r w:rsidRPr="004B5BCC">
        <w:rPr>
          <w:rFonts w:ascii="Verdana" w:hAnsi="Verdana"/>
          <w:b/>
          <w:iCs/>
          <w:color w:val="800000"/>
          <w:sz w:val="18"/>
          <w:szCs w:val="18"/>
        </w:rPr>
        <w:t>Impuesto sobre la Renta de las Personas Físicas</w:t>
      </w:r>
    </w:p>
    <w:p w14:paraId="0322BE9D" w14:textId="77777777" w:rsidR="001A64CF" w:rsidRPr="004B5BCC" w:rsidRDefault="001A64CF" w:rsidP="001A64CF">
      <w:pPr>
        <w:ind w:left="284"/>
        <w:jc w:val="both"/>
        <w:rPr>
          <w:rFonts w:ascii="Verdana" w:hAnsi="Verdana"/>
          <w:bCs/>
          <w:iCs/>
          <w:color w:val="800000"/>
          <w:sz w:val="18"/>
          <w:szCs w:val="18"/>
        </w:rPr>
      </w:pPr>
    </w:p>
    <w:p w14:paraId="66F73425" w14:textId="77777777" w:rsidR="001A64CF" w:rsidRPr="004B5BCC" w:rsidRDefault="001A64CF" w:rsidP="001A64CF">
      <w:pPr>
        <w:ind w:left="284"/>
        <w:jc w:val="both"/>
        <w:rPr>
          <w:rFonts w:ascii="Verdana" w:hAnsi="Verdana"/>
          <w:b/>
          <w:iCs/>
          <w:color w:val="800000"/>
          <w:sz w:val="18"/>
          <w:szCs w:val="18"/>
        </w:rPr>
      </w:pPr>
      <w:r w:rsidRPr="004B5BCC">
        <w:rPr>
          <w:rFonts w:ascii="Verdana" w:hAnsi="Verdana"/>
          <w:b/>
          <w:iCs/>
          <w:color w:val="800000"/>
          <w:sz w:val="18"/>
          <w:szCs w:val="18"/>
        </w:rPr>
        <w:t>Respecto al ejercicio 2025:</w:t>
      </w:r>
    </w:p>
    <w:p w14:paraId="3498689B" w14:textId="77777777" w:rsidR="001A64CF" w:rsidRPr="001A64CF" w:rsidRDefault="001A64CF" w:rsidP="001A64CF">
      <w:pPr>
        <w:ind w:left="284"/>
        <w:jc w:val="both"/>
        <w:rPr>
          <w:rFonts w:ascii="Verdana" w:hAnsi="Verdana"/>
          <w:bCs/>
          <w:iCs/>
          <w:sz w:val="18"/>
          <w:szCs w:val="18"/>
        </w:rPr>
      </w:pPr>
    </w:p>
    <w:p w14:paraId="55F1C1C6" w14:textId="77777777" w:rsidR="001A64CF" w:rsidRPr="001A64CF" w:rsidRDefault="001A64CF" w:rsidP="001A64CF">
      <w:pPr>
        <w:ind w:left="284"/>
        <w:jc w:val="both"/>
        <w:rPr>
          <w:rFonts w:ascii="Verdana" w:hAnsi="Verdana"/>
          <w:bCs/>
          <w:iCs/>
          <w:sz w:val="18"/>
          <w:szCs w:val="18"/>
        </w:rPr>
      </w:pPr>
      <w:r w:rsidRPr="001A64CF">
        <w:rPr>
          <w:rFonts w:ascii="Verdana" w:hAnsi="Verdana"/>
          <w:bCs/>
          <w:iCs/>
          <w:sz w:val="18"/>
          <w:szCs w:val="18"/>
        </w:rPr>
        <w:t>En la fecha de devengo del IRPF para 2025, las modificaciones introducidas por el Real Decreto-ley 16/2025, de 23 de diciembre, estaban en vigor y desplegando sus plenos efectos jurídicos, por lo que resultan de aplicación en 2025 las siguientes medidas:</w:t>
      </w:r>
    </w:p>
    <w:p w14:paraId="36A39D00" w14:textId="77777777" w:rsidR="001A64CF" w:rsidRPr="001A64CF" w:rsidRDefault="001A64CF" w:rsidP="001A64CF">
      <w:pPr>
        <w:ind w:left="284"/>
        <w:jc w:val="both"/>
        <w:rPr>
          <w:rFonts w:ascii="Verdana" w:hAnsi="Verdana"/>
          <w:bCs/>
          <w:iCs/>
          <w:sz w:val="18"/>
          <w:szCs w:val="18"/>
        </w:rPr>
      </w:pPr>
    </w:p>
    <w:p w14:paraId="3DCADB32" w14:textId="77777777" w:rsidR="001A64CF" w:rsidRPr="001A64CF" w:rsidRDefault="001A64CF" w:rsidP="001A64CF">
      <w:pPr>
        <w:ind w:left="284"/>
        <w:jc w:val="both"/>
        <w:rPr>
          <w:rFonts w:ascii="Verdana" w:hAnsi="Verdana"/>
          <w:bCs/>
          <w:iCs/>
          <w:sz w:val="18"/>
          <w:szCs w:val="18"/>
        </w:rPr>
      </w:pPr>
      <w:r w:rsidRPr="001A64CF">
        <w:rPr>
          <w:rFonts w:ascii="Verdana" w:hAnsi="Verdana"/>
          <w:bCs/>
          <w:iCs/>
          <w:sz w:val="18"/>
          <w:szCs w:val="18"/>
        </w:rPr>
        <w:t>Imputación de rentas inmobiliarias (disposición adicional quincuagésima quinta de la LIRPF, modificada por el artículo 14. Dos del Real Decreto-ley 16/2025).</w:t>
      </w:r>
    </w:p>
    <w:p w14:paraId="2A47F0F8" w14:textId="77777777" w:rsidR="001A64CF" w:rsidRPr="001A64CF" w:rsidRDefault="001A64CF" w:rsidP="001A64CF">
      <w:pPr>
        <w:ind w:left="284"/>
        <w:jc w:val="both"/>
        <w:rPr>
          <w:rFonts w:ascii="Verdana" w:hAnsi="Verdana"/>
          <w:bCs/>
          <w:iCs/>
          <w:sz w:val="18"/>
          <w:szCs w:val="18"/>
        </w:rPr>
      </w:pPr>
    </w:p>
    <w:p w14:paraId="24F431D6" w14:textId="77777777" w:rsidR="001A64CF" w:rsidRPr="001A64CF" w:rsidRDefault="001A64CF" w:rsidP="001A64CF">
      <w:pPr>
        <w:ind w:left="284"/>
        <w:jc w:val="both"/>
        <w:rPr>
          <w:rFonts w:ascii="Verdana" w:hAnsi="Verdana"/>
          <w:bCs/>
          <w:iCs/>
          <w:sz w:val="18"/>
          <w:szCs w:val="18"/>
        </w:rPr>
      </w:pPr>
      <w:r w:rsidRPr="001A64CF">
        <w:rPr>
          <w:rFonts w:ascii="Verdana" w:hAnsi="Verdana"/>
          <w:bCs/>
          <w:iCs/>
          <w:sz w:val="18"/>
          <w:szCs w:val="18"/>
        </w:rPr>
        <w:t>Prórroga de las deducciones por obras de mejora de eficiencia energética en viviendas reguladas en los apartados 1 y 2 de la disposición adicional quincuagésima de la LIRPF (disposición adicional quincuagésima de la LIRPF, modificada por el artículo 14. Uno del Real Decreto-ley 16/2025). La deducción del apartado 3 se aplicaba en 2025 con la redacción anterior.</w:t>
      </w:r>
    </w:p>
    <w:p w14:paraId="4728AD1E" w14:textId="77777777" w:rsidR="001A64CF" w:rsidRPr="001A64CF" w:rsidRDefault="001A64CF" w:rsidP="001A64CF">
      <w:pPr>
        <w:ind w:left="284"/>
        <w:jc w:val="both"/>
        <w:rPr>
          <w:rFonts w:ascii="Verdana" w:hAnsi="Verdana"/>
          <w:bCs/>
          <w:iCs/>
          <w:sz w:val="18"/>
          <w:szCs w:val="18"/>
        </w:rPr>
      </w:pPr>
    </w:p>
    <w:p w14:paraId="7E863196" w14:textId="77777777" w:rsidR="001A64CF" w:rsidRPr="001A64CF" w:rsidRDefault="001A64CF" w:rsidP="001A64CF">
      <w:pPr>
        <w:ind w:left="284"/>
        <w:jc w:val="both"/>
        <w:rPr>
          <w:rFonts w:ascii="Verdana" w:hAnsi="Verdana"/>
          <w:bCs/>
          <w:iCs/>
          <w:sz w:val="18"/>
          <w:szCs w:val="18"/>
        </w:rPr>
      </w:pPr>
      <w:r w:rsidRPr="001A64CF">
        <w:rPr>
          <w:rFonts w:ascii="Verdana" w:hAnsi="Verdana"/>
          <w:bCs/>
          <w:iCs/>
          <w:sz w:val="18"/>
          <w:szCs w:val="18"/>
        </w:rPr>
        <w:t>Plazo de renuncias y revocaciones al método de estimación objetiva del Impuesto sobre la Renta de las Personas Físicas (artículo 15 del Real Decreto-Ley 16/2025). Son válidas las renuncias y revocaciones presentadas durante la vigencia del Real Decreto-ley 16/2025 y del Real Decreto-ley 2/2026.</w:t>
      </w:r>
    </w:p>
    <w:p w14:paraId="7D293196" w14:textId="77777777" w:rsidR="001A64CF" w:rsidRPr="001A64CF" w:rsidRDefault="001A64CF" w:rsidP="001A64CF">
      <w:pPr>
        <w:ind w:left="284"/>
        <w:jc w:val="both"/>
        <w:rPr>
          <w:rFonts w:ascii="Verdana" w:hAnsi="Verdana"/>
          <w:bCs/>
          <w:iCs/>
          <w:sz w:val="18"/>
          <w:szCs w:val="18"/>
        </w:rPr>
      </w:pPr>
    </w:p>
    <w:p w14:paraId="30604F7D" w14:textId="77777777" w:rsidR="001A64CF" w:rsidRPr="001A64CF" w:rsidRDefault="001A64CF" w:rsidP="001A64CF">
      <w:pPr>
        <w:ind w:left="284"/>
        <w:jc w:val="both"/>
        <w:rPr>
          <w:rFonts w:ascii="Verdana" w:hAnsi="Verdana"/>
          <w:bCs/>
          <w:iCs/>
          <w:sz w:val="18"/>
          <w:szCs w:val="18"/>
        </w:rPr>
      </w:pPr>
      <w:r w:rsidRPr="001A64CF">
        <w:rPr>
          <w:rFonts w:ascii="Verdana" w:hAnsi="Verdana"/>
          <w:bCs/>
          <w:iCs/>
          <w:sz w:val="18"/>
          <w:szCs w:val="18"/>
        </w:rPr>
        <w:t>Exención por daños personales en incendios forestales (artículo 16 del Real Decreto-Ley 16/2025).</w:t>
      </w:r>
    </w:p>
    <w:p w14:paraId="79D63BF5" w14:textId="77777777" w:rsidR="001A64CF" w:rsidRPr="001A64CF" w:rsidRDefault="001A64CF" w:rsidP="001A64CF">
      <w:pPr>
        <w:ind w:left="284"/>
        <w:jc w:val="both"/>
        <w:rPr>
          <w:rFonts w:ascii="Verdana" w:hAnsi="Verdana"/>
          <w:bCs/>
          <w:iCs/>
          <w:sz w:val="18"/>
          <w:szCs w:val="18"/>
        </w:rPr>
      </w:pPr>
    </w:p>
    <w:p w14:paraId="2AC72622" w14:textId="77777777" w:rsidR="001A64CF" w:rsidRPr="001A64CF" w:rsidRDefault="001A64CF" w:rsidP="001A64CF">
      <w:pPr>
        <w:ind w:left="284"/>
        <w:jc w:val="both"/>
        <w:rPr>
          <w:rFonts w:ascii="Verdana" w:hAnsi="Verdana"/>
          <w:bCs/>
          <w:iCs/>
          <w:sz w:val="18"/>
          <w:szCs w:val="18"/>
        </w:rPr>
      </w:pPr>
      <w:r w:rsidRPr="001A64CF">
        <w:rPr>
          <w:rFonts w:ascii="Verdana" w:hAnsi="Verdana"/>
          <w:bCs/>
          <w:iCs/>
          <w:sz w:val="18"/>
          <w:szCs w:val="18"/>
        </w:rPr>
        <w:t xml:space="preserve">Exención de las ayudas aprobadas por la </w:t>
      </w:r>
      <w:proofErr w:type="spellStart"/>
      <w:r w:rsidRPr="001A64CF">
        <w:rPr>
          <w:rFonts w:ascii="Verdana" w:hAnsi="Verdana"/>
          <w:bCs/>
          <w:iCs/>
          <w:sz w:val="18"/>
          <w:szCs w:val="18"/>
        </w:rPr>
        <w:t>Comunitat</w:t>
      </w:r>
      <w:proofErr w:type="spellEnd"/>
      <w:r w:rsidRPr="001A64CF">
        <w:rPr>
          <w:rFonts w:ascii="Verdana" w:hAnsi="Verdana"/>
          <w:bCs/>
          <w:iCs/>
          <w:sz w:val="18"/>
          <w:szCs w:val="18"/>
        </w:rPr>
        <w:t xml:space="preserve"> Valenciana (artículo 20 del Real Decreto-Ley 16/2025) en:</w:t>
      </w:r>
    </w:p>
    <w:p w14:paraId="350EB135" w14:textId="77777777" w:rsidR="001A64CF" w:rsidRPr="001A64CF" w:rsidRDefault="001A64CF" w:rsidP="001A64CF">
      <w:pPr>
        <w:ind w:left="284"/>
        <w:jc w:val="both"/>
        <w:rPr>
          <w:rFonts w:ascii="Verdana" w:hAnsi="Verdana"/>
          <w:bCs/>
          <w:iCs/>
          <w:sz w:val="18"/>
          <w:szCs w:val="18"/>
        </w:rPr>
      </w:pPr>
    </w:p>
    <w:p w14:paraId="0FB10357" w14:textId="77777777" w:rsidR="001A64CF" w:rsidRPr="001A64CF" w:rsidRDefault="001A64CF" w:rsidP="001A64CF">
      <w:pPr>
        <w:ind w:left="284"/>
        <w:jc w:val="both"/>
        <w:rPr>
          <w:rFonts w:ascii="Verdana" w:hAnsi="Verdana"/>
          <w:bCs/>
          <w:iCs/>
          <w:sz w:val="18"/>
          <w:szCs w:val="18"/>
        </w:rPr>
      </w:pPr>
      <w:r w:rsidRPr="001A64CF">
        <w:rPr>
          <w:rFonts w:ascii="Verdana" w:hAnsi="Verdana"/>
          <w:bCs/>
          <w:iCs/>
          <w:sz w:val="18"/>
          <w:szCs w:val="18"/>
        </w:rPr>
        <w:t xml:space="preserve">El Decreto 172/2024, de 26 de noviembre, del Consell, por el que se aprueban las bases reguladoras y el procedimiento de concesión directa de ayudas urgentes dirigidas a facilitar el mantenimiento del empleo y la reactivación económica de las empresas que hayan sufrido daños por el temporal de viento y lluvias iniciado el 29 de octubre de 2024 en la </w:t>
      </w:r>
      <w:proofErr w:type="spellStart"/>
      <w:r w:rsidRPr="001A64CF">
        <w:rPr>
          <w:rFonts w:ascii="Verdana" w:hAnsi="Verdana"/>
          <w:bCs/>
          <w:iCs/>
          <w:sz w:val="18"/>
          <w:szCs w:val="18"/>
        </w:rPr>
        <w:t>Comunitat</w:t>
      </w:r>
      <w:proofErr w:type="spellEnd"/>
      <w:r w:rsidRPr="001A64CF">
        <w:rPr>
          <w:rFonts w:ascii="Verdana" w:hAnsi="Verdana"/>
          <w:bCs/>
          <w:iCs/>
          <w:sz w:val="18"/>
          <w:szCs w:val="18"/>
        </w:rPr>
        <w:t xml:space="preserve"> Valenciana.</w:t>
      </w:r>
    </w:p>
    <w:p w14:paraId="14D9E638" w14:textId="77777777" w:rsidR="001A64CF" w:rsidRPr="001A64CF" w:rsidRDefault="001A64CF" w:rsidP="001A64CF">
      <w:pPr>
        <w:ind w:left="284"/>
        <w:jc w:val="both"/>
        <w:rPr>
          <w:rFonts w:ascii="Verdana" w:hAnsi="Verdana"/>
          <w:bCs/>
          <w:iCs/>
          <w:sz w:val="18"/>
          <w:szCs w:val="18"/>
        </w:rPr>
      </w:pPr>
    </w:p>
    <w:p w14:paraId="06619C02" w14:textId="77777777" w:rsidR="001A64CF" w:rsidRPr="001A64CF" w:rsidRDefault="001A64CF" w:rsidP="001A64CF">
      <w:pPr>
        <w:ind w:left="284"/>
        <w:jc w:val="both"/>
        <w:rPr>
          <w:rFonts w:ascii="Verdana" w:hAnsi="Verdana"/>
          <w:bCs/>
          <w:iCs/>
          <w:sz w:val="18"/>
          <w:szCs w:val="18"/>
        </w:rPr>
      </w:pPr>
      <w:r w:rsidRPr="001A64CF">
        <w:rPr>
          <w:rFonts w:ascii="Verdana" w:hAnsi="Verdana"/>
          <w:bCs/>
          <w:iCs/>
          <w:sz w:val="18"/>
          <w:szCs w:val="18"/>
        </w:rPr>
        <w:t xml:space="preserve">El Decreto 176/2024, de 3 de diciembre, del Consell, por el que se aprueban las bases reguladoras de las ayudas urgentes dirigidas a las personas trabajadoras autónomas de las zonas de la </w:t>
      </w:r>
      <w:proofErr w:type="spellStart"/>
      <w:r w:rsidRPr="001A64CF">
        <w:rPr>
          <w:rFonts w:ascii="Verdana" w:hAnsi="Verdana"/>
          <w:bCs/>
          <w:iCs/>
          <w:sz w:val="18"/>
          <w:szCs w:val="18"/>
        </w:rPr>
        <w:t>Comunitat</w:t>
      </w:r>
      <w:proofErr w:type="spellEnd"/>
      <w:r w:rsidRPr="001A64CF">
        <w:rPr>
          <w:rFonts w:ascii="Verdana" w:hAnsi="Verdana"/>
          <w:bCs/>
          <w:iCs/>
          <w:sz w:val="18"/>
          <w:szCs w:val="18"/>
        </w:rPr>
        <w:t xml:space="preserve"> Valenciana afectadas por la DANA.</w:t>
      </w:r>
    </w:p>
    <w:p w14:paraId="69AAABE6" w14:textId="77777777" w:rsidR="001A64CF" w:rsidRPr="001A64CF" w:rsidRDefault="001A64CF" w:rsidP="001A64CF">
      <w:pPr>
        <w:ind w:left="284"/>
        <w:jc w:val="both"/>
        <w:rPr>
          <w:rFonts w:ascii="Verdana" w:hAnsi="Verdana"/>
          <w:bCs/>
          <w:iCs/>
          <w:sz w:val="18"/>
          <w:szCs w:val="18"/>
        </w:rPr>
      </w:pPr>
    </w:p>
    <w:p w14:paraId="53919914" w14:textId="77777777" w:rsidR="001A64CF" w:rsidRPr="001A64CF" w:rsidRDefault="001A64CF" w:rsidP="001A64CF">
      <w:pPr>
        <w:ind w:left="284"/>
        <w:jc w:val="both"/>
        <w:rPr>
          <w:rFonts w:ascii="Verdana" w:hAnsi="Verdana"/>
          <w:bCs/>
          <w:iCs/>
          <w:sz w:val="18"/>
          <w:szCs w:val="18"/>
        </w:rPr>
      </w:pPr>
      <w:r w:rsidRPr="001A64CF">
        <w:rPr>
          <w:rFonts w:ascii="Verdana" w:hAnsi="Verdana"/>
          <w:bCs/>
          <w:iCs/>
          <w:sz w:val="18"/>
          <w:szCs w:val="18"/>
        </w:rPr>
        <w:lastRenderedPageBreak/>
        <w:t>Respecto al ejercicio 2026 se mantienen los límites para la aplicación del método de estimación objetiva vigentes en los ejercicios 2016 a 2024 (disposición transitoria trigésima segunda de la LIRPF, modificada por el artículo 14. Cuatro del Real Decreto-Ley 16/2025).</w:t>
      </w:r>
    </w:p>
    <w:p w14:paraId="13AA7E24" w14:textId="77777777" w:rsidR="001A64CF" w:rsidRPr="001A64CF" w:rsidRDefault="001A64CF" w:rsidP="001A64CF">
      <w:pPr>
        <w:ind w:left="284"/>
        <w:jc w:val="both"/>
        <w:rPr>
          <w:rFonts w:ascii="Verdana" w:hAnsi="Verdana"/>
          <w:bCs/>
          <w:iCs/>
          <w:sz w:val="18"/>
          <w:szCs w:val="18"/>
        </w:rPr>
      </w:pPr>
    </w:p>
    <w:p w14:paraId="0EB5F7CF" w14:textId="77777777" w:rsidR="001A64CF" w:rsidRPr="004B5BCC" w:rsidRDefault="001A64CF" w:rsidP="001A64CF">
      <w:pPr>
        <w:ind w:left="284"/>
        <w:jc w:val="both"/>
        <w:rPr>
          <w:rFonts w:ascii="Verdana" w:hAnsi="Verdana"/>
          <w:b/>
          <w:iCs/>
          <w:color w:val="800000"/>
          <w:sz w:val="18"/>
          <w:szCs w:val="18"/>
        </w:rPr>
      </w:pPr>
      <w:r w:rsidRPr="004B5BCC">
        <w:rPr>
          <w:rFonts w:ascii="Verdana" w:hAnsi="Verdana"/>
          <w:b/>
          <w:iCs/>
          <w:color w:val="800000"/>
          <w:sz w:val="18"/>
          <w:szCs w:val="18"/>
        </w:rPr>
        <w:t>Impuesto sobre el Valor Añadido</w:t>
      </w:r>
    </w:p>
    <w:p w14:paraId="75F073AC" w14:textId="77777777" w:rsidR="001A64CF" w:rsidRPr="001A64CF" w:rsidRDefault="001A64CF" w:rsidP="001A64CF">
      <w:pPr>
        <w:ind w:left="284"/>
        <w:jc w:val="both"/>
        <w:rPr>
          <w:rFonts w:ascii="Verdana" w:hAnsi="Verdana"/>
          <w:bCs/>
          <w:iCs/>
          <w:sz w:val="18"/>
          <w:szCs w:val="18"/>
        </w:rPr>
      </w:pPr>
    </w:p>
    <w:p w14:paraId="181457B9" w14:textId="24928586" w:rsidR="00154154" w:rsidRDefault="001A64CF" w:rsidP="001A64CF">
      <w:pPr>
        <w:ind w:left="284"/>
        <w:jc w:val="both"/>
        <w:rPr>
          <w:rFonts w:ascii="Verdana" w:hAnsi="Verdana"/>
          <w:bCs/>
          <w:iCs/>
          <w:sz w:val="18"/>
          <w:szCs w:val="18"/>
        </w:rPr>
      </w:pPr>
      <w:r w:rsidRPr="001A64CF">
        <w:rPr>
          <w:rFonts w:ascii="Verdana" w:hAnsi="Verdana"/>
          <w:bCs/>
          <w:iCs/>
          <w:sz w:val="18"/>
          <w:szCs w:val="18"/>
        </w:rPr>
        <w:t>Respecto al ejercicio 2026 se mantienen los límites para la aplicación de los regímenes simplificado y especial de agricultura, ganadería y pesca, vigentes en los ejercicios 2016 a 2024 (Disposición transitoria decimotercera de la LIVA modificada por el artículo 12 del Real Decreto-ley 16/2025).</w:t>
      </w:r>
    </w:p>
    <w:p w14:paraId="60B7949F" w14:textId="77777777" w:rsidR="00830BCC" w:rsidRDefault="00830BCC" w:rsidP="001A64CF">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830BCC" w:rsidRPr="00830BCC" w14:paraId="103A9413" w14:textId="77777777" w:rsidTr="00895D19">
        <w:tc>
          <w:tcPr>
            <w:tcW w:w="180" w:type="dxa"/>
            <w:shd w:val="clear" w:color="auto" w:fill="FF6600"/>
          </w:tcPr>
          <w:p w14:paraId="316ED38D" w14:textId="77777777" w:rsidR="00830BCC" w:rsidRPr="00830BCC" w:rsidRDefault="00830BCC" w:rsidP="00895D19">
            <w:pPr>
              <w:pStyle w:val="Textoindependiente"/>
              <w:rPr>
                <w:rFonts w:ascii="Verdana" w:hAnsi="Verdana"/>
                <w:color w:val="800000"/>
                <w:sz w:val="16"/>
                <w:szCs w:val="16"/>
              </w:rPr>
            </w:pPr>
            <w:bookmarkStart w:id="1" w:name="_Hlk229243448"/>
          </w:p>
        </w:tc>
        <w:tc>
          <w:tcPr>
            <w:tcW w:w="8460" w:type="dxa"/>
          </w:tcPr>
          <w:p w14:paraId="03B6A091" w14:textId="1CF77425" w:rsidR="00830BCC" w:rsidRPr="00830BCC" w:rsidRDefault="00830BCC">
            <w:pPr>
              <w:numPr>
                <w:ilvl w:val="0"/>
                <w:numId w:val="1"/>
              </w:numPr>
              <w:tabs>
                <w:tab w:val="clear" w:pos="720"/>
                <w:tab w:val="num" w:pos="317"/>
                <w:tab w:val="left" w:pos="360"/>
              </w:tabs>
              <w:ind w:left="317" w:hanging="283"/>
              <w:jc w:val="both"/>
              <w:rPr>
                <w:rFonts w:ascii="Verdana" w:hAnsi="Verdana"/>
                <w:b/>
                <w:bCs/>
                <w:color w:val="800000"/>
                <w:sz w:val="16"/>
                <w:szCs w:val="16"/>
              </w:rPr>
            </w:pPr>
            <w:r w:rsidRPr="00830BCC">
              <w:rPr>
                <w:rFonts w:ascii="Verdana" w:hAnsi="Verdana"/>
                <w:b/>
                <w:bCs/>
                <w:color w:val="800000"/>
                <w:sz w:val="18"/>
                <w:szCs w:val="18"/>
              </w:rPr>
              <w:t>IS.- REGULARIZACIÓN DE EXISTENCIAS: CUANDO LA INSPECCIÓN INCREMENTE EL VALOR DE LAS EXISTENCIAS FINALES, EL CONTRIBUYENTE TIENE DERECHO A RECTIFICAR LA AUTOLIQUIDACIÓN DEL IMPUESTO SOBRE SOCIEDADES DEL EJERCICIO SIGUIENTE</w:t>
            </w:r>
          </w:p>
        </w:tc>
      </w:tr>
      <w:bookmarkEnd w:id="1"/>
    </w:tbl>
    <w:p w14:paraId="5068F1A3" w14:textId="77777777" w:rsidR="00830BCC" w:rsidRDefault="00830BCC" w:rsidP="001A64CF">
      <w:pPr>
        <w:ind w:left="284"/>
        <w:jc w:val="both"/>
        <w:rPr>
          <w:rFonts w:ascii="Verdana" w:hAnsi="Verdana"/>
          <w:bCs/>
          <w:iCs/>
          <w:sz w:val="18"/>
          <w:szCs w:val="18"/>
        </w:rPr>
      </w:pPr>
    </w:p>
    <w:p w14:paraId="7F32E41E"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 xml:space="preserve">En su resolución de 25 de marzo de 2026, el Tribunal Económico-Administrativo Central (TEAC) unifica criterio y establece una doctrina de gran relevancia práctica en el Impuesto sobre Sociedades: cuando la Inspección incrementa el valor de las existencias finales de un ejercicio, </w:t>
      </w:r>
      <w:r w:rsidRPr="0099719A">
        <w:rPr>
          <w:rFonts w:ascii="Verdana" w:hAnsi="Verdana"/>
          <w:b/>
          <w:iCs/>
          <w:sz w:val="18"/>
          <w:szCs w:val="18"/>
        </w:rPr>
        <w:t>el contribuyente tiene derecho a solicitar la rectificación de la autoliquidación del ejercicio siguiente para adaptar las existencias iniciales al nuevo valor fijado por la Administración</w:t>
      </w:r>
      <w:r w:rsidRPr="007A77A9">
        <w:rPr>
          <w:rFonts w:ascii="Verdana" w:hAnsi="Verdana"/>
          <w:bCs/>
          <w:iCs/>
          <w:sz w:val="18"/>
          <w:szCs w:val="18"/>
        </w:rPr>
        <w:t xml:space="preserve">. </w:t>
      </w:r>
    </w:p>
    <w:p w14:paraId="12D95354" w14:textId="77777777" w:rsidR="007A77A9" w:rsidRDefault="007A77A9" w:rsidP="007A77A9">
      <w:pPr>
        <w:ind w:left="284"/>
        <w:jc w:val="both"/>
        <w:rPr>
          <w:rFonts w:ascii="Verdana" w:hAnsi="Verdana"/>
          <w:b/>
          <w:bCs/>
          <w:iCs/>
          <w:sz w:val="18"/>
          <w:szCs w:val="18"/>
        </w:rPr>
      </w:pPr>
    </w:p>
    <w:p w14:paraId="5E66526D" w14:textId="78593F2B" w:rsidR="007A77A9" w:rsidRPr="007A77A9" w:rsidRDefault="007A77A9" w:rsidP="007A77A9">
      <w:pPr>
        <w:ind w:left="284"/>
        <w:jc w:val="both"/>
        <w:rPr>
          <w:rFonts w:ascii="Verdana" w:hAnsi="Verdana"/>
          <w:b/>
          <w:bCs/>
          <w:iCs/>
          <w:sz w:val="18"/>
          <w:szCs w:val="18"/>
        </w:rPr>
      </w:pPr>
      <w:r w:rsidRPr="007A77A9">
        <w:rPr>
          <w:rFonts w:ascii="Verdana" w:hAnsi="Verdana"/>
          <w:b/>
          <w:bCs/>
          <w:iCs/>
          <w:sz w:val="18"/>
          <w:szCs w:val="18"/>
        </w:rPr>
        <w:t>Antecedentes del caso</w:t>
      </w:r>
    </w:p>
    <w:p w14:paraId="1674FF6F"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La controversia surge a raíz de una actuación inspectora sobre una sociedad dedicada a la fabricación y venta de jamones. La Inspección comprobó que la entidad valoraba todas sus existencias a un precio único, sin diferenciar entre jamones de bellota y de cebo, pese a tratarse de productos con costes significativamente distintos.</w:t>
      </w:r>
    </w:p>
    <w:p w14:paraId="21780504" w14:textId="77777777" w:rsidR="007A77A9" w:rsidRDefault="007A77A9" w:rsidP="007A77A9">
      <w:pPr>
        <w:ind w:left="284"/>
        <w:jc w:val="both"/>
        <w:rPr>
          <w:rFonts w:ascii="Verdana" w:hAnsi="Verdana"/>
          <w:bCs/>
          <w:iCs/>
          <w:sz w:val="18"/>
          <w:szCs w:val="18"/>
        </w:rPr>
      </w:pPr>
      <w:r w:rsidRPr="007A77A9">
        <w:rPr>
          <w:rFonts w:ascii="Verdana" w:hAnsi="Verdana"/>
          <w:bCs/>
          <w:iCs/>
          <w:sz w:val="18"/>
          <w:szCs w:val="18"/>
        </w:rPr>
        <w:t>Como resultado del procedimiento inspector, formalizado mediante acta con acuerdo, la Administración incrementó el valor de las existencias finales del ejercicio 2015, lo que generó un ajuste positivo en la base imponible del Impuesto sobre Sociedades de ese ejercicio y la correspondiente cuota a ingresar.</w:t>
      </w:r>
    </w:p>
    <w:p w14:paraId="61078799" w14:textId="77777777" w:rsidR="007A77A9" w:rsidRPr="007A77A9" w:rsidRDefault="007A77A9" w:rsidP="007A77A9">
      <w:pPr>
        <w:ind w:left="284"/>
        <w:jc w:val="both"/>
        <w:rPr>
          <w:rFonts w:ascii="Verdana" w:hAnsi="Verdana"/>
          <w:bCs/>
          <w:iCs/>
          <w:sz w:val="18"/>
          <w:szCs w:val="18"/>
        </w:rPr>
      </w:pPr>
    </w:p>
    <w:p w14:paraId="14652D11"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 xml:space="preserve">Posteriormente, la sociedad solicitó la rectificación de su autoliquidación del ejercicio 2016, alegando que las existencias iniciales de dicho período debían coincidir con las existencias finales de 2015 según el valor corregido por la Inspección. Esta modificación implicaba un mayor gasto por consumo de existencias y, por tanto, una menor base imponible en 2016. </w:t>
      </w:r>
    </w:p>
    <w:p w14:paraId="3F7EF0C8" w14:textId="77777777" w:rsidR="007A77A9" w:rsidRDefault="007A77A9" w:rsidP="007A77A9">
      <w:pPr>
        <w:ind w:left="284"/>
        <w:jc w:val="both"/>
        <w:rPr>
          <w:rFonts w:ascii="Verdana" w:hAnsi="Verdana"/>
          <w:b/>
          <w:bCs/>
          <w:iCs/>
          <w:sz w:val="18"/>
          <w:szCs w:val="18"/>
        </w:rPr>
      </w:pPr>
    </w:p>
    <w:p w14:paraId="087EAB03" w14:textId="78E9E18E" w:rsidR="007A77A9" w:rsidRPr="007A77A9" w:rsidRDefault="007A77A9" w:rsidP="007A77A9">
      <w:pPr>
        <w:ind w:left="284"/>
        <w:jc w:val="both"/>
        <w:rPr>
          <w:rFonts w:ascii="Verdana" w:hAnsi="Verdana"/>
          <w:b/>
          <w:bCs/>
          <w:iCs/>
          <w:sz w:val="18"/>
          <w:szCs w:val="18"/>
        </w:rPr>
      </w:pPr>
      <w:r w:rsidRPr="007A77A9">
        <w:rPr>
          <w:rFonts w:ascii="Verdana" w:hAnsi="Verdana"/>
          <w:b/>
          <w:bCs/>
          <w:iCs/>
          <w:sz w:val="18"/>
          <w:szCs w:val="18"/>
        </w:rPr>
        <w:t>Posición de la Administración</w:t>
      </w:r>
    </w:p>
    <w:p w14:paraId="7E7350A7"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 xml:space="preserve">La AEAT rechazó la solicitud al considerar que la diferencia detectada constituía un error contable de ejercicios anteriores. Según este planteamiento, la corrección debía registrarse conforme a la Norma de Registro y Valoración 22ª del Plan General de Contabilidad, mediante un ajuste en reservas en el ejercicio en que se detectó el error (2019), y no mediante la rectificación de la autoliquidación de 2016. </w:t>
      </w:r>
    </w:p>
    <w:p w14:paraId="785E00AA" w14:textId="77777777" w:rsidR="007A77A9" w:rsidRDefault="007A77A9" w:rsidP="007A77A9">
      <w:pPr>
        <w:ind w:left="284"/>
        <w:jc w:val="both"/>
        <w:rPr>
          <w:rFonts w:ascii="Verdana" w:hAnsi="Verdana"/>
          <w:b/>
          <w:bCs/>
          <w:iCs/>
          <w:sz w:val="18"/>
          <w:szCs w:val="18"/>
        </w:rPr>
      </w:pPr>
    </w:p>
    <w:p w14:paraId="28EA0A36" w14:textId="03E80D97" w:rsidR="007A77A9" w:rsidRPr="007A77A9" w:rsidRDefault="007A77A9" w:rsidP="007A77A9">
      <w:pPr>
        <w:ind w:left="284"/>
        <w:jc w:val="both"/>
        <w:rPr>
          <w:rFonts w:ascii="Verdana" w:hAnsi="Verdana"/>
          <w:b/>
          <w:bCs/>
          <w:iCs/>
          <w:sz w:val="18"/>
          <w:szCs w:val="18"/>
        </w:rPr>
      </w:pPr>
      <w:r w:rsidRPr="007A77A9">
        <w:rPr>
          <w:rFonts w:ascii="Verdana" w:hAnsi="Verdana"/>
          <w:b/>
          <w:bCs/>
          <w:iCs/>
          <w:sz w:val="18"/>
          <w:szCs w:val="18"/>
        </w:rPr>
        <w:t>Criterio del TEAC</w:t>
      </w:r>
    </w:p>
    <w:p w14:paraId="359670B1"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El TEAC rechaza expresamente la tesis administrativa y confirma el criterio previamente adoptado por el TEAR de Castilla y León.</w:t>
      </w:r>
    </w:p>
    <w:p w14:paraId="17B2A0A0" w14:textId="77777777" w:rsidR="007A77A9" w:rsidRDefault="007A77A9" w:rsidP="007A77A9">
      <w:pPr>
        <w:ind w:left="284"/>
        <w:jc w:val="both"/>
        <w:rPr>
          <w:rFonts w:ascii="Verdana" w:hAnsi="Verdana"/>
          <w:bCs/>
          <w:iCs/>
          <w:sz w:val="18"/>
          <w:szCs w:val="18"/>
        </w:rPr>
      </w:pPr>
    </w:p>
    <w:p w14:paraId="676DFD2E" w14:textId="761ED3DC"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 xml:space="preserve">El Tribunal destaca que la regularización practicada por la Inspección tiene naturaleza fiscal </w:t>
      </w:r>
      <w:r w:rsidRPr="0099719A">
        <w:rPr>
          <w:rFonts w:ascii="Verdana" w:hAnsi="Verdana"/>
          <w:b/>
          <w:iCs/>
          <w:sz w:val="18"/>
          <w:szCs w:val="18"/>
        </w:rPr>
        <w:t>y no puede producir únicamente efectos perjudiciales para el contribuyente</w:t>
      </w:r>
      <w:r w:rsidRPr="007A77A9">
        <w:rPr>
          <w:rFonts w:ascii="Verdana" w:hAnsi="Verdana"/>
          <w:bCs/>
          <w:iCs/>
          <w:sz w:val="18"/>
          <w:szCs w:val="18"/>
        </w:rPr>
        <w:t>. Si la Administración corrige al alza las existencias finales de un ejercicio, debe admitirse de forma correlativa el ajuste de las existencias iniciales del ejercicio siguiente.</w:t>
      </w:r>
    </w:p>
    <w:p w14:paraId="1673DE2B" w14:textId="77777777" w:rsidR="007A77A9" w:rsidRDefault="007A77A9" w:rsidP="007A77A9">
      <w:pPr>
        <w:ind w:left="284"/>
        <w:jc w:val="both"/>
        <w:rPr>
          <w:rFonts w:ascii="Verdana" w:hAnsi="Verdana"/>
          <w:bCs/>
          <w:iCs/>
          <w:sz w:val="18"/>
          <w:szCs w:val="18"/>
        </w:rPr>
      </w:pPr>
    </w:p>
    <w:p w14:paraId="0196C779" w14:textId="494C7D68"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 xml:space="preserve">En consecuencia, el contribuyente tiene derecho a instar la rectificación de la autoliquidación del período posterior para evitar una doble imposición económica derivada de la regularización inspectora. </w:t>
      </w:r>
    </w:p>
    <w:p w14:paraId="46F142AF" w14:textId="77777777" w:rsidR="007A77A9" w:rsidRDefault="007A77A9" w:rsidP="007A77A9">
      <w:pPr>
        <w:ind w:left="284"/>
        <w:jc w:val="both"/>
        <w:rPr>
          <w:rFonts w:ascii="Verdana" w:hAnsi="Verdana"/>
          <w:b/>
          <w:bCs/>
          <w:iCs/>
          <w:sz w:val="18"/>
          <w:szCs w:val="18"/>
        </w:rPr>
      </w:pPr>
    </w:p>
    <w:p w14:paraId="106F26CE" w14:textId="3AC8DDC9" w:rsidR="007A77A9" w:rsidRPr="007A77A9" w:rsidRDefault="007A77A9" w:rsidP="007A77A9">
      <w:pPr>
        <w:ind w:left="284"/>
        <w:jc w:val="both"/>
        <w:rPr>
          <w:rFonts w:ascii="Verdana" w:hAnsi="Verdana"/>
          <w:b/>
          <w:bCs/>
          <w:iCs/>
          <w:sz w:val="18"/>
          <w:szCs w:val="18"/>
        </w:rPr>
      </w:pPr>
      <w:r w:rsidRPr="007A77A9">
        <w:rPr>
          <w:rFonts w:ascii="Verdana" w:hAnsi="Verdana"/>
          <w:b/>
          <w:bCs/>
          <w:iCs/>
          <w:sz w:val="18"/>
          <w:szCs w:val="18"/>
        </w:rPr>
        <w:t>Fundamento jurídico: principio de regularización íntegra</w:t>
      </w:r>
    </w:p>
    <w:p w14:paraId="13306902"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lastRenderedPageBreak/>
        <w:t>La resolución se apoya en el principio de regularización íntegra, conforme al cual la Administración debe tener en cuenta tanto los elementos que incrementan la deuda tributaria como aquellos que favorecen al obligado tributario.</w:t>
      </w:r>
    </w:p>
    <w:p w14:paraId="43392B3C"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El TEAC recuerda que las existencias finales de un ejercicio coinciden necesariamente con las existencias iniciales del siguiente. Por ello, si la Inspección modifica las primeras, debe reconocerse el correspondiente efecto en el período posterior.</w:t>
      </w:r>
    </w:p>
    <w:p w14:paraId="033C7328"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 xml:space="preserve">Negar esta posibilidad supondría consolidar una tributación superior a la capacidad económica real del contribuyente y permitir un enriquecimiento injusto de la Administración. </w:t>
      </w:r>
    </w:p>
    <w:p w14:paraId="530B3B68" w14:textId="77777777" w:rsidR="007A77A9" w:rsidRDefault="007A77A9" w:rsidP="007A77A9">
      <w:pPr>
        <w:ind w:left="284"/>
        <w:jc w:val="both"/>
        <w:rPr>
          <w:rFonts w:ascii="Verdana" w:hAnsi="Verdana"/>
          <w:b/>
          <w:bCs/>
          <w:iCs/>
          <w:sz w:val="18"/>
          <w:szCs w:val="18"/>
        </w:rPr>
      </w:pPr>
    </w:p>
    <w:p w14:paraId="411A72F0" w14:textId="3098052C" w:rsidR="007A77A9" w:rsidRPr="007A77A9" w:rsidRDefault="007A77A9" w:rsidP="007A77A9">
      <w:pPr>
        <w:ind w:left="284"/>
        <w:jc w:val="both"/>
        <w:rPr>
          <w:rFonts w:ascii="Verdana" w:hAnsi="Verdana"/>
          <w:b/>
          <w:bCs/>
          <w:iCs/>
          <w:sz w:val="18"/>
          <w:szCs w:val="18"/>
        </w:rPr>
      </w:pPr>
      <w:r w:rsidRPr="007A77A9">
        <w:rPr>
          <w:rFonts w:ascii="Verdana" w:hAnsi="Verdana"/>
          <w:b/>
          <w:bCs/>
          <w:iCs/>
          <w:sz w:val="18"/>
          <w:szCs w:val="18"/>
        </w:rPr>
        <w:t>Doctrina fijada</w:t>
      </w:r>
    </w:p>
    <w:p w14:paraId="2EB83DE1"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El criterio unificado del TEAC es el siguiente:</w:t>
      </w:r>
    </w:p>
    <w:p w14:paraId="6D2A9F4D"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Cuando la Inspección Tributaria incremente el valor de las existencias finales al cierre de un período impositivo, el contribuyente tiene derecho a solicitar la rectificación de la autoliquidación del período siguiente para ajustar sus existencias iniciales al valor determinado por la Administración.</w:t>
      </w:r>
    </w:p>
    <w:p w14:paraId="2F33D85E" w14:textId="77777777" w:rsidR="007A77A9" w:rsidRDefault="007A77A9" w:rsidP="007A77A9">
      <w:pPr>
        <w:ind w:left="284"/>
        <w:jc w:val="both"/>
        <w:rPr>
          <w:rFonts w:ascii="Verdana" w:hAnsi="Verdana"/>
          <w:b/>
          <w:bCs/>
          <w:iCs/>
          <w:sz w:val="18"/>
          <w:szCs w:val="18"/>
        </w:rPr>
      </w:pPr>
    </w:p>
    <w:p w14:paraId="172E4084" w14:textId="70F2D720" w:rsidR="007A77A9" w:rsidRPr="007A77A9" w:rsidRDefault="007A77A9" w:rsidP="007A77A9">
      <w:pPr>
        <w:ind w:left="284"/>
        <w:jc w:val="both"/>
        <w:rPr>
          <w:rFonts w:ascii="Verdana" w:hAnsi="Verdana"/>
          <w:b/>
          <w:bCs/>
          <w:iCs/>
          <w:sz w:val="18"/>
          <w:szCs w:val="18"/>
        </w:rPr>
      </w:pPr>
      <w:r w:rsidRPr="007A77A9">
        <w:rPr>
          <w:rFonts w:ascii="Verdana" w:hAnsi="Verdana"/>
          <w:b/>
          <w:bCs/>
          <w:iCs/>
          <w:sz w:val="18"/>
          <w:szCs w:val="18"/>
        </w:rPr>
        <w:t>Relevancia práctica</w:t>
      </w:r>
    </w:p>
    <w:p w14:paraId="646DBF06"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Esta resolución ofrece una importante garantía para las empresas sometidas a comprobaciones inspectoras que afecten a la valoración de existencias, ya que:</w:t>
      </w:r>
    </w:p>
    <w:p w14:paraId="6146366C" w14:textId="77777777" w:rsidR="007A77A9" w:rsidRPr="007A77A9" w:rsidRDefault="007A77A9">
      <w:pPr>
        <w:numPr>
          <w:ilvl w:val="0"/>
          <w:numId w:val="9"/>
        </w:numPr>
        <w:jc w:val="both"/>
        <w:rPr>
          <w:rFonts w:ascii="Verdana" w:hAnsi="Verdana"/>
          <w:bCs/>
          <w:iCs/>
          <w:sz w:val="18"/>
          <w:szCs w:val="18"/>
        </w:rPr>
      </w:pPr>
      <w:r w:rsidRPr="007A77A9">
        <w:rPr>
          <w:rFonts w:ascii="Verdana" w:hAnsi="Verdana"/>
          <w:bCs/>
          <w:iCs/>
          <w:sz w:val="18"/>
          <w:szCs w:val="18"/>
        </w:rPr>
        <w:t xml:space="preserve">Permite corregir de forma inmediata el ejercicio siguiente. </w:t>
      </w:r>
    </w:p>
    <w:p w14:paraId="5DA2C6FE" w14:textId="77777777" w:rsidR="007A77A9" w:rsidRPr="007A77A9" w:rsidRDefault="007A77A9">
      <w:pPr>
        <w:numPr>
          <w:ilvl w:val="0"/>
          <w:numId w:val="9"/>
        </w:numPr>
        <w:jc w:val="both"/>
        <w:rPr>
          <w:rFonts w:ascii="Verdana" w:hAnsi="Verdana"/>
          <w:bCs/>
          <w:iCs/>
          <w:sz w:val="18"/>
          <w:szCs w:val="18"/>
        </w:rPr>
      </w:pPr>
      <w:r w:rsidRPr="007A77A9">
        <w:rPr>
          <w:rFonts w:ascii="Verdana" w:hAnsi="Verdana"/>
          <w:bCs/>
          <w:iCs/>
          <w:sz w:val="18"/>
          <w:szCs w:val="18"/>
        </w:rPr>
        <w:t xml:space="preserve">Evita la doble imposición derivada de ajustes parciales. </w:t>
      </w:r>
    </w:p>
    <w:p w14:paraId="48B8DE7B" w14:textId="77777777" w:rsidR="007A77A9" w:rsidRPr="007A77A9" w:rsidRDefault="007A77A9">
      <w:pPr>
        <w:numPr>
          <w:ilvl w:val="0"/>
          <w:numId w:val="9"/>
        </w:numPr>
        <w:jc w:val="both"/>
        <w:rPr>
          <w:rFonts w:ascii="Verdana" w:hAnsi="Verdana"/>
          <w:bCs/>
          <w:iCs/>
          <w:sz w:val="18"/>
          <w:szCs w:val="18"/>
        </w:rPr>
      </w:pPr>
      <w:r w:rsidRPr="007A77A9">
        <w:rPr>
          <w:rFonts w:ascii="Verdana" w:hAnsi="Verdana"/>
          <w:bCs/>
          <w:iCs/>
          <w:sz w:val="18"/>
          <w:szCs w:val="18"/>
        </w:rPr>
        <w:t xml:space="preserve">Refuerza el principio de regularización íntegra. </w:t>
      </w:r>
    </w:p>
    <w:p w14:paraId="773BF736" w14:textId="77777777" w:rsidR="007A77A9" w:rsidRPr="007A77A9" w:rsidRDefault="007A77A9">
      <w:pPr>
        <w:numPr>
          <w:ilvl w:val="0"/>
          <w:numId w:val="9"/>
        </w:numPr>
        <w:jc w:val="both"/>
        <w:rPr>
          <w:rFonts w:ascii="Verdana" w:hAnsi="Verdana"/>
          <w:bCs/>
          <w:iCs/>
          <w:sz w:val="18"/>
          <w:szCs w:val="18"/>
        </w:rPr>
      </w:pPr>
      <w:r w:rsidRPr="007A77A9">
        <w:rPr>
          <w:rFonts w:ascii="Verdana" w:hAnsi="Verdana"/>
          <w:bCs/>
          <w:iCs/>
          <w:sz w:val="18"/>
          <w:szCs w:val="18"/>
        </w:rPr>
        <w:t xml:space="preserve">Limita la aplicación automática de la NRV 22ª del PGC cuando la corrección deriva de una regularización administrativa. </w:t>
      </w:r>
    </w:p>
    <w:p w14:paraId="701B382B" w14:textId="77777777" w:rsidR="007A77A9" w:rsidRDefault="007A77A9" w:rsidP="007A77A9">
      <w:pPr>
        <w:ind w:left="284"/>
        <w:jc w:val="both"/>
        <w:rPr>
          <w:rFonts w:ascii="Verdana" w:hAnsi="Verdana"/>
          <w:b/>
          <w:bCs/>
          <w:iCs/>
          <w:sz w:val="18"/>
          <w:szCs w:val="18"/>
        </w:rPr>
      </w:pPr>
    </w:p>
    <w:p w14:paraId="5287CD59" w14:textId="73005DCB" w:rsidR="007A77A9" w:rsidRPr="007A77A9" w:rsidRDefault="007A77A9" w:rsidP="007A77A9">
      <w:pPr>
        <w:ind w:left="284"/>
        <w:jc w:val="both"/>
        <w:rPr>
          <w:rFonts w:ascii="Verdana" w:hAnsi="Verdana"/>
          <w:b/>
          <w:bCs/>
          <w:iCs/>
          <w:sz w:val="18"/>
          <w:szCs w:val="18"/>
        </w:rPr>
      </w:pPr>
      <w:r w:rsidRPr="007A77A9">
        <w:rPr>
          <w:rFonts w:ascii="Verdana" w:hAnsi="Verdana"/>
          <w:b/>
          <w:bCs/>
          <w:iCs/>
          <w:sz w:val="18"/>
          <w:szCs w:val="18"/>
        </w:rPr>
        <w:t>Conclusión</w:t>
      </w:r>
    </w:p>
    <w:p w14:paraId="3EDDBD8D" w14:textId="77777777"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La resolución del TEAC de 25 de marzo de 2026 consolida un criterio favorable al contribuyente y de notable trascendencia práctica. La Administración no puede incrementar el valor de las existencias finales de un ejercicio sin reconocer, de forma correlativa, el derecho del contribuyente a ajustar las existencias iniciales del período siguiente mediante la rectificación de su autoliquidación.</w:t>
      </w:r>
    </w:p>
    <w:p w14:paraId="376F0FC8" w14:textId="77777777" w:rsidR="007A77A9" w:rsidRDefault="007A77A9" w:rsidP="007A77A9">
      <w:pPr>
        <w:ind w:left="284"/>
        <w:jc w:val="both"/>
        <w:rPr>
          <w:rFonts w:ascii="Verdana" w:hAnsi="Verdana"/>
          <w:bCs/>
          <w:iCs/>
          <w:sz w:val="18"/>
          <w:szCs w:val="18"/>
        </w:rPr>
      </w:pPr>
    </w:p>
    <w:p w14:paraId="5BBDAB7A" w14:textId="5F46BA89" w:rsidR="007A77A9" w:rsidRPr="007A77A9" w:rsidRDefault="007A77A9" w:rsidP="007A77A9">
      <w:pPr>
        <w:ind w:left="284"/>
        <w:jc w:val="both"/>
        <w:rPr>
          <w:rFonts w:ascii="Verdana" w:hAnsi="Verdana"/>
          <w:bCs/>
          <w:iCs/>
          <w:sz w:val="18"/>
          <w:szCs w:val="18"/>
        </w:rPr>
      </w:pPr>
      <w:r w:rsidRPr="007A77A9">
        <w:rPr>
          <w:rFonts w:ascii="Verdana" w:hAnsi="Verdana"/>
          <w:bCs/>
          <w:iCs/>
          <w:sz w:val="18"/>
          <w:szCs w:val="18"/>
        </w:rPr>
        <w:t>Se trata de una doctrina que refuerza la coherencia del sistema tributario y evita que las actuaciones inspectoras generen situaciones de sobreimposición contrarias al principio de capacidad económica.</w:t>
      </w:r>
    </w:p>
    <w:p w14:paraId="559C6885" w14:textId="77777777" w:rsidR="00A224F8" w:rsidRDefault="00A224F8" w:rsidP="001A64CF">
      <w:pPr>
        <w:ind w:left="284"/>
        <w:jc w:val="both"/>
        <w:rPr>
          <w:rFonts w:ascii="Verdana" w:hAnsi="Verdana"/>
          <w:bCs/>
          <w:iCs/>
          <w:sz w:val="18"/>
          <w:szCs w:val="18"/>
        </w:rPr>
      </w:pPr>
    </w:p>
    <w:p w14:paraId="5FC0F55F" w14:textId="77777777" w:rsidR="00A224F8" w:rsidRPr="00154154" w:rsidRDefault="00A224F8" w:rsidP="001A64CF">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A224F8" w:rsidRPr="00A224F8" w14:paraId="44FAE1A7" w14:textId="77777777" w:rsidTr="00130202">
        <w:tc>
          <w:tcPr>
            <w:tcW w:w="180" w:type="dxa"/>
            <w:shd w:val="clear" w:color="auto" w:fill="FF6600"/>
          </w:tcPr>
          <w:p w14:paraId="205F0CAE" w14:textId="77777777" w:rsidR="00A224F8" w:rsidRPr="00A224F8" w:rsidRDefault="00A224F8" w:rsidP="00130202">
            <w:pPr>
              <w:pStyle w:val="Textoindependiente"/>
              <w:rPr>
                <w:rFonts w:ascii="Verdana" w:hAnsi="Verdana"/>
                <w:color w:val="800000"/>
                <w:sz w:val="16"/>
                <w:szCs w:val="16"/>
              </w:rPr>
            </w:pPr>
            <w:bookmarkStart w:id="2" w:name="_Hlk229244234"/>
          </w:p>
        </w:tc>
        <w:tc>
          <w:tcPr>
            <w:tcW w:w="8460" w:type="dxa"/>
          </w:tcPr>
          <w:p w14:paraId="79762874" w14:textId="52AC9F16" w:rsidR="00A224F8" w:rsidRPr="00A224F8" w:rsidRDefault="00A224F8">
            <w:pPr>
              <w:numPr>
                <w:ilvl w:val="0"/>
                <w:numId w:val="1"/>
              </w:numPr>
              <w:tabs>
                <w:tab w:val="clear" w:pos="720"/>
                <w:tab w:val="num" w:pos="317"/>
                <w:tab w:val="left" w:pos="360"/>
              </w:tabs>
              <w:ind w:left="317" w:hanging="283"/>
              <w:jc w:val="both"/>
              <w:rPr>
                <w:rFonts w:ascii="Verdana" w:hAnsi="Verdana"/>
                <w:b/>
                <w:bCs/>
                <w:color w:val="800000"/>
                <w:sz w:val="16"/>
                <w:szCs w:val="16"/>
              </w:rPr>
            </w:pPr>
            <w:r w:rsidRPr="00A224F8">
              <w:rPr>
                <w:rFonts w:ascii="Verdana" w:hAnsi="Verdana"/>
                <w:b/>
                <w:bCs/>
                <w:color w:val="800000"/>
                <w:sz w:val="18"/>
                <w:szCs w:val="18"/>
              </w:rPr>
              <w:t>IRPF. - EL TRIBUNAL SUPREMO CONSOLIDA EL CRITERIO DE PROPORCIONALIDAD EN LAS SANCIONES POR USO DE SOCIEDADES INTERPUESTAS</w:t>
            </w:r>
          </w:p>
        </w:tc>
      </w:tr>
      <w:bookmarkEnd w:id="2"/>
    </w:tbl>
    <w:p w14:paraId="31D4610A" w14:textId="77777777" w:rsidR="00A224F8" w:rsidRDefault="00A224F8" w:rsidP="00A224F8">
      <w:pPr>
        <w:ind w:left="284"/>
        <w:jc w:val="both"/>
        <w:rPr>
          <w:rFonts w:ascii="Verdana" w:hAnsi="Verdana"/>
          <w:bCs/>
          <w:iCs/>
          <w:sz w:val="18"/>
          <w:szCs w:val="18"/>
        </w:rPr>
      </w:pPr>
    </w:p>
    <w:p w14:paraId="26BEFB03" w14:textId="7CFFB243" w:rsidR="00A224F8" w:rsidRPr="00A224F8" w:rsidRDefault="00A224F8" w:rsidP="00A224F8">
      <w:pPr>
        <w:ind w:left="284"/>
        <w:jc w:val="both"/>
        <w:rPr>
          <w:rFonts w:ascii="Verdana" w:hAnsi="Verdana"/>
          <w:bCs/>
          <w:iCs/>
          <w:sz w:val="18"/>
          <w:szCs w:val="18"/>
        </w:rPr>
      </w:pPr>
      <w:r>
        <w:rPr>
          <w:rFonts w:ascii="Verdana" w:hAnsi="Verdana"/>
          <w:bCs/>
          <w:iCs/>
          <w:sz w:val="18"/>
          <w:szCs w:val="18"/>
        </w:rPr>
        <w:t>E</w:t>
      </w:r>
      <w:r w:rsidR="0099719A">
        <w:rPr>
          <w:rFonts w:ascii="Verdana" w:hAnsi="Verdana"/>
          <w:bCs/>
          <w:iCs/>
          <w:sz w:val="18"/>
          <w:szCs w:val="18"/>
        </w:rPr>
        <w:t>l</w:t>
      </w:r>
      <w:r w:rsidRPr="00A224F8">
        <w:rPr>
          <w:rFonts w:ascii="Verdana" w:hAnsi="Verdana"/>
          <w:bCs/>
          <w:iCs/>
          <w:sz w:val="18"/>
          <w:szCs w:val="18"/>
        </w:rPr>
        <w:t xml:space="preserve"> Tribunal Supremo, en su </w:t>
      </w:r>
      <w:r w:rsidR="001B1377">
        <w:rPr>
          <w:rFonts w:ascii="Verdana" w:hAnsi="Verdana"/>
          <w:bCs/>
          <w:iCs/>
          <w:sz w:val="18"/>
          <w:szCs w:val="18"/>
        </w:rPr>
        <w:t>Se</w:t>
      </w:r>
      <w:r w:rsidRPr="00A224F8">
        <w:rPr>
          <w:rFonts w:ascii="Verdana" w:hAnsi="Verdana"/>
          <w:bCs/>
          <w:iCs/>
          <w:sz w:val="18"/>
          <w:szCs w:val="18"/>
        </w:rPr>
        <w:t>ntencia núm. 400/2026, de 30 de marzo (</w:t>
      </w:r>
      <w:proofErr w:type="spellStart"/>
      <w:r w:rsidRPr="00A224F8">
        <w:rPr>
          <w:rFonts w:ascii="Verdana" w:hAnsi="Verdana"/>
          <w:bCs/>
          <w:iCs/>
          <w:sz w:val="18"/>
          <w:szCs w:val="18"/>
        </w:rPr>
        <w:t>rec.</w:t>
      </w:r>
      <w:proofErr w:type="spellEnd"/>
      <w:r w:rsidRPr="00A224F8">
        <w:rPr>
          <w:rFonts w:ascii="Verdana" w:hAnsi="Verdana"/>
          <w:bCs/>
          <w:iCs/>
          <w:sz w:val="18"/>
          <w:szCs w:val="18"/>
        </w:rPr>
        <w:t xml:space="preserve"> cas. 8721/2023), ha reiterado su doctrina sobre la determinación de la base de las sanciones tributarias previstas en el artículo 191 de la Ley General Tributaria cuando la Administración regulariza rentas atribuidas a personas físicas a través de sociedades instrumentales.</w:t>
      </w:r>
    </w:p>
    <w:p w14:paraId="4D7D6558" w14:textId="77777777" w:rsidR="00A224F8" w:rsidRDefault="00A224F8" w:rsidP="00A224F8">
      <w:pPr>
        <w:ind w:left="284"/>
        <w:jc w:val="both"/>
        <w:rPr>
          <w:rFonts w:ascii="Verdana" w:hAnsi="Verdana"/>
          <w:b/>
          <w:bCs/>
          <w:iCs/>
          <w:sz w:val="18"/>
          <w:szCs w:val="18"/>
        </w:rPr>
      </w:pPr>
    </w:p>
    <w:p w14:paraId="07B075A3" w14:textId="16D39164" w:rsidR="00A224F8" w:rsidRPr="00A224F8" w:rsidRDefault="00A224F8" w:rsidP="00A224F8">
      <w:pPr>
        <w:ind w:left="284"/>
        <w:jc w:val="both"/>
        <w:rPr>
          <w:rFonts w:ascii="Verdana" w:hAnsi="Verdana"/>
          <w:b/>
          <w:bCs/>
          <w:iCs/>
          <w:sz w:val="18"/>
          <w:szCs w:val="18"/>
        </w:rPr>
      </w:pPr>
      <w:r w:rsidRPr="00A224F8">
        <w:rPr>
          <w:rFonts w:ascii="Verdana" w:hAnsi="Verdana"/>
          <w:b/>
          <w:bCs/>
          <w:iCs/>
          <w:sz w:val="18"/>
          <w:szCs w:val="18"/>
        </w:rPr>
        <w:t>Antecedentes del caso</w:t>
      </w:r>
    </w:p>
    <w:p w14:paraId="179DB600" w14:textId="77777777" w:rsidR="00A224F8" w:rsidRDefault="00A224F8" w:rsidP="00A224F8">
      <w:pPr>
        <w:ind w:left="284"/>
        <w:jc w:val="both"/>
        <w:rPr>
          <w:rFonts w:ascii="Verdana" w:hAnsi="Verdana"/>
          <w:bCs/>
          <w:iCs/>
          <w:sz w:val="18"/>
          <w:szCs w:val="18"/>
        </w:rPr>
      </w:pPr>
      <w:r w:rsidRPr="00A224F8">
        <w:rPr>
          <w:rFonts w:ascii="Verdana" w:hAnsi="Verdana"/>
          <w:bCs/>
          <w:iCs/>
          <w:sz w:val="18"/>
          <w:szCs w:val="18"/>
        </w:rPr>
        <w:t>La controversia se originó tras la regularización del IRPF de dos contribuyentes correspondientes a los ejercicios 2013 a 2016. La Inspección consideró que una sociedad mercantil utilizada por los recurrentes carecía de sustancia económica real y actuaba como mera entidad interpuesta para canalizar rentas personales.</w:t>
      </w:r>
    </w:p>
    <w:p w14:paraId="5E646E5A" w14:textId="77777777" w:rsidR="0099719A" w:rsidRPr="00A224F8" w:rsidRDefault="0099719A" w:rsidP="00A224F8">
      <w:pPr>
        <w:ind w:left="284"/>
        <w:jc w:val="both"/>
        <w:rPr>
          <w:rFonts w:ascii="Verdana" w:hAnsi="Verdana"/>
          <w:bCs/>
          <w:iCs/>
          <w:sz w:val="18"/>
          <w:szCs w:val="18"/>
        </w:rPr>
      </w:pPr>
    </w:p>
    <w:p w14:paraId="185BD1EE" w14:textId="77777777"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Como consecuencia, las rentas declaradas por la sociedad se imputaron directamente a los socios personas físicas, exigiéndose las correspondientes cuotas del IRPF e imponiéndose sanciones por infracción del artículo 191 de la LGT por dejar de ingresar la deuda tributaria.</w:t>
      </w:r>
    </w:p>
    <w:p w14:paraId="1863DCF2" w14:textId="77777777" w:rsidR="00A224F8" w:rsidRDefault="00A224F8" w:rsidP="00A224F8">
      <w:pPr>
        <w:ind w:left="284"/>
        <w:jc w:val="both"/>
        <w:rPr>
          <w:rFonts w:ascii="Verdana" w:hAnsi="Verdana"/>
          <w:bCs/>
          <w:iCs/>
          <w:sz w:val="18"/>
          <w:szCs w:val="18"/>
        </w:rPr>
      </w:pPr>
    </w:p>
    <w:p w14:paraId="15914638" w14:textId="67E6B2BD"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El elemento controvertido residía en que la sociedad instrumental ya había satisfecho previamente determinadas cantidades en concepto de Impuesto sobre Sociedades por esas mismas rentas, si bien dichos ingresos fueron posteriormente considerados indebidos.</w:t>
      </w:r>
    </w:p>
    <w:p w14:paraId="19D3A827" w14:textId="77777777" w:rsidR="00A224F8" w:rsidRDefault="00A224F8" w:rsidP="00A224F8">
      <w:pPr>
        <w:ind w:left="284"/>
        <w:jc w:val="both"/>
        <w:rPr>
          <w:rFonts w:ascii="Verdana" w:hAnsi="Verdana"/>
          <w:b/>
          <w:bCs/>
          <w:iCs/>
          <w:sz w:val="18"/>
          <w:szCs w:val="18"/>
        </w:rPr>
      </w:pPr>
    </w:p>
    <w:p w14:paraId="013F9303" w14:textId="5EA5CDC3" w:rsidR="00A224F8" w:rsidRPr="00A224F8" w:rsidRDefault="00A224F8" w:rsidP="00A224F8">
      <w:pPr>
        <w:ind w:left="284"/>
        <w:jc w:val="both"/>
        <w:rPr>
          <w:rFonts w:ascii="Verdana" w:hAnsi="Verdana"/>
          <w:b/>
          <w:bCs/>
          <w:iCs/>
          <w:sz w:val="18"/>
          <w:szCs w:val="18"/>
        </w:rPr>
      </w:pPr>
      <w:r w:rsidRPr="00A224F8">
        <w:rPr>
          <w:rFonts w:ascii="Verdana" w:hAnsi="Verdana"/>
          <w:b/>
          <w:bCs/>
          <w:iCs/>
          <w:sz w:val="18"/>
          <w:szCs w:val="18"/>
        </w:rPr>
        <w:t>Cuestión con interés casacional</w:t>
      </w:r>
    </w:p>
    <w:p w14:paraId="7EF78432" w14:textId="77777777"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El auto de admisión planteó la siguiente cuestión jurídica:</w:t>
      </w:r>
    </w:p>
    <w:p w14:paraId="78977583" w14:textId="77777777"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Determinar si, en supuestos de simulación mediante sociedades interpuestas, la base de cálculo de la sanción debe ser:</w:t>
      </w:r>
    </w:p>
    <w:p w14:paraId="65841800" w14:textId="77777777" w:rsidR="00A224F8" w:rsidRPr="00A224F8" w:rsidRDefault="00A224F8">
      <w:pPr>
        <w:numPr>
          <w:ilvl w:val="0"/>
          <w:numId w:val="3"/>
        </w:numPr>
        <w:jc w:val="both"/>
        <w:rPr>
          <w:rFonts w:ascii="Verdana" w:hAnsi="Verdana"/>
          <w:bCs/>
          <w:iCs/>
          <w:sz w:val="18"/>
          <w:szCs w:val="18"/>
        </w:rPr>
      </w:pPr>
      <w:r w:rsidRPr="00A224F8">
        <w:rPr>
          <w:rFonts w:ascii="Verdana" w:hAnsi="Verdana"/>
          <w:bCs/>
          <w:iCs/>
          <w:sz w:val="18"/>
          <w:szCs w:val="18"/>
        </w:rPr>
        <w:t xml:space="preserve">la totalidad de la cuota dejada de ingresar por la persona física, o bien </w:t>
      </w:r>
    </w:p>
    <w:p w14:paraId="1799AA1E" w14:textId="77777777" w:rsidR="00A224F8" w:rsidRPr="00A224F8" w:rsidRDefault="00A224F8">
      <w:pPr>
        <w:numPr>
          <w:ilvl w:val="0"/>
          <w:numId w:val="3"/>
        </w:numPr>
        <w:jc w:val="both"/>
        <w:rPr>
          <w:rFonts w:ascii="Verdana" w:hAnsi="Verdana"/>
          <w:bCs/>
          <w:iCs/>
          <w:sz w:val="18"/>
          <w:szCs w:val="18"/>
        </w:rPr>
      </w:pPr>
      <w:r w:rsidRPr="00A224F8">
        <w:rPr>
          <w:rFonts w:ascii="Verdana" w:hAnsi="Verdana"/>
          <w:bCs/>
          <w:iCs/>
          <w:sz w:val="18"/>
          <w:szCs w:val="18"/>
        </w:rPr>
        <w:t xml:space="preserve">la diferencia entre dicha cuota y el importe previamente ingresado por la sociedad instrumental respecto de las mismas rentas. </w:t>
      </w:r>
    </w:p>
    <w:p w14:paraId="46BC09F9" w14:textId="77777777" w:rsidR="00A224F8" w:rsidRDefault="00A224F8" w:rsidP="00A224F8">
      <w:pPr>
        <w:ind w:left="284"/>
        <w:jc w:val="both"/>
        <w:rPr>
          <w:rFonts w:ascii="Verdana" w:hAnsi="Verdana"/>
          <w:b/>
          <w:bCs/>
          <w:iCs/>
          <w:sz w:val="18"/>
          <w:szCs w:val="18"/>
        </w:rPr>
      </w:pPr>
    </w:p>
    <w:p w14:paraId="7D200CDF" w14:textId="4A1FF30D" w:rsidR="00A224F8" w:rsidRPr="00A224F8" w:rsidRDefault="00A224F8" w:rsidP="00A224F8">
      <w:pPr>
        <w:ind w:left="284"/>
        <w:jc w:val="both"/>
        <w:rPr>
          <w:rFonts w:ascii="Verdana" w:hAnsi="Verdana"/>
          <w:b/>
          <w:bCs/>
          <w:iCs/>
          <w:sz w:val="18"/>
          <w:szCs w:val="18"/>
        </w:rPr>
      </w:pPr>
      <w:r w:rsidRPr="00A224F8">
        <w:rPr>
          <w:rFonts w:ascii="Verdana" w:hAnsi="Verdana"/>
          <w:b/>
          <w:bCs/>
          <w:iCs/>
          <w:sz w:val="18"/>
          <w:szCs w:val="18"/>
        </w:rPr>
        <w:t>Argumentación del Tribunal Supremo</w:t>
      </w:r>
    </w:p>
    <w:p w14:paraId="519ACE42" w14:textId="77777777"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El Tribunal Supremo recuerda su doctrina consolidada en las sentencias 770/2023, de 8 de junio, y 336/2024, de 28 de febrero, según la cual la base sancionadora debe atender al perjuicio económico real ocasionado a la Hacienda Pública.</w:t>
      </w:r>
    </w:p>
    <w:p w14:paraId="7F2C46EE" w14:textId="77777777" w:rsidR="00A224F8" w:rsidRDefault="00A224F8" w:rsidP="00A224F8">
      <w:pPr>
        <w:ind w:left="284"/>
        <w:jc w:val="both"/>
        <w:rPr>
          <w:rFonts w:ascii="Verdana" w:hAnsi="Verdana"/>
          <w:bCs/>
          <w:iCs/>
          <w:sz w:val="18"/>
          <w:szCs w:val="18"/>
        </w:rPr>
      </w:pPr>
    </w:p>
    <w:p w14:paraId="3AE78E92" w14:textId="36D75D8A"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En consecuencia, cuando una sociedad interpuesta ha ingresado cantidades por las rentas posteriormente imputadas a la persona física, esos importes deben minorar la base de la sanción.</w:t>
      </w:r>
    </w:p>
    <w:p w14:paraId="75538807" w14:textId="77777777" w:rsidR="00A224F8" w:rsidRDefault="00A224F8" w:rsidP="00A224F8">
      <w:pPr>
        <w:ind w:left="284"/>
        <w:jc w:val="both"/>
        <w:rPr>
          <w:rFonts w:ascii="Verdana" w:hAnsi="Verdana"/>
          <w:bCs/>
          <w:iCs/>
          <w:sz w:val="18"/>
          <w:szCs w:val="18"/>
        </w:rPr>
      </w:pPr>
    </w:p>
    <w:p w14:paraId="605553A6" w14:textId="60AA0375"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La Sala destaca que ignorar dichos pagos conduciría a una sanción desproporcionada, ya que se estaría sancionando una cuantía superior al daño patrimonial efectivamente causado a la Administración.</w:t>
      </w:r>
    </w:p>
    <w:p w14:paraId="4385DDB0" w14:textId="77777777" w:rsidR="00A224F8" w:rsidRDefault="00A224F8" w:rsidP="00A224F8">
      <w:pPr>
        <w:ind w:left="284"/>
        <w:jc w:val="both"/>
        <w:rPr>
          <w:rFonts w:ascii="Verdana" w:hAnsi="Verdana"/>
          <w:b/>
          <w:bCs/>
          <w:iCs/>
          <w:sz w:val="18"/>
          <w:szCs w:val="18"/>
        </w:rPr>
      </w:pPr>
    </w:p>
    <w:p w14:paraId="4476F4A0" w14:textId="20965D4C" w:rsidR="00A224F8" w:rsidRPr="00A224F8" w:rsidRDefault="00A224F8" w:rsidP="00A224F8">
      <w:pPr>
        <w:ind w:left="284"/>
        <w:jc w:val="both"/>
        <w:rPr>
          <w:rFonts w:ascii="Verdana" w:hAnsi="Verdana"/>
          <w:b/>
          <w:bCs/>
          <w:iCs/>
          <w:sz w:val="18"/>
          <w:szCs w:val="18"/>
        </w:rPr>
      </w:pPr>
      <w:r w:rsidRPr="00A224F8">
        <w:rPr>
          <w:rFonts w:ascii="Verdana" w:hAnsi="Verdana"/>
          <w:b/>
          <w:bCs/>
          <w:iCs/>
          <w:sz w:val="18"/>
          <w:szCs w:val="18"/>
        </w:rPr>
        <w:t>Doctrina jurisprudencial reiterada</w:t>
      </w:r>
    </w:p>
    <w:p w14:paraId="2293787E" w14:textId="77777777"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La sentencia fija nuevamente el siguiente criterio:</w:t>
      </w:r>
    </w:p>
    <w:p w14:paraId="0E822F80" w14:textId="77777777"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La base de cálculo de la sanción tributaria prevista en el artículo 191 de la LGT, en supuestos de regularización de operaciones simuladas mediante sociedades instrumentales, será la diferencia entre la cuota dejada de ingresar por el contribuyente y las cantidades previamente ingresadas por la sociedad interpuesta respecto de las mismas rentas.</w:t>
      </w:r>
    </w:p>
    <w:p w14:paraId="05FE7FA6" w14:textId="77777777" w:rsidR="00A224F8" w:rsidRDefault="00A224F8" w:rsidP="00A224F8">
      <w:pPr>
        <w:ind w:left="284"/>
        <w:jc w:val="both"/>
        <w:rPr>
          <w:rFonts w:ascii="Verdana" w:hAnsi="Verdana"/>
          <w:b/>
          <w:bCs/>
          <w:iCs/>
          <w:sz w:val="18"/>
          <w:szCs w:val="18"/>
        </w:rPr>
      </w:pPr>
    </w:p>
    <w:p w14:paraId="3364FE0B" w14:textId="019681CE" w:rsidR="00A224F8" w:rsidRPr="00A224F8" w:rsidRDefault="00A224F8" w:rsidP="00A224F8">
      <w:pPr>
        <w:ind w:left="284"/>
        <w:jc w:val="both"/>
        <w:rPr>
          <w:rFonts w:ascii="Verdana" w:hAnsi="Verdana"/>
          <w:b/>
          <w:bCs/>
          <w:iCs/>
          <w:sz w:val="18"/>
          <w:szCs w:val="18"/>
        </w:rPr>
      </w:pPr>
      <w:r w:rsidRPr="00A224F8">
        <w:rPr>
          <w:rFonts w:ascii="Verdana" w:hAnsi="Verdana"/>
          <w:b/>
          <w:bCs/>
          <w:iCs/>
          <w:sz w:val="18"/>
          <w:szCs w:val="18"/>
        </w:rPr>
        <w:t>Fallo</w:t>
      </w:r>
    </w:p>
    <w:p w14:paraId="4472BCD8" w14:textId="77777777"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El Tribunal Supremo:</w:t>
      </w:r>
    </w:p>
    <w:p w14:paraId="00C383F0" w14:textId="77777777" w:rsidR="00A224F8" w:rsidRPr="00A224F8" w:rsidRDefault="00A224F8">
      <w:pPr>
        <w:numPr>
          <w:ilvl w:val="0"/>
          <w:numId w:val="4"/>
        </w:numPr>
        <w:jc w:val="both"/>
        <w:rPr>
          <w:rFonts w:ascii="Verdana" w:hAnsi="Verdana"/>
          <w:bCs/>
          <w:iCs/>
          <w:sz w:val="18"/>
          <w:szCs w:val="18"/>
        </w:rPr>
      </w:pPr>
      <w:r w:rsidRPr="00A224F8">
        <w:rPr>
          <w:rFonts w:ascii="Verdana" w:hAnsi="Verdana"/>
          <w:bCs/>
          <w:iCs/>
          <w:sz w:val="18"/>
          <w:szCs w:val="18"/>
        </w:rPr>
        <w:t xml:space="preserve">Tiene por allanado al abogado del Estado. </w:t>
      </w:r>
    </w:p>
    <w:p w14:paraId="67A93D04" w14:textId="77777777" w:rsidR="00A224F8" w:rsidRPr="00A224F8" w:rsidRDefault="00A224F8">
      <w:pPr>
        <w:numPr>
          <w:ilvl w:val="0"/>
          <w:numId w:val="4"/>
        </w:numPr>
        <w:jc w:val="both"/>
        <w:rPr>
          <w:rFonts w:ascii="Verdana" w:hAnsi="Verdana"/>
          <w:bCs/>
          <w:iCs/>
          <w:sz w:val="18"/>
          <w:szCs w:val="18"/>
        </w:rPr>
      </w:pPr>
      <w:r w:rsidRPr="00A224F8">
        <w:rPr>
          <w:rFonts w:ascii="Verdana" w:hAnsi="Verdana"/>
          <w:bCs/>
          <w:iCs/>
          <w:sz w:val="18"/>
          <w:szCs w:val="18"/>
        </w:rPr>
        <w:t xml:space="preserve">Casa y anula la sentencia del TSJ de Cataluña. </w:t>
      </w:r>
    </w:p>
    <w:p w14:paraId="6296B072" w14:textId="77777777" w:rsidR="00A224F8" w:rsidRPr="00A224F8" w:rsidRDefault="00A224F8">
      <w:pPr>
        <w:numPr>
          <w:ilvl w:val="0"/>
          <w:numId w:val="4"/>
        </w:numPr>
        <w:jc w:val="both"/>
        <w:rPr>
          <w:rFonts w:ascii="Verdana" w:hAnsi="Verdana"/>
          <w:bCs/>
          <w:iCs/>
          <w:sz w:val="18"/>
          <w:szCs w:val="18"/>
        </w:rPr>
      </w:pPr>
      <w:r w:rsidRPr="00A224F8">
        <w:rPr>
          <w:rFonts w:ascii="Verdana" w:hAnsi="Verdana"/>
          <w:bCs/>
          <w:iCs/>
          <w:sz w:val="18"/>
          <w:szCs w:val="18"/>
        </w:rPr>
        <w:t xml:space="preserve">Estima parcialmente el recurso contencioso-administrativo. </w:t>
      </w:r>
    </w:p>
    <w:p w14:paraId="49FC0398" w14:textId="77777777" w:rsidR="00A224F8" w:rsidRPr="00A224F8" w:rsidRDefault="00A224F8">
      <w:pPr>
        <w:numPr>
          <w:ilvl w:val="0"/>
          <w:numId w:val="4"/>
        </w:numPr>
        <w:jc w:val="both"/>
        <w:rPr>
          <w:rFonts w:ascii="Verdana" w:hAnsi="Verdana"/>
          <w:bCs/>
          <w:iCs/>
          <w:sz w:val="18"/>
          <w:szCs w:val="18"/>
        </w:rPr>
      </w:pPr>
      <w:r w:rsidRPr="00A224F8">
        <w:rPr>
          <w:rFonts w:ascii="Verdana" w:hAnsi="Verdana"/>
          <w:bCs/>
          <w:iCs/>
          <w:sz w:val="18"/>
          <w:szCs w:val="18"/>
        </w:rPr>
        <w:t xml:space="preserve">Declara la nulidad de las sanciones impuestas. </w:t>
      </w:r>
    </w:p>
    <w:p w14:paraId="6422B38F" w14:textId="77777777" w:rsidR="00A224F8" w:rsidRPr="00A224F8" w:rsidRDefault="00A224F8">
      <w:pPr>
        <w:numPr>
          <w:ilvl w:val="0"/>
          <w:numId w:val="4"/>
        </w:numPr>
        <w:jc w:val="both"/>
        <w:rPr>
          <w:rFonts w:ascii="Verdana" w:hAnsi="Verdana"/>
          <w:bCs/>
          <w:iCs/>
          <w:sz w:val="18"/>
          <w:szCs w:val="18"/>
        </w:rPr>
      </w:pPr>
      <w:r w:rsidRPr="00A224F8">
        <w:rPr>
          <w:rFonts w:ascii="Verdana" w:hAnsi="Verdana"/>
          <w:bCs/>
          <w:iCs/>
          <w:sz w:val="18"/>
          <w:szCs w:val="18"/>
        </w:rPr>
        <w:t xml:space="preserve">Ordena su recálculo conforme al criterio jurisprudencial reiterado. </w:t>
      </w:r>
    </w:p>
    <w:p w14:paraId="224F70E2" w14:textId="77777777" w:rsidR="00A224F8" w:rsidRPr="00A224F8" w:rsidRDefault="00A224F8">
      <w:pPr>
        <w:numPr>
          <w:ilvl w:val="0"/>
          <w:numId w:val="4"/>
        </w:numPr>
        <w:jc w:val="both"/>
        <w:rPr>
          <w:rFonts w:ascii="Verdana" w:hAnsi="Verdana"/>
          <w:bCs/>
          <w:iCs/>
          <w:sz w:val="18"/>
          <w:szCs w:val="18"/>
        </w:rPr>
      </w:pPr>
      <w:r w:rsidRPr="00A224F8">
        <w:rPr>
          <w:rFonts w:ascii="Verdana" w:hAnsi="Verdana"/>
          <w:bCs/>
          <w:iCs/>
          <w:sz w:val="18"/>
          <w:szCs w:val="18"/>
        </w:rPr>
        <w:t xml:space="preserve">Reconoce, en su caso, el derecho a la devolución de ingresos indebidos con los correspondientes intereses de demora. </w:t>
      </w:r>
    </w:p>
    <w:p w14:paraId="5CAA5236" w14:textId="77777777" w:rsidR="00A224F8" w:rsidRPr="00A224F8" w:rsidRDefault="00A224F8">
      <w:pPr>
        <w:numPr>
          <w:ilvl w:val="0"/>
          <w:numId w:val="4"/>
        </w:numPr>
        <w:jc w:val="both"/>
        <w:rPr>
          <w:rFonts w:ascii="Verdana" w:hAnsi="Verdana"/>
          <w:bCs/>
          <w:iCs/>
          <w:sz w:val="18"/>
          <w:szCs w:val="18"/>
        </w:rPr>
      </w:pPr>
      <w:r w:rsidRPr="00A224F8">
        <w:rPr>
          <w:rFonts w:ascii="Verdana" w:hAnsi="Verdana"/>
          <w:bCs/>
          <w:iCs/>
          <w:sz w:val="18"/>
          <w:szCs w:val="18"/>
        </w:rPr>
        <w:t xml:space="preserve">No impone costas. </w:t>
      </w:r>
    </w:p>
    <w:p w14:paraId="676E3A58" w14:textId="77777777" w:rsidR="00A224F8" w:rsidRDefault="00A224F8" w:rsidP="00A224F8">
      <w:pPr>
        <w:ind w:left="284"/>
        <w:jc w:val="both"/>
        <w:rPr>
          <w:rFonts w:ascii="Verdana" w:hAnsi="Verdana"/>
          <w:b/>
          <w:bCs/>
          <w:iCs/>
          <w:sz w:val="18"/>
          <w:szCs w:val="18"/>
        </w:rPr>
      </w:pPr>
    </w:p>
    <w:p w14:paraId="0D20BFBB" w14:textId="0F73C58C" w:rsidR="00A224F8" w:rsidRPr="00A224F8" w:rsidRDefault="00A224F8" w:rsidP="00A224F8">
      <w:pPr>
        <w:ind w:left="284"/>
        <w:jc w:val="both"/>
        <w:rPr>
          <w:rFonts w:ascii="Verdana" w:hAnsi="Verdana"/>
          <w:b/>
          <w:bCs/>
          <w:iCs/>
          <w:sz w:val="18"/>
          <w:szCs w:val="18"/>
        </w:rPr>
      </w:pPr>
      <w:r w:rsidRPr="00A224F8">
        <w:rPr>
          <w:rFonts w:ascii="Verdana" w:hAnsi="Verdana"/>
          <w:b/>
          <w:bCs/>
          <w:iCs/>
          <w:sz w:val="18"/>
          <w:szCs w:val="18"/>
        </w:rPr>
        <w:t>Relevancia práctica</w:t>
      </w:r>
    </w:p>
    <w:p w14:paraId="3C6821CE" w14:textId="77777777"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La resolución reviste especial importancia en las comprobaciones inspectoras sobre estructuras societarias consideradas artificiosas.</w:t>
      </w:r>
    </w:p>
    <w:p w14:paraId="01E5B082" w14:textId="77777777"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Su principal efecto práctico es que limita el importe de las sanciones al perjuicio económico neto realmente causado a la Hacienda Pública, evitando que la Administración sancione sobre importes que ya habían sido ingresados, aunque formalmente por una entidad distinta.</w:t>
      </w:r>
    </w:p>
    <w:p w14:paraId="33220B10" w14:textId="77777777" w:rsidR="00A224F8" w:rsidRDefault="00A224F8" w:rsidP="00A224F8">
      <w:pPr>
        <w:ind w:left="284"/>
        <w:jc w:val="both"/>
        <w:rPr>
          <w:rFonts w:ascii="Verdana" w:hAnsi="Verdana"/>
          <w:bCs/>
          <w:iCs/>
          <w:sz w:val="18"/>
          <w:szCs w:val="18"/>
        </w:rPr>
      </w:pPr>
    </w:p>
    <w:p w14:paraId="63B12871" w14:textId="0AC14288"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Ello refuerza:</w:t>
      </w:r>
    </w:p>
    <w:p w14:paraId="1E696041" w14:textId="77777777" w:rsidR="00A224F8" w:rsidRPr="00A224F8" w:rsidRDefault="00A224F8">
      <w:pPr>
        <w:numPr>
          <w:ilvl w:val="0"/>
          <w:numId w:val="5"/>
        </w:numPr>
        <w:jc w:val="both"/>
        <w:rPr>
          <w:rFonts w:ascii="Verdana" w:hAnsi="Verdana"/>
          <w:bCs/>
          <w:iCs/>
          <w:sz w:val="18"/>
          <w:szCs w:val="18"/>
        </w:rPr>
      </w:pPr>
      <w:r w:rsidRPr="00A224F8">
        <w:rPr>
          <w:rFonts w:ascii="Verdana" w:hAnsi="Verdana"/>
          <w:bCs/>
          <w:iCs/>
          <w:sz w:val="18"/>
          <w:szCs w:val="18"/>
        </w:rPr>
        <w:t xml:space="preserve">el principio de proporcionalidad de las sanciones, </w:t>
      </w:r>
    </w:p>
    <w:p w14:paraId="4B9E68FE" w14:textId="77777777" w:rsidR="00A224F8" w:rsidRPr="00A224F8" w:rsidRDefault="00A224F8">
      <w:pPr>
        <w:numPr>
          <w:ilvl w:val="0"/>
          <w:numId w:val="5"/>
        </w:numPr>
        <w:jc w:val="both"/>
        <w:rPr>
          <w:rFonts w:ascii="Verdana" w:hAnsi="Verdana"/>
          <w:bCs/>
          <w:iCs/>
          <w:sz w:val="18"/>
          <w:szCs w:val="18"/>
        </w:rPr>
      </w:pPr>
      <w:r w:rsidRPr="00A224F8">
        <w:rPr>
          <w:rFonts w:ascii="Verdana" w:hAnsi="Verdana"/>
          <w:bCs/>
          <w:iCs/>
          <w:sz w:val="18"/>
          <w:szCs w:val="18"/>
        </w:rPr>
        <w:t xml:space="preserve">la prohibición de enriquecimiento injusto de la Administración, </w:t>
      </w:r>
    </w:p>
    <w:p w14:paraId="172EA7C6" w14:textId="77777777" w:rsidR="00A224F8" w:rsidRPr="00A224F8" w:rsidRDefault="00A224F8">
      <w:pPr>
        <w:numPr>
          <w:ilvl w:val="0"/>
          <w:numId w:val="5"/>
        </w:numPr>
        <w:jc w:val="both"/>
        <w:rPr>
          <w:rFonts w:ascii="Verdana" w:hAnsi="Verdana"/>
          <w:bCs/>
          <w:iCs/>
          <w:sz w:val="18"/>
          <w:szCs w:val="18"/>
        </w:rPr>
      </w:pPr>
      <w:r w:rsidRPr="00A224F8">
        <w:rPr>
          <w:rFonts w:ascii="Verdana" w:hAnsi="Verdana"/>
          <w:bCs/>
          <w:iCs/>
          <w:sz w:val="18"/>
          <w:szCs w:val="18"/>
        </w:rPr>
        <w:t xml:space="preserve">y la exigencia de que la potestad sancionadora se base en el daño económico efectivo. </w:t>
      </w:r>
    </w:p>
    <w:p w14:paraId="2D25FDE6" w14:textId="77777777" w:rsidR="00A224F8" w:rsidRDefault="00A224F8" w:rsidP="00A224F8">
      <w:pPr>
        <w:ind w:left="284"/>
        <w:jc w:val="both"/>
        <w:rPr>
          <w:rFonts w:ascii="Verdana" w:hAnsi="Verdana"/>
          <w:b/>
          <w:bCs/>
          <w:iCs/>
          <w:sz w:val="18"/>
          <w:szCs w:val="18"/>
        </w:rPr>
      </w:pPr>
    </w:p>
    <w:p w14:paraId="73E7260D" w14:textId="3C0F2C5F" w:rsidR="00A224F8" w:rsidRPr="00A224F8" w:rsidRDefault="00A224F8" w:rsidP="00A224F8">
      <w:pPr>
        <w:ind w:left="284"/>
        <w:jc w:val="both"/>
        <w:rPr>
          <w:rFonts w:ascii="Verdana" w:hAnsi="Verdana"/>
          <w:b/>
          <w:bCs/>
          <w:iCs/>
          <w:sz w:val="18"/>
          <w:szCs w:val="18"/>
        </w:rPr>
      </w:pPr>
      <w:r w:rsidRPr="00A224F8">
        <w:rPr>
          <w:rFonts w:ascii="Verdana" w:hAnsi="Verdana"/>
          <w:b/>
          <w:bCs/>
          <w:iCs/>
          <w:sz w:val="18"/>
          <w:szCs w:val="18"/>
        </w:rPr>
        <w:t>Valoración final</w:t>
      </w:r>
    </w:p>
    <w:p w14:paraId="05ABB9BC" w14:textId="77777777" w:rsidR="00A224F8" w:rsidRPr="00A224F8" w:rsidRDefault="00A224F8" w:rsidP="00A224F8">
      <w:pPr>
        <w:ind w:left="284"/>
        <w:jc w:val="both"/>
        <w:rPr>
          <w:rFonts w:ascii="Verdana" w:hAnsi="Verdana"/>
          <w:bCs/>
          <w:iCs/>
          <w:sz w:val="18"/>
          <w:szCs w:val="18"/>
        </w:rPr>
      </w:pPr>
      <w:r w:rsidRPr="00A224F8">
        <w:rPr>
          <w:rFonts w:ascii="Verdana" w:hAnsi="Verdana"/>
          <w:bCs/>
          <w:iCs/>
          <w:sz w:val="18"/>
          <w:szCs w:val="18"/>
        </w:rPr>
        <w:t xml:space="preserve">Con esta sentencia, el Tribunal Supremo consolida definitivamente una doctrina de gran trascendencia para la práctica tributaria, garantizando que, </w:t>
      </w:r>
      <w:r w:rsidRPr="004A22DB">
        <w:rPr>
          <w:rFonts w:ascii="Verdana" w:hAnsi="Verdana"/>
          <w:b/>
          <w:iCs/>
          <w:sz w:val="18"/>
          <w:szCs w:val="18"/>
        </w:rPr>
        <w:t>en los supuestos de regularización por interposición societaria, la base sancionadora se calcule sobre la cuota efectivamente defraudada y no sobre magnitudes artificialmente incrementadas</w:t>
      </w:r>
      <w:r w:rsidRPr="00A224F8">
        <w:rPr>
          <w:rFonts w:ascii="Verdana" w:hAnsi="Verdana"/>
          <w:bCs/>
          <w:iCs/>
          <w:sz w:val="18"/>
          <w:szCs w:val="18"/>
        </w:rPr>
        <w:t>.</w:t>
      </w:r>
    </w:p>
    <w:p w14:paraId="3E547B63" w14:textId="77777777" w:rsidR="00A224F8" w:rsidRDefault="00A224F8" w:rsidP="00A224F8">
      <w:pPr>
        <w:ind w:left="284"/>
        <w:jc w:val="both"/>
        <w:rPr>
          <w:rFonts w:ascii="Verdana" w:hAnsi="Verdana"/>
          <w:bCs/>
          <w:iCs/>
          <w:sz w:val="18"/>
          <w:szCs w:val="18"/>
        </w:rPr>
      </w:pPr>
    </w:p>
    <w:p w14:paraId="28012243" w14:textId="258A1BAD" w:rsidR="00A224F8" w:rsidRDefault="00A224F8" w:rsidP="00A224F8">
      <w:pPr>
        <w:ind w:left="284"/>
        <w:jc w:val="both"/>
        <w:rPr>
          <w:rFonts w:ascii="Verdana" w:hAnsi="Verdana"/>
          <w:bCs/>
          <w:iCs/>
          <w:sz w:val="18"/>
          <w:szCs w:val="18"/>
        </w:rPr>
      </w:pPr>
      <w:r w:rsidRPr="00A224F8">
        <w:rPr>
          <w:rFonts w:ascii="Verdana" w:hAnsi="Verdana"/>
          <w:bCs/>
          <w:iCs/>
          <w:sz w:val="18"/>
          <w:szCs w:val="18"/>
        </w:rPr>
        <w:lastRenderedPageBreak/>
        <w:t xml:space="preserve">La resolución constituye un importante respaldo para los contribuyentes inmersos en procedimientos sancionadores derivados de la utilización de sociedades instrumentales y obliga a la Administración tributaria a revisar sus criterios de cuantificación sancionadora. </w:t>
      </w:r>
    </w:p>
    <w:p w14:paraId="7CEFFD6A" w14:textId="77777777" w:rsidR="00060F04" w:rsidRDefault="00060F04" w:rsidP="00A224F8">
      <w:pPr>
        <w:ind w:left="284"/>
        <w:jc w:val="both"/>
        <w:rPr>
          <w:rFonts w:ascii="Verdana" w:hAnsi="Verdana"/>
          <w:bCs/>
          <w:iCs/>
          <w:sz w:val="18"/>
          <w:szCs w:val="18"/>
        </w:rPr>
      </w:pPr>
    </w:p>
    <w:p w14:paraId="47ADD3C3" w14:textId="77777777" w:rsidR="00060F04" w:rsidRDefault="00060F04" w:rsidP="00A224F8">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060F04" w:rsidRPr="00060F04" w14:paraId="08A62948" w14:textId="77777777" w:rsidTr="00130202">
        <w:tc>
          <w:tcPr>
            <w:tcW w:w="180" w:type="dxa"/>
            <w:shd w:val="clear" w:color="auto" w:fill="FF6600"/>
          </w:tcPr>
          <w:p w14:paraId="25E14098" w14:textId="77777777" w:rsidR="00060F04" w:rsidRPr="00060F04" w:rsidRDefault="00060F04" w:rsidP="00130202">
            <w:pPr>
              <w:pStyle w:val="Textoindependiente"/>
              <w:rPr>
                <w:rFonts w:ascii="Verdana" w:hAnsi="Verdana"/>
                <w:color w:val="800000"/>
                <w:sz w:val="16"/>
                <w:szCs w:val="16"/>
              </w:rPr>
            </w:pPr>
          </w:p>
        </w:tc>
        <w:tc>
          <w:tcPr>
            <w:tcW w:w="8460" w:type="dxa"/>
          </w:tcPr>
          <w:p w14:paraId="4D77D153" w14:textId="29BE8B3E" w:rsidR="00060F04" w:rsidRPr="00060F04" w:rsidRDefault="00060F04">
            <w:pPr>
              <w:numPr>
                <w:ilvl w:val="0"/>
                <w:numId w:val="1"/>
              </w:numPr>
              <w:tabs>
                <w:tab w:val="clear" w:pos="720"/>
                <w:tab w:val="num" w:pos="317"/>
                <w:tab w:val="left" w:pos="360"/>
              </w:tabs>
              <w:ind w:left="317" w:hanging="283"/>
              <w:jc w:val="both"/>
              <w:rPr>
                <w:rFonts w:ascii="Verdana" w:hAnsi="Verdana"/>
                <w:b/>
                <w:bCs/>
                <w:color w:val="800000"/>
                <w:sz w:val="16"/>
                <w:szCs w:val="16"/>
              </w:rPr>
            </w:pPr>
            <w:r w:rsidRPr="00060F04">
              <w:rPr>
                <w:rFonts w:ascii="Verdana" w:hAnsi="Verdana"/>
                <w:b/>
                <w:bCs/>
                <w:color w:val="800000"/>
                <w:sz w:val="18"/>
                <w:szCs w:val="18"/>
              </w:rPr>
              <w:t>TRATAMIENTO FISCAL DE LOS INTERESES DE UN PRÉSTAMO PARTICIPATIVO ENTRE SOCIEDADES NO VINCULADAS</w:t>
            </w:r>
          </w:p>
        </w:tc>
      </w:tr>
    </w:tbl>
    <w:p w14:paraId="3F0454EA" w14:textId="77777777" w:rsidR="00060F04" w:rsidRPr="00A224F8" w:rsidRDefault="00060F04" w:rsidP="00A224F8">
      <w:pPr>
        <w:ind w:left="284"/>
        <w:jc w:val="both"/>
        <w:rPr>
          <w:rFonts w:ascii="Verdana" w:hAnsi="Verdana"/>
          <w:bCs/>
          <w:iCs/>
          <w:sz w:val="18"/>
          <w:szCs w:val="18"/>
        </w:rPr>
      </w:pPr>
    </w:p>
    <w:p w14:paraId="784F4721" w14:textId="77777777" w:rsidR="00060F04" w:rsidRPr="00060F04" w:rsidRDefault="00060F04" w:rsidP="00060F04">
      <w:pPr>
        <w:ind w:left="284"/>
        <w:jc w:val="both"/>
        <w:rPr>
          <w:rFonts w:ascii="Verdana" w:hAnsi="Verdana"/>
          <w:bCs/>
          <w:iCs/>
          <w:sz w:val="18"/>
          <w:szCs w:val="18"/>
        </w:rPr>
      </w:pPr>
      <w:r w:rsidRPr="00060F04">
        <w:rPr>
          <w:rFonts w:ascii="Verdana" w:hAnsi="Verdana"/>
          <w:bCs/>
          <w:iCs/>
          <w:sz w:val="18"/>
          <w:szCs w:val="18"/>
        </w:rPr>
        <w:t xml:space="preserve">La Dirección General de Tributos analiza en la consulta vinculante V0047-26 el tratamiento contable y fiscal de los intereses derivados de un préstamo participativo concedido entre dos sociedades </w:t>
      </w:r>
      <w:r w:rsidRPr="004A22DB">
        <w:rPr>
          <w:rFonts w:ascii="Verdana" w:hAnsi="Verdana"/>
          <w:b/>
          <w:iCs/>
          <w:sz w:val="18"/>
          <w:szCs w:val="18"/>
        </w:rPr>
        <w:t>que no forman parte del mismo grupo mercantil</w:t>
      </w:r>
      <w:r w:rsidRPr="00060F04">
        <w:rPr>
          <w:rFonts w:ascii="Verdana" w:hAnsi="Verdana"/>
          <w:bCs/>
          <w:iCs/>
          <w:sz w:val="18"/>
          <w:szCs w:val="18"/>
        </w:rPr>
        <w:t xml:space="preserve">. </w:t>
      </w:r>
    </w:p>
    <w:p w14:paraId="30A57E23" w14:textId="77777777" w:rsidR="00060F04" w:rsidRDefault="00060F04" w:rsidP="00060F04">
      <w:pPr>
        <w:ind w:left="284"/>
        <w:jc w:val="both"/>
        <w:rPr>
          <w:rFonts w:ascii="Verdana" w:hAnsi="Verdana"/>
          <w:b/>
          <w:bCs/>
          <w:iCs/>
          <w:sz w:val="18"/>
          <w:szCs w:val="18"/>
        </w:rPr>
      </w:pPr>
    </w:p>
    <w:p w14:paraId="1468BB18" w14:textId="7D293364" w:rsidR="00060F04" w:rsidRPr="00060F04" w:rsidRDefault="00060F04" w:rsidP="00060F04">
      <w:pPr>
        <w:ind w:left="284"/>
        <w:jc w:val="both"/>
        <w:rPr>
          <w:rFonts w:ascii="Verdana" w:hAnsi="Verdana"/>
          <w:b/>
          <w:bCs/>
          <w:iCs/>
          <w:sz w:val="18"/>
          <w:szCs w:val="18"/>
        </w:rPr>
      </w:pPr>
      <w:r w:rsidRPr="00060F04">
        <w:rPr>
          <w:rFonts w:ascii="Verdana" w:hAnsi="Verdana"/>
          <w:b/>
          <w:bCs/>
          <w:iCs/>
          <w:sz w:val="18"/>
          <w:szCs w:val="18"/>
        </w:rPr>
        <w:t>Supuesto planteado</w:t>
      </w:r>
    </w:p>
    <w:p w14:paraId="10DE562C" w14:textId="628B3B79" w:rsidR="00060F04" w:rsidRPr="00060F04" w:rsidRDefault="00060F04" w:rsidP="00060F04">
      <w:pPr>
        <w:ind w:left="284"/>
        <w:jc w:val="both"/>
        <w:rPr>
          <w:rFonts w:ascii="Verdana" w:hAnsi="Verdana"/>
          <w:bCs/>
          <w:iCs/>
          <w:sz w:val="18"/>
          <w:szCs w:val="18"/>
        </w:rPr>
      </w:pPr>
      <w:r w:rsidRPr="00060F04">
        <w:rPr>
          <w:rFonts w:ascii="Verdana" w:hAnsi="Verdana"/>
          <w:bCs/>
          <w:iCs/>
          <w:sz w:val="18"/>
          <w:szCs w:val="18"/>
        </w:rPr>
        <w:t xml:space="preserve">La sociedad X posee una participación del 10% en el capital de la sociedad Y </w:t>
      </w:r>
      <w:r w:rsidR="001F0DCD">
        <w:rPr>
          <w:rFonts w:ascii="Verdana" w:hAnsi="Verdana"/>
          <w:bCs/>
          <w:iCs/>
          <w:sz w:val="18"/>
          <w:szCs w:val="18"/>
        </w:rPr>
        <w:t>a la que</w:t>
      </w:r>
      <w:r w:rsidRPr="00060F04">
        <w:rPr>
          <w:rFonts w:ascii="Verdana" w:hAnsi="Verdana"/>
          <w:bCs/>
          <w:iCs/>
          <w:sz w:val="18"/>
          <w:szCs w:val="18"/>
        </w:rPr>
        <w:t xml:space="preserve"> le concede un préstamo participativo para financiar la adquisición de parcelas urbanas. Como remuneración del préstamo, se pacta un interés variable equivalente al 25% de los beneficios obtenidos por Y en la venta de dichos terrenos. </w:t>
      </w:r>
    </w:p>
    <w:p w14:paraId="00915267" w14:textId="77777777" w:rsidR="00060F04" w:rsidRDefault="00060F04" w:rsidP="00060F04">
      <w:pPr>
        <w:ind w:left="284"/>
        <w:jc w:val="both"/>
        <w:rPr>
          <w:rFonts w:ascii="Verdana" w:hAnsi="Verdana"/>
          <w:b/>
          <w:bCs/>
          <w:iCs/>
          <w:sz w:val="18"/>
          <w:szCs w:val="18"/>
        </w:rPr>
      </w:pPr>
    </w:p>
    <w:p w14:paraId="3C9C9047" w14:textId="57E4D377" w:rsidR="00060F04" w:rsidRPr="00060F04" w:rsidRDefault="00060F04" w:rsidP="00060F04">
      <w:pPr>
        <w:ind w:left="284"/>
        <w:jc w:val="both"/>
        <w:rPr>
          <w:rFonts w:ascii="Verdana" w:hAnsi="Verdana"/>
          <w:b/>
          <w:bCs/>
          <w:iCs/>
          <w:sz w:val="18"/>
          <w:szCs w:val="18"/>
        </w:rPr>
      </w:pPr>
      <w:r w:rsidRPr="00060F04">
        <w:rPr>
          <w:rFonts w:ascii="Verdana" w:hAnsi="Verdana"/>
          <w:b/>
          <w:bCs/>
          <w:iCs/>
          <w:sz w:val="18"/>
          <w:szCs w:val="18"/>
        </w:rPr>
        <w:t>Tratamiento contable</w:t>
      </w:r>
    </w:p>
    <w:p w14:paraId="5D57D9C5" w14:textId="77777777" w:rsidR="00060F04" w:rsidRPr="00060F04" w:rsidRDefault="00060F04" w:rsidP="00060F04">
      <w:pPr>
        <w:ind w:left="284"/>
        <w:jc w:val="both"/>
        <w:rPr>
          <w:rFonts w:ascii="Verdana" w:hAnsi="Verdana"/>
          <w:bCs/>
          <w:iCs/>
          <w:sz w:val="18"/>
          <w:szCs w:val="18"/>
        </w:rPr>
      </w:pPr>
      <w:r w:rsidRPr="00060F04">
        <w:rPr>
          <w:rFonts w:ascii="Verdana" w:hAnsi="Verdana"/>
          <w:bCs/>
          <w:iCs/>
          <w:sz w:val="18"/>
          <w:szCs w:val="18"/>
        </w:rPr>
        <w:t>Conforme a la Norma de Registro y Valoración 9ª del Plan General de Contabilidad, los préstamos participativos con intereses contingentes se califican como instrumentos financieros cuyos rendimientos dependen de la evolución de la actividad de la entidad prestataria.</w:t>
      </w:r>
    </w:p>
    <w:p w14:paraId="0E4A3C93" w14:textId="77777777" w:rsidR="00060F04" w:rsidRPr="00060F04" w:rsidRDefault="00060F04">
      <w:pPr>
        <w:numPr>
          <w:ilvl w:val="0"/>
          <w:numId w:val="6"/>
        </w:numPr>
        <w:jc w:val="both"/>
        <w:rPr>
          <w:rFonts w:ascii="Verdana" w:hAnsi="Verdana"/>
          <w:bCs/>
          <w:iCs/>
          <w:sz w:val="18"/>
          <w:szCs w:val="18"/>
        </w:rPr>
      </w:pPr>
      <w:r w:rsidRPr="00060F04">
        <w:rPr>
          <w:rFonts w:ascii="Verdana" w:hAnsi="Verdana"/>
          <w:bCs/>
          <w:iCs/>
          <w:sz w:val="18"/>
          <w:szCs w:val="18"/>
        </w:rPr>
        <w:t xml:space="preserve">Para la sociedad prestamista (X), los intereses se contabilizan como ingresos financieros conforme al principio de devengo. </w:t>
      </w:r>
    </w:p>
    <w:p w14:paraId="51029D5B" w14:textId="77777777" w:rsidR="00060F04" w:rsidRPr="00060F04" w:rsidRDefault="00060F04">
      <w:pPr>
        <w:numPr>
          <w:ilvl w:val="0"/>
          <w:numId w:val="6"/>
        </w:numPr>
        <w:jc w:val="both"/>
        <w:rPr>
          <w:rFonts w:ascii="Verdana" w:hAnsi="Verdana"/>
          <w:bCs/>
          <w:iCs/>
          <w:sz w:val="18"/>
          <w:szCs w:val="18"/>
        </w:rPr>
      </w:pPr>
      <w:r w:rsidRPr="00060F04">
        <w:rPr>
          <w:rFonts w:ascii="Verdana" w:hAnsi="Verdana"/>
          <w:bCs/>
          <w:iCs/>
          <w:sz w:val="18"/>
          <w:szCs w:val="18"/>
        </w:rPr>
        <w:t xml:space="preserve">Para la sociedad prestataria (Y), los intereses se reconocen como gastos financieros, igualmente siguiendo el criterio de devengo. </w:t>
      </w:r>
    </w:p>
    <w:p w14:paraId="0A70265E" w14:textId="77777777" w:rsidR="00060F04" w:rsidRDefault="00060F04" w:rsidP="00060F04">
      <w:pPr>
        <w:ind w:left="284"/>
        <w:jc w:val="both"/>
        <w:rPr>
          <w:rFonts w:ascii="Verdana" w:hAnsi="Verdana"/>
          <w:b/>
          <w:bCs/>
          <w:iCs/>
          <w:sz w:val="18"/>
          <w:szCs w:val="18"/>
        </w:rPr>
      </w:pPr>
    </w:p>
    <w:p w14:paraId="6C5B909C" w14:textId="6212E88C" w:rsidR="00060F04" w:rsidRPr="00060F04" w:rsidRDefault="00060F04" w:rsidP="00060F04">
      <w:pPr>
        <w:ind w:left="284"/>
        <w:jc w:val="both"/>
        <w:rPr>
          <w:rFonts w:ascii="Verdana" w:hAnsi="Verdana"/>
          <w:b/>
          <w:bCs/>
          <w:iCs/>
          <w:sz w:val="18"/>
          <w:szCs w:val="18"/>
        </w:rPr>
      </w:pPr>
      <w:r w:rsidRPr="00060F04">
        <w:rPr>
          <w:rFonts w:ascii="Verdana" w:hAnsi="Verdana"/>
          <w:b/>
          <w:bCs/>
          <w:iCs/>
          <w:sz w:val="18"/>
          <w:szCs w:val="18"/>
        </w:rPr>
        <w:t>Calificación fiscal de los intereses</w:t>
      </w:r>
    </w:p>
    <w:p w14:paraId="0FC7A7BC" w14:textId="77777777" w:rsidR="00060F04" w:rsidRDefault="00060F04" w:rsidP="00060F04">
      <w:pPr>
        <w:ind w:left="284"/>
        <w:jc w:val="both"/>
        <w:rPr>
          <w:rFonts w:ascii="Verdana" w:hAnsi="Verdana"/>
          <w:bCs/>
          <w:iCs/>
          <w:sz w:val="18"/>
          <w:szCs w:val="18"/>
        </w:rPr>
      </w:pPr>
      <w:r w:rsidRPr="00060F04">
        <w:rPr>
          <w:rFonts w:ascii="Verdana" w:hAnsi="Verdana"/>
          <w:bCs/>
          <w:iCs/>
          <w:sz w:val="18"/>
          <w:szCs w:val="18"/>
        </w:rPr>
        <w:t xml:space="preserve">La DGT recuerda que el artículo 15.a) de la Ley del Impuesto sobre Sociedades considera retribución de fondos propios —y, por tanto, gasto no deducible— únicamente los intereses de préstamos participativos otorgados por entidades </w:t>
      </w:r>
      <w:r w:rsidRPr="00E26A6D">
        <w:rPr>
          <w:rFonts w:ascii="Verdana" w:hAnsi="Verdana"/>
          <w:b/>
          <w:iCs/>
          <w:sz w:val="18"/>
          <w:szCs w:val="18"/>
        </w:rPr>
        <w:t>que formen parte del mismo grupo mercantil según el artículo 42 del Código de Comercio</w:t>
      </w:r>
      <w:r w:rsidRPr="00060F04">
        <w:rPr>
          <w:rFonts w:ascii="Verdana" w:hAnsi="Verdana"/>
          <w:bCs/>
          <w:iCs/>
          <w:sz w:val="18"/>
          <w:szCs w:val="18"/>
        </w:rPr>
        <w:t xml:space="preserve">. </w:t>
      </w:r>
    </w:p>
    <w:p w14:paraId="7633D759" w14:textId="77777777" w:rsidR="00E62940" w:rsidRPr="00060F04" w:rsidRDefault="00E62940" w:rsidP="00060F04">
      <w:pPr>
        <w:ind w:left="284"/>
        <w:jc w:val="both"/>
        <w:rPr>
          <w:rFonts w:ascii="Verdana" w:hAnsi="Verdana"/>
          <w:bCs/>
          <w:iCs/>
          <w:sz w:val="18"/>
          <w:szCs w:val="18"/>
        </w:rPr>
      </w:pPr>
    </w:p>
    <w:p w14:paraId="797AA2E5" w14:textId="77777777" w:rsidR="00060F04" w:rsidRPr="00060F04" w:rsidRDefault="00060F04" w:rsidP="00060F04">
      <w:pPr>
        <w:ind w:left="284"/>
        <w:jc w:val="both"/>
        <w:rPr>
          <w:rFonts w:ascii="Verdana" w:hAnsi="Verdana"/>
          <w:bCs/>
          <w:iCs/>
          <w:sz w:val="18"/>
          <w:szCs w:val="18"/>
        </w:rPr>
      </w:pPr>
      <w:r w:rsidRPr="00060F04">
        <w:rPr>
          <w:rFonts w:ascii="Verdana" w:hAnsi="Verdana"/>
          <w:bCs/>
          <w:iCs/>
          <w:sz w:val="18"/>
          <w:szCs w:val="18"/>
        </w:rPr>
        <w:t xml:space="preserve">En el caso analizado, al </w:t>
      </w:r>
      <w:r w:rsidRPr="00060F04">
        <w:rPr>
          <w:rFonts w:ascii="Verdana" w:hAnsi="Verdana"/>
          <w:b/>
          <w:iCs/>
          <w:sz w:val="18"/>
          <w:szCs w:val="18"/>
        </w:rPr>
        <w:t>no existir relación de grupo</w:t>
      </w:r>
      <w:r w:rsidRPr="00060F04">
        <w:rPr>
          <w:rFonts w:ascii="Verdana" w:hAnsi="Verdana"/>
          <w:bCs/>
          <w:iCs/>
          <w:sz w:val="18"/>
          <w:szCs w:val="18"/>
        </w:rPr>
        <w:t>, los intereses no tienen la consideración de retribución de fondos propios.</w:t>
      </w:r>
    </w:p>
    <w:p w14:paraId="48CB6486" w14:textId="77777777" w:rsidR="00060F04" w:rsidRDefault="00060F04" w:rsidP="00060F04">
      <w:pPr>
        <w:ind w:left="284"/>
        <w:jc w:val="both"/>
        <w:rPr>
          <w:rFonts w:ascii="Verdana" w:hAnsi="Verdana"/>
          <w:b/>
          <w:bCs/>
          <w:iCs/>
          <w:sz w:val="18"/>
          <w:szCs w:val="18"/>
        </w:rPr>
      </w:pPr>
    </w:p>
    <w:p w14:paraId="70C835F5" w14:textId="0B7CAB7C" w:rsidR="00060F04" w:rsidRPr="00060F04" w:rsidRDefault="00060F04" w:rsidP="00060F04">
      <w:pPr>
        <w:ind w:left="284"/>
        <w:jc w:val="both"/>
        <w:rPr>
          <w:rFonts w:ascii="Verdana" w:hAnsi="Verdana"/>
          <w:b/>
          <w:bCs/>
          <w:iCs/>
          <w:sz w:val="18"/>
          <w:szCs w:val="18"/>
        </w:rPr>
      </w:pPr>
      <w:r w:rsidRPr="00060F04">
        <w:rPr>
          <w:rFonts w:ascii="Verdana" w:hAnsi="Verdana"/>
          <w:b/>
          <w:bCs/>
          <w:iCs/>
          <w:sz w:val="18"/>
          <w:szCs w:val="18"/>
        </w:rPr>
        <w:t>Consecuencias fiscales</w:t>
      </w:r>
    </w:p>
    <w:p w14:paraId="48F03775" w14:textId="77777777" w:rsidR="00060F04" w:rsidRDefault="00060F04" w:rsidP="00060F04">
      <w:pPr>
        <w:ind w:left="284"/>
        <w:jc w:val="both"/>
        <w:rPr>
          <w:rFonts w:ascii="Verdana" w:hAnsi="Verdana"/>
          <w:b/>
          <w:bCs/>
          <w:iCs/>
          <w:sz w:val="18"/>
          <w:szCs w:val="18"/>
        </w:rPr>
      </w:pPr>
    </w:p>
    <w:p w14:paraId="4BCAE121" w14:textId="3DDC5686" w:rsidR="00060F04" w:rsidRPr="00060F04" w:rsidRDefault="00060F04" w:rsidP="00060F04">
      <w:pPr>
        <w:ind w:left="284"/>
        <w:jc w:val="both"/>
        <w:rPr>
          <w:rFonts w:ascii="Verdana" w:hAnsi="Verdana"/>
          <w:b/>
          <w:bCs/>
          <w:iCs/>
          <w:sz w:val="18"/>
          <w:szCs w:val="18"/>
        </w:rPr>
      </w:pPr>
      <w:r w:rsidRPr="00060F04">
        <w:rPr>
          <w:rFonts w:ascii="Verdana" w:hAnsi="Verdana"/>
          <w:b/>
          <w:bCs/>
          <w:iCs/>
          <w:sz w:val="18"/>
          <w:szCs w:val="18"/>
        </w:rPr>
        <w:t>En la sociedad prestamista (X)</w:t>
      </w:r>
    </w:p>
    <w:p w14:paraId="412B82D5" w14:textId="77777777" w:rsidR="00060F04" w:rsidRPr="00060F04" w:rsidRDefault="00060F04" w:rsidP="00060F04">
      <w:pPr>
        <w:ind w:left="284"/>
        <w:jc w:val="both"/>
        <w:rPr>
          <w:rFonts w:ascii="Verdana" w:hAnsi="Verdana"/>
          <w:bCs/>
          <w:iCs/>
          <w:sz w:val="18"/>
          <w:szCs w:val="18"/>
        </w:rPr>
      </w:pPr>
      <w:r w:rsidRPr="00060F04">
        <w:rPr>
          <w:rFonts w:ascii="Verdana" w:hAnsi="Verdana"/>
          <w:bCs/>
          <w:iCs/>
          <w:sz w:val="18"/>
          <w:szCs w:val="18"/>
        </w:rPr>
        <w:t xml:space="preserve">Los intereses percibidos constituyen ingresos financieros plenamente computables en la base imponible del Impuesto sobre Sociedades, imputándose fiscalmente conforme al criterio contable de devengo. </w:t>
      </w:r>
    </w:p>
    <w:p w14:paraId="1FA91657" w14:textId="77777777" w:rsidR="00060F04" w:rsidRDefault="00060F04" w:rsidP="00060F04">
      <w:pPr>
        <w:ind w:left="284"/>
        <w:jc w:val="both"/>
        <w:rPr>
          <w:rFonts w:ascii="Verdana" w:hAnsi="Verdana"/>
          <w:b/>
          <w:bCs/>
          <w:iCs/>
          <w:sz w:val="18"/>
          <w:szCs w:val="18"/>
        </w:rPr>
      </w:pPr>
    </w:p>
    <w:p w14:paraId="3D470909" w14:textId="428C691B" w:rsidR="00060F04" w:rsidRPr="00060F04" w:rsidRDefault="00060F04" w:rsidP="00060F04">
      <w:pPr>
        <w:ind w:left="284"/>
        <w:jc w:val="both"/>
        <w:rPr>
          <w:rFonts w:ascii="Verdana" w:hAnsi="Verdana"/>
          <w:b/>
          <w:bCs/>
          <w:iCs/>
          <w:sz w:val="18"/>
          <w:szCs w:val="18"/>
        </w:rPr>
      </w:pPr>
      <w:r w:rsidRPr="00060F04">
        <w:rPr>
          <w:rFonts w:ascii="Verdana" w:hAnsi="Verdana"/>
          <w:b/>
          <w:bCs/>
          <w:iCs/>
          <w:sz w:val="18"/>
          <w:szCs w:val="18"/>
        </w:rPr>
        <w:t>En la sociedad prestataria (Y)</w:t>
      </w:r>
    </w:p>
    <w:p w14:paraId="69326812" w14:textId="77777777" w:rsidR="00060F04" w:rsidRPr="00060F04" w:rsidRDefault="00060F04" w:rsidP="00060F04">
      <w:pPr>
        <w:ind w:left="284"/>
        <w:jc w:val="both"/>
        <w:rPr>
          <w:rFonts w:ascii="Verdana" w:hAnsi="Verdana"/>
          <w:bCs/>
          <w:iCs/>
          <w:sz w:val="18"/>
          <w:szCs w:val="18"/>
        </w:rPr>
      </w:pPr>
      <w:r w:rsidRPr="00060F04">
        <w:rPr>
          <w:rFonts w:ascii="Verdana" w:hAnsi="Verdana"/>
          <w:bCs/>
          <w:iCs/>
          <w:sz w:val="18"/>
          <w:szCs w:val="18"/>
        </w:rPr>
        <w:t>Los intereses satisfechos tienen la consideración de gastos financieros fiscalmente deducibles, siempre que:</w:t>
      </w:r>
    </w:p>
    <w:p w14:paraId="4DCF7785" w14:textId="77777777" w:rsidR="00060F04" w:rsidRPr="00060F04" w:rsidRDefault="00060F04">
      <w:pPr>
        <w:numPr>
          <w:ilvl w:val="0"/>
          <w:numId w:val="7"/>
        </w:numPr>
        <w:jc w:val="both"/>
        <w:rPr>
          <w:rFonts w:ascii="Verdana" w:hAnsi="Verdana"/>
          <w:bCs/>
          <w:iCs/>
          <w:sz w:val="18"/>
          <w:szCs w:val="18"/>
        </w:rPr>
      </w:pPr>
      <w:r w:rsidRPr="00060F04">
        <w:rPr>
          <w:rFonts w:ascii="Verdana" w:hAnsi="Verdana"/>
          <w:bCs/>
          <w:iCs/>
          <w:sz w:val="18"/>
          <w:szCs w:val="18"/>
        </w:rPr>
        <w:t xml:space="preserve">Cumplan los requisitos generales de inscripción contable, correlación con los ingresos y justificación documental. </w:t>
      </w:r>
    </w:p>
    <w:p w14:paraId="2B290242" w14:textId="77777777" w:rsidR="00060F04" w:rsidRPr="00060F04" w:rsidRDefault="00060F04">
      <w:pPr>
        <w:numPr>
          <w:ilvl w:val="0"/>
          <w:numId w:val="7"/>
        </w:numPr>
        <w:jc w:val="both"/>
        <w:rPr>
          <w:rFonts w:ascii="Verdana" w:hAnsi="Verdana"/>
          <w:bCs/>
          <w:iCs/>
          <w:sz w:val="18"/>
          <w:szCs w:val="18"/>
        </w:rPr>
      </w:pPr>
      <w:r w:rsidRPr="00060F04">
        <w:rPr>
          <w:rFonts w:ascii="Verdana" w:hAnsi="Verdana"/>
          <w:bCs/>
          <w:iCs/>
          <w:sz w:val="18"/>
          <w:szCs w:val="18"/>
        </w:rPr>
        <w:t xml:space="preserve">Respeten la limitación del artículo 16 de la LIS. </w:t>
      </w:r>
    </w:p>
    <w:p w14:paraId="612CFE27" w14:textId="77777777" w:rsidR="00060F04" w:rsidRDefault="00060F04" w:rsidP="00060F04">
      <w:pPr>
        <w:ind w:left="284"/>
        <w:jc w:val="both"/>
        <w:rPr>
          <w:rFonts w:ascii="Verdana" w:hAnsi="Verdana"/>
          <w:b/>
          <w:bCs/>
          <w:iCs/>
          <w:sz w:val="18"/>
          <w:szCs w:val="18"/>
        </w:rPr>
      </w:pPr>
    </w:p>
    <w:p w14:paraId="5F4868C1" w14:textId="34CABFCD" w:rsidR="00060F04" w:rsidRPr="00060F04" w:rsidRDefault="00060F04" w:rsidP="00060F04">
      <w:pPr>
        <w:ind w:left="284"/>
        <w:jc w:val="both"/>
        <w:rPr>
          <w:rFonts w:ascii="Verdana" w:hAnsi="Verdana"/>
          <w:b/>
          <w:bCs/>
          <w:iCs/>
          <w:sz w:val="18"/>
          <w:szCs w:val="18"/>
        </w:rPr>
      </w:pPr>
      <w:r w:rsidRPr="00060F04">
        <w:rPr>
          <w:rFonts w:ascii="Verdana" w:hAnsi="Verdana"/>
          <w:b/>
          <w:bCs/>
          <w:iCs/>
          <w:sz w:val="18"/>
          <w:szCs w:val="18"/>
        </w:rPr>
        <w:t>Limitación a la deducibilidad</w:t>
      </w:r>
    </w:p>
    <w:p w14:paraId="77E79897" w14:textId="77777777" w:rsidR="00060F04" w:rsidRPr="00060F04" w:rsidRDefault="00060F04" w:rsidP="00060F04">
      <w:pPr>
        <w:ind w:left="284"/>
        <w:jc w:val="both"/>
        <w:rPr>
          <w:rFonts w:ascii="Verdana" w:hAnsi="Verdana"/>
          <w:bCs/>
          <w:iCs/>
          <w:sz w:val="18"/>
          <w:szCs w:val="18"/>
        </w:rPr>
      </w:pPr>
      <w:r w:rsidRPr="00060F04">
        <w:rPr>
          <w:rFonts w:ascii="Verdana" w:hAnsi="Verdana"/>
          <w:bCs/>
          <w:iCs/>
          <w:sz w:val="18"/>
          <w:szCs w:val="18"/>
        </w:rPr>
        <w:t>Los gastos financieros netos son deducibles con el límite del 30% del beneficio operativo del ejercicio, con un mínimo deducible de 1.000.000 euros anuales.</w:t>
      </w:r>
    </w:p>
    <w:p w14:paraId="03E1BACA" w14:textId="77777777" w:rsidR="00E62940" w:rsidRDefault="00E62940" w:rsidP="00060F04">
      <w:pPr>
        <w:ind w:left="284"/>
        <w:jc w:val="both"/>
        <w:rPr>
          <w:rFonts w:ascii="Verdana" w:hAnsi="Verdana"/>
          <w:bCs/>
          <w:iCs/>
          <w:sz w:val="18"/>
          <w:szCs w:val="18"/>
        </w:rPr>
      </w:pPr>
    </w:p>
    <w:p w14:paraId="0AD5C8F4" w14:textId="270EF535" w:rsidR="00060F04" w:rsidRPr="00060F04" w:rsidRDefault="00060F04" w:rsidP="00060F04">
      <w:pPr>
        <w:ind w:left="284"/>
        <w:jc w:val="both"/>
        <w:rPr>
          <w:rFonts w:ascii="Verdana" w:hAnsi="Verdana"/>
          <w:bCs/>
          <w:iCs/>
          <w:sz w:val="18"/>
          <w:szCs w:val="18"/>
        </w:rPr>
      </w:pPr>
      <w:r w:rsidRPr="00060F04">
        <w:rPr>
          <w:rFonts w:ascii="Verdana" w:hAnsi="Verdana"/>
          <w:bCs/>
          <w:iCs/>
          <w:sz w:val="18"/>
          <w:szCs w:val="18"/>
        </w:rPr>
        <w:t xml:space="preserve">El exceso no deducido podrá aplicarse en ejercicios futuros sin límite temporal, conjuntamente con los gastos financieros del período correspondiente. </w:t>
      </w:r>
    </w:p>
    <w:p w14:paraId="3E6207C9" w14:textId="77777777" w:rsidR="00060F04" w:rsidRDefault="00060F04" w:rsidP="00060F04">
      <w:pPr>
        <w:ind w:left="284"/>
        <w:jc w:val="both"/>
        <w:rPr>
          <w:rFonts w:ascii="Verdana" w:hAnsi="Verdana"/>
          <w:b/>
          <w:bCs/>
          <w:iCs/>
          <w:sz w:val="18"/>
          <w:szCs w:val="18"/>
        </w:rPr>
      </w:pPr>
    </w:p>
    <w:p w14:paraId="34D14AB1" w14:textId="77777777" w:rsidR="00EB1CCD" w:rsidRDefault="00EB1CCD" w:rsidP="00060F04">
      <w:pPr>
        <w:ind w:left="284"/>
        <w:jc w:val="both"/>
        <w:rPr>
          <w:rFonts w:ascii="Verdana" w:hAnsi="Verdana"/>
          <w:b/>
          <w:bCs/>
          <w:iCs/>
          <w:sz w:val="18"/>
          <w:szCs w:val="18"/>
        </w:rPr>
      </w:pPr>
    </w:p>
    <w:p w14:paraId="032AAA07" w14:textId="77777777" w:rsidR="00EB1CCD" w:rsidRDefault="00EB1CCD" w:rsidP="00060F04">
      <w:pPr>
        <w:ind w:left="284"/>
        <w:jc w:val="both"/>
        <w:rPr>
          <w:rFonts w:ascii="Verdana" w:hAnsi="Verdana"/>
          <w:b/>
          <w:bCs/>
          <w:iCs/>
          <w:sz w:val="18"/>
          <w:szCs w:val="18"/>
        </w:rPr>
      </w:pPr>
    </w:p>
    <w:p w14:paraId="468AE1ED" w14:textId="161F007A" w:rsidR="00060F04" w:rsidRPr="00060F04" w:rsidRDefault="00060F04" w:rsidP="00060F04">
      <w:pPr>
        <w:ind w:left="284"/>
        <w:jc w:val="both"/>
        <w:rPr>
          <w:rFonts w:ascii="Verdana" w:hAnsi="Verdana"/>
          <w:b/>
          <w:bCs/>
          <w:iCs/>
          <w:sz w:val="18"/>
          <w:szCs w:val="18"/>
        </w:rPr>
      </w:pPr>
      <w:r w:rsidRPr="00060F04">
        <w:rPr>
          <w:rFonts w:ascii="Verdana" w:hAnsi="Verdana"/>
          <w:b/>
          <w:bCs/>
          <w:iCs/>
          <w:sz w:val="18"/>
          <w:szCs w:val="18"/>
        </w:rPr>
        <w:lastRenderedPageBreak/>
        <w:t>Conclusión</w:t>
      </w:r>
    </w:p>
    <w:p w14:paraId="590A1E28" w14:textId="77777777" w:rsidR="00060F04" w:rsidRPr="00060F04" w:rsidRDefault="00060F04" w:rsidP="00060F04">
      <w:pPr>
        <w:ind w:left="284"/>
        <w:jc w:val="both"/>
        <w:rPr>
          <w:rFonts w:ascii="Verdana" w:hAnsi="Verdana"/>
          <w:bCs/>
          <w:iCs/>
          <w:sz w:val="18"/>
          <w:szCs w:val="18"/>
        </w:rPr>
      </w:pPr>
      <w:r w:rsidRPr="00060F04">
        <w:rPr>
          <w:rFonts w:ascii="Verdana" w:hAnsi="Verdana"/>
          <w:bCs/>
          <w:iCs/>
          <w:sz w:val="18"/>
          <w:szCs w:val="18"/>
        </w:rPr>
        <w:t xml:space="preserve">Cuando un préstamo participativo es concedido entre sociedades </w:t>
      </w:r>
      <w:r w:rsidRPr="00E26A6D">
        <w:rPr>
          <w:rFonts w:ascii="Verdana" w:hAnsi="Verdana"/>
          <w:b/>
          <w:iCs/>
          <w:sz w:val="18"/>
          <w:szCs w:val="18"/>
        </w:rPr>
        <w:t>que no forman parte del mismo grupo mercantil</w:t>
      </w:r>
      <w:r w:rsidRPr="00060F04">
        <w:rPr>
          <w:rFonts w:ascii="Verdana" w:hAnsi="Verdana"/>
          <w:bCs/>
          <w:iCs/>
          <w:sz w:val="18"/>
          <w:szCs w:val="18"/>
        </w:rPr>
        <w:t>:</w:t>
      </w:r>
    </w:p>
    <w:p w14:paraId="7433D54C" w14:textId="77777777" w:rsidR="00060F04" w:rsidRPr="00060F04" w:rsidRDefault="00060F04">
      <w:pPr>
        <w:numPr>
          <w:ilvl w:val="0"/>
          <w:numId w:val="8"/>
        </w:numPr>
        <w:jc w:val="both"/>
        <w:rPr>
          <w:rFonts w:ascii="Verdana" w:hAnsi="Verdana"/>
          <w:bCs/>
          <w:iCs/>
          <w:sz w:val="18"/>
          <w:szCs w:val="18"/>
        </w:rPr>
      </w:pPr>
      <w:r w:rsidRPr="00060F04">
        <w:rPr>
          <w:rFonts w:ascii="Verdana" w:hAnsi="Verdana"/>
          <w:bCs/>
          <w:iCs/>
          <w:sz w:val="18"/>
          <w:szCs w:val="18"/>
        </w:rPr>
        <w:t xml:space="preserve">La entidad prestamista integra los intereses como ingresos financieros en su base imponible. </w:t>
      </w:r>
    </w:p>
    <w:p w14:paraId="038AAC9D" w14:textId="77777777" w:rsidR="00060F04" w:rsidRPr="00060F04" w:rsidRDefault="00060F04">
      <w:pPr>
        <w:numPr>
          <w:ilvl w:val="0"/>
          <w:numId w:val="8"/>
        </w:numPr>
        <w:jc w:val="both"/>
        <w:rPr>
          <w:rFonts w:ascii="Verdana" w:hAnsi="Verdana"/>
          <w:bCs/>
          <w:iCs/>
          <w:sz w:val="18"/>
          <w:szCs w:val="18"/>
        </w:rPr>
      </w:pPr>
      <w:r w:rsidRPr="00060F04">
        <w:rPr>
          <w:rFonts w:ascii="Verdana" w:hAnsi="Verdana"/>
          <w:bCs/>
          <w:iCs/>
          <w:sz w:val="18"/>
          <w:szCs w:val="18"/>
        </w:rPr>
        <w:t xml:space="preserve">La entidad prestataria puede deducir los intereses como gasto financiero. </w:t>
      </w:r>
    </w:p>
    <w:p w14:paraId="7A0CBB01" w14:textId="77777777" w:rsidR="00060F04" w:rsidRPr="00060F04" w:rsidRDefault="00060F04">
      <w:pPr>
        <w:numPr>
          <w:ilvl w:val="0"/>
          <w:numId w:val="8"/>
        </w:numPr>
        <w:jc w:val="both"/>
        <w:rPr>
          <w:rFonts w:ascii="Verdana" w:hAnsi="Verdana"/>
          <w:bCs/>
          <w:iCs/>
          <w:sz w:val="18"/>
          <w:szCs w:val="18"/>
        </w:rPr>
      </w:pPr>
      <w:r w:rsidRPr="00060F04">
        <w:rPr>
          <w:rFonts w:ascii="Verdana" w:hAnsi="Verdana"/>
          <w:bCs/>
          <w:iCs/>
          <w:sz w:val="18"/>
          <w:szCs w:val="18"/>
        </w:rPr>
        <w:t xml:space="preserve">No resulta aplicable la calificación de retribución de fondos propios del artículo 15.a) de la LIS. </w:t>
      </w:r>
    </w:p>
    <w:p w14:paraId="556F0980" w14:textId="77777777" w:rsidR="00060F04" w:rsidRPr="00060F04" w:rsidRDefault="00060F04">
      <w:pPr>
        <w:numPr>
          <w:ilvl w:val="0"/>
          <w:numId w:val="8"/>
        </w:numPr>
        <w:jc w:val="both"/>
        <w:rPr>
          <w:rFonts w:ascii="Verdana" w:hAnsi="Verdana"/>
          <w:bCs/>
          <w:iCs/>
          <w:sz w:val="18"/>
          <w:szCs w:val="18"/>
        </w:rPr>
      </w:pPr>
      <w:r w:rsidRPr="00060F04">
        <w:rPr>
          <w:rFonts w:ascii="Verdana" w:hAnsi="Verdana"/>
          <w:bCs/>
          <w:iCs/>
          <w:sz w:val="18"/>
          <w:szCs w:val="18"/>
        </w:rPr>
        <w:t xml:space="preserve">La deducción queda sujeta a la limitación general del artículo 16 de la LIS. </w:t>
      </w:r>
    </w:p>
    <w:p w14:paraId="6CDF0A8D" w14:textId="77777777" w:rsidR="00060F04" w:rsidRDefault="00060F04" w:rsidP="00060F04">
      <w:pPr>
        <w:ind w:left="284"/>
        <w:jc w:val="both"/>
        <w:rPr>
          <w:rFonts w:ascii="Verdana" w:hAnsi="Verdana"/>
          <w:b/>
          <w:bCs/>
          <w:iCs/>
          <w:sz w:val="18"/>
          <w:szCs w:val="18"/>
        </w:rPr>
      </w:pPr>
    </w:p>
    <w:p w14:paraId="1FCC6252" w14:textId="51D17E17" w:rsidR="00060F04" w:rsidRPr="00060F04" w:rsidRDefault="00060F04" w:rsidP="00060F04">
      <w:pPr>
        <w:ind w:left="284"/>
        <w:jc w:val="both"/>
        <w:rPr>
          <w:rFonts w:ascii="Verdana" w:hAnsi="Verdana"/>
          <w:b/>
          <w:bCs/>
          <w:iCs/>
          <w:sz w:val="18"/>
          <w:szCs w:val="18"/>
        </w:rPr>
      </w:pPr>
      <w:r w:rsidRPr="00060F04">
        <w:rPr>
          <w:rFonts w:ascii="Verdana" w:hAnsi="Verdana"/>
          <w:b/>
          <w:bCs/>
          <w:iCs/>
          <w:sz w:val="18"/>
          <w:szCs w:val="18"/>
        </w:rPr>
        <w:t>Relevancia práctica</w:t>
      </w:r>
    </w:p>
    <w:p w14:paraId="7EE4B010" w14:textId="77777777" w:rsidR="00060F04" w:rsidRDefault="00060F04" w:rsidP="00060F04">
      <w:pPr>
        <w:ind w:left="284"/>
        <w:jc w:val="both"/>
        <w:rPr>
          <w:rFonts w:ascii="Verdana" w:hAnsi="Verdana"/>
          <w:bCs/>
          <w:iCs/>
          <w:sz w:val="18"/>
          <w:szCs w:val="18"/>
        </w:rPr>
      </w:pPr>
      <w:r w:rsidRPr="00060F04">
        <w:rPr>
          <w:rFonts w:ascii="Verdana" w:hAnsi="Verdana"/>
          <w:bCs/>
          <w:iCs/>
          <w:sz w:val="18"/>
          <w:szCs w:val="18"/>
        </w:rPr>
        <w:t xml:space="preserve">La consulta confirma que la mera participación minoritaria del 10% no altera la naturaleza fiscal de los intereses del préstamo participativo </w:t>
      </w:r>
      <w:r w:rsidRPr="00E26A6D">
        <w:rPr>
          <w:rFonts w:ascii="Verdana" w:hAnsi="Verdana"/>
          <w:b/>
          <w:iCs/>
          <w:sz w:val="18"/>
          <w:szCs w:val="18"/>
        </w:rPr>
        <w:t>si no existe control efectivo en los términos del artículo 42 del Código de Comercio</w:t>
      </w:r>
      <w:r w:rsidRPr="00060F04">
        <w:rPr>
          <w:rFonts w:ascii="Verdana" w:hAnsi="Verdana"/>
          <w:bCs/>
          <w:iCs/>
          <w:sz w:val="18"/>
          <w:szCs w:val="18"/>
        </w:rPr>
        <w:t>. En consecuencia, este instrumento sigue siendo una alternativa eficiente para estructurar operaciones de financiación entre socios minoritarios y sociedades participadas, permitiendo la deducibilidad del coste financiero en la entidad receptora de los fondos.</w:t>
      </w:r>
    </w:p>
    <w:p w14:paraId="5340A0A9" w14:textId="77777777" w:rsidR="00C05304" w:rsidRDefault="00C05304" w:rsidP="00060F04">
      <w:pPr>
        <w:ind w:left="284"/>
        <w:jc w:val="both"/>
        <w:rPr>
          <w:rFonts w:ascii="Verdana" w:hAnsi="Verdana"/>
          <w:bCs/>
          <w:iCs/>
          <w:sz w:val="18"/>
          <w:szCs w:val="18"/>
        </w:rPr>
      </w:pPr>
    </w:p>
    <w:p w14:paraId="7E2220CF" w14:textId="77777777" w:rsidR="004B5BCC" w:rsidRDefault="004B5BCC" w:rsidP="00060F04">
      <w:pPr>
        <w:ind w:left="284"/>
        <w:jc w:val="both"/>
        <w:rPr>
          <w:rFonts w:ascii="Verdana" w:hAnsi="Verdana"/>
          <w:bCs/>
          <w:iCs/>
          <w:sz w:val="18"/>
          <w:szCs w:val="18"/>
        </w:rPr>
      </w:pPr>
    </w:p>
    <w:p w14:paraId="2CD06FC4" w14:textId="77777777" w:rsidR="00021AC4" w:rsidRDefault="00021AC4" w:rsidP="00060F04">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021AC4" w:rsidRPr="00060F04" w14:paraId="184DAABC" w14:textId="77777777" w:rsidTr="009D3684">
        <w:tc>
          <w:tcPr>
            <w:tcW w:w="180" w:type="dxa"/>
            <w:shd w:val="clear" w:color="auto" w:fill="FF6600"/>
          </w:tcPr>
          <w:p w14:paraId="2EC99292" w14:textId="77777777" w:rsidR="00021AC4" w:rsidRPr="00060F04" w:rsidRDefault="00021AC4" w:rsidP="009D3684">
            <w:pPr>
              <w:pStyle w:val="Textoindependiente"/>
              <w:rPr>
                <w:rFonts w:ascii="Verdana" w:hAnsi="Verdana"/>
                <w:color w:val="800000"/>
                <w:sz w:val="16"/>
                <w:szCs w:val="16"/>
              </w:rPr>
            </w:pPr>
          </w:p>
        </w:tc>
        <w:tc>
          <w:tcPr>
            <w:tcW w:w="8460" w:type="dxa"/>
          </w:tcPr>
          <w:p w14:paraId="0608BD2A" w14:textId="7769ABB4" w:rsidR="00021AC4" w:rsidRPr="00DF6F8F" w:rsidRDefault="00C05304">
            <w:pPr>
              <w:numPr>
                <w:ilvl w:val="0"/>
                <w:numId w:val="1"/>
              </w:numPr>
              <w:tabs>
                <w:tab w:val="clear" w:pos="720"/>
                <w:tab w:val="num" w:pos="317"/>
                <w:tab w:val="left" w:pos="360"/>
              </w:tabs>
              <w:ind w:left="317" w:hanging="283"/>
              <w:jc w:val="both"/>
              <w:rPr>
                <w:rFonts w:ascii="Verdana" w:hAnsi="Verdana"/>
                <w:b/>
                <w:bCs/>
                <w:color w:val="800000"/>
                <w:sz w:val="18"/>
                <w:szCs w:val="18"/>
              </w:rPr>
            </w:pPr>
            <w:r w:rsidRPr="00DF6F8F">
              <w:rPr>
                <w:rFonts w:ascii="Verdana" w:hAnsi="Verdana"/>
                <w:b/>
                <w:bCs/>
                <w:color w:val="800000"/>
                <w:sz w:val="18"/>
                <w:szCs w:val="18"/>
              </w:rPr>
              <w:t xml:space="preserve">IVA.- </w:t>
            </w:r>
            <w:r w:rsidRPr="00DF6F8F">
              <w:rPr>
                <w:rFonts w:ascii="Verdana" w:hAnsi="Verdana"/>
                <w:b/>
                <w:bCs/>
                <w:iCs/>
                <w:color w:val="800000"/>
                <w:sz w:val="18"/>
                <w:szCs w:val="18"/>
              </w:rPr>
              <w:t>LA DEDUCCIÓN Y COMPENSACIÓN DE CUOTAS DE IVA CONSTITUYE UN DERECHO DEL CONTRIBUYENTE Y NO UNA OPCIÓN TRIBUTARIA</w:t>
            </w:r>
          </w:p>
        </w:tc>
      </w:tr>
    </w:tbl>
    <w:p w14:paraId="5EFDB026" w14:textId="77777777" w:rsidR="00021AC4" w:rsidRDefault="00021AC4" w:rsidP="00021AC4">
      <w:pPr>
        <w:jc w:val="both"/>
        <w:rPr>
          <w:rFonts w:ascii="Verdana" w:hAnsi="Verdana"/>
          <w:bCs/>
          <w:iCs/>
          <w:sz w:val="18"/>
          <w:szCs w:val="18"/>
        </w:rPr>
      </w:pPr>
    </w:p>
    <w:p w14:paraId="5DDE2B30" w14:textId="77777777" w:rsidR="00021AC4" w:rsidRPr="00021AC4" w:rsidRDefault="00021AC4" w:rsidP="00021AC4">
      <w:pPr>
        <w:ind w:left="284"/>
        <w:jc w:val="both"/>
        <w:rPr>
          <w:rFonts w:ascii="Verdana" w:hAnsi="Verdana"/>
          <w:bCs/>
          <w:iCs/>
          <w:sz w:val="18"/>
          <w:szCs w:val="18"/>
        </w:rPr>
      </w:pPr>
      <w:r w:rsidRPr="00021AC4">
        <w:rPr>
          <w:rFonts w:ascii="Verdana" w:hAnsi="Verdana"/>
          <w:bCs/>
          <w:iCs/>
          <w:sz w:val="18"/>
          <w:szCs w:val="18"/>
        </w:rPr>
        <w:t xml:space="preserve">El Tribunal Superior de Justicia de Madrid, en su Sentencia </w:t>
      </w:r>
      <w:proofErr w:type="spellStart"/>
      <w:r w:rsidRPr="00021AC4">
        <w:rPr>
          <w:rFonts w:ascii="Verdana" w:hAnsi="Verdana"/>
          <w:bCs/>
          <w:iCs/>
          <w:sz w:val="18"/>
          <w:szCs w:val="18"/>
        </w:rPr>
        <w:t>nº</w:t>
      </w:r>
      <w:proofErr w:type="spellEnd"/>
      <w:r w:rsidRPr="00021AC4">
        <w:rPr>
          <w:rFonts w:ascii="Verdana" w:hAnsi="Verdana"/>
          <w:bCs/>
          <w:iCs/>
          <w:sz w:val="18"/>
          <w:szCs w:val="18"/>
        </w:rPr>
        <w:t xml:space="preserve"> 105/2026, de 25 de febrero de 2026, estima el recurso interpuesto por una sociedad y declara que la deducción y compensación de cuotas de IVA constituye un </w:t>
      </w:r>
      <w:r w:rsidRPr="00021AC4">
        <w:rPr>
          <w:rFonts w:ascii="Verdana" w:hAnsi="Verdana"/>
          <w:b/>
          <w:bCs/>
          <w:iCs/>
          <w:sz w:val="18"/>
          <w:szCs w:val="18"/>
        </w:rPr>
        <w:t>derecho del contribuyente</w:t>
      </w:r>
      <w:r w:rsidRPr="00021AC4">
        <w:rPr>
          <w:rFonts w:ascii="Verdana" w:hAnsi="Verdana"/>
          <w:bCs/>
          <w:iCs/>
          <w:sz w:val="18"/>
          <w:szCs w:val="18"/>
        </w:rPr>
        <w:t xml:space="preserve"> y no una opción tributaria en el sentido del artículo 119.3 de la Ley General Tributaria (LGT). En consecuencia, la autoliquidación puede rectificarse aun después de vencido el plazo reglamentario, siempre que no haya prescrito el derecho. </w:t>
      </w:r>
    </w:p>
    <w:p w14:paraId="51F721BC" w14:textId="77777777" w:rsidR="00021AC4" w:rsidRDefault="00021AC4" w:rsidP="00021AC4">
      <w:pPr>
        <w:ind w:left="284"/>
        <w:jc w:val="both"/>
        <w:rPr>
          <w:rFonts w:ascii="Verdana" w:hAnsi="Verdana"/>
          <w:b/>
          <w:bCs/>
          <w:iCs/>
          <w:sz w:val="18"/>
          <w:szCs w:val="18"/>
        </w:rPr>
      </w:pPr>
    </w:p>
    <w:p w14:paraId="2F2BCBFF" w14:textId="1BA632CA" w:rsidR="00021AC4" w:rsidRPr="00021AC4" w:rsidRDefault="00021AC4" w:rsidP="00021AC4">
      <w:pPr>
        <w:ind w:left="284"/>
        <w:jc w:val="both"/>
        <w:rPr>
          <w:rFonts w:ascii="Verdana" w:hAnsi="Verdana"/>
          <w:b/>
          <w:bCs/>
          <w:iCs/>
          <w:sz w:val="18"/>
          <w:szCs w:val="18"/>
        </w:rPr>
      </w:pPr>
      <w:r w:rsidRPr="00021AC4">
        <w:rPr>
          <w:rFonts w:ascii="Verdana" w:hAnsi="Verdana"/>
          <w:b/>
          <w:bCs/>
          <w:iCs/>
          <w:sz w:val="18"/>
          <w:szCs w:val="18"/>
        </w:rPr>
        <w:t>Antecedentes del caso</w:t>
      </w:r>
    </w:p>
    <w:p w14:paraId="3E3DBD45" w14:textId="77777777" w:rsidR="00021AC4" w:rsidRPr="00EB1CCD" w:rsidRDefault="00021AC4" w:rsidP="00021AC4">
      <w:pPr>
        <w:ind w:left="284"/>
        <w:jc w:val="both"/>
        <w:rPr>
          <w:rFonts w:ascii="Verdana" w:hAnsi="Verdana"/>
          <w:bCs/>
          <w:iCs/>
          <w:sz w:val="18"/>
          <w:szCs w:val="18"/>
        </w:rPr>
      </w:pPr>
      <w:r w:rsidRPr="00021AC4">
        <w:rPr>
          <w:rFonts w:ascii="Verdana" w:hAnsi="Verdana"/>
          <w:bCs/>
          <w:iCs/>
          <w:sz w:val="18"/>
          <w:szCs w:val="18"/>
        </w:rPr>
        <w:t xml:space="preserve">La entidad recurrente había presentado la autoliquidación del IVA correspondiente a abril de 2021 en el régimen especial del grupo de entidades. Por un error material en la cumplimentación del modelo, omitió consignar en la casilla correspondiente cuotas a compensar procedentes de períodos anteriores por importe </w:t>
      </w:r>
      <w:r w:rsidRPr="00EB1CCD">
        <w:rPr>
          <w:rFonts w:ascii="Verdana" w:hAnsi="Verdana"/>
          <w:bCs/>
          <w:iCs/>
          <w:sz w:val="18"/>
          <w:szCs w:val="18"/>
        </w:rPr>
        <w:t>de 6.773,54 euros.</w:t>
      </w:r>
    </w:p>
    <w:p w14:paraId="7F585F6E" w14:textId="77777777" w:rsidR="00021AC4" w:rsidRPr="00021AC4" w:rsidRDefault="00021AC4" w:rsidP="00021AC4">
      <w:pPr>
        <w:ind w:left="284"/>
        <w:jc w:val="both"/>
        <w:rPr>
          <w:rFonts w:ascii="Verdana" w:hAnsi="Verdana"/>
          <w:bCs/>
          <w:iCs/>
          <w:sz w:val="18"/>
          <w:szCs w:val="18"/>
        </w:rPr>
      </w:pPr>
    </w:p>
    <w:p w14:paraId="6192CC6B" w14:textId="11B11BC3" w:rsidR="00021AC4" w:rsidRDefault="00021AC4" w:rsidP="00021AC4">
      <w:pPr>
        <w:ind w:left="284"/>
        <w:jc w:val="both"/>
        <w:rPr>
          <w:rFonts w:ascii="Verdana" w:hAnsi="Verdana"/>
          <w:bCs/>
          <w:iCs/>
          <w:sz w:val="18"/>
          <w:szCs w:val="18"/>
        </w:rPr>
      </w:pPr>
      <w:r w:rsidRPr="00021AC4">
        <w:rPr>
          <w:rFonts w:ascii="Verdana" w:hAnsi="Verdana"/>
          <w:bCs/>
          <w:iCs/>
          <w:sz w:val="18"/>
          <w:szCs w:val="18"/>
        </w:rPr>
        <w:t>Posteriormente</w:t>
      </w:r>
      <w:r w:rsidR="00EB1CCD">
        <w:rPr>
          <w:rFonts w:ascii="Verdana" w:hAnsi="Verdana"/>
          <w:bCs/>
          <w:iCs/>
          <w:sz w:val="18"/>
          <w:szCs w:val="18"/>
        </w:rPr>
        <w:t>,</w:t>
      </w:r>
      <w:r w:rsidRPr="00021AC4">
        <w:rPr>
          <w:rFonts w:ascii="Verdana" w:hAnsi="Verdana"/>
          <w:bCs/>
          <w:iCs/>
          <w:sz w:val="18"/>
          <w:szCs w:val="18"/>
        </w:rPr>
        <w:t xml:space="preserve"> solicitó la rectificación de la autoliquidación al amparo del artículo 120.3 LGT. La Administración tributaria rechazó la solicitud al considerar que la decisión de incluir o no esas cuotas constituía una opción tributaria no modificable una vez finalizado el plazo de presentación. El Tribunal Económico-Administrativo Regional de Madrid confirmó este criterio. </w:t>
      </w:r>
    </w:p>
    <w:p w14:paraId="7196F5EA" w14:textId="77777777" w:rsidR="00021AC4" w:rsidRPr="00021AC4" w:rsidRDefault="00021AC4" w:rsidP="00021AC4">
      <w:pPr>
        <w:ind w:left="284"/>
        <w:jc w:val="both"/>
        <w:rPr>
          <w:rFonts w:ascii="Verdana" w:hAnsi="Verdana"/>
          <w:bCs/>
          <w:iCs/>
          <w:sz w:val="18"/>
          <w:szCs w:val="18"/>
        </w:rPr>
      </w:pPr>
    </w:p>
    <w:p w14:paraId="57B9023B" w14:textId="77777777" w:rsidR="00021AC4" w:rsidRPr="00021AC4" w:rsidRDefault="00021AC4" w:rsidP="00021AC4">
      <w:pPr>
        <w:ind w:left="284"/>
        <w:jc w:val="both"/>
        <w:rPr>
          <w:rFonts w:ascii="Verdana" w:hAnsi="Verdana"/>
          <w:b/>
          <w:bCs/>
          <w:iCs/>
          <w:sz w:val="18"/>
          <w:szCs w:val="18"/>
        </w:rPr>
      </w:pPr>
      <w:r w:rsidRPr="00021AC4">
        <w:rPr>
          <w:rFonts w:ascii="Verdana" w:hAnsi="Verdana"/>
          <w:b/>
          <w:bCs/>
          <w:iCs/>
          <w:sz w:val="18"/>
          <w:szCs w:val="18"/>
        </w:rPr>
        <w:t>Cuestión controvertida</w:t>
      </w:r>
    </w:p>
    <w:p w14:paraId="6F9777B5" w14:textId="77777777" w:rsidR="00021AC4" w:rsidRDefault="00021AC4" w:rsidP="00021AC4">
      <w:pPr>
        <w:ind w:left="284"/>
        <w:jc w:val="both"/>
        <w:rPr>
          <w:rFonts w:ascii="Verdana" w:hAnsi="Verdana"/>
          <w:bCs/>
          <w:iCs/>
          <w:sz w:val="18"/>
          <w:szCs w:val="18"/>
        </w:rPr>
      </w:pPr>
      <w:r w:rsidRPr="00021AC4">
        <w:rPr>
          <w:rFonts w:ascii="Verdana" w:hAnsi="Verdana"/>
          <w:bCs/>
          <w:iCs/>
          <w:sz w:val="18"/>
          <w:szCs w:val="18"/>
        </w:rPr>
        <w:t>La controversia jurídica se centraba en determinar si la compensación de cuotas de IVA:</w:t>
      </w:r>
    </w:p>
    <w:p w14:paraId="0A47C113" w14:textId="77777777" w:rsidR="00021AC4" w:rsidRPr="00021AC4" w:rsidRDefault="00021AC4" w:rsidP="00021AC4">
      <w:pPr>
        <w:ind w:left="284"/>
        <w:jc w:val="both"/>
        <w:rPr>
          <w:rFonts w:ascii="Verdana" w:hAnsi="Verdana"/>
          <w:bCs/>
          <w:iCs/>
          <w:sz w:val="18"/>
          <w:szCs w:val="18"/>
        </w:rPr>
      </w:pPr>
    </w:p>
    <w:p w14:paraId="20D858A3" w14:textId="77777777" w:rsidR="00021AC4" w:rsidRPr="00021AC4" w:rsidRDefault="00021AC4">
      <w:pPr>
        <w:numPr>
          <w:ilvl w:val="0"/>
          <w:numId w:val="36"/>
        </w:numPr>
        <w:jc w:val="both"/>
        <w:rPr>
          <w:rFonts w:ascii="Verdana" w:hAnsi="Verdana"/>
          <w:bCs/>
          <w:iCs/>
          <w:sz w:val="18"/>
          <w:szCs w:val="18"/>
        </w:rPr>
      </w:pPr>
      <w:r w:rsidRPr="00021AC4">
        <w:rPr>
          <w:rFonts w:ascii="Verdana" w:hAnsi="Verdana"/>
          <w:bCs/>
          <w:iCs/>
          <w:sz w:val="18"/>
          <w:szCs w:val="18"/>
        </w:rPr>
        <w:t xml:space="preserve">constituye una </w:t>
      </w:r>
      <w:r w:rsidRPr="00021AC4">
        <w:rPr>
          <w:rFonts w:ascii="Verdana" w:hAnsi="Verdana"/>
          <w:b/>
          <w:bCs/>
          <w:iCs/>
          <w:sz w:val="18"/>
          <w:szCs w:val="18"/>
        </w:rPr>
        <w:t>opción tributaria</w:t>
      </w:r>
      <w:r w:rsidRPr="00021AC4">
        <w:rPr>
          <w:rFonts w:ascii="Verdana" w:hAnsi="Verdana"/>
          <w:bCs/>
          <w:iCs/>
          <w:sz w:val="18"/>
          <w:szCs w:val="18"/>
        </w:rPr>
        <w:t xml:space="preserve">, sometida a la limitación del artículo 119.3 LGT; o </w:t>
      </w:r>
    </w:p>
    <w:p w14:paraId="26CD1EB0" w14:textId="77777777" w:rsidR="00021AC4" w:rsidRDefault="00021AC4">
      <w:pPr>
        <w:numPr>
          <w:ilvl w:val="0"/>
          <w:numId w:val="36"/>
        </w:numPr>
        <w:jc w:val="both"/>
        <w:rPr>
          <w:rFonts w:ascii="Verdana" w:hAnsi="Verdana"/>
          <w:bCs/>
          <w:iCs/>
          <w:sz w:val="18"/>
          <w:szCs w:val="18"/>
        </w:rPr>
      </w:pPr>
      <w:r w:rsidRPr="00021AC4">
        <w:rPr>
          <w:rFonts w:ascii="Verdana" w:hAnsi="Verdana"/>
          <w:bCs/>
          <w:iCs/>
          <w:sz w:val="18"/>
          <w:szCs w:val="18"/>
        </w:rPr>
        <w:t xml:space="preserve">representa un </w:t>
      </w:r>
      <w:r w:rsidRPr="00021AC4">
        <w:rPr>
          <w:rFonts w:ascii="Verdana" w:hAnsi="Verdana"/>
          <w:b/>
          <w:bCs/>
          <w:iCs/>
          <w:sz w:val="18"/>
          <w:szCs w:val="18"/>
        </w:rPr>
        <w:t>derecho autónomo del contribuyente</w:t>
      </w:r>
      <w:r w:rsidRPr="00021AC4">
        <w:rPr>
          <w:rFonts w:ascii="Verdana" w:hAnsi="Verdana"/>
          <w:bCs/>
          <w:iCs/>
          <w:sz w:val="18"/>
          <w:szCs w:val="18"/>
        </w:rPr>
        <w:t xml:space="preserve">, susceptible de ejercicio mediante rectificación de autoliquidaciones. </w:t>
      </w:r>
    </w:p>
    <w:p w14:paraId="4C8FFB0D" w14:textId="77777777" w:rsidR="00021AC4" w:rsidRPr="00021AC4" w:rsidRDefault="00021AC4" w:rsidP="00021AC4">
      <w:pPr>
        <w:ind w:left="720"/>
        <w:jc w:val="both"/>
        <w:rPr>
          <w:rFonts w:ascii="Verdana" w:hAnsi="Verdana"/>
          <w:bCs/>
          <w:iCs/>
          <w:sz w:val="18"/>
          <w:szCs w:val="18"/>
        </w:rPr>
      </w:pPr>
    </w:p>
    <w:p w14:paraId="7F37A1D2" w14:textId="12756DF2" w:rsidR="00021AC4" w:rsidRDefault="00021AC4" w:rsidP="00021AC4">
      <w:pPr>
        <w:ind w:left="284"/>
        <w:jc w:val="both"/>
        <w:rPr>
          <w:rFonts w:ascii="Verdana" w:hAnsi="Verdana"/>
          <w:bCs/>
          <w:iCs/>
          <w:sz w:val="18"/>
          <w:szCs w:val="18"/>
        </w:rPr>
      </w:pPr>
      <w:r w:rsidRPr="00021AC4">
        <w:rPr>
          <w:rFonts w:ascii="Verdana" w:hAnsi="Verdana"/>
          <w:bCs/>
          <w:iCs/>
          <w:sz w:val="18"/>
          <w:szCs w:val="18"/>
        </w:rPr>
        <w:t>La calificación es decisiva, ya que las opciones tributarias no pueden modificarse fuera del plazo reglamentario, mientras que los derechos sí pueden ejercitarse a través del procedimiento de rectificación previsto en el artículo 120.3 LGT</w:t>
      </w:r>
      <w:r w:rsidR="001F0DCD">
        <w:rPr>
          <w:rFonts w:ascii="Verdana" w:hAnsi="Verdana"/>
          <w:bCs/>
          <w:iCs/>
          <w:sz w:val="18"/>
          <w:szCs w:val="18"/>
        </w:rPr>
        <w:t>.</w:t>
      </w:r>
    </w:p>
    <w:p w14:paraId="261F05A1" w14:textId="27D57232" w:rsidR="00021AC4" w:rsidRPr="00021AC4" w:rsidRDefault="00021AC4" w:rsidP="00021AC4">
      <w:pPr>
        <w:ind w:left="284"/>
        <w:jc w:val="both"/>
        <w:rPr>
          <w:rFonts w:ascii="Verdana" w:hAnsi="Verdana"/>
          <w:bCs/>
          <w:iCs/>
          <w:sz w:val="18"/>
          <w:szCs w:val="18"/>
        </w:rPr>
      </w:pPr>
    </w:p>
    <w:p w14:paraId="0F27B41A" w14:textId="77777777" w:rsidR="00021AC4" w:rsidRPr="00021AC4" w:rsidRDefault="00021AC4" w:rsidP="00021AC4">
      <w:pPr>
        <w:ind w:left="284"/>
        <w:jc w:val="both"/>
        <w:rPr>
          <w:rFonts w:ascii="Verdana" w:hAnsi="Verdana"/>
          <w:b/>
          <w:bCs/>
          <w:iCs/>
          <w:sz w:val="18"/>
          <w:szCs w:val="18"/>
        </w:rPr>
      </w:pPr>
      <w:r w:rsidRPr="00021AC4">
        <w:rPr>
          <w:rFonts w:ascii="Verdana" w:hAnsi="Verdana"/>
          <w:b/>
          <w:bCs/>
          <w:iCs/>
          <w:sz w:val="18"/>
          <w:szCs w:val="18"/>
        </w:rPr>
        <w:t>Fundamentación jurídica del Tribunal</w:t>
      </w:r>
    </w:p>
    <w:p w14:paraId="01350F48" w14:textId="77777777" w:rsidR="00021AC4" w:rsidRDefault="00021AC4" w:rsidP="00021AC4">
      <w:pPr>
        <w:ind w:left="284"/>
        <w:jc w:val="both"/>
        <w:rPr>
          <w:rFonts w:ascii="Verdana" w:hAnsi="Verdana"/>
          <w:bCs/>
          <w:iCs/>
          <w:sz w:val="18"/>
          <w:szCs w:val="18"/>
        </w:rPr>
      </w:pPr>
      <w:r w:rsidRPr="00021AC4">
        <w:rPr>
          <w:rFonts w:ascii="Verdana" w:hAnsi="Verdana"/>
          <w:bCs/>
          <w:iCs/>
          <w:sz w:val="18"/>
          <w:szCs w:val="18"/>
        </w:rPr>
        <w:t>El TSJ de Madrid apoya su decisión en la doctrina consolidada del Tribunal Supremo, especialmente en las sentencias de 23 de febrero de 2023 (recursos 6007/2021 y 6058/2021) y de 25 de abril de 2023 (recurso 6591/2021), que afirman que la deducción del IVA soportado no constituye una opción tributaria.</w:t>
      </w:r>
    </w:p>
    <w:p w14:paraId="5BDD849A" w14:textId="77777777" w:rsidR="00021AC4" w:rsidRPr="00021AC4" w:rsidRDefault="00021AC4" w:rsidP="00021AC4">
      <w:pPr>
        <w:ind w:left="284"/>
        <w:jc w:val="both"/>
        <w:rPr>
          <w:rFonts w:ascii="Verdana" w:hAnsi="Verdana"/>
          <w:bCs/>
          <w:iCs/>
          <w:sz w:val="18"/>
          <w:szCs w:val="18"/>
        </w:rPr>
      </w:pPr>
    </w:p>
    <w:p w14:paraId="6B97FBB8" w14:textId="77777777" w:rsidR="00021AC4" w:rsidRDefault="00021AC4" w:rsidP="00021AC4">
      <w:pPr>
        <w:ind w:left="284"/>
        <w:jc w:val="both"/>
        <w:rPr>
          <w:rFonts w:ascii="Verdana" w:hAnsi="Verdana"/>
          <w:bCs/>
          <w:iCs/>
          <w:sz w:val="18"/>
          <w:szCs w:val="18"/>
        </w:rPr>
      </w:pPr>
      <w:r w:rsidRPr="00021AC4">
        <w:rPr>
          <w:rFonts w:ascii="Verdana" w:hAnsi="Verdana"/>
          <w:bCs/>
          <w:iCs/>
          <w:sz w:val="18"/>
          <w:szCs w:val="18"/>
        </w:rPr>
        <w:lastRenderedPageBreak/>
        <w:t>El Tribunal recuerda que para que exista una opción tributaria deben concurrir dos requisitos:</w:t>
      </w:r>
    </w:p>
    <w:p w14:paraId="73B84E56" w14:textId="77777777" w:rsidR="00021AC4" w:rsidRPr="00021AC4" w:rsidRDefault="00021AC4" w:rsidP="00021AC4">
      <w:pPr>
        <w:ind w:left="284"/>
        <w:jc w:val="both"/>
        <w:rPr>
          <w:rFonts w:ascii="Verdana" w:hAnsi="Verdana"/>
          <w:bCs/>
          <w:iCs/>
          <w:sz w:val="18"/>
          <w:szCs w:val="18"/>
        </w:rPr>
      </w:pPr>
    </w:p>
    <w:p w14:paraId="40A0B562" w14:textId="77777777" w:rsidR="00021AC4" w:rsidRPr="00021AC4" w:rsidRDefault="00021AC4">
      <w:pPr>
        <w:numPr>
          <w:ilvl w:val="0"/>
          <w:numId w:val="37"/>
        </w:numPr>
        <w:jc w:val="both"/>
        <w:rPr>
          <w:rFonts w:ascii="Verdana" w:hAnsi="Verdana"/>
          <w:bCs/>
          <w:iCs/>
          <w:sz w:val="18"/>
          <w:szCs w:val="18"/>
        </w:rPr>
      </w:pPr>
      <w:r w:rsidRPr="00021AC4">
        <w:rPr>
          <w:rFonts w:ascii="Verdana" w:hAnsi="Verdana"/>
          <w:bCs/>
          <w:iCs/>
          <w:sz w:val="18"/>
          <w:szCs w:val="18"/>
        </w:rPr>
        <w:t xml:space="preserve">Que la norma ofrezca al contribuyente una elección entre regímenes jurídicos distintos y excluyentes. </w:t>
      </w:r>
    </w:p>
    <w:p w14:paraId="705B596C" w14:textId="77777777" w:rsidR="00021AC4" w:rsidRDefault="00021AC4">
      <w:pPr>
        <w:numPr>
          <w:ilvl w:val="0"/>
          <w:numId w:val="37"/>
        </w:numPr>
        <w:jc w:val="both"/>
        <w:rPr>
          <w:rFonts w:ascii="Verdana" w:hAnsi="Verdana"/>
          <w:bCs/>
          <w:iCs/>
          <w:sz w:val="18"/>
          <w:szCs w:val="18"/>
        </w:rPr>
      </w:pPr>
      <w:r w:rsidRPr="00021AC4">
        <w:rPr>
          <w:rFonts w:ascii="Verdana" w:hAnsi="Verdana"/>
          <w:bCs/>
          <w:iCs/>
          <w:sz w:val="18"/>
          <w:szCs w:val="18"/>
        </w:rPr>
        <w:t xml:space="preserve">Que la voluntad del contribuyente de optar sea expresa e inequívoca. </w:t>
      </w:r>
    </w:p>
    <w:p w14:paraId="67C81B83" w14:textId="77777777" w:rsidR="00021AC4" w:rsidRPr="00021AC4" w:rsidRDefault="00021AC4" w:rsidP="00021AC4">
      <w:pPr>
        <w:ind w:left="720"/>
        <w:jc w:val="both"/>
        <w:rPr>
          <w:rFonts w:ascii="Verdana" w:hAnsi="Verdana"/>
          <w:bCs/>
          <w:iCs/>
          <w:sz w:val="18"/>
          <w:szCs w:val="18"/>
        </w:rPr>
      </w:pPr>
    </w:p>
    <w:p w14:paraId="25BF5505" w14:textId="77777777" w:rsidR="00021AC4" w:rsidRDefault="00021AC4" w:rsidP="00021AC4">
      <w:pPr>
        <w:ind w:left="284"/>
        <w:jc w:val="both"/>
        <w:rPr>
          <w:rFonts w:ascii="Verdana" w:hAnsi="Verdana"/>
          <w:bCs/>
          <w:iCs/>
          <w:sz w:val="18"/>
          <w:szCs w:val="18"/>
        </w:rPr>
      </w:pPr>
      <w:r w:rsidRPr="00021AC4">
        <w:rPr>
          <w:rFonts w:ascii="Verdana" w:hAnsi="Verdana"/>
          <w:bCs/>
          <w:iCs/>
          <w:sz w:val="18"/>
          <w:szCs w:val="18"/>
        </w:rPr>
        <w:t>La deducción del IVA no cumple estas condiciones, ya que el artículo 99 de la Ley del IVA simplemente reconoce la facultad de ejercitar el derecho a deducir dentro del plazo de cuatro años, sin establecer regímenes alternativos incompatibles entre sí.</w:t>
      </w:r>
    </w:p>
    <w:p w14:paraId="7B8288DB" w14:textId="02D44DF5" w:rsidR="00021AC4" w:rsidRPr="00021AC4" w:rsidRDefault="00021AC4" w:rsidP="00021AC4">
      <w:pPr>
        <w:ind w:left="284"/>
        <w:jc w:val="both"/>
        <w:rPr>
          <w:rFonts w:ascii="Verdana" w:hAnsi="Verdana"/>
          <w:bCs/>
          <w:iCs/>
          <w:sz w:val="18"/>
          <w:szCs w:val="18"/>
        </w:rPr>
      </w:pPr>
      <w:r w:rsidRPr="00021AC4">
        <w:rPr>
          <w:rFonts w:ascii="Verdana" w:hAnsi="Verdana"/>
          <w:bCs/>
          <w:iCs/>
          <w:sz w:val="18"/>
          <w:szCs w:val="18"/>
        </w:rPr>
        <w:t xml:space="preserve"> </w:t>
      </w:r>
    </w:p>
    <w:p w14:paraId="59C926E1" w14:textId="77777777" w:rsidR="00021AC4" w:rsidRPr="00021AC4" w:rsidRDefault="00021AC4" w:rsidP="00021AC4">
      <w:pPr>
        <w:ind w:left="284"/>
        <w:jc w:val="both"/>
        <w:rPr>
          <w:rFonts w:ascii="Verdana" w:hAnsi="Verdana"/>
          <w:b/>
          <w:bCs/>
          <w:iCs/>
          <w:sz w:val="18"/>
          <w:szCs w:val="18"/>
        </w:rPr>
      </w:pPr>
      <w:r w:rsidRPr="00021AC4">
        <w:rPr>
          <w:rFonts w:ascii="Verdana" w:hAnsi="Verdana"/>
          <w:b/>
          <w:bCs/>
          <w:iCs/>
          <w:sz w:val="18"/>
          <w:szCs w:val="18"/>
        </w:rPr>
        <w:t>Error material y prevalencia del derecho sustantivo</w:t>
      </w:r>
    </w:p>
    <w:p w14:paraId="14E5602E" w14:textId="77777777" w:rsidR="00021AC4" w:rsidRDefault="00021AC4" w:rsidP="00021AC4">
      <w:pPr>
        <w:ind w:left="284"/>
        <w:jc w:val="both"/>
        <w:rPr>
          <w:rFonts w:ascii="Verdana" w:hAnsi="Verdana"/>
          <w:bCs/>
          <w:iCs/>
          <w:sz w:val="18"/>
          <w:szCs w:val="18"/>
        </w:rPr>
      </w:pPr>
      <w:r w:rsidRPr="00021AC4">
        <w:rPr>
          <w:rFonts w:ascii="Verdana" w:hAnsi="Verdana"/>
          <w:bCs/>
          <w:iCs/>
          <w:sz w:val="18"/>
          <w:szCs w:val="18"/>
        </w:rPr>
        <w:t>La Sala destaca que el caso no respondía a una decisión consciente de renunciar a la compensación, sino a una mera errata en la transcripción del modelo. No puede presumirse una voluntad inequívoca de no ejercitar un derecho por el simple hecho de no consignar correctamente una cifra en la autoliquidación.</w:t>
      </w:r>
    </w:p>
    <w:p w14:paraId="423AB98E" w14:textId="77777777" w:rsidR="00021AC4" w:rsidRPr="00021AC4" w:rsidRDefault="00021AC4" w:rsidP="00021AC4">
      <w:pPr>
        <w:ind w:left="284"/>
        <w:jc w:val="both"/>
        <w:rPr>
          <w:rFonts w:ascii="Verdana" w:hAnsi="Verdana"/>
          <w:bCs/>
          <w:iCs/>
          <w:sz w:val="18"/>
          <w:szCs w:val="18"/>
        </w:rPr>
      </w:pPr>
    </w:p>
    <w:p w14:paraId="3EA78167" w14:textId="77777777" w:rsidR="00021AC4" w:rsidRDefault="00021AC4" w:rsidP="00021AC4">
      <w:pPr>
        <w:ind w:left="284"/>
        <w:jc w:val="both"/>
        <w:rPr>
          <w:rFonts w:ascii="Verdana" w:hAnsi="Verdana"/>
          <w:bCs/>
          <w:iCs/>
          <w:sz w:val="18"/>
          <w:szCs w:val="18"/>
        </w:rPr>
      </w:pPr>
      <w:r w:rsidRPr="00021AC4">
        <w:rPr>
          <w:rFonts w:ascii="Verdana" w:hAnsi="Verdana"/>
          <w:bCs/>
          <w:iCs/>
          <w:sz w:val="18"/>
          <w:szCs w:val="18"/>
        </w:rPr>
        <w:t xml:space="preserve">En este contexto, impedir la rectificación supondría una restricción injustificada del derecho reconocido legalmente al contribuyente y vulneraría el principio de neutralidad del IVA. </w:t>
      </w:r>
    </w:p>
    <w:p w14:paraId="66A9A155" w14:textId="77777777" w:rsidR="00021AC4" w:rsidRPr="00021AC4" w:rsidRDefault="00021AC4" w:rsidP="00021AC4">
      <w:pPr>
        <w:ind w:left="284"/>
        <w:jc w:val="both"/>
        <w:rPr>
          <w:rFonts w:ascii="Verdana" w:hAnsi="Verdana"/>
          <w:bCs/>
          <w:iCs/>
          <w:sz w:val="18"/>
          <w:szCs w:val="18"/>
        </w:rPr>
      </w:pPr>
    </w:p>
    <w:p w14:paraId="3B1C2B34" w14:textId="77777777" w:rsidR="00021AC4" w:rsidRPr="00021AC4" w:rsidRDefault="00021AC4" w:rsidP="00021AC4">
      <w:pPr>
        <w:ind w:left="284"/>
        <w:jc w:val="both"/>
        <w:rPr>
          <w:rFonts w:ascii="Verdana" w:hAnsi="Verdana"/>
          <w:b/>
          <w:bCs/>
          <w:iCs/>
          <w:sz w:val="18"/>
          <w:szCs w:val="18"/>
        </w:rPr>
      </w:pPr>
      <w:r w:rsidRPr="00021AC4">
        <w:rPr>
          <w:rFonts w:ascii="Verdana" w:hAnsi="Verdana"/>
          <w:b/>
          <w:bCs/>
          <w:iCs/>
          <w:sz w:val="18"/>
          <w:szCs w:val="18"/>
        </w:rPr>
        <w:t>Fallo de la sentencia</w:t>
      </w:r>
    </w:p>
    <w:p w14:paraId="42B23B1D" w14:textId="77777777" w:rsidR="00021AC4" w:rsidRDefault="00021AC4" w:rsidP="00021AC4">
      <w:pPr>
        <w:ind w:left="284"/>
        <w:jc w:val="both"/>
        <w:rPr>
          <w:rFonts w:ascii="Verdana" w:hAnsi="Verdana"/>
          <w:bCs/>
          <w:iCs/>
          <w:sz w:val="18"/>
          <w:szCs w:val="18"/>
        </w:rPr>
      </w:pPr>
      <w:r w:rsidRPr="00021AC4">
        <w:rPr>
          <w:rFonts w:ascii="Verdana" w:hAnsi="Verdana"/>
          <w:bCs/>
          <w:iCs/>
          <w:sz w:val="18"/>
          <w:szCs w:val="18"/>
        </w:rPr>
        <w:t>El TSJ de Madrid estima el recurso contencioso-administrativo, anula la resolución del TEAR de Madrid y reconoce el derecho de la entidad a rectificar la autoliquidación del IVA de abril de 2021, incorporando las cuotas pendientes de compensación por importe de 6.773,54 euros.</w:t>
      </w:r>
    </w:p>
    <w:p w14:paraId="377C17BB" w14:textId="77777777" w:rsidR="00021AC4" w:rsidRPr="00021AC4" w:rsidRDefault="00021AC4" w:rsidP="00021AC4">
      <w:pPr>
        <w:ind w:left="284"/>
        <w:jc w:val="both"/>
        <w:rPr>
          <w:rFonts w:ascii="Verdana" w:hAnsi="Verdana"/>
          <w:bCs/>
          <w:iCs/>
          <w:sz w:val="18"/>
          <w:szCs w:val="18"/>
        </w:rPr>
      </w:pPr>
    </w:p>
    <w:p w14:paraId="4A929D7A" w14:textId="77777777" w:rsidR="00021AC4" w:rsidRPr="00021AC4" w:rsidRDefault="00021AC4" w:rsidP="00021AC4">
      <w:pPr>
        <w:ind w:left="284"/>
        <w:jc w:val="both"/>
        <w:rPr>
          <w:rFonts w:ascii="Verdana" w:hAnsi="Verdana"/>
          <w:b/>
          <w:bCs/>
          <w:iCs/>
          <w:sz w:val="18"/>
          <w:szCs w:val="18"/>
        </w:rPr>
      </w:pPr>
      <w:r w:rsidRPr="00021AC4">
        <w:rPr>
          <w:rFonts w:ascii="Verdana" w:hAnsi="Verdana"/>
          <w:b/>
          <w:bCs/>
          <w:iCs/>
          <w:sz w:val="18"/>
          <w:szCs w:val="18"/>
        </w:rPr>
        <w:t>Relevancia práctica</w:t>
      </w:r>
    </w:p>
    <w:p w14:paraId="75B03845" w14:textId="77777777" w:rsidR="00021AC4" w:rsidRPr="00021AC4" w:rsidRDefault="00021AC4" w:rsidP="00021AC4">
      <w:pPr>
        <w:ind w:left="284"/>
        <w:jc w:val="both"/>
        <w:rPr>
          <w:rFonts w:ascii="Verdana" w:hAnsi="Verdana"/>
          <w:bCs/>
          <w:iCs/>
          <w:sz w:val="18"/>
          <w:szCs w:val="18"/>
        </w:rPr>
      </w:pPr>
      <w:r w:rsidRPr="00021AC4">
        <w:rPr>
          <w:rFonts w:ascii="Verdana" w:hAnsi="Verdana"/>
          <w:bCs/>
          <w:iCs/>
          <w:sz w:val="18"/>
          <w:szCs w:val="18"/>
        </w:rPr>
        <w:t>Esta sentencia confirma una doctrina de gran importancia práctica para los contribuyentes:</w:t>
      </w:r>
    </w:p>
    <w:p w14:paraId="046B9EF0" w14:textId="77777777" w:rsidR="00021AC4" w:rsidRPr="00021AC4" w:rsidRDefault="00021AC4">
      <w:pPr>
        <w:numPr>
          <w:ilvl w:val="0"/>
          <w:numId w:val="38"/>
        </w:numPr>
        <w:jc w:val="both"/>
        <w:rPr>
          <w:rFonts w:ascii="Verdana" w:hAnsi="Verdana"/>
          <w:bCs/>
          <w:iCs/>
          <w:sz w:val="18"/>
          <w:szCs w:val="18"/>
        </w:rPr>
      </w:pPr>
      <w:r w:rsidRPr="00021AC4">
        <w:rPr>
          <w:rFonts w:ascii="Verdana" w:hAnsi="Verdana"/>
          <w:bCs/>
          <w:iCs/>
          <w:sz w:val="18"/>
          <w:szCs w:val="18"/>
        </w:rPr>
        <w:t xml:space="preserve">La deducción y compensación de cuotas de IVA son derechos del sujeto pasivo. </w:t>
      </w:r>
    </w:p>
    <w:p w14:paraId="2FBD1802" w14:textId="77777777" w:rsidR="00021AC4" w:rsidRPr="00021AC4" w:rsidRDefault="00021AC4">
      <w:pPr>
        <w:numPr>
          <w:ilvl w:val="0"/>
          <w:numId w:val="38"/>
        </w:numPr>
        <w:jc w:val="both"/>
        <w:rPr>
          <w:rFonts w:ascii="Verdana" w:hAnsi="Verdana"/>
          <w:bCs/>
          <w:iCs/>
          <w:sz w:val="18"/>
          <w:szCs w:val="18"/>
        </w:rPr>
      </w:pPr>
      <w:r w:rsidRPr="00021AC4">
        <w:rPr>
          <w:rFonts w:ascii="Verdana" w:hAnsi="Verdana"/>
          <w:bCs/>
          <w:iCs/>
          <w:sz w:val="18"/>
          <w:szCs w:val="18"/>
        </w:rPr>
        <w:t xml:space="preserve">La omisión de cuotas deducibles o compensables no implica automáticamente una renuncia. </w:t>
      </w:r>
    </w:p>
    <w:p w14:paraId="044ECEC2" w14:textId="77777777" w:rsidR="00021AC4" w:rsidRPr="00021AC4" w:rsidRDefault="00021AC4">
      <w:pPr>
        <w:numPr>
          <w:ilvl w:val="0"/>
          <w:numId w:val="38"/>
        </w:numPr>
        <w:jc w:val="both"/>
        <w:rPr>
          <w:rFonts w:ascii="Verdana" w:hAnsi="Verdana"/>
          <w:bCs/>
          <w:iCs/>
          <w:sz w:val="18"/>
          <w:szCs w:val="18"/>
        </w:rPr>
      </w:pPr>
      <w:r w:rsidRPr="00021AC4">
        <w:rPr>
          <w:rFonts w:ascii="Verdana" w:hAnsi="Verdana"/>
          <w:bCs/>
          <w:iCs/>
          <w:sz w:val="18"/>
          <w:szCs w:val="18"/>
        </w:rPr>
        <w:t xml:space="preserve">Es posible solicitar la rectificación de autoliquidaciones para incorporar cuotas no incluidas inicialmente. </w:t>
      </w:r>
    </w:p>
    <w:p w14:paraId="5E5EADA2" w14:textId="77777777" w:rsidR="00021AC4" w:rsidRDefault="00021AC4">
      <w:pPr>
        <w:numPr>
          <w:ilvl w:val="0"/>
          <w:numId w:val="38"/>
        </w:numPr>
        <w:jc w:val="both"/>
        <w:rPr>
          <w:rFonts w:ascii="Verdana" w:hAnsi="Verdana"/>
          <w:bCs/>
          <w:iCs/>
          <w:sz w:val="18"/>
          <w:szCs w:val="18"/>
        </w:rPr>
      </w:pPr>
      <w:r w:rsidRPr="00021AC4">
        <w:rPr>
          <w:rFonts w:ascii="Verdana" w:hAnsi="Verdana"/>
          <w:bCs/>
          <w:iCs/>
          <w:sz w:val="18"/>
          <w:szCs w:val="18"/>
        </w:rPr>
        <w:t xml:space="preserve">El límite temporal aplicable es el plazo general de cuatro años. </w:t>
      </w:r>
    </w:p>
    <w:p w14:paraId="1ED49945" w14:textId="77777777" w:rsidR="00021AC4" w:rsidRPr="00021AC4" w:rsidRDefault="00021AC4" w:rsidP="00021AC4">
      <w:pPr>
        <w:ind w:left="720"/>
        <w:jc w:val="both"/>
        <w:rPr>
          <w:rFonts w:ascii="Verdana" w:hAnsi="Verdana"/>
          <w:bCs/>
          <w:iCs/>
          <w:sz w:val="18"/>
          <w:szCs w:val="18"/>
        </w:rPr>
      </w:pPr>
    </w:p>
    <w:p w14:paraId="713812CA" w14:textId="77777777" w:rsidR="00021AC4" w:rsidRPr="00021AC4" w:rsidRDefault="00021AC4" w:rsidP="00021AC4">
      <w:pPr>
        <w:ind w:left="284"/>
        <w:jc w:val="both"/>
        <w:rPr>
          <w:rFonts w:ascii="Verdana" w:hAnsi="Verdana"/>
          <w:b/>
          <w:bCs/>
          <w:iCs/>
          <w:sz w:val="18"/>
          <w:szCs w:val="18"/>
        </w:rPr>
      </w:pPr>
      <w:r w:rsidRPr="00021AC4">
        <w:rPr>
          <w:rFonts w:ascii="Verdana" w:hAnsi="Verdana"/>
          <w:b/>
          <w:bCs/>
          <w:iCs/>
          <w:sz w:val="18"/>
          <w:szCs w:val="18"/>
        </w:rPr>
        <w:t>Conclusión</w:t>
      </w:r>
    </w:p>
    <w:p w14:paraId="0F35C1A7" w14:textId="77777777" w:rsidR="00021AC4" w:rsidRDefault="00021AC4" w:rsidP="00021AC4">
      <w:pPr>
        <w:ind w:left="284"/>
        <w:jc w:val="both"/>
        <w:rPr>
          <w:rFonts w:ascii="Verdana" w:hAnsi="Verdana"/>
          <w:bCs/>
          <w:iCs/>
          <w:sz w:val="18"/>
          <w:szCs w:val="18"/>
        </w:rPr>
      </w:pPr>
      <w:r w:rsidRPr="00021AC4">
        <w:rPr>
          <w:rFonts w:ascii="Verdana" w:hAnsi="Verdana"/>
          <w:bCs/>
          <w:iCs/>
          <w:sz w:val="18"/>
          <w:szCs w:val="18"/>
        </w:rPr>
        <w:t xml:space="preserve">La Sentencia </w:t>
      </w:r>
      <w:proofErr w:type="spellStart"/>
      <w:r w:rsidRPr="00021AC4">
        <w:rPr>
          <w:rFonts w:ascii="Verdana" w:hAnsi="Verdana"/>
          <w:bCs/>
          <w:iCs/>
          <w:sz w:val="18"/>
          <w:szCs w:val="18"/>
        </w:rPr>
        <w:t>nº</w:t>
      </w:r>
      <w:proofErr w:type="spellEnd"/>
      <w:r w:rsidRPr="00021AC4">
        <w:rPr>
          <w:rFonts w:ascii="Verdana" w:hAnsi="Verdana"/>
          <w:bCs/>
          <w:iCs/>
          <w:sz w:val="18"/>
          <w:szCs w:val="18"/>
        </w:rPr>
        <w:t xml:space="preserve"> 105/2026 del TSJ de Madrid consolida la jurisprudencia del Tribunal Supremo según la cual la deducción y compensación del IVA no constituyen opciones tributarias, sino derechos del contribuyente. Esta interpretación refuerza la seguridad jurídica y permite corregir errores materiales en las autoliquidaciones mediante el procedimiento de rectificación del artículo 120.3 LGT, garantizando así la plena efectividad del principio de neutralidad del impuesto. </w:t>
      </w:r>
    </w:p>
    <w:p w14:paraId="3A988E95" w14:textId="77777777" w:rsidR="00B358A4" w:rsidRDefault="00B358A4" w:rsidP="00021AC4">
      <w:pPr>
        <w:ind w:left="284"/>
        <w:jc w:val="both"/>
        <w:rPr>
          <w:rFonts w:ascii="Verdana" w:hAnsi="Verdana"/>
          <w:bCs/>
          <w:iCs/>
          <w:sz w:val="18"/>
          <w:szCs w:val="18"/>
        </w:rPr>
      </w:pPr>
    </w:p>
    <w:p w14:paraId="45478720" w14:textId="77777777" w:rsidR="00B358A4" w:rsidRDefault="00B358A4" w:rsidP="00021AC4">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C05304" w:rsidRPr="00060F04" w14:paraId="31F5B178" w14:textId="77777777" w:rsidTr="001F0420">
        <w:tc>
          <w:tcPr>
            <w:tcW w:w="180" w:type="dxa"/>
            <w:shd w:val="clear" w:color="auto" w:fill="FF6600"/>
          </w:tcPr>
          <w:p w14:paraId="67562091" w14:textId="77777777" w:rsidR="00C05304" w:rsidRPr="00060F04" w:rsidRDefault="00C05304" w:rsidP="001F0420">
            <w:pPr>
              <w:pStyle w:val="Textoindependiente"/>
              <w:rPr>
                <w:rFonts w:ascii="Verdana" w:hAnsi="Verdana"/>
                <w:color w:val="800000"/>
                <w:sz w:val="16"/>
                <w:szCs w:val="16"/>
              </w:rPr>
            </w:pPr>
          </w:p>
        </w:tc>
        <w:tc>
          <w:tcPr>
            <w:tcW w:w="8460" w:type="dxa"/>
          </w:tcPr>
          <w:p w14:paraId="6E2C3B8E" w14:textId="0DCFBD8F" w:rsidR="00C05304" w:rsidRPr="00DF6F8F" w:rsidRDefault="00C05304">
            <w:pPr>
              <w:numPr>
                <w:ilvl w:val="0"/>
                <w:numId w:val="1"/>
              </w:numPr>
              <w:tabs>
                <w:tab w:val="clear" w:pos="720"/>
                <w:tab w:val="num" w:pos="317"/>
                <w:tab w:val="left" w:pos="360"/>
              </w:tabs>
              <w:ind w:left="317" w:hanging="283"/>
              <w:jc w:val="both"/>
              <w:rPr>
                <w:rFonts w:ascii="Verdana" w:hAnsi="Verdana"/>
                <w:b/>
                <w:bCs/>
                <w:color w:val="800000"/>
                <w:sz w:val="18"/>
                <w:szCs w:val="18"/>
              </w:rPr>
            </w:pPr>
            <w:r w:rsidRPr="00DF6F8F">
              <w:rPr>
                <w:rFonts w:ascii="Verdana" w:hAnsi="Verdana"/>
                <w:b/>
                <w:bCs/>
                <w:iCs/>
                <w:color w:val="800000"/>
                <w:sz w:val="18"/>
                <w:szCs w:val="18"/>
              </w:rPr>
              <w:t>TRATAMIENTO FISCAL, TANTO EN EL IMPUESTO SOBRE SOCIEDADES COMO EN EL IVA, DE LA ADQUISICIÓN DE UN VEHÍCULO POR UNA SOCIEDAD, DESTINADO SUPUESTAMENTE A USO EXCLUSIVAMENTE EMPRESARIAL</w:t>
            </w:r>
          </w:p>
        </w:tc>
      </w:tr>
    </w:tbl>
    <w:p w14:paraId="7DB101B0" w14:textId="77777777" w:rsidR="00B358A4" w:rsidRDefault="00B358A4" w:rsidP="00021AC4">
      <w:pPr>
        <w:ind w:left="284"/>
        <w:jc w:val="both"/>
        <w:rPr>
          <w:rFonts w:ascii="Verdana" w:hAnsi="Verdana"/>
          <w:bCs/>
          <w:iCs/>
          <w:sz w:val="18"/>
          <w:szCs w:val="18"/>
        </w:rPr>
      </w:pPr>
    </w:p>
    <w:p w14:paraId="6C82A0D2" w14:textId="75A7D882" w:rsidR="00B358A4" w:rsidRDefault="00B358A4" w:rsidP="00B358A4">
      <w:pPr>
        <w:ind w:left="284"/>
        <w:jc w:val="both"/>
        <w:rPr>
          <w:rFonts w:ascii="Verdana" w:hAnsi="Verdana"/>
          <w:bCs/>
          <w:iCs/>
          <w:sz w:val="18"/>
          <w:szCs w:val="18"/>
        </w:rPr>
      </w:pPr>
      <w:r w:rsidRPr="00B358A4">
        <w:rPr>
          <w:rFonts w:ascii="Verdana" w:hAnsi="Verdana"/>
          <w:bCs/>
          <w:iCs/>
          <w:sz w:val="18"/>
          <w:szCs w:val="18"/>
        </w:rPr>
        <w:t xml:space="preserve">La Dirección General de Tributos analiza en esta consulta el tratamiento fiscal, tanto en el Impuesto sobre Sociedades como en el IVA, de la adquisición de un vehículo por una sociedad, destinado supuestamente a uso exclusivamente empresarial. </w:t>
      </w:r>
    </w:p>
    <w:p w14:paraId="71B8121E" w14:textId="77777777" w:rsidR="00B358A4" w:rsidRPr="00B358A4" w:rsidRDefault="00B358A4" w:rsidP="00B358A4">
      <w:pPr>
        <w:ind w:left="284"/>
        <w:jc w:val="both"/>
        <w:rPr>
          <w:rFonts w:ascii="Verdana" w:hAnsi="Verdana"/>
          <w:bCs/>
          <w:iCs/>
          <w:sz w:val="18"/>
          <w:szCs w:val="18"/>
        </w:rPr>
      </w:pPr>
    </w:p>
    <w:p w14:paraId="6A608D66" w14:textId="77777777" w:rsidR="00B358A4" w:rsidRPr="00B358A4" w:rsidRDefault="00B358A4" w:rsidP="00B358A4">
      <w:pPr>
        <w:ind w:left="284"/>
        <w:jc w:val="both"/>
        <w:rPr>
          <w:rFonts w:ascii="Verdana" w:hAnsi="Verdana"/>
          <w:b/>
          <w:bCs/>
          <w:iCs/>
          <w:sz w:val="18"/>
          <w:szCs w:val="18"/>
        </w:rPr>
      </w:pPr>
      <w:r w:rsidRPr="00B358A4">
        <w:rPr>
          <w:rFonts w:ascii="Verdana" w:hAnsi="Verdana"/>
          <w:b/>
          <w:bCs/>
          <w:iCs/>
          <w:sz w:val="18"/>
          <w:szCs w:val="18"/>
        </w:rPr>
        <w:t>1. Deducibilidad de la amortización en el Impuesto sobre Sociedades</w:t>
      </w:r>
    </w:p>
    <w:p w14:paraId="151D7EAA" w14:textId="77777777" w:rsidR="00B358A4" w:rsidRPr="00B358A4" w:rsidRDefault="00B358A4" w:rsidP="00B358A4">
      <w:pPr>
        <w:ind w:left="284"/>
        <w:jc w:val="both"/>
        <w:rPr>
          <w:rFonts w:ascii="Verdana" w:hAnsi="Verdana"/>
          <w:bCs/>
          <w:iCs/>
          <w:sz w:val="18"/>
          <w:szCs w:val="18"/>
        </w:rPr>
      </w:pPr>
      <w:r w:rsidRPr="00B358A4">
        <w:rPr>
          <w:rFonts w:ascii="Verdana" w:hAnsi="Verdana"/>
          <w:bCs/>
          <w:iCs/>
          <w:sz w:val="18"/>
          <w:szCs w:val="18"/>
        </w:rPr>
        <w:t xml:space="preserve">La DGT confirma que el coste del vehículo podrá deducirse mediante amortización fiscal siempre que el automóvil esté afecto a la actividad económica y cumpla los requisitos generales exigidos por la normativa tributaria y contable. </w:t>
      </w:r>
    </w:p>
    <w:p w14:paraId="1C12DA2D" w14:textId="77777777" w:rsidR="004B5BCC" w:rsidRDefault="004B5BCC" w:rsidP="00B358A4">
      <w:pPr>
        <w:ind w:left="284"/>
        <w:jc w:val="both"/>
        <w:rPr>
          <w:rFonts w:ascii="Verdana" w:hAnsi="Verdana"/>
          <w:bCs/>
          <w:iCs/>
          <w:sz w:val="18"/>
          <w:szCs w:val="18"/>
        </w:rPr>
      </w:pPr>
    </w:p>
    <w:p w14:paraId="2790F5DC" w14:textId="02A5574D" w:rsidR="00B358A4" w:rsidRDefault="00B358A4" w:rsidP="00B358A4">
      <w:pPr>
        <w:ind w:left="284"/>
        <w:jc w:val="both"/>
        <w:rPr>
          <w:rFonts w:ascii="Verdana" w:hAnsi="Verdana"/>
          <w:bCs/>
          <w:iCs/>
          <w:sz w:val="18"/>
          <w:szCs w:val="18"/>
        </w:rPr>
      </w:pPr>
      <w:r w:rsidRPr="00B358A4">
        <w:rPr>
          <w:rFonts w:ascii="Verdana" w:hAnsi="Verdana"/>
          <w:bCs/>
          <w:iCs/>
          <w:sz w:val="18"/>
          <w:szCs w:val="18"/>
        </w:rPr>
        <w:t>En particular, la deducibilidad exige:</w:t>
      </w:r>
    </w:p>
    <w:p w14:paraId="3B0DB90D" w14:textId="77777777" w:rsidR="00C05304" w:rsidRDefault="00C05304" w:rsidP="00B358A4">
      <w:pPr>
        <w:ind w:left="284"/>
        <w:jc w:val="both"/>
        <w:rPr>
          <w:rFonts w:ascii="Verdana" w:hAnsi="Verdana"/>
          <w:bCs/>
          <w:iCs/>
          <w:sz w:val="18"/>
          <w:szCs w:val="18"/>
        </w:rPr>
      </w:pPr>
    </w:p>
    <w:p w14:paraId="1DB34D33" w14:textId="77777777" w:rsidR="004B5BCC" w:rsidRPr="00B358A4" w:rsidRDefault="004B5BCC" w:rsidP="00B358A4">
      <w:pPr>
        <w:ind w:left="284"/>
        <w:jc w:val="both"/>
        <w:rPr>
          <w:rFonts w:ascii="Verdana" w:hAnsi="Verdana"/>
          <w:bCs/>
          <w:iCs/>
          <w:sz w:val="18"/>
          <w:szCs w:val="18"/>
        </w:rPr>
      </w:pPr>
    </w:p>
    <w:p w14:paraId="7F34B1F0" w14:textId="3DEFDDC4" w:rsidR="00B358A4" w:rsidRPr="00B358A4" w:rsidRDefault="004B5BCC">
      <w:pPr>
        <w:numPr>
          <w:ilvl w:val="0"/>
          <w:numId w:val="39"/>
        </w:numPr>
        <w:jc w:val="both"/>
        <w:rPr>
          <w:rFonts w:ascii="Verdana" w:hAnsi="Verdana"/>
          <w:bCs/>
          <w:iCs/>
          <w:sz w:val="18"/>
          <w:szCs w:val="18"/>
        </w:rPr>
      </w:pPr>
      <w:r>
        <w:rPr>
          <w:rFonts w:ascii="Verdana" w:hAnsi="Verdana"/>
          <w:bCs/>
          <w:iCs/>
          <w:sz w:val="18"/>
          <w:szCs w:val="18"/>
        </w:rPr>
        <w:lastRenderedPageBreak/>
        <w:t>C</w:t>
      </w:r>
      <w:r w:rsidR="00B358A4" w:rsidRPr="00B358A4">
        <w:rPr>
          <w:rFonts w:ascii="Verdana" w:hAnsi="Verdana"/>
          <w:bCs/>
          <w:iCs/>
          <w:sz w:val="18"/>
          <w:szCs w:val="18"/>
        </w:rPr>
        <w:t xml:space="preserve">orrecta contabilización; </w:t>
      </w:r>
    </w:p>
    <w:p w14:paraId="239B4D29" w14:textId="59DCC035" w:rsidR="00B358A4" w:rsidRPr="00B358A4" w:rsidRDefault="004B5BCC">
      <w:pPr>
        <w:numPr>
          <w:ilvl w:val="0"/>
          <w:numId w:val="39"/>
        </w:numPr>
        <w:jc w:val="both"/>
        <w:rPr>
          <w:rFonts w:ascii="Verdana" w:hAnsi="Verdana"/>
          <w:bCs/>
          <w:iCs/>
          <w:sz w:val="18"/>
          <w:szCs w:val="18"/>
        </w:rPr>
      </w:pPr>
      <w:r>
        <w:rPr>
          <w:rFonts w:ascii="Verdana" w:hAnsi="Verdana"/>
          <w:bCs/>
          <w:iCs/>
          <w:sz w:val="18"/>
          <w:szCs w:val="18"/>
        </w:rPr>
        <w:t>I</w:t>
      </w:r>
      <w:r w:rsidR="00B358A4" w:rsidRPr="00B358A4">
        <w:rPr>
          <w:rFonts w:ascii="Verdana" w:hAnsi="Verdana"/>
          <w:bCs/>
          <w:iCs/>
          <w:sz w:val="18"/>
          <w:szCs w:val="18"/>
        </w:rPr>
        <w:t xml:space="preserve">mputación temporal conforme al criterio de devengo; </w:t>
      </w:r>
    </w:p>
    <w:p w14:paraId="17EBD2DF" w14:textId="529EA930" w:rsidR="00B358A4" w:rsidRPr="00B358A4" w:rsidRDefault="004B5BCC">
      <w:pPr>
        <w:numPr>
          <w:ilvl w:val="0"/>
          <w:numId w:val="39"/>
        </w:numPr>
        <w:jc w:val="both"/>
        <w:rPr>
          <w:rFonts w:ascii="Verdana" w:hAnsi="Verdana"/>
          <w:bCs/>
          <w:iCs/>
          <w:sz w:val="18"/>
          <w:szCs w:val="18"/>
        </w:rPr>
      </w:pPr>
      <w:r>
        <w:rPr>
          <w:rFonts w:ascii="Verdana" w:hAnsi="Verdana"/>
          <w:bCs/>
          <w:iCs/>
          <w:sz w:val="18"/>
          <w:szCs w:val="18"/>
        </w:rPr>
        <w:t>A</w:t>
      </w:r>
      <w:r w:rsidR="00B358A4" w:rsidRPr="00B358A4">
        <w:rPr>
          <w:rFonts w:ascii="Verdana" w:hAnsi="Verdana"/>
          <w:bCs/>
          <w:iCs/>
          <w:sz w:val="18"/>
          <w:szCs w:val="18"/>
        </w:rPr>
        <w:t xml:space="preserve">decuada justificación documental; </w:t>
      </w:r>
    </w:p>
    <w:p w14:paraId="4D057899" w14:textId="04BAB590" w:rsidR="00B358A4" w:rsidRPr="00B358A4" w:rsidRDefault="004B5BCC">
      <w:pPr>
        <w:numPr>
          <w:ilvl w:val="0"/>
          <w:numId w:val="39"/>
        </w:numPr>
        <w:jc w:val="both"/>
        <w:rPr>
          <w:rFonts w:ascii="Verdana" w:hAnsi="Verdana"/>
          <w:bCs/>
          <w:iCs/>
          <w:sz w:val="18"/>
          <w:szCs w:val="18"/>
        </w:rPr>
      </w:pPr>
      <w:r>
        <w:rPr>
          <w:rFonts w:ascii="Verdana" w:hAnsi="Verdana"/>
          <w:bCs/>
          <w:iCs/>
          <w:sz w:val="18"/>
          <w:szCs w:val="18"/>
        </w:rPr>
        <w:t>C</w:t>
      </w:r>
      <w:r w:rsidR="00B358A4" w:rsidRPr="00B358A4">
        <w:rPr>
          <w:rFonts w:ascii="Verdana" w:hAnsi="Verdana"/>
          <w:bCs/>
          <w:iCs/>
          <w:sz w:val="18"/>
          <w:szCs w:val="18"/>
        </w:rPr>
        <w:t xml:space="preserve">orrelación entre ingresos y gastos; </w:t>
      </w:r>
    </w:p>
    <w:p w14:paraId="65F05946" w14:textId="25176DEE" w:rsidR="00B358A4" w:rsidRPr="00B358A4" w:rsidRDefault="004B5BCC">
      <w:pPr>
        <w:numPr>
          <w:ilvl w:val="0"/>
          <w:numId w:val="39"/>
        </w:numPr>
        <w:jc w:val="both"/>
        <w:rPr>
          <w:rFonts w:ascii="Verdana" w:hAnsi="Verdana"/>
          <w:bCs/>
          <w:iCs/>
          <w:sz w:val="18"/>
          <w:szCs w:val="18"/>
        </w:rPr>
      </w:pPr>
      <w:r>
        <w:rPr>
          <w:rFonts w:ascii="Verdana" w:hAnsi="Verdana"/>
          <w:bCs/>
          <w:iCs/>
          <w:sz w:val="18"/>
          <w:szCs w:val="18"/>
        </w:rPr>
        <w:t>Y</w:t>
      </w:r>
      <w:r w:rsidR="00B358A4" w:rsidRPr="00B358A4">
        <w:rPr>
          <w:rFonts w:ascii="Verdana" w:hAnsi="Verdana"/>
          <w:bCs/>
          <w:iCs/>
          <w:sz w:val="18"/>
          <w:szCs w:val="18"/>
        </w:rPr>
        <w:t xml:space="preserve"> que el gasto no tenga la consideración de fiscalmente no deducible conforme al artículo 15 de la LIS. </w:t>
      </w:r>
    </w:p>
    <w:p w14:paraId="26BCC03B" w14:textId="77777777" w:rsidR="00B358A4" w:rsidRDefault="00B358A4" w:rsidP="00B358A4">
      <w:pPr>
        <w:ind w:left="284"/>
        <w:jc w:val="both"/>
        <w:rPr>
          <w:rFonts w:ascii="Verdana" w:hAnsi="Verdana"/>
          <w:bCs/>
          <w:iCs/>
          <w:sz w:val="18"/>
          <w:szCs w:val="18"/>
        </w:rPr>
      </w:pPr>
    </w:p>
    <w:p w14:paraId="509DCE83" w14:textId="3D9C0D73" w:rsidR="00B358A4" w:rsidRPr="00B358A4" w:rsidRDefault="00B358A4" w:rsidP="00B358A4">
      <w:pPr>
        <w:ind w:left="284"/>
        <w:jc w:val="both"/>
        <w:rPr>
          <w:rFonts w:ascii="Verdana" w:hAnsi="Verdana"/>
          <w:bCs/>
          <w:iCs/>
          <w:sz w:val="18"/>
          <w:szCs w:val="18"/>
        </w:rPr>
      </w:pPr>
      <w:r w:rsidRPr="00B358A4">
        <w:rPr>
          <w:rFonts w:ascii="Verdana" w:hAnsi="Verdana"/>
          <w:bCs/>
          <w:iCs/>
          <w:sz w:val="18"/>
          <w:szCs w:val="18"/>
        </w:rPr>
        <w:t xml:space="preserve">La DGT recuerda además que la utilización exclusiva del vehículo en la actividad empresarial constituye una cuestión de hecho cuya prueba corresponde al contribuyente, pudiendo acreditarse por cualquier medio admitido en Derecho. </w:t>
      </w:r>
    </w:p>
    <w:p w14:paraId="2DB001EC" w14:textId="77777777" w:rsidR="00B358A4" w:rsidRDefault="00B358A4" w:rsidP="004B5BCC">
      <w:pPr>
        <w:spacing w:after="120"/>
        <w:ind w:left="284"/>
        <w:jc w:val="both"/>
        <w:rPr>
          <w:rFonts w:ascii="Verdana" w:hAnsi="Verdana"/>
          <w:b/>
          <w:bCs/>
          <w:iCs/>
          <w:sz w:val="18"/>
          <w:szCs w:val="18"/>
        </w:rPr>
      </w:pPr>
    </w:p>
    <w:p w14:paraId="278D69D7" w14:textId="39CFA6E6" w:rsidR="00C05304" w:rsidRPr="00C05304" w:rsidRDefault="00B358A4">
      <w:pPr>
        <w:pStyle w:val="Prrafodelista"/>
        <w:numPr>
          <w:ilvl w:val="0"/>
          <w:numId w:val="44"/>
        </w:numPr>
        <w:ind w:left="567" w:hanging="283"/>
        <w:jc w:val="both"/>
        <w:rPr>
          <w:rFonts w:ascii="Verdana" w:hAnsi="Verdana"/>
          <w:b/>
          <w:bCs/>
          <w:iCs/>
          <w:sz w:val="18"/>
          <w:szCs w:val="18"/>
        </w:rPr>
      </w:pPr>
      <w:r w:rsidRPr="00C05304">
        <w:rPr>
          <w:rFonts w:ascii="Verdana" w:hAnsi="Verdana"/>
          <w:b/>
          <w:bCs/>
          <w:iCs/>
          <w:sz w:val="18"/>
          <w:szCs w:val="18"/>
        </w:rPr>
        <w:t>Deducción del IVA soportado en la adquisición del vehículo</w:t>
      </w:r>
    </w:p>
    <w:p w14:paraId="45FDC815" w14:textId="030F86E8" w:rsidR="00B358A4" w:rsidRPr="00B358A4" w:rsidRDefault="00B358A4" w:rsidP="00B358A4">
      <w:pPr>
        <w:ind w:left="284"/>
        <w:jc w:val="both"/>
        <w:rPr>
          <w:rFonts w:ascii="Verdana" w:hAnsi="Verdana"/>
          <w:bCs/>
          <w:iCs/>
          <w:sz w:val="18"/>
          <w:szCs w:val="18"/>
        </w:rPr>
      </w:pPr>
      <w:r w:rsidRPr="00B358A4">
        <w:rPr>
          <w:rFonts w:ascii="Verdana" w:hAnsi="Verdana"/>
          <w:bCs/>
          <w:iCs/>
          <w:sz w:val="18"/>
          <w:szCs w:val="18"/>
        </w:rPr>
        <w:t xml:space="preserve">En relación con el IVA, la consulta reitera el criterio habitual del artículo 95 de la Ley del IVA respecto a vehículos </w:t>
      </w:r>
      <w:r w:rsidR="001B1377">
        <w:rPr>
          <w:rFonts w:ascii="Verdana" w:hAnsi="Verdana"/>
          <w:bCs/>
          <w:iCs/>
          <w:sz w:val="18"/>
          <w:szCs w:val="18"/>
        </w:rPr>
        <w:t xml:space="preserve">de </w:t>
      </w:r>
      <w:r w:rsidRPr="00B358A4">
        <w:rPr>
          <w:rFonts w:ascii="Verdana" w:hAnsi="Verdana"/>
          <w:bCs/>
          <w:iCs/>
          <w:sz w:val="18"/>
          <w:szCs w:val="18"/>
        </w:rPr>
        <w:t xml:space="preserve">turismo. </w:t>
      </w:r>
    </w:p>
    <w:p w14:paraId="33F1AD9D" w14:textId="77777777" w:rsidR="00B358A4" w:rsidRPr="00B358A4" w:rsidRDefault="00B358A4" w:rsidP="00B358A4">
      <w:pPr>
        <w:ind w:left="284"/>
        <w:jc w:val="both"/>
        <w:rPr>
          <w:rFonts w:ascii="Verdana" w:hAnsi="Verdana"/>
          <w:bCs/>
          <w:iCs/>
          <w:sz w:val="18"/>
          <w:szCs w:val="18"/>
        </w:rPr>
      </w:pPr>
      <w:r w:rsidRPr="00B358A4">
        <w:rPr>
          <w:rFonts w:ascii="Verdana" w:hAnsi="Verdana"/>
          <w:bCs/>
          <w:iCs/>
          <w:sz w:val="18"/>
          <w:szCs w:val="18"/>
        </w:rPr>
        <w:t>La Administración señala que:</w:t>
      </w:r>
    </w:p>
    <w:p w14:paraId="599E2DA9" w14:textId="6965303A" w:rsidR="00B358A4" w:rsidRPr="00B358A4" w:rsidRDefault="004B5BCC">
      <w:pPr>
        <w:numPr>
          <w:ilvl w:val="0"/>
          <w:numId w:val="40"/>
        </w:numPr>
        <w:jc w:val="both"/>
        <w:rPr>
          <w:rFonts w:ascii="Verdana" w:hAnsi="Verdana"/>
          <w:bCs/>
          <w:iCs/>
          <w:sz w:val="18"/>
          <w:szCs w:val="18"/>
        </w:rPr>
      </w:pPr>
      <w:r>
        <w:rPr>
          <w:rFonts w:ascii="Verdana" w:hAnsi="Verdana"/>
          <w:bCs/>
          <w:iCs/>
          <w:sz w:val="18"/>
          <w:szCs w:val="18"/>
        </w:rPr>
        <w:t>L</w:t>
      </w:r>
      <w:r w:rsidR="00B358A4" w:rsidRPr="00B358A4">
        <w:rPr>
          <w:rFonts w:ascii="Verdana" w:hAnsi="Verdana"/>
          <w:bCs/>
          <w:iCs/>
          <w:sz w:val="18"/>
          <w:szCs w:val="18"/>
        </w:rPr>
        <w:t xml:space="preserve">os vehículos </w:t>
      </w:r>
      <w:r w:rsidR="001B1377">
        <w:rPr>
          <w:rFonts w:ascii="Verdana" w:hAnsi="Verdana"/>
          <w:bCs/>
          <w:iCs/>
          <w:sz w:val="18"/>
          <w:szCs w:val="18"/>
        </w:rPr>
        <w:t xml:space="preserve">de </w:t>
      </w:r>
      <w:r w:rsidR="00B358A4" w:rsidRPr="00B358A4">
        <w:rPr>
          <w:rFonts w:ascii="Verdana" w:hAnsi="Verdana"/>
          <w:bCs/>
          <w:iCs/>
          <w:sz w:val="18"/>
          <w:szCs w:val="18"/>
        </w:rPr>
        <w:t xml:space="preserve">turismo se presumen afectos a la actividad empresarial en un 50%; </w:t>
      </w:r>
    </w:p>
    <w:p w14:paraId="244A8D21" w14:textId="6A7861C5" w:rsidR="00B358A4" w:rsidRPr="00B358A4" w:rsidRDefault="004B5BCC">
      <w:pPr>
        <w:numPr>
          <w:ilvl w:val="0"/>
          <w:numId w:val="40"/>
        </w:numPr>
        <w:jc w:val="both"/>
        <w:rPr>
          <w:rFonts w:ascii="Verdana" w:hAnsi="Verdana"/>
          <w:bCs/>
          <w:iCs/>
          <w:sz w:val="18"/>
          <w:szCs w:val="18"/>
        </w:rPr>
      </w:pPr>
      <w:r>
        <w:rPr>
          <w:rFonts w:ascii="Verdana" w:hAnsi="Verdana"/>
          <w:bCs/>
          <w:iCs/>
          <w:sz w:val="18"/>
          <w:szCs w:val="18"/>
        </w:rPr>
        <w:t>D</w:t>
      </w:r>
      <w:r w:rsidR="00B358A4" w:rsidRPr="00B358A4">
        <w:rPr>
          <w:rFonts w:ascii="Verdana" w:hAnsi="Verdana"/>
          <w:bCs/>
          <w:iCs/>
          <w:sz w:val="18"/>
          <w:szCs w:val="18"/>
        </w:rPr>
        <w:t xml:space="preserve">icho porcentaje puede incrementarse o reducirse si se acredita un grado distinto de utilización profesional; </w:t>
      </w:r>
    </w:p>
    <w:p w14:paraId="5B14F192" w14:textId="1E008DD2" w:rsidR="00B358A4" w:rsidRDefault="004B5BCC">
      <w:pPr>
        <w:numPr>
          <w:ilvl w:val="0"/>
          <w:numId w:val="40"/>
        </w:numPr>
        <w:jc w:val="both"/>
        <w:rPr>
          <w:rFonts w:ascii="Verdana" w:hAnsi="Verdana"/>
          <w:bCs/>
          <w:iCs/>
          <w:sz w:val="18"/>
          <w:szCs w:val="18"/>
        </w:rPr>
      </w:pPr>
      <w:r>
        <w:rPr>
          <w:rFonts w:ascii="Verdana" w:hAnsi="Verdana"/>
          <w:bCs/>
          <w:iCs/>
          <w:sz w:val="18"/>
          <w:szCs w:val="18"/>
        </w:rPr>
        <w:t>L</w:t>
      </w:r>
      <w:r w:rsidR="00B358A4" w:rsidRPr="00B358A4">
        <w:rPr>
          <w:rFonts w:ascii="Verdana" w:hAnsi="Verdana"/>
          <w:bCs/>
          <w:iCs/>
          <w:sz w:val="18"/>
          <w:szCs w:val="18"/>
        </w:rPr>
        <w:t xml:space="preserve">a deducción del 100% únicamente se presume en los supuestos tasados previstos legalmente. </w:t>
      </w:r>
    </w:p>
    <w:p w14:paraId="31B908D8" w14:textId="77777777" w:rsidR="00B358A4" w:rsidRPr="00B358A4" w:rsidRDefault="00B358A4" w:rsidP="00B358A4">
      <w:pPr>
        <w:ind w:left="720"/>
        <w:jc w:val="both"/>
        <w:rPr>
          <w:rFonts w:ascii="Verdana" w:hAnsi="Verdana"/>
          <w:bCs/>
          <w:iCs/>
          <w:sz w:val="18"/>
          <w:szCs w:val="18"/>
        </w:rPr>
      </w:pPr>
    </w:p>
    <w:p w14:paraId="4D844BEC" w14:textId="77777777" w:rsidR="00B358A4" w:rsidRPr="00B358A4" w:rsidRDefault="00B358A4" w:rsidP="00B358A4">
      <w:pPr>
        <w:ind w:left="284"/>
        <w:jc w:val="both"/>
        <w:rPr>
          <w:rFonts w:ascii="Verdana" w:hAnsi="Verdana"/>
          <w:bCs/>
          <w:iCs/>
          <w:sz w:val="18"/>
          <w:szCs w:val="18"/>
        </w:rPr>
      </w:pPr>
      <w:r w:rsidRPr="00B358A4">
        <w:rPr>
          <w:rFonts w:ascii="Verdana" w:hAnsi="Verdana"/>
          <w:bCs/>
          <w:iCs/>
          <w:sz w:val="18"/>
          <w:szCs w:val="18"/>
        </w:rPr>
        <w:t>Entre los casos con presunción legal de afectación total destacan:</w:t>
      </w:r>
    </w:p>
    <w:p w14:paraId="67618D6D" w14:textId="364FB4A3" w:rsidR="00B358A4" w:rsidRPr="00B358A4" w:rsidRDefault="004B5BCC">
      <w:pPr>
        <w:numPr>
          <w:ilvl w:val="0"/>
          <w:numId w:val="41"/>
        </w:numPr>
        <w:jc w:val="both"/>
        <w:rPr>
          <w:rFonts w:ascii="Verdana" w:hAnsi="Verdana"/>
          <w:bCs/>
          <w:iCs/>
          <w:sz w:val="18"/>
          <w:szCs w:val="18"/>
        </w:rPr>
      </w:pPr>
      <w:r>
        <w:rPr>
          <w:rFonts w:ascii="Verdana" w:hAnsi="Verdana"/>
          <w:bCs/>
          <w:iCs/>
          <w:sz w:val="18"/>
          <w:szCs w:val="18"/>
        </w:rPr>
        <w:t>V</w:t>
      </w:r>
      <w:r w:rsidR="00B358A4" w:rsidRPr="00B358A4">
        <w:rPr>
          <w:rFonts w:ascii="Verdana" w:hAnsi="Verdana"/>
          <w:bCs/>
          <w:iCs/>
          <w:sz w:val="18"/>
          <w:szCs w:val="18"/>
        </w:rPr>
        <w:t xml:space="preserve">ehículos mixtos destinados al transporte de mercancías; </w:t>
      </w:r>
    </w:p>
    <w:p w14:paraId="247B6FA2" w14:textId="48262F0F" w:rsidR="00B358A4" w:rsidRPr="00B358A4" w:rsidRDefault="004B5BCC">
      <w:pPr>
        <w:numPr>
          <w:ilvl w:val="0"/>
          <w:numId w:val="41"/>
        </w:numPr>
        <w:jc w:val="both"/>
        <w:rPr>
          <w:rFonts w:ascii="Verdana" w:hAnsi="Verdana"/>
          <w:bCs/>
          <w:iCs/>
          <w:sz w:val="18"/>
          <w:szCs w:val="18"/>
        </w:rPr>
      </w:pPr>
      <w:r>
        <w:rPr>
          <w:rFonts w:ascii="Verdana" w:hAnsi="Verdana"/>
          <w:bCs/>
          <w:iCs/>
          <w:sz w:val="18"/>
          <w:szCs w:val="18"/>
        </w:rPr>
        <w:t>T</w:t>
      </w:r>
      <w:r w:rsidR="00B358A4" w:rsidRPr="00B358A4">
        <w:rPr>
          <w:rFonts w:ascii="Verdana" w:hAnsi="Verdana"/>
          <w:bCs/>
          <w:iCs/>
          <w:sz w:val="18"/>
          <w:szCs w:val="18"/>
        </w:rPr>
        <w:t xml:space="preserve">ransporte de viajeros; </w:t>
      </w:r>
    </w:p>
    <w:p w14:paraId="2E7655F2" w14:textId="1739AA90" w:rsidR="00B358A4" w:rsidRPr="00B358A4" w:rsidRDefault="004B5BCC">
      <w:pPr>
        <w:numPr>
          <w:ilvl w:val="0"/>
          <w:numId w:val="41"/>
        </w:numPr>
        <w:jc w:val="both"/>
        <w:rPr>
          <w:rFonts w:ascii="Verdana" w:hAnsi="Verdana"/>
          <w:bCs/>
          <w:iCs/>
          <w:sz w:val="18"/>
          <w:szCs w:val="18"/>
        </w:rPr>
      </w:pPr>
      <w:r>
        <w:rPr>
          <w:rFonts w:ascii="Verdana" w:hAnsi="Verdana"/>
          <w:bCs/>
          <w:iCs/>
          <w:sz w:val="18"/>
          <w:szCs w:val="18"/>
        </w:rPr>
        <w:t>A</w:t>
      </w:r>
      <w:r w:rsidR="00B358A4" w:rsidRPr="00B358A4">
        <w:rPr>
          <w:rFonts w:ascii="Verdana" w:hAnsi="Verdana"/>
          <w:bCs/>
          <w:iCs/>
          <w:sz w:val="18"/>
          <w:szCs w:val="18"/>
        </w:rPr>
        <w:t xml:space="preserve">utoescuelas; </w:t>
      </w:r>
    </w:p>
    <w:p w14:paraId="0CCBF252" w14:textId="343BC1AC" w:rsidR="00B358A4" w:rsidRPr="00B358A4" w:rsidRDefault="004B5BCC">
      <w:pPr>
        <w:numPr>
          <w:ilvl w:val="0"/>
          <w:numId w:val="41"/>
        </w:numPr>
        <w:jc w:val="both"/>
        <w:rPr>
          <w:rFonts w:ascii="Verdana" w:hAnsi="Verdana"/>
          <w:bCs/>
          <w:iCs/>
          <w:sz w:val="18"/>
          <w:szCs w:val="18"/>
        </w:rPr>
      </w:pPr>
      <w:r>
        <w:rPr>
          <w:rFonts w:ascii="Verdana" w:hAnsi="Verdana"/>
          <w:bCs/>
          <w:iCs/>
          <w:sz w:val="18"/>
          <w:szCs w:val="18"/>
        </w:rPr>
        <w:t>V</w:t>
      </w:r>
      <w:r w:rsidR="00B358A4" w:rsidRPr="00B358A4">
        <w:rPr>
          <w:rFonts w:ascii="Verdana" w:hAnsi="Verdana"/>
          <w:bCs/>
          <w:iCs/>
          <w:sz w:val="18"/>
          <w:szCs w:val="18"/>
        </w:rPr>
        <w:t xml:space="preserve">ehículos de demostración o promoción; </w:t>
      </w:r>
    </w:p>
    <w:p w14:paraId="071BD942" w14:textId="53B625E9" w:rsidR="00B358A4" w:rsidRPr="00B358A4" w:rsidRDefault="004B5BCC">
      <w:pPr>
        <w:numPr>
          <w:ilvl w:val="0"/>
          <w:numId w:val="41"/>
        </w:numPr>
        <w:jc w:val="both"/>
        <w:rPr>
          <w:rFonts w:ascii="Verdana" w:hAnsi="Verdana"/>
          <w:bCs/>
          <w:iCs/>
          <w:sz w:val="18"/>
          <w:szCs w:val="18"/>
        </w:rPr>
      </w:pPr>
      <w:r>
        <w:rPr>
          <w:rFonts w:ascii="Verdana" w:hAnsi="Verdana"/>
          <w:bCs/>
          <w:iCs/>
          <w:sz w:val="18"/>
          <w:szCs w:val="18"/>
        </w:rPr>
        <w:t>D</w:t>
      </w:r>
      <w:r w:rsidR="00B358A4" w:rsidRPr="00B358A4">
        <w:rPr>
          <w:rFonts w:ascii="Verdana" w:hAnsi="Verdana"/>
          <w:bCs/>
          <w:iCs/>
          <w:sz w:val="18"/>
          <w:szCs w:val="18"/>
        </w:rPr>
        <w:t xml:space="preserve">esplazamientos profesionales de representantes o agentes comerciales; </w:t>
      </w:r>
    </w:p>
    <w:p w14:paraId="4CA97805" w14:textId="605BADED" w:rsidR="00B358A4" w:rsidRDefault="004B5BCC">
      <w:pPr>
        <w:numPr>
          <w:ilvl w:val="0"/>
          <w:numId w:val="41"/>
        </w:numPr>
        <w:jc w:val="both"/>
        <w:rPr>
          <w:rFonts w:ascii="Verdana" w:hAnsi="Verdana"/>
          <w:bCs/>
          <w:iCs/>
          <w:sz w:val="18"/>
          <w:szCs w:val="18"/>
        </w:rPr>
      </w:pPr>
      <w:r>
        <w:rPr>
          <w:rFonts w:ascii="Verdana" w:hAnsi="Verdana"/>
          <w:bCs/>
          <w:iCs/>
          <w:sz w:val="18"/>
          <w:szCs w:val="18"/>
        </w:rPr>
        <w:t>Y</w:t>
      </w:r>
      <w:r w:rsidR="00B358A4" w:rsidRPr="00B358A4">
        <w:rPr>
          <w:rFonts w:ascii="Verdana" w:hAnsi="Verdana"/>
          <w:bCs/>
          <w:iCs/>
          <w:sz w:val="18"/>
          <w:szCs w:val="18"/>
        </w:rPr>
        <w:t xml:space="preserve"> servicios de vigilancia.</w:t>
      </w:r>
    </w:p>
    <w:p w14:paraId="526A658F" w14:textId="2295173E" w:rsidR="00B358A4" w:rsidRPr="00B358A4" w:rsidRDefault="00B358A4" w:rsidP="00B358A4">
      <w:pPr>
        <w:ind w:left="720"/>
        <w:jc w:val="both"/>
        <w:rPr>
          <w:rFonts w:ascii="Verdana" w:hAnsi="Verdana"/>
          <w:bCs/>
          <w:iCs/>
          <w:sz w:val="18"/>
          <w:szCs w:val="18"/>
        </w:rPr>
      </w:pPr>
      <w:r w:rsidRPr="00B358A4">
        <w:rPr>
          <w:rFonts w:ascii="Verdana" w:hAnsi="Verdana"/>
          <w:bCs/>
          <w:iCs/>
          <w:sz w:val="18"/>
          <w:szCs w:val="18"/>
        </w:rPr>
        <w:t xml:space="preserve"> </w:t>
      </w:r>
    </w:p>
    <w:p w14:paraId="56C6FBB6" w14:textId="77777777" w:rsidR="00B358A4" w:rsidRDefault="00B358A4" w:rsidP="00B358A4">
      <w:pPr>
        <w:ind w:left="284"/>
        <w:jc w:val="both"/>
        <w:rPr>
          <w:rFonts w:ascii="Verdana" w:hAnsi="Verdana"/>
          <w:bCs/>
          <w:iCs/>
          <w:sz w:val="18"/>
          <w:szCs w:val="18"/>
        </w:rPr>
      </w:pPr>
      <w:r w:rsidRPr="00B358A4">
        <w:rPr>
          <w:rFonts w:ascii="Verdana" w:hAnsi="Verdana"/>
          <w:bCs/>
          <w:iCs/>
          <w:sz w:val="18"/>
          <w:szCs w:val="18"/>
        </w:rPr>
        <w:t xml:space="preserve">La DGT considera que el supuesto consultado encaja, con carácter general, en la presunción ordinaria del 50% de deducción, salvo que la entidad pueda acreditar una utilización empresarial superior. </w:t>
      </w:r>
    </w:p>
    <w:p w14:paraId="4A5FAC9C" w14:textId="77777777" w:rsidR="00B358A4" w:rsidRPr="004B5BCC" w:rsidRDefault="00B358A4" w:rsidP="004B5BCC">
      <w:pPr>
        <w:spacing w:after="120"/>
        <w:ind w:left="284"/>
        <w:jc w:val="both"/>
        <w:rPr>
          <w:rFonts w:ascii="Verdana" w:hAnsi="Verdana"/>
          <w:b/>
          <w:bCs/>
          <w:iCs/>
          <w:sz w:val="18"/>
          <w:szCs w:val="18"/>
        </w:rPr>
      </w:pPr>
    </w:p>
    <w:p w14:paraId="2AB34A03" w14:textId="77777777" w:rsidR="00B358A4" w:rsidRPr="00B358A4" w:rsidRDefault="00B358A4" w:rsidP="00B358A4">
      <w:pPr>
        <w:ind w:left="284"/>
        <w:jc w:val="both"/>
        <w:rPr>
          <w:rFonts w:ascii="Verdana" w:hAnsi="Verdana"/>
          <w:b/>
          <w:bCs/>
          <w:iCs/>
          <w:sz w:val="18"/>
          <w:szCs w:val="18"/>
        </w:rPr>
      </w:pPr>
      <w:r w:rsidRPr="00B358A4">
        <w:rPr>
          <w:rFonts w:ascii="Verdana" w:hAnsi="Verdana"/>
          <w:b/>
          <w:bCs/>
          <w:iCs/>
          <w:sz w:val="18"/>
          <w:szCs w:val="18"/>
        </w:rPr>
        <w:t>3. Carga de la prueba</w:t>
      </w:r>
    </w:p>
    <w:p w14:paraId="3B2B2736" w14:textId="77777777" w:rsidR="00B358A4" w:rsidRPr="00B358A4" w:rsidRDefault="00B358A4" w:rsidP="00B358A4">
      <w:pPr>
        <w:ind w:left="284"/>
        <w:jc w:val="both"/>
        <w:rPr>
          <w:rFonts w:ascii="Verdana" w:hAnsi="Verdana"/>
          <w:bCs/>
          <w:iCs/>
          <w:sz w:val="18"/>
          <w:szCs w:val="18"/>
        </w:rPr>
      </w:pPr>
      <w:r w:rsidRPr="00B358A4">
        <w:rPr>
          <w:rFonts w:ascii="Verdana" w:hAnsi="Verdana"/>
          <w:bCs/>
          <w:iCs/>
          <w:sz w:val="18"/>
          <w:szCs w:val="18"/>
        </w:rPr>
        <w:t>La consulta insiste especialmente en la necesidad de acreditar el uso profesional efectivo del vehículo. No basta con:</w:t>
      </w:r>
    </w:p>
    <w:p w14:paraId="018C1F75" w14:textId="14191D4B" w:rsidR="00B358A4" w:rsidRPr="00B358A4" w:rsidRDefault="004B5BCC">
      <w:pPr>
        <w:numPr>
          <w:ilvl w:val="0"/>
          <w:numId w:val="42"/>
        </w:numPr>
        <w:jc w:val="both"/>
        <w:rPr>
          <w:rFonts w:ascii="Verdana" w:hAnsi="Verdana"/>
          <w:bCs/>
          <w:iCs/>
          <w:sz w:val="18"/>
          <w:szCs w:val="18"/>
        </w:rPr>
      </w:pPr>
      <w:r>
        <w:rPr>
          <w:rFonts w:ascii="Verdana" w:hAnsi="Verdana"/>
          <w:bCs/>
          <w:iCs/>
          <w:sz w:val="18"/>
          <w:szCs w:val="18"/>
        </w:rPr>
        <w:t>Q</w:t>
      </w:r>
      <w:r w:rsidR="00B358A4" w:rsidRPr="00B358A4">
        <w:rPr>
          <w:rFonts w:ascii="Verdana" w:hAnsi="Verdana"/>
          <w:bCs/>
          <w:iCs/>
          <w:sz w:val="18"/>
          <w:szCs w:val="18"/>
        </w:rPr>
        <w:t xml:space="preserve">ue el vehículo figure contabilizado; </w:t>
      </w:r>
    </w:p>
    <w:p w14:paraId="779F8100" w14:textId="75D4FD4A" w:rsidR="00B358A4" w:rsidRPr="00B358A4" w:rsidRDefault="004B5BCC">
      <w:pPr>
        <w:numPr>
          <w:ilvl w:val="0"/>
          <w:numId w:val="42"/>
        </w:numPr>
        <w:jc w:val="both"/>
        <w:rPr>
          <w:rFonts w:ascii="Verdana" w:hAnsi="Verdana"/>
          <w:bCs/>
          <w:iCs/>
          <w:sz w:val="18"/>
          <w:szCs w:val="18"/>
        </w:rPr>
      </w:pPr>
      <w:r>
        <w:rPr>
          <w:rFonts w:ascii="Verdana" w:hAnsi="Verdana"/>
          <w:bCs/>
          <w:iCs/>
          <w:sz w:val="18"/>
          <w:szCs w:val="18"/>
        </w:rPr>
        <w:t>Q</w:t>
      </w:r>
      <w:r w:rsidR="00B358A4" w:rsidRPr="00B358A4">
        <w:rPr>
          <w:rFonts w:ascii="Verdana" w:hAnsi="Verdana"/>
          <w:bCs/>
          <w:iCs/>
          <w:sz w:val="18"/>
          <w:szCs w:val="18"/>
        </w:rPr>
        <w:t xml:space="preserve">ue esté rotulado; </w:t>
      </w:r>
    </w:p>
    <w:p w14:paraId="3D24D15E" w14:textId="0B526859" w:rsidR="00B358A4" w:rsidRPr="00B358A4" w:rsidRDefault="004B5BCC">
      <w:pPr>
        <w:numPr>
          <w:ilvl w:val="0"/>
          <w:numId w:val="42"/>
        </w:numPr>
        <w:jc w:val="both"/>
        <w:rPr>
          <w:rFonts w:ascii="Verdana" w:hAnsi="Verdana"/>
          <w:bCs/>
          <w:iCs/>
          <w:sz w:val="18"/>
          <w:szCs w:val="18"/>
        </w:rPr>
      </w:pPr>
      <w:r>
        <w:rPr>
          <w:rFonts w:ascii="Verdana" w:hAnsi="Verdana"/>
          <w:bCs/>
          <w:iCs/>
          <w:sz w:val="18"/>
          <w:szCs w:val="18"/>
        </w:rPr>
        <w:t>O</w:t>
      </w:r>
      <w:r w:rsidR="00B358A4" w:rsidRPr="00B358A4">
        <w:rPr>
          <w:rFonts w:ascii="Verdana" w:hAnsi="Verdana"/>
          <w:bCs/>
          <w:iCs/>
          <w:sz w:val="18"/>
          <w:szCs w:val="18"/>
        </w:rPr>
        <w:t xml:space="preserve"> que se incluya en las autoliquidaciones del impuesto. </w:t>
      </w:r>
    </w:p>
    <w:p w14:paraId="4880C59C" w14:textId="77777777" w:rsidR="00B358A4" w:rsidRPr="00B358A4" w:rsidRDefault="00B358A4" w:rsidP="00B358A4">
      <w:pPr>
        <w:ind w:left="284"/>
        <w:jc w:val="both"/>
        <w:rPr>
          <w:rFonts w:ascii="Verdana" w:hAnsi="Verdana"/>
          <w:bCs/>
          <w:iCs/>
          <w:sz w:val="18"/>
          <w:szCs w:val="18"/>
        </w:rPr>
      </w:pPr>
      <w:r w:rsidRPr="00B358A4">
        <w:rPr>
          <w:rFonts w:ascii="Verdana" w:hAnsi="Verdana"/>
          <w:bCs/>
          <w:iCs/>
          <w:sz w:val="18"/>
          <w:szCs w:val="18"/>
        </w:rPr>
        <w:t>La prueba deberá sustentarse en elementos objetivos como:</w:t>
      </w:r>
    </w:p>
    <w:p w14:paraId="0F29CFEF" w14:textId="40D07A49" w:rsidR="00B358A4" w:rsidRPr="00B358A4" w:rsidRDefault="004B5BCC">
      <w:pPr>
        <w:numPr>
          <w:ilvl w:val="0"/>
          <w:numId w:val="43"/>
        </w:numPr>
        <w:jc w:val="both"/>
        <w:rPr>
          <w:rFonts w:ascii="Verdana" w:hAnsi="Verdana"/>
          <w:bCs/>
          <w:iCs/>
          <w:sz w:val="18"/>
          <w:szCs w:val="18"/>
        </w:rPr>
      </w:pPr>
      <w:r>
        <w:rPr>
          <w:rFonts w:ascii="Verdana" w:hAnsi="Verdana"/>
          <w:bCs/>
          <w:iCs/>
          <w:sz w:val="18"/>
          <w:szCs w:val="18"/>
        </w:rPr>
        <w:t>K</w:t>
      </w:r>
      <w:r w:rsidR="00B358A4" w:rsidRPr="00B358A4">
        <w:rPr>
          <w:rFonts w:ascii="Verdana" w:hAnsi="Verdana"/>
          <w:bCs/>
          <w:iCs/>
          <w:sz w:val="18"/>
          <w:szCs w:val="18"/>
        </w:rPr>
        <w:t xml:space="preserve">ilometraje; </w:t>
      </w:r>
    </w:p>
    <w:p w14:paraId="521ACAA1" w14:textId="4BD0A5DF" w:rsidR="00B358A4" w:rsidRPr="00B358A4" w:rsidRDefault="004B5BCC">
      <w:pPr>
        <w:numPr>
          <w:ilvl w:val="0"/>
          <w:numId w:val="43"/>
        </w:numPr>
        <w:jc w:val="both"/>
        <w:rPr>
          <w:rFonts w:ascii="Verdana" w:hAnsi="Verdana"/>
          <w:bCs/>
          <w:iCs/>
          <w:sz w:val="18"/>
          <w:szCs w:val="18"/>
        </w:rPr>
      </w:pPr>
      <w:r>
        <w:rPr>
          <w:rFonts w:ascii="Verdana" w:hAnsi="Verdana"/>
          <w:bCs/>
          <w:iCs/>
          <w:sz w:val="18"/>
          <w:szCs w:val="18"/>
        </w:rPr>
        <w:t>A</w:t>
      </w:r>
      <w:r w:rsidR="00B358A4" w:rsidRPr="00B358A4">
        <w:rPr>
          <w:rFonts w:ascii="Verdana" w:hAnsi="Verdana"/>
          <w:bCs/>
          <w:iCs/>
          <w:sz w:val="18"/>
          <w:szCs w:val="18"/>
        </w:rPr>
        <w:t xml:space="preserve">genda comercial; </w:t>
      </w:r>
    </w:p>
    <w:p w14:paraId="68DC7547" w14:textId="07E71924" w:rsidR="00B358A4" w:rsidRPr="00B358A4" w:rsidRDefault="004B5BCC">
      <w:pPr>
        <w:numPr>
          <w:ilvl w:val="0"/>
          <w:numId w:val="43"/>
        </w:numPr>
        <w:jc w:val="both"/>
        <w:rPr>
          <w:rFonts w:ascii="Verdana" w:hAnsi="Verdana"/>
          <w:bCs/>
          <w:iCs/>
          <w:sz w:val="18"/>
          <w:szCs w:val="18"/>
        </w:rPr>
      </w:pPr>
      <w:r>
        <w:rPr>
          <w:rFonts w:ascii="Verdana" w:hAnsi="Verdana"/>
          <w:bCs/>
          <w:iCs/>
          <w:sz w:val="18"/>
          <w:szCs w:val="18"/>
        </w:rPr>
        <w:t>R</w:t>
      </w:r>
      <w:r w:rsidR="00B358A4" w:rsidRPr="00B358A4">
        <w:rPr>
          <w:rFonts w:ascii="Verdana" w:hAnsi="Verdana"/>
          <w:bCs/>
          <w:iCs/>
          <w:sz w:val="18"/>
          <w:szCs w:val="18"/>
        </w:rPr>
        <w:t xml:space="preserve">utas; </w:t>
      </w:r>
    </w:p>
    <w:p w14:paraId="6C8C091F" w14:textId="1BEF9272" w:rsidR="00B358A4" w:rsidRPr="00B358A4" w:rsidRDefault="004B5BCC">
      <w:pPr>
        <w:numPr>
          <w:ilvl w:val="0"/>
          <w:numId w:val="43"/>
        </w:numPr>
        <w:jc w:val="both"/>
        <w:rPr>
          <w:rFonts w:ascii="Verdana" w:hAnsi="Verdana"/>
          <w:bCs/>
          <w:iCs/>
          <w:sz w:val="18"/>
          <w:szCs w:val="18"/>
        </w:rPr>
      </w:pPr>
      <w:r>
        <w:rPr>
          <w:rFonts w:ascii="Verdana" w:hAnsi="Verdana"/>
          <w:bCs/>
          <w:iCs/>
          <w:sz w:val="18"/>
          <w:szCs w:val="18"/>
        </w:rPr>
        <w:t>V</w:t>
      </w:r>
      <w:r w:rsidR="00B358A4" w:rsidRPr="00B358A4">
        <w:rPr>
          <w:rFonts w:ascii="Verdana" w:hAnsi="Verdana"/>
          <w:bCs/>
          <w:iCs/>
          <w:sz w:val="18"/>
          <w:szCs w:val="18"/>
        </w:rPr>
        <w:t xml:space="preserve">isitas a clientes; </w:t>
      </w:r>
    </w:p>
    <w:p w14:paraId="5346CC6B" w14:textId="747EE723" w:rsidR="00B358A4" w:rsidRPr="00B358A4" w:rsidRDefault="004B5BCC">
      <w:pPr>
        <w:numPr>
          <w:ilvl w:val="0"/>
          <w:numId w:val="43"/>
        </w:numPr>
        <w:jc w:val="both"/>
        <w:rPr>
          <w:rFonts w:ascii="Verdana" w:hAnsi="Verdana"/>
          <w:bCs/>
          <w:iCs/>
          <w:sz w:val="18"/>
          <w:szCs w:val="18"/>
        </w:rPr>
      </w:pPr>
      <w:r>
        <w:rPr>
          <w:rFonts w:ascii="Verdana" w:hAnsi="Verdana"/>
          <w:bCs/>
          <w:iCs/>
          <w:sz w:val="18"/>
          <w:szCs w:val="18"/>
        </w:rPr>
        <w:t>D</w:t>
      </w:r>
      <w:r w:rsidR="00B358A4" w:rsidRPr="00B358A4">
        <w:rPr>
          <w:rFonts w:ascii="Verdana" w:hAnsi="Verdana"/>
          <w:bCs/>
          <w:iCs/>
          <w:sz w:val="18"/>
          <w:szCs w:val="18"/>
        </w:rPr>
        <w:t xml:space="preserve">ocumentación de desplazamientos; </w:t>
      </w:r>
    </w:p>
    <w:p w14:paraId="5E1CFCE9" w14:textId="22DD600A" w:rsidR="00B358A4" w:rsidRDefault="004B5BCC">
      <w:pPr>
        <w:numPr>
          <w:ilvl w:val="0"/>
          <w:numId w:val="43"/>
        </w:numPr>
        <w:jc w:val="both"/>
        <w:rPr>
          <w:rFonts w:ascii="Verdana" w:hAnsi="Verdana"/>
          <w:bCs/>
          <w:iCs/>
          <w:sz w:val="18"/>
          <w:szCs w:val="18"/>
        </w:rPr>
      </w:pPr>
      <w:r>
        <w:rPr>
          <w:rFonts w:ascii="Verdana" w:hAnsi="Verdana"/>
          <w:bCs/>
          <w:iCs/>
          <w:sz w:val="18"/>
          <w:szCs w:val="18"/>
        </w:rPr>
        <w:t>O</w:t>
      </w:r>
      <w:r w:rsidR="00B358A4" w:rsidRPr="00B358A4">
        <w:rPr>
          <w:rFonts w:ascii="Verdana" w:hAnsi="Verdana"/>
          <w:bCs/>
          <w:iCs/>
          <w:sz w:val="18"/>
          <w:szCs w:val="18"/>
        </w:rPr>
        <w:t xml:space="preserve"> cualquier otro medio admitido en Derecho. </w:t>
      </w:r>
    </w:p>
    <w:p w14:paraId="31814277" w14:textId="77777777" w:rsidR="00B358A4" w:rsidRPr="004B5BCC" w:rsidRDefault="00B358A4" w:rsidP="004B5BCC">
      <w:pPr>
        <w:spacing w:after="120"/>
        <w:ind w:left="284"/>
        <w:jc w:val="both"/>
        <w:rPr>
          <w:rFonts w:ascii="Verdana" w:hAnsi="Verdana"/>
          <w:b/>
          <w:bCs/>
          <w:iCs/>
          <w:sz w:val="18"/>
          <w:szCs w:val="18"/>
        </w:rPr>
      </w:pPr>
    </w:p>
    <w:p w14:paraId="191F60E5" w14:textId="77777777" w:rsidR="00B358A4" w:rsidRPr="00B358A4" w:rsidRDefault="00B358A4" w:rsidP="00B358A4">
      <w:pPr>
        <w:ind w:left="284"/>
        <w:jc w:val="both"/>
        <w:rPr>
          <w:rFonts w:ascii="Verdana" w:hAnsi="Verdana"/>
          <w:b/>
          <w:bCs/>
          <w:iCs/>
          <w:sz w:val="18"/>
          <w:szCs w:val="18"/>
        </w:rPr>
      </w:pPr>
      <w:r w:rsidRPr="00B358A4">
        <w:rPr>
          <w:rFonts w:ascii="Verdana" w:hAnsi="Verdana"/>
          <w:b/>
          <w:bCs/>
          <w:iCs/>
          <w:sz w:val="18"/>
          <w:szCs w:val="18"/>
        </w:rPr>
        <w:t>4. Gastos asociados al vehículo</w:t>
      </w:r>
    </w:p>
    <w:p w14:paraId="63D4FA65" w14:textId="77777777" w:rsidR="00B358A4" w:rsidRPr="00B358A4" w:rsidRDefault="00B358A4" w:rsidP="00B358A4">
      <w:pPr>
        <w:ind w:left="284"/>
        <w:jc w:val="both"/>
        <w:rPr>
          <w:rFonts w:ascii="Verdana" w:hAnsi="Verdana"/>
          <w:bCs/>
          <w:iCs/>
          <w:sz w:val="18"/>
          <w:szCs w:val="18"/>
        </w:rPr>
      </w:pPr>
      <w:r w:rsidRPr="00B358A4">
        <w:rPr>
          <w:rFonts w:ascii="Verdana" w:hAnsi="Verdana"/>
          <w:bCs/>
          <w:iCs/>
          <w:sz w:val="18"/>
          <w:szCs w:val="18"/>
        </w:rPr>
        <w:t xml:space="preserve">Respecto a combustible, reparaciones, mantenimiento, peajes y otros gastos vinculados al vehículo, la DGT aclara que su deducibilidad en IVA debe analizarse de forma independiente a la deducción aplicada sobre la compra del automóvil. </w:t>
      </w:r>
    </w:p>
    <w:p w14:paraId="7C96E049" w14:textId="77777777" w:rsidR="00B358A4" w:rsidRPr="00B358A4" w:rsidRDefault="00B358A4" w:rsidP="00B358A4">
      <w:pPr>
        <w:ind w:left="284"/>
        <w:jc w:val="both"/>
        <w:rPr>
          <w:rFonts w:ascii="Verdana" w:hAnsi="Verdana"/>
          <w:bCs/>
          <w:iCs/>
          <w:sz w:val="18"/>
          <w:szCs w:val="18"/>
        </w:rPr>
      </w:pPr>
      <w:r w:rsidRPr="00B358A4">
        <w:rPr>
          <w:rFonts w:ascii="Verdana" w:hAnsi="Verdana"/>
          <w:bCs/>
          <w:iCs/>
          <w:sz w:val="18"/>
          <w:szCs w:val="18"/>
        </w:rPr>
        <w:t xml:space="preserve">Por tanto, la deducción de estas cuotas soportadas dependerá de que cada gasto esté efectivamente vinculado a la actividad empresarial y pueda acreditarse adecuadamente. </w:t>
      </w:r>
    </w:p>
    <w:p w14:paraId="093B7932" w14:textId="77777777" w:rsidR="00B358A4" w:rsidRDefault="00B358A4" w:rsidP="00B358A4">
      <w:pPr>
        <w:ind w:left="284"/>
        <w:jc w:val="both"/>
        <w:rPr>
          <w:rFonts w:ascii="Verdana" w:hAnsi="Verdana"/>
          <w:b/>
          <w:bCs/>
          <w:iCs/>
          <w:sz w:val="18"/>
          <w:szCs w:val="18"/>
        </w:rPr>
      </w:pPr>
    </w:p>
    <w:p w14:paraId="6EA00E06" w14:textId="77777777" w:rsidR="004B5BCC" w:rsidRDefault="004B5BCC" w:rsidP="00B358A4">
      <w:pPr>
        <w:ind w:left="284"/>
        <w:jc w:val="both"/>
        <w:rPr>
          <w:rFonts w:ascii="Verdana" w:hAnsi="Verdana"/>
          <w:b/>
          <w:bCs/>
          <w:iCs/>
          <w:sz w:val="18"/>
          <w:szCs w:val="18"/>
        </w:rPr>
      </w:pPr>
    </w:p>
    <w:p w14:paraId="5EDF5DB9" w14:textId="77777777" w:rsidR="00B358A4" w:rsidRDefault="00B358A4" w:rsidP="00B358A4">
      <w:pPr>
        <w:ind w:left="284"/>
        <w:jc w:val="both"/>
        <w:rPr>
          <w:rFonts w:ascii="Verdana" w:hAnsi="Verdana"/>
          <w:b/>
          <w:bCs/>
          <w:iCs/>
          <w:sz w:val="18"/>
          <w:szCs w:val="18"/>
        </w:rPr>
      </w:pPr>
    </w:p>
    <w:p w14:paraId="43274A6E" w14:textId="49A52092" w:rsidR="00B358A4" w:rsidRPr="00B358A4" w:rsidRDefault="00B358A4" w:rsidP="00B358A4">
      <w:pPr>
        <w:ind w:left="284"/>
        <w:jc w:val="both"/>
        <w:rPr>
          <w:rFonts w:ascii="Verdana" w:hAnsi="Verdana"/>
          <w:b/>
          <w:bCs/>
          <w:iCs/>
          <w:sz w:val="18"/>
          <w:szCs w:val="18"/>
        </w:rPr>
      </w:pPr>
      <w:r w:rsidRPr="00B358A4">
        <w:rPr>
          <w:rFonts w:ascii="Verdana" w:hAnsi="Verdana"/>
          <w:b/>
          <w:bCs/>
          <w:iCs/>
          <w:sz w:val="18"/>
          <w:szCs w:val="18"/>
        </w:rPr>
        <w:lastRenderedPageBreak/>
        <w:t>Conclusión</w:t>
      </w:r>
    </w:p>
    <w:p w14:paraId="555F25D1" w14:textId="348B62A0" w:rsidR="00B358A4" w:rsidRDefault="00B358A4" w:rsidP="00B358A4">
      <w:pPr>
        <w:ind w:left="284"/>
        <w:jc w:val="both"/>
        <w:rPr>
          <w:rFonts w:ascii="Verdana" w:hAnsi="Verdana"/>
          <w:bCs/>
          <w:iCs/>
          <w:sz w:val="18"/>
          <w:szCs w:val="18"/>
        </w:rPr>
      </w:pPr>
      <w:r w:rsidRPr="00B358A4">
        <w:rPr>
          <w:rFonts w:ascii="Verdana" w:hAnsi="Verdana"/>
          <w:bCs/>
          <w:iCs/>
          <w:sz w:val="18"/>
          <w:szCs w:val="18"/>
        </w:rPr>
        <w:t>La consulta reafirma el criterio restrictivo de la Administración respecto a la deducción íntegra del IVA en vehículos</w:t>
      </w:r>
      <w:r w:rsidR="001B1377">
        <w:rPr>
          <w:rFonts w:ascii="Verdana" w:hAnsi="Verdana"/>
          <w:bCs/>
          <w:iCs/>
          <w:sz w:val="18"/>
          <w:szCs w:val="18"/>
        </w:rPr>
        <w:t xml:space="preserve"> de</w:t>
      </w:r>
      <w:r w:rsidRPr="00B358A4">
        <w:rPr>
          <w:rFonts w:ascii="Verdana" w:hAnsi="Verdana"/>
          <w:bCs/>
          <w:iCs/>
          <w:sz w:val="18"/>
          <w:szCs w:val="18"/>
        </w:rPr>
        <w:t xml:space="preserve"> turismo. Aunque la amortización del vehículo resulta deducible en el Impuesto sobre Sociedades si existe afectación empresarial, en IVA continúa aplicándose con carácter general la presunción del 50%, salvo prueba suficiente de una utilización exclusivamente profesional o encaje en alguno de los supuestos de afectación plena previstos legalmente. </w:t>
      </w:r>
    </w:p>
    <w:p w14:paraId="35060972" w14:textId="77777777" w:rsidR="00DF6F8F" w:rsidRDefault="00DF6F8F" w:rsidP="00B358A4">
      <w:pPr>
        <w:ind w:left="284"/>
        <w:jc w:val="both"/>
        <w:rPr>
          <w:rFonts w:ascii="Verdana" w:hAnsi="Verdana"/>
          <w:bCs/>
          <w:iCs/>
          <w:sz w:val="18"/>
          <w:szCs w:val="18"/>
        </w:rPr>
      </w:pPr>
    </w:p>
    <w:p w14:paraId="349BAA3C" w14:textId="77777777" w:rsidR="00DF6F8F" w:rsidRDefault="00DF6F8F" w:rsidP="00B358A4">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DF6F8F" w:rsidRPr="00DF6F8F" w14:paraId="5C0FE98D" w14:textId="77777777" w:rsidTr="00904C80">
        <w:tc>
          <w:tcPr>
            <w:tcW w:w="180" w:type="dxa"/>
            <w:shd w:val="clear" w:color="auto" w:fill="FF6600"/>
          </w:tcPr>
          <w:p w14:paraId="2CF2281B" w14:textId="77777777" w:rsidR="00DF6F8F" w:rsidRPr="00DF6F8F" w:rsidRDefault="00DF6F8F" w:rsidP="00904C80">
            <w:pPr>
              <w:pStyle w:val="Textoindependiente"/>
              <w:rPr>
                <w:rFonts w:ascii="Verdana" w:hAnsi="Verdana"/>
                <w:iCs/>
                <w:color w:val="800000"/>
                <w:sz w:val="16"/>
                <w:szCs w:val="16"/>
              </w:rPr>
            </w:pPr>
          </w:p>
        </w:tc>
        <w:tc>
          <w:tcPr>
            <w:tcW w:w="8460" w:type="dxa"/>
          </w:tcPr>
          <w:p w14:paraId="60F96E78" w14:textId="19B8943F" w:rsidR="00DF6F8F" w:rsidRPr="00DF6F8F" w:rsidRDefault="00DF6F8F" w:rsidP="00904C80">
            <w:pPr>
              <w:numPr>
                <w:ilvl w:val="0"/>
                <w:numId w:val="1"/>
              </w:numPr>
              <w:tabs>
                <w:tab w:val="clear" w:pos="720"/>
                <w:tab w:val="num" w:pos="317"/>
                <w:tab w:val="left" w:pos="360"/>
              </w:tabs>
              <w:ind w:left="317" w:hanging="283"/>
              <w:jc w:val="both"/>
              <w:rPr>
                <w:rFonts w:ascii="Verdana" w:hAnsi="Verdana"/>
                <w:b/>
                <w:bCs/>
                <w:iCs/>
                <w:color w:val="800000"/>
                <w:sz w:val="16"/>
                <w:szCs w:val="16"/>
              </w:rPr>
            </w:pPr>
            <w:r w:rsidRPr="00DF6F8F">
              <w:rPr>
                <w:rFonts w:ascii="Verdana" w:hAnsi="Verdana"/>
                <w:b/>
                <w:bCs/>
                <w:iCs/>
                <w:color w:val="800000"/>
                <w:sz w:val="18"/>
                <w:szCs w:val="18"/>
              </w:rPr>
              <w:t>OPERACIONES VINCULADAS.</w:t>
            </w:r>
            <w:r w:rsidRPr="00DF6F8F">
              <w:rPr>
                <w:iCs/>
              </w:rPr>
              <w:t xml:space="preserve"> </w:t>
            </w:r>
            <w:r w:rsidRPr="00DF6F8F">
              <w:rPr>
                <w:rFonts w:ascii="Verdana" w:hAnsi="Verdana"/>
                <w:b/>
                <w:bCs/>
                <w:iCs/>
                <w:color w:val="800000"/>
                <w:sz w:val="18"/>
                <w:szCs w:val="18"/>
              </w:rPr>
              <w:t>VINCULACIÓN INDIRECTA ENTRE PERSONA FÍSICA Y ENTIDAD A EFECTOS DE OPERACIONES VINCULADAS: CRITERIO DEL TEAC</w:t>
            </w:r>
          </w:p>
        </w:tc>
      </w:tr>
    </w:tbl>
    <w:p w14:paraId="3DAAF710" w14:textId="77777777" w:rsidR="00DF6F8F" w:rsidRPr="00B358A4" w:rsidRDefault="00DF6F8F" w:rsidP="00B358A4">
      <w:pPr>
        <w:ind w:left="284"/>
        <w:jc w:val="both"/>
        <w:rPr>
          <w:rFonts w:ascii="Verdana" w:hAnsi="Verdana"/>
          <w:bCs/>
          <w:iCs/>
          <w:sz w:val="18"/>
          <w:szCs w:val="18"/>
        </w:rPr>
      </w:pPr>
    </w:p>
    <w:p w14:paraId="7752CC9E" w14:textId="77777777" w:rsidR="00DF6F8F" w:rsidRPr="00DF6F8F" w:rsidRDefault="00DF6F8F" w:rsidP="00DF6F8F">
      <w:pPr>
        <w:ind w:left="284"/>
        <w:jc w:val="both"/>
        <w:rPr>
          <w:rFonts w:ascii="Verdana" w:hAnsi="Verdana"/>
          <w:bCs/>
          <w:iCs/>
          <w:sz w:val="18"/>
          <w:szCs w:val="18"/>
        </w:rPr>
      </w:pPr>
      <w:r w:rsidRPr="00DF6F8F">
        <w:rPr>
          <w:rFonts w:ascii="Verdana" w:hAnsi="Verdana"/>
          <w:bCs/>
          <w:iCs/>
          <w:sz w:val="18"/>
          <w:szCs w:val="18"/>
        </w:rPr>
        <w:t xml:space="preserve">El Tribunal Económico-Administrativo Central (TEAC), en resolución de 19 de febrero de 2026, analiza el alcance de las reglas de vinculación previstas en la normativa del Impuesto sobre Sociedades, concluyendo que </w:t>
      </w:r>
      <w:r w:rsidRPr="00DF6F8F">
        <w:rPr>
          <w:rFonts w:ascii="Verdana" w:hAnsi="Verdana"/>
          <w:b/>
          <w:iCs/>
          <w:sz w:val="18"/>
          <w:szCs w:val="18"/>
        </w:rPr>
        <w:t>la vinculación indirecta también resulta aplicable cuando el socio último es una persona física</w:t>
      </w:r>
      <w:r w:rsidRPr="00DF6F8F">
        <w:rPr>
          <w:rFonts w:ascii="Verdana" w:hAnsi="Verdana"/>
          <w:bCs/>
          <w:iCs/>
          <w:sz w:val="18"/>
          <w:szCs w:val="18"/>
        </w:rPr>
        <w:t>.</w:t>
      </w:r>
    </w:p>
    <w:p w14:paraId="3E80C2A2" w14:textId="77777777" w:rsidR="00DF6F8F" w:rsidRPr="004B5BCC" w:rsidRDefault="00DF6F8F" w:rsidP="004B5BCC">
      <w:pPr>
        <w:spacing w:after="120"/>
        <w:ind w:left="284"/>
        <w:jc w:val="both"/>
        <w:rPr>
          <w:rFonts w:ascii="Verdana" w:hAnsi="Verdana"/>
          <w:b/>
          <w:bCs/>
          <w:iCs/>
          <w:sz w:val="18"/>
          <w:szCs w:val="18"/>
        </w:rPr>
      </w:pPr>
    </w:p>
    <w:p w14:paraId="6CB796CB" w14:textId="77777777" w:rsidR="00DF6F8F" w:rsidRPr="001F0DCD" w:rsidRDefault="00DF6F8F" w:rsidP="00DF6F8F">
      <w:pPr>
        <w:ind w:left="284"/>
        <w:jc w:val="both"/>
        <w:rPr>
          <w:rFonts w:ascii="Verdana" w:hAnsi="Verdana"/>
          <w:b/>
          <w:iCs/>
          <w:sz w:val="18"/>
          <w:szCs w:val="18"/>
        </w:rPr>
      </w:pPr>
      <w:r w:rsidRPr="001F0DCD">
        <w:rPr>
          <w:rFonts w:ascii="Verdana" w:hAnsi="Verdana"/>
          <w:b/>
          <w:iCs/>
          <w:sz w:val="18"/>
          <w:szCs w:val="18"/>
        </w:rPr>
        <w:t>Supuesto analizado</w:t>
      </w:r>
    </w:p>
    <w:p w14:paraId="5A20D0B2" w14:textId="77777777" w:rsidR="00DF6F8F" w:rsidRPr="00DF6F8F" w:rsidRDefault="00DF6F8F" w:rsidP="00DF6F8F">
      <w:pPr>
        <w:ind w:left="284"/>
        <w:jc w:val="both"/>
        <w:rPr>
          <w:rFonts w:ascii="Verdana" w:hAnsi="Verdana"/>
          <w:bCs/>
          <w:iCs/>
          <w:sz w:val="18"/>
          <w:szCs w:val="18"/>
        </w:rPr>
      </w:pPr>
    </w:p>
    <w:p w14:paraId="37F32CAF" w14:textId="77777777" w:rsidR="00DF6F8F" w:rsidRPr="00DF6F8F" w:rsidRDefault="00DF6F8F" w:rsidP="00DF6F8F">
      <w:pPr>
        <w:ind w:left="284"/>
        <w:jc w:val="both"/>
        <w:rPr>
          <w:rFonts w:ascii="Verdana" w:hAnsi="Verdana"/>
          <w:bCs/>
          <w:iCs/>
          <w:sz w:val="18"/>
          <w:szCs w:val="18"/>
        </w:rPr>
      </w:pPr>
      <w:r w:rsidRPr="00DF6F8F">
        <w:rPr>
          <w:rFonts w:ascii="Verdana" w:hAnsi="Verdana"/>
          <w:bCs/>
          <w:iCs/>
          <w:sz w:val="18"/>
          <w:szCs w:val="18"/>
        </w:rPr>
        <w:t>El caso examinado afecta a una entidad dedicada al arrendamiento de inmuebles, cuyo accionariado estaba inicialmente repartido entre dos entidades participadas, en último término, por una persona física. Posteriormente, se produjo una reorganización societaria, pasando la sociedad a estar participada por una única entidad controlada igualmente por dicha persona física.</w:t>
      </w:r>
    </w:p>
    <w:p w14:paraId="0705FE42" w14:textId="77777777" w:rsidR="00DF6F8F" w:rsidRPr="00DF6F8F" w:rsidRDefault="00DF6F8F" w:rsidP="00DF6F8F">
      <w:pPr>
        <w:ind w:left="284"/>
        <w:jc w:val="both"/>
        <w:rPr>
          <w:rFonts w:ascii="Verdana" w:hAnsi="Verdana"/>
          <w:bCs/>
          <w:iCs/>
          <w:sz w:val="18"/>
          <w:szCs w:val="18"/>
        </w:rPr>
      </w:pPr>
    </w:p>
    <w:p w14:paraId="0BF7E4CC" w14:textId="77777777" w:rsidR="00DF6F8F" w:rsidRPr="00DF6F8F" w:rsidRDefault="00DF6F8F" w:rsidP="00DF6F8F">
      <w:pPr>
        <w:ind w:left="284"/>
        <w:jc w:val="both"/>
        <w:rPr>
          <w:rFonts w:ascii="Verdana" w:hAnsi="Verdana"/>
          <w:bCs/>
          <w:iCs/>
          <w:sz w:val="18"/>
          <w:szCs w:val="18"/>
        </w:rPr>
      </w:pPr>
      <w:r w:rsidRPr="00DF6F8F">
        <w:rPr>
          <w:rFonts w:ascii="Verdana" w:hAnsi="Verdana"/>
          <w:bCs/>
          <w:iCs/>
          <w:sz w:val="18"/>
          <w:szCs w:val="18"/>
        </w:rPr>
        <w:t>De los cuatro inmuebles titularidad de la sociedad, dos estaban arrendados al socio último persona física, uno a terceros y otro permanecía desocupado.</w:t>
      </w:r>
    </w:p>
    <w:p w14:paraId="40113024" w14:textId="77777777" w:rsidR="00DF6F8F" w:rsidRPr="00DF6F8F" w:rsidRDefault="00DF6F8F" w:rsidP="00DF6F8F">
      <w:pPr>
        <w:ind w:left="284"/>
        <w:jc w:val="both"/>
        <w:rPr>
          <w:rFonts w:ascii="Verdana" w:hAnsi="Verdana"/>
          <w:bCs/>
          <w:iCs/>
          <w:sz w:val="18"/>
          <w:szCs w:val="18"/>
        </w:rPr>
      </w:pPr>
    </w:p>
    <w:p w14:paraId="6E709A3C" w14:textId="77777777" w:rsidR="00DF6F8F" w:rsidRPr="00DF6F8F" w:rsidRDefault="00DF6F8F" w:rsidP="00DF6F8F">
      <w:pPr>
        <w:ind w:left="284"/>
        <w:jc w:val="both"/>
        <w:rPr>
          <w:rFonts w:ascii="Verdana" w:hAnsi="Verdana"/>
          <w:bCs/>
          <w:iCs/>
          <w:sz w:val="18"/>
          <w:szCs w:val="18"/>
        </w:rPr>
      </w:pPr>
      <w:r w:rsidRPr="00DF6F8F">
        <w:rPr>
          <w:rFonts w:ascii="Verdana" w:hAnsi="Verdana"/>
          <w:bCs/>
          <w:iCs/>
          <w:sz w:val="18"/>
          <w:szCs w:val="18"/>
        </w:rPr>
        <w:t xml:space="preserve">En el marco de una actuación inspectora, la Administración regularizó, entre otras cuestiones, </w:t>
      </w:r>
      <w:r w:rsidRPr="00A52A5C">
        <w:rPr>
          <w:rFonts w:ascii="Verdana" w:hAnsi="Verdana"/>
          <w:b/>
          <w:iCs/>
          <w:sz w:val="18"/>
          <w:szCs w:val="18"/>
        </w:rPr>
        <w:t>la valoración de los arrendamientos efectuados a favor de la persona física, al considerar que no se había aplicado el valor de mercado pese a existir vinculación entre las partes.</w:t>
      </w:r>
      <w:r w:rsidRPr="00DF6F8F">
        <w:rPr>
          <w:rFonts w:ascii="Verdana" w:hAnsi="Verdana"/>
          <w:bCs/>
          <w:iCs/>
          <w:sz w:val="18"/>
          <w:szCs w:val="18"/>
        </w:rPr>
        <w:t xml:space="preserve"> La Inspección fundamentó dicha vinculación en el artículo 18.2.a) de la LIS, relativo a la participación de al menos el 25% en el capital social o fondos propios.</w:t>
      </w:r>
    </w:p>
    <w:p w14:paraId="70D9E2BC" w14:textId="77777777" w:rsidR="00DF6F8F" w:rsidRPr="004B5BCC" w:rsidRDefault="00DF6F8F" w:rsidP="004B5BCC">
      <w:pPr>
        <w:spacing w:after="120"/>
        <w:ind w:left="284"/>
        <w:jc w:val="both"/>
        <w:rPr>
          <w:rFonts w:ascii="Verdana" w:hAnsi="Verdana"/>
          <w:b/>
          <w:bCs/>
          <w:iCs/>
          <w:sz w:val="18"/>
          <w:szCs w:val="18"/>
        </w:rPr>
      </w:pPr>
    </w:p>
    <w:p w14:paraId="71DC38B6" w14:textId="77777777" w:rsidR="00DF6F8F" w:rsidRPr="00A52A5C" w:rsidRDefault="00DF6F8F" w:rsidP="00DF6F8F">
      <w:pPr>
        <w:ind w:left="284"/>
        <w:jc w:val="both"/>
        <w:rPr>
          <w:rFonts w:ascii="Verdana" w:hAnsi="Verdana"/>
          <w:b/>
          <w:iCs/>
          <w:sz w:val="18"/>
          <w:szCs w:val="18"/>
        </w:rPr>
      </w:pPr>
      <w:r w:rsidRPr="00A52A5C">
        <w:rPr>
          <w:rFonts w:ascii="Verdana" w:hAnsi="Verdana"/>
          <w:b/>
          <w:iCs/>
          <w:sz w:val="18"/>
          <w:szCs w:val="18"/>
        </w:rPr>
        <w:t>Argumentos de la entidad</w:t>
      </w:r>
    </w:p>
    <w:p w14:paraId="2878860B" w14:textId="77777777" w:rsidR="00DF6F8F" w:rsidRPr="00DF6F8F" w:rsidRDefault="00DF6F8F" w:rsidP="00DF6F8F">
      <w:pPr>
        <w:ind w:left="284"/>
        <w:jc w:val="both"/>
        <w:rPr>
          <w:rFonts w:ascii="Verdana" w:hAnsi="Verdana"/>
          <w:bCs/>
          <w:iCs/>
          <w:sz w:val="18"/>
          <w:szCs w:val="18"/>
        </w:rPr>
      </w:pPr>
    </w:p>
    <w:p w14:paraId="32BB2B70" w14:textId="77777777" w:rsidR="00DF6F8F" w:rsidRPr="00DF6F8F" w:rsidRDefault="00DF6F8F" w:rsidP="00DF6F8F">
      <w:pPr>
        <w:ind w:left="284"/>
        <w:jc w:val="both"/>
        <w:rPr>
          <w:rFonts w:ascii="Verdana" w:hAnsi="Verdana"/>
          <w:bCs/>
          <w:iCs/>
          <w:sz w:val="18"/>
          <w:szCs w:val="18"/>
        </w:rPr>
      </w:pPr>
      <w:r w:rsidRPr="00DF6F8F">
        <w:rPr>
          <w:rFonts w:ascii="Verdana" w:hAnsi="Verdana"/>
          <w:bCs/>
          <w:iCs/>
          <w:sz w:val="18"/>
          <w:szCs w:val="18"/>
        </w:rPr>
        <w:t>La sociedad rechazó la regularización alegando que no existía vinculación directa con la persona física, dado que esta no ostentaba participación directa en la entidad y que la normativa del Impuesto sobre Sociedades no contempla expresamente este supuesto para personas físicas.</w:t>
      </w:r>
    </w:p>
    <w:p w14:paraId="517E408D" w14:textId="77777777" w:rsidR="00DF6F8F" w:rsidRPr="004B5BCC" w:rsidRDefault="00DF6F8F" w:rsidP="004B5BCC">
      <w:pPr>
        <w:spacing w:after="120"/>
        <w:ind w:left="284"/>
        <w:jc w:val="both"/>
        <w:rPr>
          <w:rFonts w:ascii="Verdana" w:hAnsi="Verdana"/>
          <w:b/>
          <w:bCs/>
          <w:iCs/>
          <w:sz w:val="18"/>
          <w:szCs w:val="18"/>
        </w:rPr>
      </w:pPr>
    </w:p>
    <w:p w14:paraId="737F4B65" w14:textId="77777777" w:rsidR="00DF6F8F" w:rsidRPr="00A52A5C" w:rsidRDefault="00DF6F8F" w:rsidP="00DF6F8F">
      <w:pPr>
        <w:ind w:left="284"/>
        <w:jc w:val="both"/>
        <w:rPr>
          <w:rFonts w:ascii="Verdana" w:hAnsi="Verdana"/>
          <w:b/>
          <w:iCs/>
          <w:sz w:val="18"/>
          <w:szCs w:val="18"/>
        </w:rPr>
      </w:pPr>
      <w:r w:rsidRPr="00A52A5C">
        <w:rPr>
          <w:rFonts w:ascii="Verdana" w:hAnsi="Verdana"/>
          <w:b/>
          <w:iCs/>
          <w:sz w:val="18"/>
          <w:szCs w:val="18"/>
        </w:rPr>
        <w:t>Criterio del TEAC</w:t>
      </w:r>
    </w:p>
    <w:p w14:paraId="757C4A4A" w14:textId="77777777" w:rsidR="00DF6F8F" w:rsidRPr="00DF6F8F" w:rsidRDefault="00DF6F8F" w:rsidP="00DF6F8F">
      <w:pPr>
        <w:ind w:left="284"/>
        <w:jc w:val="both"/>
        <w:rPr>
          <w:rFonts w:ascii="Verdana" w:hAnsi="Verdana"/>
          <w:bCs/>
          <w:iCs/>
          <w:sz w:val="18"/>
          <w:szCs w:val="18"/>
        </w:rPr>
      </w:pPr>
    </w:p>
    <w:p w14:paraId="3C3AE89A" w14:textId="77777777" w:rsidR="00DF6F8F" w:rsidRPr="00DF6F8F" w:rsidRDefault="00DF6F8F" w:rsidP="00DF6F8F">
      <w:pPr>
        <w:ind w:left="284"/>
        <w:jc w:val="both"/>
        <w:rPr>
          <w:rFonts w:ascii="Verdana" w:hAnsi="Verdana"/>
          <w:bCs/>
          <w:iCs/>
          <w:sz w:val="18"/>
          <w:szCs w:val="18"/>
        </w:rPr>
      </w:pPr>
      <w:r w:rsidRPr="00DF6F8F">
        <w:rPr>
          <w:rFonts w:ascii="Verdana" w:hAnsi="Verdana"/>
          <w:bCs/>
          <w:iCs/>
          <w:sz w:val="18"/>
          <w:szCs w:val="18"/>
        </w:rPr>
        <w:t>El TEAC confirma la existencia de vinculación, aunque no por la vía utilizada por la Inspección. Considera que el artículo 18.2.a) LIS únicamente contempla supuestos de participación directa, por lo que no resulta aplicable al caso concreto.</w:t>
      </w:r>
    </w:p>
    <w:p w14:paraId="3AFA2F31" w14:textId="77777777" w:rsidR="00DF6F8F" w:rsidRPr="00DF6F8F" w:rsidRDefault="00DF6F8F" w:rsidP="00DF6F8F">
      <w:pPr>
        <w:ind w:left="284"/>
        <w:jc w:val="both"/>
        <w:rPr>
          <w:rFonts w:ascii="Verdana" w:hAnsi="Verdana"/>
          <w:bCs/>
          <w:iCs/>
          <w:sz w:val="18"/>
          <w:szCs w:val="18"/>
        </w:rPr>
      </w:pPr>
    </w:p>
    <w:p w14:paraId="2AF13D13" w14:textId="77777777" w:rsidR="00DF6F8F" w:rsidRPr="00DF6F8F" w:rsidRDefault="00DF6F8F" w:rsidP="00DF6F8F">
      <w:pPr>
        <w:ind w:left="284"/>
        <w:jc w:val="both"/>
        <w:rPr>
          <w:rFonts w:ascii="Verdana" w:hAnsi="Verdana"/>
          <w:bCs/>
          <w:iCs/>
          <w:sz w:val="18"/>
          <w:szCs w:val="18"/>
        </w:rPr>
      </w:pPr>
      <w:r w:rsidRPr="00DF6F8F">
        <w:rPr>
          <w:rFonts w:ascii="Verdana" w:hAnsi="Verdana"/>
          <w:bCs/>
          <w:iCs/>
          <w:sz w:val="18"/>
          <w:szCs w:val="18"/>
        </w:rPr>
        <w:t xml:space="preserve">Sin embargo, el Tribunal entiende que sí concurre vinculación a través del artículo 18.2.f) LIS, referido a la participación indirecta de una entidad en otra en al menos un 25% del capital o fondos propios. </w:t>
      </w:r>
      <w:r w:rsidRPr="00A52A5C">
        <w:rPr>
          <w:rFonts w:ascii="Verdana" w:hAnsi="Verdana"/>
          <w:b/>
          <w:iCs/>
          <w:sz w:val="18"/>
          <w:szCs w:val="18"/>
        </w:rPr>
        <w:t>Según el TEAC, este precepto debe interpretarse extensivamente para incluir tanto a personas jurídicas como físicas</w:t>
      </w:r>
      <w:r w:rsidRPr="00DF6F8F">
        <w:rPr>
          <w:rFonts w:ascii="Verdana" w:hAnsi="Verdana"/>
          <w:bCs/>
          <w:iCs/>
          <w:sz w:val="18"/>
          <w:szCs w:val="18"/>
        </w:rPr>
        <w:t>.</w:t>
      </w:r>
    </w:p>
    <w:p w14:paraId="03C0C651" w14:textId="77777777" w:rsidR="00DF6F8F" w:rsidRPr="00DF6F8F" w:rsidRDefault="00DF6F8F" w:rsidP="00DF6F8F">
      <w:pPr>
        <w:ind w:left="284"/>
        <w:jc w:val="both"/>
        <w:rPr>
          <w:rFonts w:ascii="Verdana" w:hAnsi="Verdana"/>
          <w:bCs/>
          <w:iCs/>
          <w:sz w:val="18"/>
          <w:szCs w:val="18"/>
        </w:rPr>
      </w:pPr>
    </w:p>
    <w:p w14:paraId="1584BEAF" w14:textId="77777777" w:rsidR="00DF6F8F" w:rsidRPr="00DF6F8F" w:rsidRDefault="00DF6F8F" w:rsidP="00DF6F8F">
      <w:pPr>
        <w:ind w:left="284"/>
        <w:jc w:val="both"/>
        <w:rPr>
          <w:rFonts w:ascii="Verdana" w:hAnsi="Verdana"/>
          <w:bCs/>
          <w:iCs/>
          <w:sz w:val="18"/>
          <w:szCs w:val="18"/>
        </w:rPr>
      </w:pPr>
      <w:r w:rsidRPr="00DF6F8F">
        <w:rPr>
          <w:rFonts w:ascii="Verdana" w:hAnsi="Verdana"/>
          <w:bCs/>
          <w:iCs/>
          <w:sz w:val="18"/>
          <w:szCs w:val="18"/>
        </w:rPr>
        <w:t>La resolución destaca que la normativa del IRPF remite expresamente a las reglas de vinculación del Impuesto sobre Sociedades, determinando su aplicación “cualquiera que sea la naturaleza de los sujetos vinculados”.</w:t>
      </w:r>
    </w:p>
    <w:p w14:paraId="20940E53" w14:textId="77777777" w:rsidR="00DF6F8F" w:rsidRPr="00DF6F8F" w:rsidRDefault="00DF6F8F" w:rsidP="00DF6F8F">
      <w:pPr>
        <w:ind w:left="284"/>
        <w:jc w:val="both"/>
        <w:rPr>
          <w:rFonts w:ascii="Verdana" w:hAnsi="Verdana"/>
          <w:bCs/>
          <w:iCs/>
          <w:sz w:val="18"/>
          <w:szCs w:val="18"/>
        </w:rPr>
      </w:pPr>
    </w:p>
    <w:p w14:paraId="6AF65C51" w14:textId="77777777" w:rsidR="00DF6F8F" w:rsidRPr="00DF6F8F" w:rsidRDefault="00DF6F8F" w:rsidP="00DF6F8F">
      <w:pPr>
        <w:ind w:left="284"/>
        <w:jc w:val="both"/>
        <w:rPr>
          <w:rFonts w:ascii="Verdana" w:hAnsi="Verdana"/>
          <w:bCs/>
          <w:iCs/>
          <w:sz w:val="18"/>
          <w:szCs w:val="18"/>
        </w:rPr>
      </w:pPr>
      <w:r w:rsidRPr="00DF6F8F">
        <w:rPr>
          <w:rFonts w:ascii="Verdana" w:hAnsi="Verdana"/>
          <w:bCs/>
          <w:iCs/>
          <w:sz w:val="18"/>
          <w:szCs w:val="18"/>
        </w:rPr>
        <w:lastRenderedPageBreak/>
        <w:t>Sobre esta base, el Tribunal sostiene que la terminología utilizada en la LIS responde a que originalmente está diseñada para sujetos pasivos societarios, pero ello no impide extender el concepto de control indirecto a las personas físicas cuando estas ejercen efectivamente el dominio sobre la entidad.</w:t>
      </w:r>
    </w:p>
    <w:p w14:paraId="08408B49" w14:textId="77777777" w:rsidR="00DF6F8F" w:rsidRPr="004B5BCC" w:rsidRDefault="00DF6F8F" w:rsidP="004B5BCC">
      <w:pPr>
        <w:spacing w:after="120"/>
        <w:ind w:left="284"/>
        <w:jc w:val="both"/>
        <w:rPr>
          <w:rFonts w:ascii="Verdana" w:hAnsi="Verdana"/>
          <w:b/>
          <w:bCs/>
          <w:iCs/>
          <w:sz w:val="18"/>
          <w:szCs w:val="18"/>
        </w:rPr>
      </w:pPr>
    </w:p>
    <w:p w14:paraId="2F2C2CBD" w14:textId="77777777" w:rsidR="00DF6F8F" w:rsidRPr="00A52A5C" w:rsidRDefault="00DF6F8F" w:rsidP="00DF6F8F">
      <w:pPr>
        <w:ind w:left="284"/>
        <w:jc w:val="both"/>
        <w:rPr>
          <w:rFonts w:ascii="Verdana" w:hAnsi="Verdana"/>
          <w:b/>
          <w:iCs/>
          <w:sz w:val="18"/>
          <w:szCs w:val="18"/>
        </w:rPr>
      </w:pPr>
      <w:r w:rsidRPr="00A52A5C">
        <w:rPr>
          <w:rFonts w:ascii="Verdana" w:hAnsi="Verdana"/>
          <w:b/>
          <w:iCs/>
          <w:sz w:val="18"/>
          <w:szCs w:val="18"/>
        </w:rPr>
        <w:t>Consecuencias prácticas</w:t>
      </w:r>
    </w:p>
    <w:p w14:paraId="4CBD117F" w14:textId="77777777" w:rsidR="00DF6F8F" w:rsidRPr="00DF6F8F" w:rsidRDefault="00DF6F8F" w:rsidP="00DF6F8F">
      <w:pPr>
        <w:ind w:left="284"/>
        <w:jc w:val="both"/>
        <w:rPr>
          <w:rFonts w:ascii="Verdana" w:hAnsi="Verdana"/>
          <w:bCs/>
          <w:iCs/>
          <w:sz w:val="18"/>
          <w:szCs w:val="18"/>
        </w:rPr>
      </w:pPr>
    </w:p>
    <w:p w14:paraId="0C550FE1" w14:textId="77777777" w:rsidR="00DF6F8F" w:rsidRPr="00DF6F8F" w:rsidRDefault="00DF6F8F" w:rsidP="00DF6F8F">
      <w:pPr>
        <w:ind w:left="284"/>
        <w:jc w:val="both"/>
        <w:rPr>
          <w:rFonts w:ascii="Verdana" w:hAnsi="Verdana"/>
          <w:bCs/>
          <w:iCs/>
          <w:sz w:val="18"/>
          <w:szCs w:val="18"/>
        </w:rPr>
      </w:pPr>
      <w:r w:rsidRPr="00DF6F8F">
        <w:rPr>
          <w:rFonts w:ascii="Verdana" w:hAnsi="Verdana"/>
          <w:bCs/>
          <w:iCs/>
          <w:sz w:val="18"/>
          <w:szCs w:val="18"/>
        </w:rPr>
        <w:t xml:space="preserve">El TEAC refuerza una interpretación amplia de las normas sobre operaciones vinculadas, </w:t>
      </w:r>
      <w:r w:rsidRPr="00A52A5C">
        <w:rPr>
          <w:rFonts w:ascii="Verdana" w:hAnsi="Verdana"/>
          <w:b/>
          <w:iCs/>
          <w:sz w:val="18"/>
          <w:szCs w:val="18"/>
        </w:rPr>
        <w:t>priorizando la realidad económica y el control efectivo frente a una lectura estrictamente literal de la norma</w:t>
      </w:r>
      <w:r w:rsidRPr="00DF6F8F">
        <w:rPr>
          <w:rFonts w:ascii="Verdana" w:hAnsi="Verdana"/>
          <w:bCs/>
          <w:iCs/>
          <w:sz w:val="18"/>
          <w:szCs w:val="18"/>
        </w:rPr>
        <w:t>. En consecuencia, las personas físicas que controlen indirectamente entidades a través de estructuras societarias podrán quedar sujetas a las obligaciones de valoración a mercado propias de las operaciones vinculadas.</w:t>
      </w:r>
    </w:p>
    <w:p w14:paraId="364EDCF1" w14:textId="77777777" w:rsidR="00DF6F8F" w:rsidRPr="00DF6F8F" w:rsidRDefault="00DF6F8F" w:rsidP="00DF6F8F">
      <w:pPr>
        <w:ind w:left="284"/>
        <w:jc w:val="both"/>
        <w:rPr>
          <w:rFonts w:ascii="Verdana" w:hAnsi="Verdana"/>
          <w:bCs/>
          <w:iCs/>
          <w:sz w:val="18"/>
          <w:szCs w:val="18"/>
        </w:rPr>
      </w:pPr>
    </w:p>
    <w:p w14:paraId="3860DA9D" w14:textId="0A7ED7DB" w:rsidR="00B358A4" w:rsidRDefault="00DF6F8F" w:rsidP="00DF6F8F">
      <w:pPr>
        <w:ind w:left="284"/>
        <w:jc w:val="both"/>
        <w:rPr>
          <w:rFonts w:ascii="Verdana" w:hAnsi="Verdana"/>
          <w:bCs/>
          <w:iCs/>
          <w:sz w:val="18"/>
          <w:szCs w:val="18"/>
        </w:rPr>
      </w:pPr>
      <w:r w:rsidRPr="00DF6F8F">
        <w:rPr>
          <w:rFonts w:ascii="Verdana" w:hAnsi="Verdana"/>
          <w:bCs/>
          <w:iCs/>
          <w:sz w:val="18"/>
          <w:szCs w:val="18"/>
        </w:rPr>
        <w:t>No obstante, el Tribunal anula finalmente la liquidación practicada en este punto concreto, al considerar incorrecta la fundamentación jurídica utilizada por la Inspección, que había apoyado la regularización en un supuesto distinto del realmente aplicable.</w:t>
      </w:r>
    </w:p>
    <w:p w14:paraId="3239163C" w14:textId="77777777" w:rsidR="001B1377" w:rsidRDefault="001B1377" w:rsidP="00DF6F8F">
      <w:pPr>
        <w:ind w:left="284"/>
        <w:jc w:val="both"/>
        <w:rPr>
          <w:rFonts w:ascii="Verdana" w:hAnsi="Verdana"/>
          <w:bCs/>
          <w:iCs/>
          <w:sz w:val="18"/>
          <w:szCs w:val="18"/>
        </w:rPr>
      </w:pPr>
    </w:p>
    <w:p w14:paraId="7F5BFD1B" w14:textId="77777777" w:rsidR="00F80994" w:rsidRDefault="00F80994" w:rsidP="00DF6F8F">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F80994" w:rsidRPr="00DF6F8F" w14:paraId="0083E76C" w14:textId="77777777" w:rsidTr="00126E56">
        <w:tc>
          <w:tcPr>
            <w:tcW w:w="180" w:type="dxa"/>
            <w:shd w:val="clear" w:color="auto" w:fill="FF6600"/>
          </w:tcPr>
          <w:p w14:paraId="4CF6F27F" w14:textId="77777777" w:rsidR="00F80994" w:rsidRPr="00DF6F8F" w:rsidRDefault="00F80994" w:rsidP="00126E56">
            <w:pPr>
              <w:pStyle w:val="Textoindependiente"/>
              <w:rPr>
                <w:rFonts w:ascii="Verdana" w:hAnsi="Verdana"/>
                <w:iCs/>
                <w:color w:val="800000"/>
                <w:sz w:val="16"/>
                <w:szCs w:val="16"/>
              </w:rPr>
            </w:pPr>
          </w:p>
        </w:tc>
        <w:tc>
          <w:tcPr>
            <w:tcW w:w="8460" w:type="dxa"/>
          </w:tcPr>
          <w:p w14:paraId="38C1DE8F" w14:textId="1821CDBE" w:rsidR="00F80994" w:rsidRPr="00DF6F8F" w:rsidRDefault="00F80994" w:rsidP="00126E56">
            <w:pPr>
              <w:numPr>
                <w:ilvl w:val="0"/>
                <w:numId w:val="1"/>
              </w:numPr>
              <w:tabs>
                <w:tab w:val="clear" w:pos="720"/>
                <w:tab w:val="num" w:pos="317"/>
                <w:tab w:val="left" w:pos="360"/>
              </w:tabs>
              <w:ind w:left="317" w:hanging="283"/>
              <w:jc w:val="both"/>
              <w:rPr>
                <w:rFonts w:ascii="Verdana" w:hAnsi="Verdana"/>
                <w:b/>
                <w:bCs/>
                <w:iCs/>
                <w:color w:val="800000"/>
                <w:sz w:val="16"/>
                <w:szCs w:val="16"/>
              </w:rPr>
            </w:pPr>
            <w:r w:rsidRPr="00F80994">
              <w:rPr>
                <w:rFonts w:ascii="Verdana" w:hAnsi="Verdana"/>
                <w:b/>
                <w:bCs/>
                <w:iCs/>
                <w:color w:val="800000"/>
                <w:sz w:val="18"/>
                <w:szCs w:val="18"/>
              </w:rPr>
              <w:t>CLAVES PARA DETERMINAR LA TRIBUTACIÓN DEL IVA EN SERVICIOS DE ENSEÑANZA ONLINE Y PUBLICACIONES DIGITALES</w:t>
            </w:r>
          </w:p>
        </w:tc>
      </w:tr>
    </w:tbl>
    <w:p w14:paraId="5098AA0D" w14:textId="77777777" w:rsidR="00F80994" w:rsidRDefault="00F80994" w:rsidP="00F80994">
      <w:pPr>
        <w:ind w:left="284"/>
        <w:jc w:val="both"/>
        <w:rPr>
          <w:rFonts w:ascii="Verdana" w:hAnsi="Verdana"/>
          <w:bCs/>
          <w:iCs/>
          <w:sz w:val="18"/>
          <w:szCs w:val="18"/>
        </w:rPr>
      </w:pPr>
    </w:p>
    <w:p w14:paraId="301B7120" w14:textId="786E620B"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 xml:space="preserve">La Dirección General de Tributos analiza el tratamiento en el IVA de distintos modelos de formación online comercializados por una entidad dedicada a la prestación de servicios educativos a través de internet. La cuestión central consiste en determinar </w:t>
      </w:r>
      <w:r w:rsidRPr="00F80994">
        <w:rPr>
          <w:rFonts w:ascii="Verdana" w:hAnsi="Verdana"/>
          <w:b/>
          <w:iCs/>
          <w:sz w:val="18"/>
          <w:szCs w:val="18"/>
        </w:rPr>
        <w:t>cuándo una actividad puede considerarse “servicio educativo” exento de IVA y cuándo debe calificarse como “servicio prestado por vía electrónica”, sujeto al tipo general del 21 %</w:t>
      </w:r>
      <w:r w:rsidRPr="00F80994">
        <w:rPr>
          <w:rFonts w:ascii="Verdana" w:hAnsi="Verdana"/>
          <w:bCs/>
          <w:iCs/>
          <w:sz w:val="18"/>
          <w:szCs w:val="18"/>
        </w:rPr>
        <w:t>.</w:t>
      </w:r>
    </w:p>
    <w:p w14:paraId="27CFA966" w14:textId="77777777" w:rsidR="00F80994" w:rsidRPr="00F80994" w:rsidRDefault="00F80994" w:rsidP="00F80994">
      <w:pPr>
        <w:ind w:left="284"/>
        <w:jc w:val="both"/>
        <w:rPr>
          <w:rFonts w:ascii="Verdana" w:hAnsi="Verdana"/>
          <w:bCs/>
          <w:iCs/>
          <w:sz w:val="18"/>
          <w:szCs w:val="18"/>
        </w:rPr>
      </w:pPr>
    </w:p>
    <w:p w14:paraId="64A2808C" w14:textId="77777777" w:rsidR="00F80994" w:rsidRPr="00F80994" w:rsidRDefault="00F80994" w:rsidP="00F80994">
      <w:pPr>
        <w:ind w:left="284"/>
        <w:jc w:val="both"/>
        <w:rPr>
          <w:rFonts w:ascii="Verdana" w:hAnsi="Verdana"/>
          <w:b/>
          <w:iCs/>
          <w:sz w:val="18"/>
          <w:szCs w:val="18"/>
        </w:rPr>
      </w:pPr>
      <w:r w:rsidRPr="00F80994">
        <w:rPr>
          <w:rFonts w:ascii="Verdana" w:hAnsi="Verdana"/>
          <w:b/>
          <w:iCs/>
          <w:sz w:val="18"/>
          <w:szCs w:val="18"/>
        </w:rPr>
        <w:t>1. Distinción esencial entre enseñanza y servicios electrónicos</w:t>
      </w:r>
    </w:p>
    <w:p w14:paraId="492A7A89" w14:textId="77777777" w:rsidR="00F80994" w:rsidRPr="00F80994" w:rsidRDefault="00F80994" w:rsidP="00F80994">
      <w:pPr>
        <w:ind w:left="284"/>
        <w:jc w:val="both"/>
        <w:rPr>
          <w:rFonts w:ascii="Verdana" w:hAnsi="Verdana"/>
          <w:bCs/>
          <w:iCs/>
          <w:sz w:val="18"/>
          <w:szCs w:val="18"/>
        </w:rPr>
      </w:pPr>
    </w:p>
    <w:p w14:paraId="7DABC763"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La DGT recuerda que tienen la consideración de servicios prestados por vía electrónica aquellos suministros automatizados realizados a través de internet, tales como:</w:t>
      </w:r>
    </w:p>
    <w:p w14:paraId="420D1734" w14:textId="77777777" w:rsidR="00F80994" w:rsidRPr="00F80994" w:rsidRDefault="00F80994" w:rsidP="00F80994">
      <w:pPr>
        <w:ind w:left="284"/>
        <w:jc w:val="both"/>
        <w:rPr>
          <w:rFonts w:ascii="Verdana" w:hAnsi="Verdana"/>
          <w:bCs/>
          <w:iCs/>
          <w:sz w:val="18"/>
          <w:szCs w:val="18"/>
        </w:rPr>
      </w:pPr>
    </w:p>
    <w:p w14:paraId="0B3FF1A6" w14:textId="77777777" w:rsidR="00F80994" w:rsidRPr="001B1377" w:rsidRDefault="00F80994" w:rsidP="008A2D40">
      <w:pPr>
        <w:pStyle w:val="Prrafodelista"/>
        <w:numPr>
          <w:ilvl w:val="0"/>
          <w:numId w:val="54"/>
        </w:numPr>
        <w:jc w:val="both"/>
        <w:rPr>
          <w:rFonts w:ascii="Verdana" w:hAnsi="Verdana"/>
          <w:bCs/>
          <w:iCs/>
          <w:sz w:val="18"/>
          <w:szCs w:val="18"/>
        </w:rPr>
      </w:pPr>
      <w:r w:rsidRPr="001B1377">
        <w:rPr>
          <w:rFonts w:ascii="Verdana" w:hAnsi="Verdana"/>
          <w:bCs/>
          <w:iCs/>
          <w:sz w:val="18"/>
          <w:szCs w:val="18"/>
        </w:rPr>
        <w:t>cursos grabados,</w:t>
      </w:r>
    </w:p>
    <w:p w14:paraId="2F2612EC" w14:textId="77777777" w:rsidR="00F80994" w:rsidRPr="001B1377" w:rsidRDefault="00F80994" w:rsidP="008A2D40">
      <w:pPr>
        <w:pStyle w:val="Prrafodelista"/>
        <w:numPr>
          <w:ilvl w:val="0"/>
          <w:numId w:val="54"/>
        </w:numPr>
        <w:jc w:val="both"/>
        <w:rPr>
          <w:rFonts w:ascii="Verdana" w:hAnsi="Verdana"/>
          <w:bCs/>
          <w:iCs/>
          <w:sz w:val="18"/>
          <w:szCs w:val="18"/>
        </w:rPr>
      </w:pPr>
      <w:r w:rsidRPr="001B1377">
        <w:rPr>
          <w:rFonts w:ascii="Verdana" w:hAnsi="Verdana"/>
          <w:bCs/>
          <w:iCs/>
          <w:sz w:val="18"/>
          <w:szCs w:val="18"/>
        </w:rPr>
        <w:t>contenidos descargables,</w:t>
      </w:r>
    </w:p>
    <w:p w14:paraId="62B0A240" w14:textId="77777777" w:rsidR="00F80994" w:rsidRPr="001B1377" w:rsidRDefault="00F80994" w:rsidP="008A2D40">
      <w:pPr>
        <w:pStyle w:val="Prrafodelista"/>
        <w:numPr>
          <w:ilvl w:val="0"/>
          <w:numId w:val="54"/>
        </w:numPr>
        <w:jc w:val="both"/>
        <w:rPr>
          <w:rFonts w:ascii="Verdana" w:hAnsi="Verdana"/>
          <w:bCs/>
          <w:iCs/>
          <w:sz w:val="18"/>
          <w:szCs w:val="18"/>
        </w:rPr>
      </w:pPr>
      <w:r w:rsidRPr="001B1377">
        <w:rPr>
          <w:rFonts w:ascii="Verdana" w:hAnsi="Verdana"/>
          <w:bCs/>
          <w:iCs/>
          <w:sz w:val="18"/>
          <w:szCs w:val="18"/>
        </w:rPr>
        <w:t>acceso a plataformas formativas,</w:t>
      </w:r>
    </w:p>
    <w:p w14:paraId="2D4D6C22" w14:textId="77777777" w:rsidR="00F80994" w:rsidRPr="001B1377" w:rsidRDefault="00F80994" w:rsidP="008A2D40">
      <w:pPr>
        <w:pStyle w:val="Prrafodelista"/>
        <w:numPr>
          <w:ilvl w:val="0"/>
          <w:numId w:val="54"/>
        </w:numPr>
        <w:jc w:val="both"/>
        <w:rPr>
          <w:rFonts w:ascii="Verdana" w:hAnsi="Verdana"/>
          <w:bCs/>
          <w:iCs/>
          <w:sz w:val="18"/>
          <w:szCs w:val="18"/>
        </w:rPr>
      </w:pPr>
      <w:r w:rsidRPr="001B1377">
        <w:rPr>
          <w:rFonts w:ascii="Verdana" w:hAnsi="Verdana"/>
          <w:bCs/>
          <w:iCs/>
          <w:sz w:val="18"/>
          <w:szCs w:val="18"/>
        </w:rPr>
        <w:t>programas automatizados,</w:t>
      </w:r>
    </w:p>
    <w:p w14:paraId="0E3A29FF" w14:textId="77777777" w:rsidR="00F80994" w:rsidRPr="001B1377" w:rsidRDefault="00F80994" w:rsidP="008A2D40">
      <w:pPr>
        <w:pStyle w:val="Prrafodelista"/>
        <w:numPr>
          <w:ilvl w:val="0"/>
          <w:numId w:val="54"/>
        </w:numPr>
        <w:jc w:val="both"/>
        <w:rPr>
          <w:rFonts w:ascii="Verdana" w:hAnsi="Verdana"/>
          <w:bCs/>
          <w:iCs/>
          <w:sz w:val="18"/>
          <w:szCs w:val="18"/>
        </w:rPr>
      </w:pPr>
      <w:r w:rsidRPr="001B1377">
        <w:rPr>
          <w:rFonts w:ascii="Verdana" w:hAnsi="Verdana"/>
          <w:bCs/>
          <w:iCs/>
          <w:sz w:val="18"/>
          <w:szCs w:val="18"/>
        </w:rPr>
        <w:t>archivos digitales o materiales online.</w:t>
      </w:r>
    </w:p>
    <w:p w14:paraId="6869E6B6" w14:textId="77777777" w:rsidR="00F80994" w:rsidRPr="00F80994" w:rsidRDefault="00F80994" w:rsidP="00F80994">
      <w:pPr>
        <w:ind w:left="284"/>
        <w:jc w:val="both"/>
        <w:rPr>
          <w:rFonts w:ascii="Verdana" w:hAnsi="Verdana"/>
          <w:bCs/>
          <w:iCs/>
          <w:sz w:val="18"/>
          <w:szCs w:val="18"/>
        </w:rPr>
      </w:pPr>
    </w:p>
    <w:p w14:paraId="41C4D478"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Asimismo, precisa que la existencia de tutorías o apoyo docente accesorio no altera la naturaleza electrónica del servicio cuando el elemento principal sigue siendo el acceso automatizado al contenido.</w:t>
      </w:r>
    </w:p>
    <w:p w14:paraId="3717DF34" w14:textId="77777777" w:rsidR="00F80994" w:rsidRPr="00F80994" w:rsidRDefault="00F80994" w:rsidP="00F80994">
      <w:pPr>
        <w:ind w:left="284"/>
        <w:jc w:val="both"/>
        <w:rPr>
          <w:rFonts w:ascii="Verdana" w:hAnsi="Verdana"/>
          <w:bCs/>
          <w:iCs/>
          <w:sz w:val="18"/>
          <w:szCs w:val="18"/>
        </w:rPr>
      </w:pPr>
    </w:p>
    <w:p w14:paraId="29DA9F0A"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Por el contrario, existirá un auténtico servicio educativo cuando la prestación consista esencialmente en la enseñanza impartida directamente por profesores a través de internet, utilizando la red únicamente como medio de comunicación entre docente y alumno. En estos casos, los materiales digitales deben tener carácter accesorio respecto de la intervención humana.</w:t>
      </w:r>
    </w:p>
    <w:p w14:paraId="4314119B" w14:textId="77777777" w:rsidR="00F80994" w:rsidRPr="00F80994" w:rsidRDefault="00F80994" w:rsidP="00F80994">
      <w:pPr>
        <w:ind w:left="284"/>
        <w:jc w:val="both"/>
        <w:rPr>
          <w:rFonts w:ascii="Verdana" w:hAnsi="Verdana"/>
          <w:bCs/>
          <w:iCs/>
          <w:sz w:val="18"/>
          <w:szCs w:val="18"/>
        </w:rPr>
      </w:pPr>
    </w:p>
    <w:p w14:paraId="73F45261"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La DGT se apoya en el Reglamento UE 282/2011, que excluye de los servicios electrónicos los cursos impartidos por profesores en conexión remota directa con los alumnos.</w:t>
      </w:r>
    </w:p>
    <w:p w14:paraId="7F0942BA" w14:textId="77777777" w:rsidR="00F80994" w:rsidRPr="00F80994" w:rsidRDefault="00F80994" w:rsidP="00F80994">
      <w:pPr>
        <w:ind w:left="284"/>
        <w:jc w:val="both"/>
        <w:rPr>
          <w:rFonts w:ascii="Verdana" w:hAnsi="Verdana"/>
          <w:bCs/>
          <w:iCs/>
          <w:sz w:val="18"/>
          <w:szCs w:val="18"/>
        </w:rPr>
      </w:pPr>
    </w:p>
    <w:p w14:paraId="2151E491" w14:textId="77777777" w:rsidR="00F80994" w:rsidRPr="00F80994" w:rsidRDefault="00F80994" w:rsidP="00F80994">
      <w:pPr>
        <w:ind w:left="284"/>
        <w:jc w:val="both"/>
        <w:rPr>
          <w:rFonts w:ascii="Verdana" w:hAnsi="Verdana"/>
          <w:b/>
          <w:iCs/>
          <w:sz w:val="18"/>
          <w:szCs w:val="18"/>
        </w:rPr>
      </w:pPr>
      <w:r w:rsidRPr="00F80994">
        <w:rPr>
          <w:rFonts w:ascii="Verdana" w:hAnsi="Verdana"/>
          <w:b/>
          <w:iCs/>
          <w:sz w:val="18"/>
          <w:szCs w:val="18"/>
        </w:rPr>
        <w:t>Requisitos para aplicar la exención educativa del artículo 20.Uno.9º LIVA</w:t>
      </w:r>
    </w:p>
    <w:p w14:paraId="5DBA400D" w14:textId="77777777" w:rsidR="00F80994" w:rsidRPr="00F80994" w:rsidRDefault="00F80994" w:rsidP="00F80994">
      <w:pPr>
        <w:ind w:left="284"/>
        <w:jc w:val="both"/>
        <w:rPr>
          <w:rFonts w:ascii="Verdana" w:hAnsi="Verdana"/>
          <w:bCs/>
          <w:iCs/>
          <w:sz w:val="18"/>
          <w:szCs w:val="18"/>
        </w:rPr>
      </w:pPr>
    </w:p>
    <w:p w14:paraId="4D382776"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 xml:space="preserve">Incluso cuando el servicio tenga naturaleza educativa, la exención del IVA </w:t>
      </w:r>
      <w:r w:rsidRPr="00F80994">
        <w:rPr>
          <w:rFonts w:ascii="Verdana" w:hAnsi="Verdana"/>
          <w:b/>
          <w:iCs/>
          <w:sz w:val="18"/>
          <w:szCs w:val="18"/>
        </w:rPr>
        <w:t>no se aplica automáticamente</w:t>
      </w:r>
      <w:r w:rsidRPr="00F80994">
        <w:rPr>
          <w:rFonts w:ascii="Verdana" w:hAnsi="Verdana"/>
          <w:bCs/>
          <w:iCs/>
          <w:sz w:val="18"/>
          <w:szCs w:val="18"/>
        </w:rPr>
        <w:t>. Deben cumplirse simultáneamente dos requisitos establecidos por la jurisprudencia del TJUE y reiterados por la DGT:</w:t>
      </w:r>
    </w:p>
    <w:p w14:paraId="7E4EB38E" w14:textId="77777777" w:rsidR="00F80994" w:rsidRDefault="00F80994" w:rsidP="00F80994">
      <w:pPr>
        <w:ind w:left="284"/>
        <w:jc w:val="both"/>
        <w:rPr>
          <w:rFonts w:ascii="Verdana" w:hAnsi="Verdana"/>
          <w:bCs/>
          <w:iCs/>
          <w:sz w:val="18"/>
          <w:szCs w:val="18"/>
        </w:rPr>
      </w:pPr>
    </w:p>
    <w:p w14:paraId="02DE53B1" w14:textId="77777777" w:rsidR="004B5BCC" w:rsidRPr="00F80994" w:rsidRDefault="004B5BCC" w:rsidP="00F80994">
      <w:pPr>
        <w:ind w:left="284"/>
        <w:jc w:val="both"/>
        <w:rPr>
          <w:rFonts w:ascii="Verdana" w:hAnsi="Verdana"/>
          <w:bCs/>
          <w:iCs/>
          <w:sz w:val="18"/>
          <w:szCs w:val="18"/>
        </w:rPr>
      </w:pPr>
    </w:p>
    <w:p w14:paraId="2C4B38B0" w14:textId="77777777" w:rsidR="00F80994" w:rsidRPr="00F80994" w:rsidRDefault="00F80994" w:rsidP="00F80994">
      <w:pPr>
        <w:ind w:left="284"/>
        <w:jc w:val="both"/>
        <w:rPr>
          <w:rFonts w:ascii="Verdana" w:hAnsi="Verdana"/>
          <w:b/>
          <w:iCs/>
          <w:sz w:val="18"/>
          <w:szCs w:val="18"/>
        </w:rPr>
      </w:pPr>
      <w:r w:rsidRPr="00F80994">
        <w:rPr>
          <w:rFonts w:ascii="Verdana" w:hAnsi="Verdana"/>
          <w:b/>
          <w:iCs/>
          <w:sz w:val="18"/>
          <w:szCs w:val="18"/>
        </w:rPr>
        <w:lastRenderedPageBreak/>
        <w:t>a) Requisito subjetivo</w:t>
      </w:r>
    </w:p>
    <w:p w14:paraId="5CCA7334" w14:textId="77777777" w:rsidR="00F80994" w:rsidRPr="00F80994" w:rsidRDefault="00F80994" w:rsidP="00F80994">
      <w:pPr>
        <w:ind w:left="284"/>
        <w:jc w:val="both"/>
        <w:rPr>
          <w:rFonts w:ascii="Verdana" w:hAnsi="Verdana"/>
          <w:bCs/>
          <w:iCs/>
          <w:sz w:val="18"/>
          <w:szCs w:val="18"/>
        </w:rPr>
      </w:pPr>
    </w:p>
    <w:p w14:paraId="5DB285BA"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La actividad debe ser realizada por:</w:t>
      </w:r>
    </w:p>
    <w:p w14:paraId="24C129BB" w14:textId="77777777" w:rsidR="00F80994" w:rsidRPr="00F80994" w:rsidRDefault="00F80994" w:rsidP="00F80994">
      <w:pPr>
        <w:ind w:left="284"/>
        <w:jc w:val="both"/>
        <w:rPr>
          <w:rFonts w:ascii="Verdana" w:hAnsi="Verdana"/>
          <w:bCs/>
          <w:iCs/>
          <w:sz w:val="18"/>
          <w:szCs w:val="18"/>
        </w:rPr>
      </w:pPr>
    </w:p>
    <w:p w14:paraId="216AB9C3"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entidades de derecho público, o</w:t>
      </w:r>
    </w:p>
    <w:p w14:paraId="1665249E"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entidades privadas autorizadas o reconocidas para impartir enseñanzas incluidas en planes oficiales de estudio.</w:t>
      </w:r>
    </w:p>
    <w:p w14:paraId="413A6C68" w14:textId="77777777" w:rsidR="00F80994" w:rsidRPr="00F80994" w:rsidRDefault="00F80994" w:rsidP="00F80994">
      <w:pPr>
        <w:ind w:left="284"/>
        <w:jc w:val="both"/>
        <w:rPr>
          <w:rFonts w:ascii="Verdana" w:hAnsi="Verdana"/>
          <w:bCs/>
          <w:iCs/>
          <w:sz w:val="18"/>
          <w:szCs w:val="18"/>
        </w:rPr>
      </w:pPr>
    </w:p>
    <w:p w14:paraId="795DB5A8"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La autorización o reconocimiento exige que la actividad principal del centro corresponda a enseñanzas integradas en el sistema educativo oficial.</w:t>
      </w:r>
    </w:p>
    <w:p w14:paraId="1B0EF31B" w14:textId="77777777" w:rsidR="00F80994" w:rsidRPr="00F80994" w:rsidRDefault="00F80994" w:rsidP="00F80994">
      <w:pPr>
        <w:ind w:left="284"/>
        <w:jc w:val="both"/>
        <w:rPr>
          <w:rFonts w:ascii="Verdana" w:hAnsi="Verdana"/>
          <w:bCs/>
          <w:iCs/>
          <w:sz w:val="18"/>
          <w:szCs w:val="18"/>
        </w:rPr>
      </w:pPr>
    </w:p>
    <w:p w14:paraId="27911D10" w14:textId="77777777" w:rsidR="00F80994" w:rsidRPr="00F80994" w:rsidRDefault="00F80994" w:rsidP="00F80994">
      <w:pPr>
        <w:ind w:left="284"/>
        <w:jc w:val="both"/>
        <w:rPr>
          <w:rFonts w:ascii="Verdana" w:hAnsi="Verdana"/>
          <w:b/>
          <w:iCs/>
          <w:sz w:val="18"/>
          <w:szCs w:val="18"/>
        </w:rPr>
      </w:pPr>
      <w:r w:rsidRPr="00F80994">
        <w:rPr>
          <w:rFonts w:ascii="Verdana" w:hAnsi="Verdana"/>
          <w:b/>
          <w:iCs/>
          <w:sz w:val="18"/>
          <w:szCs w:val="18"/>
        </w:rPr>
        <w:t>b) Requisito objetivo</w:t>
      </w:r>
    </w:p>
    <w:p w14:paraId="0514C8E1" w14:textId="77777777" w:rsidR="00F80994" w:rsidRPr="00F80994" w:rsidRDefault="00F80994" w:rsidP="00F80994">
      <w:pPr>
        <w:ind w:left="284"/>
        <w:jc w:val="both"/>
        <w:rPr>
          <w:rFonts w:ascii="Verdana" w:hAnsi="Verdana"/>
          <w:bCs/>
          <w:iCs/>
          <w:sz w:val="18"/>
          <w:szCs w:val="18"/>
        </w:rPr>
      </w:pPr>
    </w:p>
    <w:p w14:paraId="096B1FF5"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Debe existir una verdadera actividad docente consistente en:</w:t>
      </w:r>
    </w:p>
    <w:p w14:paraId="6DB5A0AA" w14:textId="77777777" w:rsidR="00F80994" w:rsidRPr="00F80994" w:rsidRDefault="00F80994" w:rsidP="00F80994">
      <w:pPr>
        <w:ind w:left="284"/>
        <w:jc w:val="both"/>
        <w:rPr>
          <w:rFonts w:ascii="Verdana" w:hAnsi="Verdana"/>
          <w:bCs/>
          <w:iCs/>
          <w:sz w:val="18"/>
          <w:szCs w:val="18"/>
        </w:rPr>
      </w:pPr>
    </w:p>
    <w:p w14:paraId="6BE18F78" w14:textId="77777777" w:rsidR="00F80994" w:rsidRPr="001F0DCD" w:rsidRDefault="00F80994" w:rsidP="008A2D40">
      <w:pPr>
        <w:pStyle w:val="Prrafodelista"/>
        <w:numPr>
          <w:ilvl w:val="0"/>
          <w:numId w:val="51"/>
        </w:numPr>
        <w:jc w:val="both"/>
        <w:rPr>
          <w:rFonts w:ascii="Verdana" w:hAnsi="Verdana"/>
          <w:bCs/>
          <w:iCs/>
          <w:sz w:val="18"/>
          <w:szCs w:val="18"/>
        </w:rPr>
      </w:pPr>
      <w:r w:rsidRPr="001F0DCD">
        <w:rPr>
          <w:rFonts w:ascii="Verdana" w:hAnsi="Verdana"/>
          <w:bCs/>
          <w:iCs/>
          <w:sz w:val="18"/>
          <w:szCs w:val="18"/>
        </w:rPr>
        <w:t>transmisión de conocimientos y competencias,</w:t>
      </w:r>
    </w:p>
    <w:p w14:paraId="4749D638" w14:textId="77777777" w:rsidR="00F80994" w:rsidRPr="001F0DCD" w:rsidRDefault="00F80994" w:rsidP="008A2D40">
      <w:pPr>
        <w:pStyle w:val="Prrafodelista"/>
        <w:numPr>
          <w:ilvl w:val="0"/>
          <w:numId w:val="51"/>
        </w:numPr>
        <w:jc w:val="both"/>
        <w:rPr>
          <w:rFonts w:ascii="Verdana" w:hAnsi="Verdana"/>
          <w:bCs/>
          <w:iCs/>
          <w:sz w:val="18"/>
          <w:szCs w:val="18"/>
        </w:rPr>
      </w:pPr>
      <w:r w:rsidRPr="001F0DCD">
        <w:rPr>
          <w:rFonts w:ascii="Verdana" w:hAnsi="Verdana"/>
          <w:bCs/>
          <w:iCs/>
          <w:sz w:val="18"/>
          <w:szCs w:val="18"/>
        </w:rPr>
        <w:t>relación profesor-alumno,</w:t>
      </w:r>
    </w:p>
    <w:p w14:paraId="76AC0446" w14:textId="77777777" w:rsidR="00F80994" w:rsidRPr="001F0DCD" w:rsidRDefault="00F80994" w:rsidP="008A2D40">
      <w:pPr>
        <w:pStyle w:val="Prrafodelista"/>
        <w:numPr>
          <w:ilvl w:val="0"/>
          <w:numId w:val="51"/>
        </w:numPr>
        <w:jc w:val="both"/>
        <w:rPr>
          <w:rFonts w:ascii="Verdana" w:hAnsi="Verdana"/>
          <w:bCs/>
          <w:iCs/>
          <w:sz w:val="18"/>
          <w:szCs w:val="18"/>
        </w:rPr>
      </w:pPr>
      <w:r w:rsidRPr="001F0DCD">
        <w:rPr>
          <w:rFonts w:ascii="Verdana" w:hAnsi="Verdana"/>
          <w:bCs/>
          <w:iCs/>
          <w:sz w:val="18"/>
          <w:szCs w:val="18"/>
        </w:rPr>
        <w:t>organización educativa estructurada,</w:t>
      </w:r>
    </w:p>
    <w:p w14:paraId="402CDAC7" w14:textId="77777777" w:rsidR="00F80994" w:rsidRPr="001F0DCD" w:rsidRDefault="00F80994" w:rsidP="008A2D40">
      <w:pPr>
        <w:pStyle w:val="Prrafodelista"/>
        <w:numPr>
          <w:ilvl w:val="0"/>
          <w:numId w:val="51"/>
        </w:numPr>
        <w:jc w:val="both"/>
        <w:rPr>
          <w:rFonts w:ascii="Verdana" w:hAnsi="Verdana"/>
          <w:bCs/>
          <w:iCs/>
          <w:sz w:val="18"/>
          <w:szCs w:val="18"/>
        </w:rPr>
      </w:pPr>
      <w:r w:rsidRPr="001F0DCD">
        <w:rPr>
          <w:rFonts w:ascii="Verdana" w:hAnsi="Verdana"/>
          <w:bCs/>
          <w:iCs/>
          <w:sz w:val="18"/>
          <w:szCs w:val="18"/>
        </w:rPr>
        <w:t>finalidad formativa real y no meramente recreativa.</w:t>
      </w:r>
    </w:p>
    <w:p w14:paraId="13D1ED1F" w14:textId="77777777" w:rsidR="00F80994" w:rsidRPr="00F80994" w:rsidRDefault="00F80994" w:rsidP="00F80994">
      <w:pPr>
        <w:ind w:left="284"/>
        <w:jc w:val="both"/>
        <w:rPr>
          <w:rFonts w:ascii="Verdana" w:hAnsi="Verdana"/>
          <w:bCs/>
          <w:iCs/>
          <w:sz w:val="18"/>
          <w:szCs w:val="18"/>
        </w:rPr>
      </w:pPr>
    </w:p>
    <w:p w14:paraId="77827628"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Además, las materias impartidas deben estar incluidas en algún plan de estudios oficial del sistema educativo español. La competencia para determinarlo corresponde al Ministerio de Educación.</w:t>
      </w:r>
    </w:p>
    <w:p w14:paraId="62FBC9B3" w14:textId="77777777" w:rsidR="00F80994" w:rsidRPr="00F80994" w:rsidRDefault="00F80994" w:rsidP="00F80994">
      <w:pPr>
        <w:ind w:left="284"/>
        <w:jc w:val="both"/>
        <w:rPr>
          <w:rFonts w:ascii="Verdana" w:hAnsi="Verdana"/>
          <w:bCs/>
          <w:iCs/>
          <w:sz w:val="18"/>
          <w:szCs w:val="18"/>
        </w:rPr>
      </w:pPr>
    </w:p>
    <w:p w14:paraId="7075CAE4" w14:textId="77777777" w:rsidR="00F80994" w:rsidRPr="00F80994" w:rsidRDefault="00F80994" w:rsidP="00F80994">
      <w:pPr>
        <w:ind w:left="284"/>
        <w:jc w:val="both"/>
        <w:rPr>
          <w:rFonts w:ascii="Verdana" w:hAnsi="Verdana"/>
          <w:b/>
          <w:iCs/>
          <w:sz w:val="18"/>
          <w:szCs w:val="18"/>
        </w:rPr>
      </w:pPr>
      <w:r w:rsidRPr="00F80994">
        <w:rPr>
          <w:rFonts w:ascii="Verdana" w:hAnsi="Verdana"/>
          <w:b/>
          <w:iCs/>
          <w:sz w:val="18"/>
          <w:szCs w:val="18"/>
        </w:rPr>
        <w:t>Consecuencias fiscales según el tipo de formación online</w:t>
      </w:r>
    </w:p>
    <w:p w14:paraId="71F5781F" w14:textId="77777777" w:rsidR="00F80994" w:rsidRPr="00F80994" w:rsidRDefault="00F80994" w:rsidP="00F80994">
      <w:pPr>
        <w:ind w:left="284"/>
        <w:jc w:val="both"/>
        <w:rPr>
          <w:rFonts w:ascii="Verdana" w:hAnsi="Verdana"/>
          <w:bCs/>
          <w:iCs/>
          <w:sz w:val="18"/>
          <w:szCs w:val="18"/>
        </w:rPr>
      </w:pPr>
    </w:p>
    <w:p w14:paraId="710E41A8"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La resolución diferencia claramente tres escenarios:</w:t>
      </w:r>
    </w:p>
    <w:p w14:paraId="4AF9C8BC" w14:textId="77777777" w:rsidR="00F80994" w:rsidRPr="00F80994" w:rsidRDefault="00F80994" w:rsidP="00F80994">
      <w:pPr>
        <w:ind w:left="284"/>
        <w:jc w:val="both"/>
        <w:rPr>
          <w:rFonts w:ascii="Verdana" w:hAnsi="Verdana"/>
          <w:bCs/>
          <w:iCs/>
          <w:sz w:val="18"/>
          <w:szCs w:val="18"/>
        </w:rPr>
      </w:pPr>
    </w:p>
    <w:p w14:paraId="6B96B421"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1. Formación automatizada o cursos grabados</w:t>
      </w:r>
    </w:p>
    <w:p w14:paraId="0F893C0B" w14:textId="77777777" w:rsidR="00F80994" w:rsidRPr="00F80994" w:rsidRDefault="00F80994" w:rsidP="00F80994">
      <w:pPr>
        <w:ind w:left="284"/>
        <w:jc w:val="both"/>
        <w:rPr>
          <w:rFonts w:ascii="Verdana" w:hAnsi="Verdana"/>
          <w:bCs/>
          <w:iCs/>
          <w:sz w:val="18"/>
          <w:szCs w:val="18"/>
        </w:rPr>
      </w:pPr>
    </w:p>
    <w:p w14:paraId="1ED134C2"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Cuando el usuario accede principalmente a contenidos digitales pregrabados o automatizados:</w:t>
      </w:r>
    </w:p>
    <w:p w14:paraId="5AE1CA3F" w14:textId="77777777" w:rsidR="00F80994" w:rsidRPr="00F80994" w:rsidRDefault="00F80994" w:rsidP="00F80994">
      <w:pPr>
        <w:ind w:left="284"/>
        <w:jc w:val="both"/>
        <w:rPr>
          <w:rFonts w:ascii="Verdana" w:hAnsi="Verdana"/>
          <w:bCs/>
          <w:iCs/>
          <w:sz w:val="18"/>
          <w:szCs w:val="18"/>
        </w:rPr>
      </w:pPr>
    </w:p>
    <w:p w14:paraId="2318AF93"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el servicio se considera electrónico,</w:t>
      </w:r>
    </w:p>
    <w:p w14:paraId="05146855"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no resulta aplicable la exención educativa,</w:t>
      </w:r>
    </w:p>
    <w:p w14:paraId="7AF334C1" w14:textId="77777777" w:rsidR="00F80994" w:rsidRDefault="00F80994" w:rsidP="00F80994">
      <w:pPr>
        <w:ind w:left="284"/>
        <w:jc w:val="both"/>
        <w:rPr>
          <w:rFonts w:ascii="Verdana" w:hAnsi="Verdana"/>
          <w:bCs/>
          <w:iCs/>
          <w:sz w:val="18"/>
          <w:szCs w:val="18"/>
        </w:rPr>
      </w:pPr>
      <w:r w:rsidRPr="00F80994">
        <w:rPr>
          <w:rFonts w:ascii="Verdana" w:hAnsi="Verdana"/>
          <w:bCs/>
          <w:iCs/>
          <w:sz w:val="18"/>
          <w:szCs w:val="18"/>
        </w:rPr>
        <w:t>tributa al tipo general del 21 %.</w:t>
      </w:r>
    </w:p>
    <w:p w14:paraId="2E7BDAF9" w14:textId="77777777" w:rsidR="001B1377" w:rsidRPr="00F80994" w:rsidRDefault="001B1377" w:rsidP="00F80994">
      <w:pPr>
        <w:ind w:left="284"/>
        <w:jc w:val="both"/>
        <w:rPr>
          <w:rFonts w:ascii="Verdana" w:hAnsi="Verdana"/>
          <w:bCs/>
          <w:iCs/>
          <w:sz w:val="18"/>
          <w:szCs w:val="18"/>
        </w:rPr>
      </w:pPr>
    </w:p>
    <w:p w14:paraId="5F3BD2F0"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2. Formación impartida directamente por profesores online</w:t>
      </w:r>
    </w:p>
    <w:p w14:paraId="151820B9" w14:textId="77777777" w:rsidR="00F80994" w:rsidRPr="00F80994" w:rsidRDefault="00F80994" w:rsidP="00F80994">
      <w:pPr>
        <w:ind w:left="284"/>
        <w:jc w:val="both"/>
        <w:rPr>
          <w:rFonts w:ascii="Verdana" w:hAnsi="Verdana"/>
          <w:bCs/>
          <w:iCs/>
          <w:sz w:val="18"/>
          <w:szCs w:val="18"/>
        </w:rPr>
      </w:pPr>
    </w:p>
    <w:p w14:paraId="59AC2363"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Si existe enseñanza real con interacción docente predominante:</w:t>
      </w:r>
    </w:p>
    <w:p w14:paraId="3BD66010" w14:textId="77777777" w:rsidR="00F80994" w:rsidRPr="00F80994" w:rsidRDefault="00F80994" w:rsidP="00F80994">
      <w:pPr>
        <w:ind w:left="284"/>
        <w:jc w:val="both"/>
        <w:rPr>
          <w:rFonts w:ascii="Verdana" w:hAnsi="Verdana"/>
          <w:bCs/>
          <w:iCs/>
          <w:sz w:val="18"/>
          <w:szCs w:val="18"/>
        </w:rPr>
      </w:pPr>
    </w:p>
    <w:p w14:paraId="2A300A26" w14:textId="77777777" w:rsidR="00F80994" w:rsidRPr="001F0DCD" w:rsidRDefault="00F80994" w:rsidP="008A2D40">
      <w:pPr>
        <w:pStyle w:val="Prrafodelista"/>
        <w:numPr>
          <w:ilvl w:val="0"/>
          <w:numId w:val="52"/>
        </w:numPr>
        <w:jc w:val="both"/>
        <w:rPr>
          <w:rFonts w:ascii="Verdana" w:hAnsi="Verdana"/>
          <w:bCs/>
          <w:iCs/>
          <w:sz w:val="18"/>
          <w:szCs w:val="18"/>
        </w:rPr>
      </w:pPr>
      <w:r w:rsidRPr="001F0DCD">
        <w:rPr>
          <w:rFonts w:ascii="Verdana" w:hAnsi="Verdana"/>
          <w:bCs/>
          <w:iCs/>
          <w:sz w:val="18"/>
          <w:szCs w:val="18"/>
        </w:rPr>
        <w:t>el servicio puede calificarse como educativo,</w:t>
      </w:r>
    </w:p>
    <w:p w14:paraId="10022076" w14:textId="00727135" w:rsidR="00F80994" w:rsidRPr="001F0DCD" w:rsidRDefault="00F80994" w:rsidP="008A2D40">
      <w:pPr>
        <w:pStyle w:val="Prrafodelista"/>
        <w:numPr>
          <w:ilvl w:val="0"/>
          <w:numId w:val="52"/>
        </w:numPr>
        <w:jc w:val="both"/>
        <w:rPr>
          <w:rFonts w:ascii="Verdana" w:hAnsi="Verdana"/>
          <w:bCs/>
          <w:iCs/>
          <w:sz w:val="18"/>
          <w:szCs w:val="18"/>
        </w:rPr>
      </w:pPr>
      <w:r w:rsidRPr="001F0DCD">
        <w:rPr>
          <w:rFonts w:ascii="Verdana" w:hAnsi="Verdana"/>
          <w:bCs/>
          <w:iCs/>
          <w:sz w:val="18"/>
          <w:szCs w:val="18"/>
        </w:rPr>
        <w:t>podrá quedar exento si concurren los requisitos subjetivo</w:t>
      </w:r>
      <w:r w:rsidR="001F0DCD">
        <w:rPr>
          <w:rFonts w:ascii="Verdana" w:hAnsi="Verdana"/>
          <w:bCs/>
          <w:iCs/>
          <w:sz w:val="18"/>
          <w:szCs w:val="18"/>
        </w:rPr>
        <w:t>s</w:t>
      </w:r>
      <w:r w:rsidRPr="001F0DCD">
        <w:rPr>
          <w:rFonts w:ascii="Verdana" w:hAnsi="Verdana"/>
          <w:bCs/>
          <w:iCs/>
          <w:sz w:val="18"/>
          <w:szCs w:val="18"/>
        </w:rPr>
        <w:t xml:space="preserve"> y objetivos indicados.</w:t>
      </w:r>
    </w:p>
    <w:p w14:paraId="17F636E8" w14:textId="77777777" w:rsidR="00F80994" w:rsidRPr="00F80994" w:rsidRDefault="00F80994" w:rsidP="00F80994">
      <w:pPr>
        <w:ind w:left="284"/>
        <w:jc w:val="both"/>
        <w:rPr>
          <w:rFonts w:ascii="Verdana" w:hAnsi="Verdana"/>
          <w:bCs/>
          <w:iCs/>
          <w:sz w:val="18"/>
          <w:szCs w:val="18"/>
        </w:rPr>
      </w:pPr>
    </w:p>
    <w:p w14:paraId="3CA3FB60"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3. Enseñanzas no integradas en planes oficiales</w:t>
      </w:r>
    </w:p>
    <w:p w14:paraId="79EF67AA" w14:textId="77777777" w:rsidR="00F80994" w:rsidRPr="00F80994" w:rsidRDefault="00F80994" w:rsidP="00F80994">
      <w:pPr>
        <w:ind w:left="284"/>
        <w:jc w:val="both"/>
        <w:rPr>
          <w:rFonts w:ascii="Verdana" w:hAnsi="Verdana"/>
          <w:bCs/>
          <w:iCs/>
          <w:sz w:val="18"/>
          <w:szCs w:val="18"/>
        </w:rPr>
      </w:pPr>
    </w:p>
    <w:p w14:paraId="7068E422"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Aunque exista docencia efectiva, si las materias no forman parte del sistema educativo oficial:</w:t>
      </w:r>
    </w:p>
    <w:p w14:paraId="0304E477" w14:textId="77777777" w:rsidR="00F80994" w:rsidRPr="00F80994" w:rsidRDefault="00F80994" w:rsidP="00F80994">
      <w:pPr>
        <w:ind w:left="284"/>
        <w:jc w:val="both"/>
        <w:rPr>
          <w:rFonts w:ascii="Verdana" w:hAnsi="Verdana"/>
          <w:bCs/>
          <w:iCs/>
          <w:sz w:val="18"/>
          <w:szCs w:val="18"/>
        </w:rPr>
      </w:pPr>
    </w:p>
    <w:p w14:paraId="6DBD634C" w14:textId="77777777" w:rsidR="00F80994" w:rsidRPr="001F0DCD" w:rsidRDefault="00F80994" w:rsidP="008A2D40">
      <w:pPr>
        <w:pStyle w:val="Prrafodelista"/>
        <w:numPr>
          <w:ilvl w:val="0"/>
          <w:numId w:val="53"/>
        </w:numPr>
        <w:jc w:val="both"/>
        <w:rPr>
          <w:rFonts w:ascii="Verdana" w:hAnsi="Verdana"/>
          <w:bCs/>
          <w:iCs/>
          <w:sz w:val="18"/>
          <w:szCs w:val="18"/>
        </w:rPr>
      </w:pPr>
      <w:r w:rsidRPr="001F0DCD">
        <w:rPr>
          <w:rFonts w:ascii="Verdana" w:hAnsi="Verdana"/>
          <w:bCs/>
          <w:iCs/>
          <w:sz w:val="18"/>
          <w:szCs w:val="18"/>
        </w:rPr>
        <w:t>el servicio estará sujeto y no exento,</w:t>
      </w:r>
    </w:p>
    <w:p w14:paraId="1597520D" w14:textId="77777777" w:rsidR="00F80994" w:rsidRPr="001F0DCD" w:rsidRDefault="00F80994" w:rsidP="008A2D40">
      <w:pPr>
        <w:pStyle w:val="Prrafodelista"/>
        <w:numPr>
          <w:ilvl w:val="0"/>
          <w:numId w:val="53"/>
        </w:numPr>
        <w:jc w:val="both"/>
        <w:rPr>
          <w:rFonts w:ascii="Verdana" w:hAnsi="Verdana"/>
          <w:bCs/>
          <w:iCs/>
          <w:sz w:val="18"/>
          <w:szCs w:val="18"/>
        </w:rPr>
      </w:pPr>
      <w:r w:rsidRPr="001F0DCD">
        <w:rPr>
          <w:rFonts w:ascii="Verdana" w:hAnsi="Verdana"/>
          <w:bCs/>
          <w:iCs/>
          <w:sz w:val="18"/>
          <w:szCs w:val="18"/>
        </w:rPr>
        <w:t>tributando igualmente al 21 %.</w:t>
      </w:r>
    </w:p>
    <w:p w14:paraId="685FF837" w14:textId="77777777" w:rsidR="00F80994" w:rsidRPr="00F80994" w:rsidRDefault="00F80994" w:rsidP="00F80994">
      <w:pPr>
        <w:ind w:left="284"/>
        <w:jc w:val="both"/>
        <w:rPr>
          <w:rFonts w:ascii="Verdana" w:hAnsi="Verdana"/>
          <w:bCs/>
          <w:iCs/>
          <w:sz w:val="18"/>
          <w:szCs w:val="18"/>
        </w:rPr>
      </w:pPr>
    </w:p>
    <w:p w14:paraId="69337571" w14:textId="77777777" w:rsidR="00F80994" w:rsidRPr="00F80994" w:rsidRDefault="00F80994" w:rsidP="00F80994">
      <w:pPr>
        <w:ind w:left="284"/>
        <w:jc w:val="both"/>
        <w:rPr>
          <w:rFonts w:ascii="Verdana" w:hAnsi="Verdana"/>
          <w:b/>
          <w:iCs/>
          <w:sz w:val="18"/>
          <w:szCs w:val="18"/>
        </w:rPr>
      </w:pPr>
      <w:r w:rsidRPr="00F80994">
        <w:rPr>
          <w:rFonts w:ascii="Verdana" w:hAnsi="Verdana"/>
          <w:b/>
          <w:iCs/>
          <w:sz w:val="18"/>
          <w:szCs w:val="18"/>
        </w:rPr>
        <w:t>Tributación de los “</w:t>
      </w:r>
      <w:proofErr w:type="spellStart"/>
      <w:r w:rsidRPr="00F80994">
        <w:rPr>
          <w:rFonts w:ascii="Verdana" w:hAnsi="Verdana"/>
          <w:b/>
          <w:iCs/>
          <w:sz w:val="18"/>
          <w:szCs w:val="18"/>
        </w:rPr>
        <w:t>infoproductos</w:t>
      </w:r>
      <w:proofErr w:type="spellEnd"/>
      <w:r w:rsidRPr="00F80994">
        <w:rPr>
          <w:rFonts w:ascii="Verdana" w:hAnsi="Verdana"/>
          <w:b/>
          <w:iCs/>
          <w:sz w:val="18"/>
          <w:szCs w:val="18"/>
        </w:rPr>
        <w:t>” y publicaciones digitales</w:t>
      </w:r>
    </w:p>
    <w:p w14:paraId="762D5D25" w14:textId="77777777" w:rsidR="00F80994" w:rsidRPr="00F80994" w:rsidRDefault="00F80994" w:rsidP="00F80994">
      <w:pPr>
        <w:ind w:left="284"/>
        <w:jc w:val="both"/>
        <w:rPr>
          <w:rFonts w:ascii="Verdana" w:hAnsi="Verdana"/>
          <w:bCs/>
          <w:iCs/>
          <w:sz w:val="18"/>
          <w:szCs w:val="18"/>
        </w:rPr>
      </w:pPr>
    </w:p>
    <w:p w14:paraId="455B4043"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La consulta también analiza la posible aplicación del tipo superreducido del 4 % a determinados contenidos digitales comercializados como “</w:t>
      </w:r>
      <w:proofErr w:type="spellStart"/>
      <w:r w:rsidRPr="00F80994">
        <w:rPr>
          <w:rFonts w:ascii="Verdana" w:hAnsi="Verdana"/>
          <w:bCs/>
          <w:iCs/>
          <w:sz w:val="18"/>
          <w:szCs w:val="18"/>
        </w:rPr>
        <w:t>infoproductos</w:t>
      </w:r>
      <w:proofErr w:type="spellEnd"/>
      <w:r w:rsidRPr="00F80994">
        <w:rPr>
          <w:rFonts w:ascii="Verdana" w:hAnsi="Verdana"/>
          <w:bCs/>
          <w:iCs/>
          <w:sz w:val="18"/>
          <w:szCs w:val="18"/>
        </w:rPr>
        <w:t>”.</w:t>
      </w:r>
    </w:p>
    <w:p w14:paraId="58BD32DD" w14:textId="77777777" w:rsidR="00F80994" w:rsidRPr="00F80994" w:rsidRDefault="00F80994" w:rsidP="00F80994">
      <w:pPr>
        <w:ind w:left="284"/>
        <w:jc w:val="both"/>
        <w:rPr>
          <w:rFonts w:ascii="Verdana" w:hAnsi="Verdana"/>
          <w:bCs/>
          <w:iCs/>
          <w:sz w:val="18"/>
          <w:szCs w:val="18"/>
        </w:rPr>
      </w:pPr>
    </w:p>
    <w:p w14:paraId="6D553108"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La DGT recuerda que los libros, periódicos y revistas electrónicos pueden tributar al 4 % cuando:</w:t>
      </w:r>
    </w:p>
    <w:p w14:paraId="7846FD8F" w14:textId="77777777" w:rsidR="00F80994" w:rsidRPr="00F80994" w:rsidRDefault="00F80994" w:rsidP="00F80994">
      <w:pPr>
        <w:ind w:left="284"/>
        <w:jc w:val="both"/>
        <w:rPr>
          <w:rFonts w:ascii="Verdana" w:hAnsi="Verdana"/>
          <w:bCs/>
          <w:iCs/>
          <w:sz w:val="18"/>
          <w:szCs w:val="18"/>
        </w:rPr>
      </w:pPr>
    </w:p>
    <w:p w14:paraId="567A4851" w14:textId="77777777" w:rsidR="00F80994" w:rsidRPr="00F80994" w:rsidRDefault="00F80994" w:rsidP="008A2D40">
      <w:pPr>
        <w:pStyle w:val="Prrafodelista"/>
        <w:numPr>
          <w:ilvl w:val="0"/>
          <w:numId w:val="46"/>
        </w:numPr>
        <w:jc w:val="both"/>
        <w:rPr>
          <w:rFonts w:ascii="Verdana" w:hAnsi="Verdana"/>
          <w:bCs/>
          <w:iCs/>
          <w:sz w:val="18"/>
          <w:szCs w:val="18"/>
        </w:rPr>
      </w:pPr>
      <w:r w:rsidRPr="00F80994">
        <w:rPr>
          <w:rFonts w:ascii="Verdana" w:hAnsi="Verdana"/>
          <w:bCs/>
          <w:iCs/>
          <w:sz w:val="18"/>
          <w:szCs w:val="18"/>
        </w:rPr>
        <w:lastRenderedPageBreak/>
        <w:t>no predominen contenidos audiovisuales o musicales,</w:t>
      </w:r>
    </w:p>
    <w:p w14:paraId="2C351E86" w14:textId="77777777" w:rsidR="00F80994" w:rsidRPr="00F80994" w:rsidRDefault="00F80994" w:rsidP="008A2D40">
      <w:pPr>
        <w:pStyle w:val="Prrafodelista"/>
        <w:numPr>
          <w:ilvl w:val="0"/>
          <w:numId w:val="46"/>
        </w:numPr>
        <w:jc w:val="both"/>
        <w:rPr>
          <w:rFonts w:ascii="Verdana" w:hAnsi="Verdana"/>
          <w:bCs/>
          <w:iCs/>
          <w:sz w:val="18"/>
          <w:szCs w:val="18"/>
        </w:rPr>
      </w:pPr>
      <w:r w:rsidRPr="00F80994">
        <w:rPr>
          <w:rFonts w:ascii="Verdana" w:hAnsi="Verdana"/>
          <w:bCs/>
          <w:iCs/>
          <w:sz w:val="18"/>
          <w:szCs w:val="18"/>
        </w:rPr>
        <w:t>no consistan fundamentalmente en publicidad,</w:t>
      </w:r>
    </w:p>
    <w:p w14:paraId="0CE0BF05" w14:textId="77777777" w:rsidR="00F80994" w:rsidRPr="00F80994" w:rsidRDefault="00F80994" w:rsidP="008A2D40">
      <w:pPr>
        <w:pStyle w:val="Prrafodelista"/>
        <w:numPr>
          <w:ilvl w:val="0"/>
          <w:numId w:val="46"/>
        </w:numPr>
        <w:jc w:val="both"/>
        <w:rPr>
          <w:rFonts w:ascii="Verdana" w:hAnsi="Verdana"/>
          <w:bCs/>
          <w:iCs/>
          <w:sz w:val="18"/>
          <w:szCs w:val="18"/>
        </w:rPr>
      </w:pPr>
      <w:r w:rsidRPr="00F80994">
        <w:rPr>
          <w:rFonts w:ascii="Verdana" w:hAnsi="Verdana"/>
          <w:bCs/>
          <w:iCs/>
          <w:sz w:val="18"/>
          <w:szCs w:val="18"/>
        </w:rPr>
        <w:t>tengan verdadera naturaleza editorial.</w:t>
      </w:r>
    </w:p>
    <w:p w14:paraId="250CC91B" w14:textId="77777777" w:rsidR="00F80994" w:rsidRPr="00F80994" w:rsidRDefault="00F80994" w:rsidP="00F80994">
      <w:pPr>
        <w:ind w:left="284"/>
        <w:jc w:val="both"/>
        <w:rPr>
          <w:rFonts w:ascii="Verdana" w:hAnsi="Verdana"/>
          <w:bCs/>
          <w:iCs/>
          <w:sz w:val="18"/>
          <w:szCs w:val="18"/>
        </w:rPr>
      </w:pPr>
    </w:p>
    <w:p w14:paraId="768BE3AD"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 xml:space="preserve">La Administración considera especialmente relevante, aunque no obligatorio, que la publicación </w:t>
      </w:r>
      <w:r w:rsidRPr="00A80BE6">
        <w:rPr>
          <w:rFonts w:ascii="Verdana" w:hAnsi="Verdana"/>
          <w:b/>
          <w:iCs/>
          <w:sz w:val="18"/>
          <w:szCs w:val="18"/>
        </w:rPr>
        <w:t>disponga de ISBN</w:t>
      </w:r>
      <w:r w:rsidRPr="00F80994">
        <w:rPr>
          <w:rFonts w:ascii="Verdana" w:hAnsi="Verdana"/>
          <w:bCs/>
          <w:iCs/>
          <w:sz w:val="18"/>
          <w:szCs w:val="18"/>
        </w:rPr>
        <w:t>, al entenderlo como indicio de que el producto puede calificarse como “libro”.</w:t>
      </w:r>
    </w:p>
    <w:p w14:paraId="6FAA6000" w14:textId="77777777" w:rsidR="00F80994" w:rsidRPr="00F80994" w:rsidRDefault="00F80994" w:rsidP="00F80994">
      <w:pPr>
        <w:ind w:left="284"/>
        <w:jc w:val="both"/>
        <w:rPr>
          <w:rFonts w:ascii="Verdana" w:hAnsi="Verdana"/>
          <w:bCs/>
          <w:iCs/>
          <w:sz w:val="18"/>
          <w:szCs w:val="18"/>
        </w:rPr>
      </w:pPr>
    </w:p>
    <w:p w14:paraId="7631DF73" w14:textId="77777777" w:rsidR="00F80994" w:rsidRPr="00F80994" w:rsidRDefault="00F80994" w:rsidP="00F80994">
      <w:pPr>
        <w:ind w:left="284"/>
        <w:jc w:val="both"/>
        <w:rPr>
          <w:rFonts w:ascii="Verdana" w:hAnsi="Verdana"/>
          <w:b/>
          <w:iCs/>
          <w:sz w:val="18"/>
          <w:szCs w:val="18"/>
        </w:rPr>
      </w:pPr>
      <w:r w:rsidRPr="00F80994">
        <w:rPr>
          <w:rFonts w:ascii="Verdana" w:hAnsi="Verdana"/>
          <w:b/>
          <w:iCs/>
          <w:sz w:val="18"/>
          <w:szCs w:val="18"/>
        </w:rPr>
        <w:t>Exclusión del 4 % para plataformas interactivas y contenidos multimedia</w:t>
      </w:r>
    </w:p>
    <w:p w14:paraId="72563DEE" w14:textId="77777777" w:rsidR="00F80994" w:rsidRPr="00F80994" w:rsidRDefault="00F80994" w:rsidP="00F80994">
      <w:pPr>
        <w:ind w:left="284"/>
        <w:jc w:val="both"/>
        <w:rPr>
          <w:rFonts w:ascii="Verdana" w:hAnsi="Verdana"/>
          <w:bCs/>
          <w:iCs/>
          <w:sz w:val="18"/>
          <w:szCs w:val="18"/>
        </w:rPr>
      </w:pPr>
    </w:p>
    <w:p w14:paraId="7192B6BD"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 xml:space="preserve">La DGT advierte de que el tipo reducido </w:t>
      </w:r>
      <w:r w:rsidRPr="00A80BE6">
        <w:rPr>
          <w:rFonts w:ascii="Verdana" w:hAnsi="Verdana"/>
          <w:b/>
          <w:iCs/>
          <w:sz w:val="18"/>
          <w:szCs w:val="18"/>
        </w:rPr>
        <w:t>no puede</w:t>
      </w:r>
      <w:r w:rsidRPr="00F80994">
        <w:rPr>
          <w:rFonts w:ascii="Verdana" w:hAnsi="Verdana"/>
          <w:bCs/>
          <w:iCs/>
          <w:sz w:val="18"/>
          <w:szCs w:val="18"/>
        </w:rPr>
        <w:t xml:space="preserve"> extenderse a:</w:t>
      </w:r>
    </w:p>
    <w:p w14:paraId="2479646D" w14:textId="77777777" w:rsidR="00F80994" w:rsidRPr="00F80994" w:rsidRDefault="00F80994" w:rsidP="00F80994">
      <w:pPr>
        <w:ind w:left="284"/>
        <w:jc w:val="both"/>
        <w:rPr>
          <w:rFonts w:ascii="Verdana" w:hAnsi="Verdana"/>
          <w:bCs/>
          <w:iCs/>
          <w:sz w:val="18"/>
          <w:szCs w:val="18"/>
        </w:rPr>
      </w:pPr>
    </w:p>
    <w:p w14:paraId="600E7580" w14:textId="77777777" w:rsidR="00F80994" w:rsidRPr="00F80994" w:rsidRDefault="00F80994" w:rsidP="008A2D40">
      <w:pPr>
        <w:pStyle w:val="Prrafodelista"/>
        <w:numPr>
          <w:ilvl w:val="0"/>
          <w:numId w:val="47"/>
        </w:numPr>
        <w:jc w:val="both"/>
        <w:rPr>
          <w:rFonts w:ascii="Verdana" w:hAnsi="Verdana"/>
          <w:bCs/>
          <w:iCs/>
          <w:sz w:val="18"/>
          <w:szCs w:val="18"/>
        </w:rPr>
      </w:pPr>
      <w:r w:rsidRPr="00F80994">
        <w:rPr>
          <w:rFonts w:ascii="Verdana" w:hAnsi="Verdana"/>
          <w:bCs/>
          <w:iCs/>
          <w:sz w:val="18"/>
          <w:szCs w:val="18"/>
        </w:rPr>
        <w:t>plataformas educativas interactivas,</w:t>
      </w:r>
    </w:p>
    <w:p w14:paraId="25BE896A" w14:textId="77777777" w:rsidR="00F80994" w:rsidRPr="00F80994" w:rsidRDefault="00F80994" w:rsidP="008A2D40">
      <w:pPr>
        <w:pStyle w:val="Prrafodelista"/>
        <w:numPr>
          <w:ilvl w:val="0"/>
          <w:numId w:val="47"/>
        </w:numPr>
        <w:jc w:val="both"/>
        <w:rPr>
          <w:rFonts w:ascii="Verdana" w:hAnsi="Verdana"/>
          <w:bCs/>
          <w:iCs/>
          <w:sz w:val="18"/>
          <w:szCs w:val="18"/>
        </w:rPr>
      </w:pPr>
      <w:r w:rsidRPr="00F80994">
        <w:rPr>
          <w:rFonts w:ascii="Verdana" w:hAnsi="Verdana"/>
          <w:bCs/>
          <w:iCs/>
          <w:sz w:val="18"/>
          <w:szCs w:val="18"/>
        </w:rPr>
        <w:t>bases de datos,</w:t>
      </w:r>
    </w:p>
    <w:p w14:paraId="19AA8027" w14:textId="77777777" w:rsidR="00F80994" w:rsidRPr="00F80994" w:rsidRDefault="00F80994" w:rsidP="008A2D40">
      <w:pPr>
        <w:pStyle w:val="Prrafodelista"/>
        <w:numPr>
          <w:ilvl w:val="0"/>
          <w:numId w:val="47"/>
        </w:numPr>
        <w:jc w:val="both"/>
        <w:rPr>
          <w:rFonts w:ascii="Verdana" w:hAnsi="Verdana"/>
          <w:bCs/>
          <w:iCs/>
          <w:sz w:val="18"/>
          <w:szCs w:val="18"/>
        </w:rPr>
      </w:pPr>
      <w:r w:rsidRPr="00F80994">
        <w:rPr>
          <w:rFonts w:ascii="Verdana" w:hAnsi="Verdana"/>
          <w:bCs/>
          <w:iCs/>
          <w:sz w:val="18"/>
          <w:szCs w:val="18"/>
        </w:rPr>
        <w:t>aplicaciones,</w:t>
      </w:r>
    </w:p>
    <w:p w14:paraId="3D030713" w14:textId="77777777" w:rsidR="00F80994" w:rsidRPr="00F80994" w:rsidRDefault="00F80994" w:rsidP="008A2D40">
      <w:pPr>
        <w:pStyle w:val="Prrafodelista"/>
        <w:numPr>
          <w:ilvl w:val="0"/>
          <w:numId w:val="47"/>
        </w:numPr>
        <w:jc w:val="both"/>
        <w:rPr>
          <w:rFonts w:ascii="Verdana" w:hAnsi="Verdana"/>
          <w:bCs/>
          <w:iCs/>
          <w:sz w:val="18"/>
          <w:szCs w:val="18"/>
        </w:rPr>
      </w:pPr>
      <w:r w:rsidRPr="00F80994">
        <w:rPr>
          <w:rFonts w:ascii="Verdana" w:hAnsi="Verdana"/>
          <w:bCs/>
          <w:iCs/>
          <w:sz w:val="18"/>
          <w:szCs w:val="18"/>
        </w:rPr>
        <w:t>programas formativos,</w:t>
      </w:r>
    </w:p>
    <w:p w14:paraId="38333281" w14:textId="77777777" w:rsidR="00F80994" w:rsidRPr="00F80994" w:rsidRDefault="00F80994" w:rsidP="008A2D40">
      <w:pPr>
        <w:pStyle w:val="Prrafodelista"/>
        <w:numPr>
          <w:ilvl w:val="0"/>
          <w:numId w:val="47"/>
        </w:numPr>
        <w:jc w:val="both"/>
        <w:rPr>
          <w:rFonts w:ascii="Verdana" w:hAnsi="Verdana"/>
          <w:bCs/>
          <w:iCs/>
          <w:sz w:val="18"/>
          <w:szCs w:val="18"/>
        </w:rPr>
      </w:pPr>
      <w:r w:rsidRPr="00F80994">
        <w:rPr>
          <w:rFonts w:ascii="Verdana" w:hAnsi="Verdana"/>
          <w:bCs/>
          <w:iCs/>
          <w:sz w:val="18"/>
          <w:szCs w:val="18"/>
        </w:rPr>
        <w:t>vídeos o contenidos multimedia predominantes.</w:t>
      </w:r>
    </w:p>
    <w:p w14:paraId="1F254719" w14:textId="77777777" w:rsidR="00F80994" w:rsidRPr="00F80994" w:rsidRDefault="00F80994" w:rsidP="00F80994">
      <w:pPr>
        <w:ind w:left="284"/>
        <w:jc w:val="both"/>
        <w:rPr>
          <w:rFonts w:ascii="Verdana" w:hAnsi="Verdana"/>
          <w:bCs/>
          <w:iCs/>
          <w:sz w:val="18"/>
          <w:szCs w:val="18"/>
        </w:rPr>
      </w:pPr>
    </w:p>
    <w:p w14:paraId="74254174"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En consecuencia, cuando el producto digital tenga una naturaleza tecnológica o interactiva superior al mero contenido editorial, tributará al 21 %.</w:t>
      </w:r>
    </w:p>
    <w:p w14:paraId="544CE1E5" w14:textId="77777777" w:rsidR="00F80994" w:rsidRPr="00F80994" w:rsidRDefault="00F80994" w:rsidP="00F80994">
      <w:pPr>
        <w:ind w:left="284"/>
        <w:jc w:val="both"/>
        <w:rPr>
          <w:rFonts w:ascii="Verdana" w:hAnsi="Verdana"/>
          <w:bCs/>
          <w:iCs/>
          <w:sz w:val="18"/>
          <w:szCs w:val="18"/>
        </w:rPr>
      </w:pPr>
    </w:p>
    <w:p w14:paraId="2482F79E" w14:textId="77777777" w:rsidR="00F80994" w:rsidRPr="00F80994" w:rsidRDefault="00F80994" w:rsidP="00F80994">
      <w:pPr>
        <w:ind w:left="284"/>
        <w:jc w:val="both"/>
        <w:rPr>
          <w:rFonts w:ascii="Verdana" w:hAnsi="Verdana"/>
          <w:b/>
          <w:iCs/>
          <w:sz w:val="18"/>
          <w:szCs w:val="18"/>
        </w:rPr>
      </w:pPr>
      <w:r w:rsidRPr="00F80994">
        <w:rPr>
          <w:rFonts w:ascii="Verdana" w:hAnsi="Verdana"/>
          <w:b/>
          <w:iCs/>
          <w:sz w:val="18"/>
          <w:szCs w:val="18"/>
        </w:rPr>
        <w:t>Criterio final de la DGT</w:t>
      </w:r>
    </w:p>
    <w:p w14:paraId="4F6231AD" w14:textId="77777777" w:rsidR="00F80994" w:rsidRPr="00F80994" w:rsidRDefault="00F80994" w:rsidP="00F80994">
      <w:pPr>
        <w:ind w:left="284"/>
        <w:jc w:val="both"/>
        <w:rPr>
          <w:rFonts w:ascii="Verdana" w:hAnsi="Verdana"/>
          <w:bCs/>
          <w:iCs/>
          <w:sz w:val="18"/>
          <w:szCs w:val="18"/>
        </w:rPr>
      </w:pPr>
    </w:p>
    <w:p w14:paraId="0518AC6B" w14:textId="77777777" w:rsidR="00F80994" w:rsidRPr="00F80994" w:rsidRDefault="00F80994" w:rsidP="00F80994">
      <w:pPr>
        <w:ind w:left="284"/>
        <w:jc w:val="both"/>
        <w:rPr>
          <w:rFonts w:ascii="Verdana" w:hAnsi="Verdana"/>
          <w:bCs/>
          <w:iCs/>
          <w:sz w:val="18"/>
          <w:szCs w:val="18"/>
        </w:rPr>
      </w:pPr>
      <w:r w:rsidRPr="00F80994">
        <w:rPr>
          <w:rFonts w:ascii="Verdana" w:hAnsi="Verdana"/>
          <w:bCs/>
          <w:iCs/>
          <w:sz w:val="18"/>
          <w:szCs w:val="18"/>
        </w:rPr>
        <w:t>La Dirección General de Tributos concluye que:</w:t>
      </w:r>
    </w:p>
    <w:p w14:paraId="1E9B2DEF" w14:textId="77777777" w:rsidR="00F80994" w:rsidRPr="00F80994" w:rsidRDefault="00F80994" w:rsidP="00F80994">
      <w:pPr>
        <w:ind w:left="284"/>
        <w:jc w:val="both"/>
        <w:rPr>
          <w:rFonts w:ascii="Verdana" w:hAnsi="Verdana"/>
          <w:bCs/>
          <w:iCs/>
          <w:sz w:val="18"/>
          <w:szCs w:val="18"/>
        </w:rPr>
      </w:pPr>
    </w:p>
    <w:p w14:paraId="423DF1FB" w14:textId="77777777" w:rsidR="00F80994" w:rsidRPr="00F80994" w:rsidRDefault="00F80994" w:rsidP="008A2D40">
      <w:pPr>
        <w:pStyle w:val="Prrafodelista"/>
        <w:numPr>
          <w:ilvl w:val="0"/>
          <w:numId w:val="48"/>
        </w:numPr>
        <w:jc w:val="both"/>
        <w:rPr>
          <w:rFonts w:ascii="Verdana" w:hAnsi="Verdana"/>
          <w:bCs/>
          <w:iCs/>
          <w:sz w:val="18"/>
          <w:szCs w:val="18"/>
        </w:rPr>
      </w:pPr>
      <w:r w:rsidRPr="00F80994">
        <w:rPr>
          <w:rFonts w:ascii="Verdana" w:hAnsi="Verdana"/>
          <w:bCs/>
          <w:iCs/>
          <w:sz w:val="18"/>
          <w:szCs w:val="18"/>
        </w:rPr>
        <w:t>la enseñanza online impartida principalmente mediante contenidos automatizados constituye un servicio electrónico sujeto al 21 %;</w:t>
      </w:r>
    </w:p>
    <w:p w14:paraId="5D7900F3" w14:textId="77777777" w:rsidR="00F80994" w:rsidRPr="00F80994" w:rsidRDefault="00F80994" w:rsidP="008A2D40">
      <w:pPr>
        <w:pStyle w:val="Prrafodelista"/>
        <w:numPr>
          <w:ilvl w:val="0"/>
          <w:numId w:val="48"/>
        </w:numPr>
        <w:jc w:val="both"/>
        <w:rPr>
          <w:rFonts w:ascii="Verdana" w:hAnsi="Verdana"/>
          <w:bCs/>
          <w:iCs/>
          <w:sz w:val="18"/>
          <w:szCs w:val="18"/>
        </w:rPr>
      </w:pPr>
      <w:r w:rsidRPr="00F80994">
        <w:rPr>
          <w:rFonts w:ascii="Verdana" w:hAnsi="Verdana"/>
          <w:bCs/>
          <w:iCs/>
          <w:sz w:val="18"/>
          <w:szCs w:val="18"/>
        </w:rPr>
        <w:t>únicamente la enseñanza efectivamente impartida por profesores puede acogerse a la exención educativa;</w:t>
      </w:r>
    </w:p>
    <w:p w14:paraId="06265128" w14:textId="77777777" w:rsidR="00F80994" w:rsidRPr="00F80994" w:rsidRDefault="00F80994" w:rsidP="008A2D40">
      <w:pPr>
        <w:pStyle w:val="Prrafodelista"/>
        <w:numPr>
          <w:ilvl w:val="0"/>
          <w:numId w:val="49"/>
        </w:numPr>
        <w:jc w:val="both"/>
        <w:rPr>
          <w:rFonts w:ascii="Verdana" w:hAnsi="Verdana"/>
          <w:bCs/>
          <w:iCs/>
          <w:sz w:val="18"/>
          <w:szCs w:val="18"/>
        </w:rPr>
      </w:pPr>
      <w:r w:rsidRPr="00F80994">
        <w:rPr>
          <w:rFonts w:ascii="Verdana" w:hAnsi="Verdana"/>
          <w:bCs/>
          <w:iCs/>
          <w:sz w:val="18"/>
          <w:szCs w:val="18"/>
        </w:rPr>
        <w:t>los libros electrónicos y determinadas publicaciones digitales pueden aplicar el 4 % si reúnen verdadera naturaleza editorial;</w:t>
      </w:r>
    </w:p>
    <w:p w14:paraId="26312D02" w14:textId="07042E12" w:rsidR="00F80994" w:rsidRPr="00F80994" w:rsidRDefault="00F80994" w:rsidP="008A2D40">
      <w:pPr>
        <w:pStyle w:val="Prrafodelista"/>
        <w:numPr>
          <w:ilvl w:val="0"/>
          <w:numId w:val="49"/>
        </w:numPr>
        <w:jc w:val="both"/>
        <w:rPr>
          <w:rFonts w:ascii="Verdana" w:hAnsi="Verdana"/>
          <w:bCs/>
          <w:iCs/>
          <w:sz w:val="18"/>
          <w:szCs w:val="18"/>
        </w:rPr>
      </w:pPr>
      <w:r w:rsidRPr="00F80994">
        <w:rPr>
          <w:rFonts w:ascii="Verdana" w:hAnsi="Verdana"/>
          <w:bCs/>
          <w:iCs/>
          <w:sz w:val="18"/>
          <w:szCs w:val="18"/>
        </w:rPr>
        <w:t>los productos digitales interactivos o audiovisuales quedan excluidos del tipo reducido.</w:t>
      </w:r>
    </w:p>
    <w:p w14:paraId="3DC4ED7B" w14:textId="77777777" w:rsidR="00F80994" w:rsidRDefault="00F80994" w:rsidP="00DF6F8F">
      <w:pPr>
        <w:ind w:left="284"/>
        <w:jc w:val="both"/>
        <w:rPr>
          <w:rFonts w:ascii="Verdana" w:hAnsi="Verdana"/>
          <w:bCs/>
          <w:iCs/>
          <w:sz w:val="18"/>
          <w:szCs w:val="18"/>
        </w:rPr>
      </w:pPr>
    </w:p>
    <w:p w14:paraId="4FDF0230" w14:textId="77777777" w:rsidR="00F80994" w:rsidRPr="00021AC4" w:rsidRDefault="00F80994" w:rsidP="00DF6F8F">
      <w:pPr>
        <w:ind w:left="284"/>
        <w:jc w:val="both"/>
        <w:rPr>
          <w:rFonts w:ascii="Verdana" w:hAnsi="Verdana"/>
          <w:bCs/>
          <w:iCs/>
          <w:sz w:val="18"/>
          <w:szCs w:val="18"/>
        </w:rPr>
      </w:pPr>
    </w:p>
    <w:p w14:paraId="22CAA4D4" w14:textId="455B7B58" w:rsidR="00021AC4" w:rsidRDefault="00021AC4" w:rsidP="00021AC4">
      <w:pPr>
        <w:ind w:left="284"/>
        <w:jc w:val="both"/>
        <w:rPr>
          <w:rFonts w:ascii="Verdana" w:hAnsi="Verdana"/>
          <w:bCs/>
          <w:iCs/>
          <w:sz w:val="18"/>
          <w:szCs w:val="18"/>
        </w:rPr>
      </w:pPr>
    </w:p>
    <w:p w14:paraId="6498024B" w14:textId="12DC26D6" w:rsidR="007C207F" w:rsidRPr="00154154" w:rsidRDefault="007C207F" w:rsidP="00021AC4">
      <w:pPr>
        <w:jc w:val="both"/>
        <w:rPr>
          <w:rFonts w:ascii="Verdana" w:hAnsi="Verdana"/>
          <w:bCs/>
          <w:iCs/>
          <w:sz w:val="18"/>
          <w:szCs w:val="18"/>
        </w:rPr>
      </w:pPr>
      <w:r w:rsidRPr="00154154">
        <w:rPr>
          <w:rFonts w:ascii="Verdana" w:hAnsi="Verdana"/>
          <w:bCs/>
          <w:iCs/>
          <w:sz w:val="18"/>
          <w:szCs w:val="18"/>
        </w:rPr>
        <w:br w:type="page"/>
      </w:r>
      <w:r w:rsidR="001E3571">
        <w:rPr>
          <w:rFonts w:ascii="Verdana" w:hAnsi="Verdana"/>
          <w:bCs/>
          <w:iCs/>
          <w:sz w:val="18"/>
          <w:szCs w:val="18"/>
        </w:rPr>
        <w:lastRenderedPageBreak/>
        <w:t xml:space="preserve"> </w:t>
      </w:r>
    </w:p>
    <w:p w14:paraId="4191C38F" w14:textId="63FBC9F4" w:rsidR="002F1978" w:rsidRDefault="00B242D8" w:rsidP="00BA35C4">
      <w:pPr>
        <w:jc w:val="both"/>
        <w:rPr>
          <w:rFonts w:ascii="Verdana" w:hAnsi="Verdana"/>
          <w:b/>
          <w:bCs/>
          <w:color w:val="800000"/>
          <w:sz w:val="20"/>
          <w:szCs w:val="20"/>
        </w:rPr>
      </w:pPr>
      <w:r w:rsidRPr="005636F2">
        <w:rPr>
          <w:rFonts w:ascii="Verdana" w:hAnsi="Verdana"/>
          <w:b/>
          <w:bCs/>
          <w:color w:val="800000"/>
          <w:sz w:val="20"/>
          <w:szCs w:val="20"/>
        </w:rPr>
        <w:t xml:space="preserve">DISPOSICIONES PUBLICADAS DURANTE </w:t>
      </w:r>
      <w:r w:rsidR="0017178D">
        <w:rPr>
          <w:rFonts w:ascii="Verdana" w:hAnsi="Verdana"/>
          <w:b/>
          <w:bCs/>
          <w:color w:val="800000"/>
          <w:sz w:val="20"/>
          <w:szCs w:val="20"/>
        </w:rPr>
        <w:t xml:space="preserve">EL MES DE </w:t>
      </w:r>
      <w:r w:rsidR="002F1978" w:rsidRPr="005636F2">
        <w:rPr>
          <w:rFonts w:ascii="Verdana" w:hAnsi="Verdana"/>
          <w:b/>
          <w:bCs/>
          <w:color w:val="800000"/>
          <w:sz w:val="20"/>
          <w:szCs w:val="20"/>
        </w:rPr>
        <w:t xml:space="preserve">MAYO DE </w:t>
      </w:r>
      <w:r w:rsidR="004B5A68">
        <w:rPr>
          <w:rFonts w:ascii="Verdana" w:hAnsi="Verdana"/>
          <w:b/>
          <w:bCs/>
          <w:color w:val="800000"/>
          <w:sz w:val="20"/>
          <w:szCs w:val="20"/>
        </w:rPr>
        <w:t>202</w:t>
      </w:r>
      <w:r w:rsidR="00C15121">
        <w:rPr>
          <w:rFonts w:ascii="Verdana" w:hAnsi="Verdana"/>
          <w:b/>
          <w:bCs/>
          <w:color w:val="800000"/>
          <w:sz w:val="20"/>
          <w:szCs w:val="20"/>
        </w:rPr>
        <w:t>6</w:t>
      </w:r>
    </w:p>
    <w:p w14:paraId="22ACEB70" w14:textId="77777777" w:rsidR="00565833" w:rsidRDefault="00565833" w:rsidP="00BA35C4">
      <w:pPr>
        <w:jc w:val="both"/>
        <w:rPr>
          <w:rFonts w:ascii="Verdana" w:hAnsi="Verdana"/>
          <w:sz w:val="18"/>
          <w:szCs w:val="18"/>
        </w:rPr>
      </w:pPr>
    </w:p>
    <w:p w14:paraId="5B5B37D6" w14:textId="77777777" w:rsidR="00A443F4" w:rsidRPr="00A443F4" w:rsidRDefault="00A443F4" w:rsidP="00A443F4">
      <w:pPr>
        <w:pStyle w:val="Sangradetextonormal"/>
        <w:ind w:hanging="180"/>
        <w:rPr>
          <w:rFonts w:ascii="Verdana" w:hAnsi="Verdana"/>
          <w:b/>
          <w:bCs/>
          <w:color w:val="800000"/>
          <w:sz w:val="18"/>
          <w:szCs w:val="18"/>
        </w:rPr>
      </w:pPr>
      <w:r w:rsidRPr="00A443F4">
        <w:rPr>
          <w:rFonts w:ascii="Verdana" w:hAnsi="Verdana"/>
          <w:b/>
          <w:bCs/>
          <w:color w:val="800000"/>
          <w:sz w:val="18"/>
          <w:szCs w:val="18"/>
        </w:rPr>
        <w:t>Impuesto sobre la Renta de las Personas Físicas</w:t>
      </w:r>
    </w:p>
    <w:p w14:paraId="516682F8" w14:textId="5579E2C2" w:rsidR="00A443F4" w:rsidRDefault="00A443F4" w:rsidP="00A443F4">
      <w:pPr>
        <w:jc w:val="both"/>
        <w:rPr>
          <w:rFonts w:ascii="Verdana" w:hAnsi="Verdana"/>
          <w:sz w:val="18"/>
          <w:szCs w:val="18"/>
        </w:rPr>
      </w:pPr>
      <w:r w:rsidRPr="00A443F4">
        <w:rPr>
          <w:rFonts w:ascii="Verdana" w:hAnsi="Verdana"/>
          <w:sz w:val="18"/>
          <w:szCs w:val="18"/>
        </w:rPr>
        <w:t>Orden HAC/484/2026, de 14 de mayo, por la que se modifican para el período impositivo 2025 los índices de rendimiento neto aplicables en el método de estimación objetiva del Impuesto sobre la Renta de las Personas Físicas para las actividades agrícolas y ganaderas afectadas por diversas circunstancias excepcionales.</w:t>
      </w:r>
    </w:p>
    <w:p w14:paraId="65F2640D" w14:textId="48F73B29" w:rsidR="00A443F4" w:rsidRPr="00A443F4" w:rsidRDefault="00A443F4" w:rsidP="00A443F4">
      <w:pPr>
        <w:jc w:val="both"/>
        <w:rPr>
          <w:rFonts w:ascii="Verdana" w:hAnsi="Verdana"/>
          <w:i/>
          <w:iCs/>
          <w:sz w:val="18"/>
          <w:szCs w:val="18"/>
        </w:rPr>
      </w:pPr>
      <w:r w:rsidRPr="00A443F4">
        <w:rPr>
          <w:rFonts w:ascii="Verdana" w:hAnsi="Verdana"/>
          <w:i/>
          <w:iCs/>
          <w:sz w:val="18"/>
          <w:szCs w:val="18"/>
        </w:rPr>
        <w:t>Ministerio de Hacienda. B.O.E. núm. 120 de 18 de mayo de 2026.</w:t>
      </w:r>
    </w:p>
    <w:p w14:paraId="0C6AEE7E" w14:textId="77777777" w:rsidR="00D43630" w:rsidRDefault="00D43630" w:rsidP="00CA1256">
      <w:pPr>
        <w:pStyle w:val="Sangradetextonormal"/>
        <w:ind w:left="0"/>
        <w:rPr>
          <w:rFonts w:ascii="Verdana" w:hAnsi="Verdana"/>
          <w:iCs/>
          <w:sz w:val="18"/>
          <w:szCs w:val="18"/>
        </w:rPr>
      </w:pPr>
    </w:p>
    <w:p w14:paraId="2FE9BE70" w14:textId="77777777" w:rsidR="00EC339D" w:rsidRDefault="00EC339D" w:rsidP="004B3321">
      <w:pPr>
        <w:jc w:val="both"/>
        <w:rPr>
          <w:rFonts w:ascii="Verdana" w:hAnsi="Verdana"/>
          <w:i/>
          <w:sz w:val="18"/>
          <w:szCs w:val="18"/>
        </w:rPr>
      </w:pPr>
    </w:p>
    <w:p w14:paraId="5EDEA33A" w14:textId="7EBA39C9" w:rsidR="00BA187A" w:rsidRDefault="00BA187A" w:rsidP="00540C9B">
      <w:pPr>
        <w:pStyle w:val="Sangradetextonormal"/>
        <w:ind w:left="0"/>
        <w:rPr>
          <w:rFonts w:ascii="Verdana" w:hAnsi="Verdana"/>
          <w:b/>
          <w:bCs/>
          <w:color w:val="800000"/>
          <w:sz w:val="20"/>
          <w:szCs w:val="20"/>
        </w:rPr>
      </w:pPr>
      <w:r w:rsidRPr="002D0B04">
        <w:rPr>
          <w:rFonts w:ascii="Verdana" w:hAnsi="Verdana"/>
          <w:b/>
          <w:bCs/>
          <w:color w:val="800000"/>
          <w:sz w:val="20"/>
          <w:szCs w:val="20"/>
        </w:rPr>
        <w:t>COMUNIDADES AUTÓNOMAS Y FORALES</w:t>
      </w:r>
    </w:p>
    <w:p w14:paraId="4EEFDD9E" w14:textId="77777777" w:rsidR="00EC339D" w:rsidRPr="002D0B04" w:rsidRDefault="00EC339D" w:rsidP="00540C9B">
      <w:pPr>
        <w:pStyle w:val="Sangradetextonormal"/>
        <w:ind w:left="0"/>
        <w:rPr>
          <w:rFonts w:ascii="Verdana" w:hAnsi="Verdana"/>
          <w:b/>
          <w:bCs/>
          <w:color w:val="800000"/>
          <w:sz w:val="20"/>
          <w:szCs w:val="20"/>
        </w:rPr>
      </w:pPr>
    </w:p>
    <w:p w14:paraId="2660587B" w14:textId="77777777" w:rsidR="001C5F09" w:rsidRPr="001C5F09" w:rsidRDefault="001C5F09" w:rsidP="001C5F09">
      <w:pPr>
        <w:pStyle w:val="Sangradetextonormal"/>
        <w:ind w:hanging="180"/>
        <w:rPr>
          <w:rFonts w:ascii="Verdana" w:hAnsi="Verdana"/>
          <w:b/>
          <w:bCs/>
          <w:color w:val="800000"/>
          <w:sz w:val="18"/>
          <w:szCs w:val="18"/>
        </w:rPr>
      </w:pPr>
      <w:r w:rsidRPr="001C5F09">
        <w:rPr>
          <w:rFonts w:ascii="Verdana" w:hAnsi="Verdana"/>
          <w:b/>
          <w:bCs/>
          <w:color w:val="800000"/>
          <w:sz w:val="18"/>
          <w:szCs w:val="18"/>
        </w:rPr>
        <w:t>COMUNIDAD AUTÓNOMA DE LAS ILLES BALEARS</w:t>
      </w:r>
    </w:p>
    <w:p w14:paraId="592F2300" w14:textId="77777777" w:rsidR="001C5F09" w:rsidRPr="001C5F09" w:rsidRDefault="001C5F09" w:rsidP="001C5F09">
      <w:pPr>
        <w:pStyle w:val="Sangradetextonormal"/>
        <w:ind w:hanging="180"/>
        <w:rPr>
          <w:rFonts w:ascii="Verdana" w:hAnsi="Verdana"/>
          <w:b/>
          <w:bCs/>
          <w:color w:val="800000"/>
          <w:sz w:val="18"/>
          <w:szCs w:val="18"/>
        </w:rPr>
      </w:pPr>
      <w:r w:rsidRPr="001C5F09">
        <w:rPr>
          <w:rFonts w:ascii="Verdana" w:hAnsi="Verdana"/>
          <w:b/>
          <w:bCs/>
          <w:color w:val="800000"/>
          <w:sz w:val="18"/>
          <w:szCs w:val="18"/>
        </w:rPr>
        <w:t>Medidas urgentes</w:t>
      </w:r>
    </w:p>
    <w:p w14:paraId="26529FA7" w14:textId="77777777" w:rsidR="001C5F09" w:rsidRDefault="001C5F09" w:rsidP="001C5F09">
      <w:pPr>
        <w:pStyle w:val="Sangradetextonormal"/>
        <w:ind w:left="0"/>
        <w:rPr>
          <w:rFonts w:ascii="Verdana" w:hAnsi="Verdana"/>
          <w:iCs/>
          <w:sz w:val="18"/>
          <w:szCs w:val="18"/>
        </w:rPr>
      </w:pPr>
      <w:r w:rsidRPr="001C5F09">
        <w:rPr>
          <w:rFonts w:ascii="Verdana" w:hAnsi="Verdana"/>
          <w:iCs/>
          <w:sz w:val="18"/>
          <w:szCs w:val="18"/>
        </w:rPr>
        <w:t>Decreto-ley 1/2026, de 1 de abril, por el que se adoptan medidas extraordinarias y urgentes para paliar la crisis económica producida por los efectos de la guerra en Oriente Medio.</w:t>
      </w:r>
    </w:p>
    <w:p w14:paraId="0FB49FA9" w14:textId="77777777" w:rsidR="001954EB" w:rsidRDefault="001C5F09" w:rsidP="001C5F09">
      <w:pPr>
        <w:pStyle w:val="Sangradetextonormal"/>
        <w:ind w:left="0"/>
        <w:rPr>
          <w:rFonts w:ascii="Verdana" w:hAnsi="Verdana"/>
          <w:i/>
          <w:sz w:val="18"/>
          <w:szCs w:val="18"/>
        </w:rPr>
      </w:pPr>
      <w:r w:rsidRPr="008B0D72">
        <w:rPr>
          <w:rFonts w:ascii="Verdana" w:hAnsi="Verdana"/>
          <w:i/>
          <w:sz w:val="18"/>
          <w:szCs w:val="18"/>
        </w:rPr>
        <w:t>B.O.E. núm. 107 de 2 de mayo de 2026</w:t>
      </w:r>
      <w:r w:rsidR="008B0D72" w:rsidRPr="008B0D72">
        <w:rPr>
          <w:rFonts w:ascii="Verdana" w:hAnsi="Verdana"/>
          <w:i/>
          <w:sz w:val="18"/>
          <w:szCs w:val="18"/>
        </w:rPr>
        <w:t>.</w:t>
      </w:r>
    </w:p>
    <w:p w14:paraId="6D9D3018" w14:textId="77777777" w:rsidR="001954EB" w:rsidRDefault="001954EB" w:rsidP="001C5F09">
      <w:pPr>
        <w:pStyle w:val="Sangradetextonormal"/>
        <w:ind w:left="0"/>
        <w:rPr>
          <w:rFonts w:ascii="Verdana" w:hAnsi="Verdana"/>
          <w:i/>
          <w:sz w:val="18"/>
          <w:szCs w:val="18"/>
        </w:rPr>
      </w:pPr>
    </w:p>
    <w:p w14:paraId="6E49CEBA" w14:textId="77777777" w:rsidR="001954EB" w:rsidRPr="001954EB" w:rsidRDefault="001954EB" w:rsidP="001954EB">
      <w:pPr>
        <w:pStyle w:val="Sangradetextonormal"/>
        <w:ind w:hanging="180"/>
        <w:rPr>
          <w:rFonts w:ascii="Verdana" w:hAnsi="Verdana"/>
          <w:b/>
          <w:bCs/>
          <w:color w:val="800000"/>
          <w:sz w:val="18"/>
          <w:szCs w:val="18"/>
        </w:rPr>
      </w:pPr>
      <w:r w:rsidRPr="001954EB">
        <w:rPr>
          <w:rFonts w:ascii="Verdana" w:hAnsi="Verdana"/>
          <w:b/>
          <w:bCs/>
          <w:color w:val="800000"/>
          <w:sz w:val="18"/>
          <w:szCs w:val="18"/>
        </w:rPr>
        <w:t>COMUNIDAD AUTÓNOMA DE CANTABRIA</w:t>
      </w:r>
    </w:p>
    <w:p w14:paraId="208CA2D1" w14:textId="77777777" w:rsidR="001954EB" w:rsidRPr="001954EB" w:rsidRDefault="001954EB" w:rsidP="001954EB">
      <w:pPr>
        <w:pStyle w:val="Sangradetextonormal"/>
        <w:ind w:hanging="180"/>
        <w:rPr>
          <w:rFonts w:ascii="Verdana" w:hAnsi="Verdana"/>
          <w:b/>
          <w:bCs/>
          <w:color w:val="800000"/>
          <w:sz w:val="18"/>
          <w:szCs w:val="18"/>
        </w:rPr>
      </w:pPr>
      <w:r w:rsidRPr="001954EB">
        <w:rPr>
          <w:rFonts w:ascii="Verdana" w:hAnsi="Verdana"/>
          <w:b/>
          <w:bCs/>
          <w:color w:val="800000"/>
          <w:sz w:val="18"/>
          <w:szCs w:val="18"/>
        </w:rPr>
        <w:t>Presupuestos</w:t>
      </w:r>
    </w:p>
    <w:p w14:paraId="4E4EFF78" w14:textId="77777777" w:rsidR="001954EB" w:rsidRPr="001954EB" w:rsidRDefault="001954EB" w:rsidP="001954EB">
      <w:pPr>
        <w:pStyle w:val="Sangradetextonormal"/>
        <w:ind w:left="0"/>
        <w:rPr>
          <w:rFonts w:ascii="Verdana" w:hAnsi="Verdana"/>
          <w:iCs/>
          <w:sz w:val="18"/>
          <w:szCs w:val="18"/>
        </w:rPr>
      </w:pPr>
      <w:r w:rsidRPr="001954EB">
        <w:rPr>
          <w:rFonts w:ascii="Verdana" w:hAnsi="Verdana"/>
          <w:iCs/>
          <w:sz w:val="18"/>
          <w:szCs w:val="18"/>
        </w:rPr>
        <w:t>Ley 4/2026, de 28 de abril, de Presupuestos Generales de la Comunidad Autónoma</w:t>
      </w:r>
      <w:r w:rsidRPr="001954EB">
        <w:rPr>
          <w:rFonts w:ascii="Verdana" w:hAnsi="Verdana"/>
          <w:b/>
          <w:bCs/>
          <w:iCs/>
          <w:color w:val="800000"/>
          <w:sz w:val="18"/>
          <w:szCs w:val="18"/>
        </w:rPr>
        <w:t xml:space="preserve"> </w:t>
      </w:r>
      <w:r w:rsidRPr="001954EB">
        <w:rPr>
          <w:rFonts w:ascii="Verdana" w:hAnsi="Verdana"/>
          <w:iCs/>
          <w:color w:val="800000"/>
          <w:sz w:val="18"/>
          <w:szCs w:val="18"/>
        </w:rPr>
        <w:t>de</w:t>
      </w:r>
      <w:r w:rsidRPr="001954EB">
        <w:rPr>
          <w:rFonts w:ascii="Verdana" w:hAnsi="Verdana"/>
          <w:iCs/>
          <w:sz w:val="18"/>
          <w:szCs w:val="18"/>
        </w:rPr>
        <w:t xml:space="preserve"> Cantabria para el año 2026.</w:t>
      </w:r>
    </w:p>
    <w:p w14:paraId="58CCB179" w14:textId="489FCB13" w:rsidR="001954EB" w:rsidRDefault="001954EB" w:rsidP="001954EB">
      <w:pPr>
        <w:pStyle w:val="Sangradetextonormal"/>
        <w:ind w:left="0"/>
        <w:rPr>
          <w:rFonts w:ascii="Verdana" w:hAnsi="Verdana"/>
          <w:i/>
          <w:sz w:val="18"/>
          <w:szCs w:val="18"/>
        </w:rPr>
      </w:pPr>
      <w:r w:rsidRPr="008B0D72">
        <w:rPr>
          <w:rFonts w:ascii="Verdana" w:hAnsi="Verdana"/>
          <w:i/>
          <w:sz w:val="18"/>
          <w:szCs w:val="18"/>
        </w:rPr>
        <w:t>B.O.E. núm. 1</w:t>
      </w:r>
      <w:r>
        <w:rPr>
          <w:rFonts w:ascii="Verdana" w:hAnsi="Verdana"/>
          <w:i/>
          <w:sz w:val="18"/>
          <w:szCs w:val="18"/>
        </w:rPr>
        <w:t>12</w:t>
      </w:r>
      <w:r w:rsidRPr="008B0D72">
        <w:rPr>
          <w:rFonts w:ascii="Verdana" w:hAnsi="Verdana"/>
          <w:i/>
          <w:sz w:val="18"/>
          <w:szCs w:val="18"/>
        </w:rPr>
        <w:t xml:space="preserve"> de </w:t>
      </w:r>
      <w:r>
        <w:rPr>
          <w:rFonts w:ascii="Verdana" w:hAnsi="Verdana"/>
          <w:i/>
          <w:sz w:val="18"/>
          <w:szCs w:val="18"/>
        </w:rPr>
        <w:t>8</w:t>
      </w:r>
      <w:r w:rsidRPr="008B0D72">
        <w:rPr>
          <w:rFonts w:ascii="Verdana" w:hAnsi="Verdana"/>
          <w:i/>
          <w:sz w:val="18"/>
          <w:szCs w:val="18"/>
        </w:rPr>
        <w:t xml:space="preserve"> de mayo de 2026.</w:t>
      </w:r>
    </w:p>
    <w:p w14:paraId="1B433940" w14:textId="77777777" w:rsidR="004A22DB" w:rsidRDefault="004A22DB" w:rsidP="001C5F09">
      <w:pPr>
        <w:pStyle w:val="Sangradetextonormal"/>
        <w:ind w:left="0"/>
        <w:rPr>
          <w:rFonts w:ascii="Verdana" w:hAnsi="Verdana"/>
          <w:i/>
          <w:sz w:val="18"/>
          <w:szCs w:val="18"/>
        </w:rPr>
      </w:pPr>
    </w:p>
    <w:p w14:paraId="7782DA57" w14:textId="77777777" w:rsidR="004A22DB" w:rsidRDefault="004A22DB" w:rsidP="004A22DB">
      <w:pPr>
        <w:pStyle w:val="Sangradetextonormal"/>
        <w:ind w:hanging="180"/>
        <w:rPr>
          <w:rFonts w:ascii="Verdana" w:hAnsi="Verdana"/>
          <w:b/>
          <w:bCs/>
          <w:color w:val="800000"/>
          <w:sz w:val="18"/>
          <w:szCs w:val="18"/>
        </w:rPr>
      </w:pPr>
      <w:r w:rsidRPr="004A22DB">
        <w:rPr>
          <w:rFonts w:ascii="Verdana" w:hAnsi="Verdana"/>
          <w:b/>
          <w:bCs/>
          <w:color w:val="800000"/>
          <w:sz w:val="18"/>
          <w:szCs w:val="18"/>
        </w:rPr>
        <w:t>COMUNIDAD AUTÓNOMA DE CANARIAS</w:t>
      </w:r>
    </w:p>
    <w:p w14:paraId="0936FEC5" w14:textId="77777777" w:rsidR="004A22DB" w:rsidRPr="004A22DB" w:rsidRDefault="004A22DB" w:rsidP="004A22DB">
      <w:pPr>
        <w:pStyle w:val="Sangradetextonormal"/>
        <w:ind w:hanging="180"/>
        <w:rPr>
          <w:rFonts w:ascii="Verdana" w:hAnsi="Verdana"/>
          <w:b/>
          <w:bCs/>
          <w:color w:val="800000"/>
          <w:sz w:val="18"/>
          <w:szCs w:val="18"/>
        </w:rPr>
      </w:pPr>
      <w:r w:rsidRPr="004A22DB">
        <w:rPr>
          <w:rFonts w:ascii="Verdana" w:hAnsi="Verdana"/>
          <w:b/>
          <w:bCs/>
          <w:color w:val="800000"/>
          <w:sz w:val="18"/>
          <w:szCs w:val="18"/>
        </w:rPr>
        <w:t>Tributos</w:t>
      </w:r>
    </w:p>
    <w:p w14:paraId="3D7805A3" w14:textId="77777777" w:rsidR="004A22DB" w:rsidRDefault="004A22DB" w:rsidP="004A22DB">
      <w:pPr>
        <w:pStyle w:val="Sangradetextonormal"/>
        <w:ind w:left="0"/>
        <w:rPr>
          <w:rFonts w:ascii="Verdana" w:hAnsi="Verdana"/>
          <w:iCs/>
          <w:sz w:val="18"/>
          <w:szCs w:val="18"/>
        </w:rPr>
      </w:pPr>
      <w:r w:rsidRPr="004A22DB">
        <w:rPr>
          <w:rFonts w:ascii="Verdana" w:hAnsi="Verdana"/>
          <w:iCs/>
          <w:sz w:val="18"/>
          <w:szCs w:val="18"/>
        </w:rPr>
        <w:t>Decreto-ley 7/2025, de 23 de diciembre, de ampliación del período de aplicación del tipo cero del Impuesto General Indirecto Canario a determinadas operaciones</w:t>
      </w:r>
      <w:r w:rsidRPr="004A22DB">
        <w:rPr>
          <w:rFonts w:ascii="Verdana" w:hAnsi="Verdana"/>
          <w:b/>
          <w:bCs/>
          <w:color w:val="800000"/>
          <w:sz w:val="18"/>
          <w:szCs w:val="18"/>
        </w:rPr>
        <w:t xml:space="preserve"> relativas a la erupción </w:t>
      </w:r>
      <w:r w:rsidRPr="004A22DB">
        <w:rPr>
          <w:rFonts w:ascii="Verdana" w:hAnsi="Verdana"/>
          <w:iCs/>
          <w:sz w:val="18"/>
          <w:szCs w:val="18"/>
        </w:rPr>
        <w:t>volcánica en la isla de La Palma.</w:t>
      </w:r>
    </w:p>
    <w:p w14:paraId="407D1DC0" w14:textId="19FFFC6D" w:rsidR="004A22DB" w:rsidRDefault="004A22DB" w:rsidP="004A22DB">
      <w:pPr>
        <w:pStyle w:val="Sangradetextonormal"/>
        <w:ind w:left="0"/>
        <w:rPr>
          <w:rFonts w:ascii="Verdana" w:hAnsi="Verdana"/>
          <w:i/>
          <w:sz w:val="18"/>
          <w:szCs w:val="18"/>
        </w:rPr>
      </w:pPr>
      <w:r w:rsidRPr="004A22DB">
        <w:rPr>
          <w:rFonts w:ascii="Verdana" w:hAnsi="Verdana"/>
          <w:i/>
          <w:sz w:val="18"/>
          <w:szCs w:val="18"/>
        </w:rPr>
        <w:t>B.O.E. núm. 11</w:t>
      </w:r>
      <w:r>
        <w:rPr>
          <w:rFonts w:ascii="Verdana" w:hAnsi="Verdana"/>
          <w:i/>
          <w:sz w:val="18"/>
          <w:szCs w:val="18"/>
        </w:rPr>
        <w:t>4</w:t>
      </w:r>
      <w:r w:rsidRPr="004A22DB">
        <w:rPr>
          <w:rFonts w:ascii="Verdana" w:hAnsi="Verdana"/>
          <w:i/>
          <w:sz w:val="18"/>
          <w:szCs w:val="18"/>
        </w:rPr>
        <w:t xml:space="preserve"> de </w:t>
      </w:r>
      <w:r>
        <w:rPr>
          <w:rFonts w:ascii="Verdana" w:hAnsi="Verdana"/>
          <w:i/>
          <w:sz w:val="18"/>
          <w:szCs w:val="18"/>
        </w:rPr>
        <w:t>11</w:t>
      </w:r>
      <w:r w:rsidRPr="004A22DB">
        <w:rPr>
          <w:rFonts w:ascii="Verdana" w:hAnsi="Verdana"/>
          <w:i/>
          <w:sz w:val="18"/>
          <w:szCs w:val="18"/>
        </w:rPr>
        <w:t xml:space="preserve"> de mayo de 2026.</w:t>
      </w:r>
    </w:p>
    <w:p w14:paraId="322E06B8" w14:textId="77777777" w:rsidR="004A22DB" w:rsidRDefault="004A22DB" w:rsidP="004A22DB">
      <w:pPr>
        <w:pStyle w:val="Sangradetextonormal"/>
        <w:ind w:left="0"/>
        <w:rPr>
          <w:rFonts w:ascii="Verdana" w:hAnsi="Verdana"/>
          <w:i/>
          <w:sz w:val="18"/>
          <w:szCs w:val="18"/>
        </w:rPr>
      </w:pPr>
    </w:p>
    <w:p w14:paraId="4F8CE95D" w14:textId="77777777" w:rsidR="004A22DB" w:rsidRPr="004A22DB" w:rsidRDefault="004A22DB" w:rsidP="004A22DB">
      <w:pPr>
        <w:pStyle w:val="Sangradetextonormal"/>
        <w:ind w:hanging="180"/>
        <w:rPr>
          <w:rFonts w:ascii="Verdana" w:hAnsi="Verdana"/>
          <w:b/>
          <w:bCs/>
          <w:color w:val="800000"/>
          <w:sz w:val="18"/>
          <w:szCs w:val="18"/>
        </w:rPr>
      </w:pPr>
      <w:r w:rsidRPr="004A22DB">
        <w:rPr>
          <w:rFonts w:ascii="Verdana" w:hAnsi="Verdana"/>
          <w:b/>
          <w:bCs/>
          <w:color w:val="800000"/>
          <w:sz w:val="18"/>
          <w:szCs w:val="18"/>
        </w:rPr>
        <w:t>COMUNIDAD AUTÓNOMA DE CANTABRIA</w:t>
      </w:r>
    </w:p>
    <w:p w14:paraId="6BE18600" w14:textId="77777777" w:rsidR="004A22DB" w:rsidRPr="004A22DB" w:rsidRDefault="004A22DB" w:rsidP="004A22DB">
      <w:pPr>
        <w:pStyle w:val="Sangradetextonormal"/>
        <w:ind w:hanging="180"/>
        <w:rPr>
          <w:rFonts w:ascii="Verdana" w:hAnsi="Verdana"/>
          <w:b/>
          <w:bCs/>
          <w:color w:val="800000"/>
          <w:sz w:val="18"/>
          <w:szCs w:val="18"/>
        </w:rPr>
      </w:pPr>
      <w:r w:rsidRPr="004A22DB">
        <w:rPr>
          <w:rFonts w:ascii="Verdana" w:hAnsi="Verdana"/>
          <w:b/>
          <w:bCs/>
          <w:color w:val="800000"/>
          <w:sz w:val="18"/>
          <w:szCs w:val="18"/>
        </w:rPr>
        <w:t>Medidas fiscales y administrativas</w:t>
      </w:r>
    </w:p>
    <w:p w14:paraId="4FD446C2" w14:textId="45DE9972" w:rsidR="004A22DB" w:rsidRPr="004A22DB" w:rsidRDefault="004A22DB" w:rsidP="004A22DB">
      <w:pPr>
        <w:pStyle w:val="Sangradetextonormal"/>
        <w:ind w:left="0"/>
        <w:rPr>
          <w:rFonts w:ascii="Verdana" w:hAnsi="Verdana"/>
          <w:iCs/>
          <w:sz w:val="18"/>
          <w:szCs w:val="18"/>
        </w:rPr>
      </w:pPr>
      <w:r w:rsidRPr="004A22DB">
        <w:rPr>
          <w:rFonts w:ascii="Verdana" w:hAnsi="Verdana"/>
          <w:i/>
          <w:sz w:val="18"/>
          <w:szCs w:val="18"/>
        </w:rPr>
        <w:t xml:space="preserve">Ley de Cantabria 5/2026, de 28 de abril, de Medidas Fiscales y Administrativas para el año </w:t>
      </w:r>
      <w:r w:rsidRPr="004A22DB">
        <w:rPr>
          <w:rFonts w:ascii="Verdana" w:hAnsi="Verdana"/>
          <w:iCs/>
          <w:sz w:val="18"/>
          <w:szCs w:val="18"/>
        </w:rPr>
        <w:t>2026.</w:t>
      </w:r>
    </w:p>
    <w:p w14:paraId="47DDEE91" w14:textId="07008886" w:rsidR="004A22DB" w:rsidRDefault="004A22DB" w:rsidP="004A22DB">
      <w:pPr>
        <w:pStyle w:val="Sangradetextonormal"/>
        <w:ind w:left="0"/>
        <w:rPr>
          <w:rFonts w:ascii="Verdana" w:hAnsi="Verdana"/>
          <w:i/>
          <w:sz w:val="18"/>
          <w:szCs w:val="18"/>
        </w:rPr>
      </w:pPr>
      <w:r w:rsidRPr="004A22DB">
        <w:rPr>
          <w:rFonts w:ascii="Verdana" w:hAnsi="Verdana"/>
          <w:i/>
          <w:sz w:val="18"/>
          <w:szCs w:val="18"/>
        </w:rPr>
        <w:t>B.O.E. núm. 11</w:t>
      </w:r>
      <w:r w:rsidR="0033674A">
        <w:rPr>
          <w:rFonts w:ascii="Verdana" w:hAnsi="Verdana"/>
          <w:i/>
          <w:sz w:val="18"/>
          <w:szCs w:val="18"/>
        </w:rPr>
        <w:t>7</w:t>
      </w:r>
      <w:r w:rsidRPr="004A22DB">
        <w:rPr>
          <w:rFonts w:ascii="Verdana" w:hAnsi="Verdana"/>
          <w:i/>
          <w:sz w:val="18"/>
          <w:szCs w:val="18"/>
        </w:rPr>
        <w:t xml:space="preserve"> de </w:t>
      </w:r>
      <w:r>
        <w:rPr>
          <w:rFonts w:ascii="Verdana" w:hAnsi="Verdana"/>
          <w:i/>
          <w:sz w:val="18"/>
          <w:szCs w:val="18"/>
        </w:rPr>
        <w:t>1</w:t>
      </w:r>
      <w:r w:rsidR="0033674A">
        <w:rPr>
          <w:rFonts w:ascii="Verdana" w:hAnsi="Verdana"/>
          <w:i/>
          <w:sz w:val="18"/>
          <w:szCs w:val="18"/>
        </w:rPr>
        <w:t>4</w:t>
      </w:r>
      <w:r w:rsidRPr="004A22DB">
        <w:rPr>
          <w:rFonts w:ascii="Verdana" w:hAnsi="Verdana"/>
          <w:i/>
          <w:sz w:val="18"/>
          <w:szCs w:val="18"/>
        </w:rPr>
        <w:t xml:space="preserve"> de mayo de 2026.</w:t>
      </w:r>
    </w:p>
    <w:p w14:paraId="66E6D286" w14:textId="00FB22F0" w:rsidR="006735D8" w:rsidRPr="004A22DB" w:rsidRDefault="006735D8" w:rsidP="004A22DB">
      <w:pPr>
        <w:pStyle w:val="Sangradetextonormal"/>
        <w:ind w:left="0"/>
        <w:rPr>
          <w:rFonts w:ascii="Verdana" w:hAnsi="Verdana"/>
          <w:iCs/>
          <w:sz w:val="18"/>
          <w:szCs w:val="18"/>
        </w:rPr>
      </w:pPr>
      <w:r w:rsidRPr="004A22DB">
        <w:rPr>
          <w:rFonts w:ascii="Verdana" w:hAnsi="Verdana"/>
          <w:iCs/>
          <w:sz w:val="18"/>
          <w:szCs w:val="18"/>
        </w:rPr>
        <w:br w:type="page"/>
      </w:r>
    </w:p>
    <w:p w14:paraId="597E6909" w14:textId="0FDCB12A" w:rsidR="002F1978" w:rsidRPr="008E729A" w:rsidRDefault="002F1978" w:rsidP="003B1A31">
      <w:pPr>
        <w:tabs>
          <w:tab w:val="left" w:pos="5739"/>
        </w:tabs>
        <w:jc w:val="both"/>
        <w:rPr>
          <w:rFonts w:ascii="Verdana" w:hAnsi="Verdana"/>
          <w:b/>
          <w:bCs/>
          <w:color w:val="800000"/>
          <w:sz w:val="22"/>
          <w:szCs w:val="22"/>
        </w:rPr>
      </w:pPr>
      <w:r w:rsidRPr="008E729A">
        <w:rPr>
          <w:rFonts w:ascii="Verdana" w:hAnsi="Verdana"/>
          <w:b/>
          <w:bCs/>
          <w:color w:val="800000"/>
          <w:sz w:val="22"/>
          <w:szCs w:val="22"/>
        </w:rPr>
        <w:lastRenderedPageBreak/>
        <w:t xml:space="preserve">CALENDARIO FISCAL PARA EL MES DE JUNIO DE </w:t>
      </w:r>
      <w:r w:rsidR="006B0EC9">
        <w:rPr>
          <w:rFonts w:ascii="Verdana" w:hAnsi="Verdana"/>
          <w:b/>
          <w:bCs/>
          <w:color w:val="800000"/>
          <w:sz w:val="22"/>
          <w:szCs w:val="22"/>
        </w:rPr>
        <w:t>202</w:t>
      </w:r>
      <w:r w:rsidR="00C15121">
        <w:rPr>
          <w:rFonts w:ascii="Verdana" w:hAnsi="Verdana"/>
          <w:b/>
          <w:bCs/>
          <w:color w:val="800000"/>
          <w:sz w:val="22"/>
          <w:szCs w:val="22"/>
        </w:rPr>
        <w:t>6</w:t>
      </w:r>
    </w:p>
    <w:p w14:paraId="619056E8" w14:textId="77777777" w:rsidR="002F1978" w:rsidRPr="008E729A" w:rsidRDefault="002F1978">
      <w:pPr>
        <w:jc w:val="both"/>
        <w:rPr>
          <w:rFonts w:ascii="Verdana" w:hAnsi="Verdana"/>
          <w:sz w:val="18"/>
          <w:szCs w:val="18"/>
        </w:rPr>
      </w:pPr>
    </w:p>
    <w:p w14:paraId="3423320A" w14:textId="5016326F" w:rsidR="00B23DEC" w:rsidRPr="00B23DEC" w:rsidRDefault="00B23DEC" w:rsidP="00B23DEC">
      <w:pPr>
        <w:shd w:val="clear" w:color="auto" w:fill="FFFFFF"/>
        <w:spacing w:after="100" w:afterAutospacing="1"/>
        <w:outlineLvl w:val="1"/>
        <w:rPr>
          <w:rFonts w:ascii="Verdana" w:hAnsi="Verdana" w:cs="Arial"/>
          <w:b/>
          <w:bCs/>
          <w:color w:val="000000"/>
          <w:sz w:val="18"/>
          <w:szCs w:val="18"/>
        </w:rPr>
      </w:pPr>
      <w:r w:rsidRPr="00B23DEC">
        <w:rPr>
          <w:rFonts w:ascii="Verdana" w:hAnsi="Verdana" w:cs="Arial"/>
          <w:b/>
          <w:bCs/>
          <w:color w:val="000000"/>
          <w:sz w:val="18"/>
          <w:szCs w:val="18"/>
        </w:rPr>
        <w:t>HASTA EL 1 DE JUNIO</w:t>
      </w:r>
    </w:p>
    <w:p w14:paraId="45436D98"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IVA</w:t>
      </w:r>
    </w:p>
    <w:p w14:paraId="46D03064" w14:textId="77777777" w:rsidR="00B23DEC" w:rsidRPr="00B23DEC" w:rsidRDefault="00B23DEC">
      <w:pPr>
        <w:numPr>
          <w:ilvl w:val="0"/>
          <w:numId w:val="1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Abril 2026. Autoliquidación: 303</w:t>
      </w:r>
    </w:p>
    <w:p w14:paraId="3BDD53CE" w14:textId="77777777" w:rsidR="00B23DEC" w:rsidRPr="00B23DEC" w:rsidRDefault="00B23DEC">
      <w:pPr>
        <w:numPr>
          <w:ilvl w:val="0"/>
          <w:numId w:val="1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Abril 2026. Grupo de entidades, modelo individual: 322</w:t>
      </w:r>
    </w:p>
    <w:p w14:paraId="34E4D9C2" w14:textId="77777777" w:rsidR="00B23DEC" w:rsidRPr="00B23DEC" w:rsidRDefault="00B23DEC">
      <w:pPr>
        <w:numPr>
          <w:ilvl w:val="0"/>
          <w:numId w:val="1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Abril 2026. Grupo de entidades, modelo agregado: 353</w:t>
      </w:r>
    </w:p>
    <w:p w14:paraId="4A82ABBC" w14:textId="77777777" w:rsidR="00B23DEC" w:rsidRPr="00B23DEC" w:rsidRDefault="00B23DEC">
      <w:pPr>
        <w:numPr>
          <w:ilvl w:val="0"/>
          <w:numId w:val="1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Abril 2026. Operaciones asimiladas a las importaciones: 380</w:t>
      </w:r>
    </w:p>
    <w:p w14:paraId="12033759"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Impuestos Medioambientales</w:t>
      </w:r>
    </w:p>
    <w:p w14:paraId="206F01F6" w14:textId="77777777" w:rsidR="00B23DEC" w:rsidRPr="00B23DEC" w:rsidRDefault="00B23DEC">
      <w:pPr>
        <w:numPr>
          <w:ilvl w:val="0"/>
          <w:numId w:val="11"/>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Abril 2026. Impuesto especial sobre los envases de plástico no reutilizables. Presentación contabilidad y libro registro de existencias</w:t>
      </w:r>
    </w:p>
    <w:p w14:paraId="5DAB0FC9"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Declaración informativa mensual de las operaciones realizadas por los empresarios o profesionales adheridos al sistema de gestión de cobros a través de cualquier tipo de tarjetas y mediante pagos asociados a números de teléfono móvil</w:t>
      </w:r>
    </w:p>
    <w:p w14:paraId="06896E8F" w14:textId="77777777" w:rsidR="00B23DEC" w:rsidRPr="00B23DEC" w:rsidRDefault="00B23DEC">
      <w:pPr>
        <w:numPr>
          <w:ilvl w:val="0"/>
          <w:numId w:val="12"/>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Abril 2026: 170</w:t>
      </w:r>
    </w:p>
    <w:p w14:paraId="616323F0"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Declaración informativa mensual de cuentas en toda clase de instituciones financieras y resumen anual de retenciones e ingresos a cuenta sobre rendimientos del capital mobiliario y rentas obtenidas por la contraprestación derivada de cuentas en toda clase de instituciones financieras</w:t>
      </w:r>
    </w:p>
    <w:p w14:paraId="33668CAC" w14:textId="77777777" w:rsidR="00B23DEC" w:rsidRPr="00B23DEC" w:rsidRDefault="00B23DEC">
      <w:pPr>
        <w:numPr>
          <w:ilvl w:val="0"/>
          <w:numId w:val="13"/>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Abril 2026: 196</w:t>
      </w:r>
    </w:p>
    <w:p w14:paraId="002F7E33"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Declaración informativa anual de cuentas financieras en el ámbito de la asistencia mutua</w:t>
      </w:r>
    </w:p>
    <w:p w14:paraId="39092A97" w14:textId="77777777" w:rsidR="00B23DEC" w:rsidRPr="00B23DEC" w:rsidRDefault="00B23DEC">
      <w:pPr>
        <w:numPr>
          <w:ilvl w:val="0"/>
          <w:numId w:val="14"/>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Año 2025: 289</w:t>
      </w:r>
    </w:p>
    <w:p w14:paraId="2FB3C850"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Declaración informativa anual de cuentas financieras de determinadas personas estadounidenses (FATCA)</w:t>
      </w:r>
    </w:p>
    <w:p w14:paraId="1F1864AE" w14:textId="77777777" w:rsidR="00B23DEC" w:rsidRPr="00B23DEC" w:rsidRDefault="00B23DEC">
      <w:pPr>
        <w:numPr>
          <w:ilvl w:val="0"/>
          <w:numId w:val="15"/>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Año 2025: 290</w:t>
      </w:r>
    </w:p>
    <w:p w14:paraId="05DB22DC" w14:textId="672F4EF0" w:rsidR="00B23DEC" w:rsidRPr="00B23DEC" w:rsidRDefault="00B23DEC" w:rsidP="00B23DEC">
      <w:pPr>
        <w:shd w:val="clear" w:color="auto" w:fill="FFFFFF"/>
        <w:spacing w:after="100" w:afterAutospacing="1"/>
        <w:outlineLvl w:val="1"/>
        <w:rPr>
          <w:rFonts w:ascii="Verdana" w:hAnsi="Verdana" w:cs="Arial"/>
          <w:b/>
          <w:bCs/>
          <w:color w:val="000000"/>
          <w:sz w:val="18"/>
          <w:szCs w:val="18"/>
        </w:rPr>
      </w:pPr>
      <w:r w:rsidRPr="00B23DEC">
        <w:rPr>
          <w:rFonts w:ascii="Verdana" w:hAnsi="Verdana" w:cs="Arial"/>
          <w:b/>
          <w:bCs/>
          <w:color w:val="000000"/>
          <w:sz w:val="18"/>
          <w:szCs w:val="18"/>
        </w:rPr>
        <w:t>DESDE EL 1 DE JUNIO AL 30 DE JUNIO</w:t>
      </w:r>
    </w:p>
    <w:p w14:paraId="42D4F583" w14:textId="77777777" w:rsidR="00B23DEC" w:rsidRDefault="00B23DEC">
      <w:pPr>
        <w:numPr>
          <w:ilvl w:val="0"/>
          <w:numId w:val="16"/>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Presentación en las oficinas de la Agencia Tributaria de la declaración de Renta 2025</w:t>
      </w:r>
    </w:p>
    <w:p w14:paraId="79E8A521" w14:textId="29F07D15" w:rsidR="00B23DEC" w:rsidRDefault="00B23DEC" w:rsidP="00B23DEC">
      <w:pPr>
        <w:pStyle w:val="Ttulo1"/>
        <w:shd w:val="clear" w:color="auto" w:fill="FFFFFF"/>
        <w:rPr>
          <w:rFonts w:ascii="Verdana" w:hAnsi="Verdana" w:cs="Arial"/>
          <w:color w:val="000000"/>
          <w:sz w:val="18"/>
          <w:szCs w:val="18"/>
        </w:rPr>
      </w:pPr>
      <w:r w:rsidRPr="00B23DEC">
        <w:rPr>
          <w:rFonts w:ascii="Verdana" w:hAnsi="Verdana" w:cs="Arial"/>
          <w:color w:val="000000"/>
          <w:sz w:val="18"/>
          <w:szCs w:val="18"/>
        </w:rPr>
        <w:t>HASTA EL 12 DE JUNIO</w:t>
      </w:r>
    </w:p>
    <w:p w14:paraId="4B4EAFE0" w14:textId="77777777" w:rsidR="00B23DEC" w:rsidRPr="00B23DEC" w:rsidRDefault="00B23DEC" w:rsidP="00B23DEC"/>
    <w:p w14:paraId="6D13C96A" w14:textId="77777777" w:rsidR="00B23DEC" w:rsidRPr="00B23DEC" w:rsidRDefault="00B23DEC" w:rsidP="00B23DEC">
      <w:pPr>
        <w:pStyle w:val="Ttulo3"/>
        <w:shd w:val="clear" w:color="auto" w:fill="FFFFFF"/>
        <w:rPr>
          <w:rFonts w:ascii="Verdana" w:hAnsi="Verdana" w:cs="Arial"/>
          <w:color w:val="000000"/>
          <w:sz w:val="18"/>
          <w:szCs w:val="18"/>
          <w:u w:val="none"/>
        </w:rPr>
      </w:pPr>
      <w:r w:rsidRPr="00B23DEC">
        <w:rPr>
          <w:rStyle w:val="Fuerte"/>
          <w:rFonts w:ascii="Verdana" w:hAnsi="Verdana" w:cs="Arial"/>
          <w:b w:val="0"/>
          <w:bCs w:val="0"/>
          <w:color w:val="000000"/>
          <w:sz w:val="18"/>
          <w:szCs w:val="18"/>
          <w:u w:val="none"/>
        </w:rPr>
        <w:t>INTRASTAT - Estadística Comercio Intracomunitario</w:t>
      </w:r>
    </w:p>
    <w:p w14:paraId="2B22CD0A" w14:textId="77777777" w:rsidR="00B23DEC" w:rsidRDefault="00B23DEC">
      <w:pPr>
        <w:pStyle w:val="NormalWeb"/>
        <w:numPr>
          <w:ilvl w:val="0"/>
          <w:numId w:val="17"/>
        </w:numPr>
        <w:shd w:val="clear" w:color="auto" w:fill="FFFFFF"/>
        <w:spacing w:before="0" w:beforeAutospacing="0"/>
        <w:jc w:val="left"/>
        <w:rPr>
          <w:rFonts w:cs="Arial"/>
          <w:color w:val="000000"/>
          <w:sz w:val="18"/>
          <w:szCs w:val="18"/>
        </w:rPr>
      </w:pPr>
      <w:r w:rsidRPr="00B23DEC">
        <w:rPr>
          <w:rFonts w:cs="Arial"/>
          <w:color w:val="000000"/>
          <w:sz w:val="18"/>
          <w:szCs w:val="18"/>
        </w:rPr>
        <w:t>Mayo 2026. Obligados a suministrar información estadística</w:t>
      </w:r>
    </w:p>
    <w:p w14:paraId="66C56061" w14:textId="258F174A" w:rsidR="00B23DEC" w:rsidRPr="00B23DEC" w:rsidRDefault="00B23DEC" w:rsidP="00B23DEC">
      <w:pPr>
        <w:shd w:val="clear" w:color="auto" w:fill="FFFFFF"/>
        <w:spacing w:after="100" w:afterAutospacing="1"/>
        <w:outlineLvl w:val="0"/>
        <w:rPr>
          <w:rFonts w:ascii="Verdana" w:hAnsi="Verdana" w:cs="Arial"/>
          <w:b/>
          <w:bCs/>
          <w:color w:val="000000"/>
          <w:kern w:val="36"/>
          <w:sz w:val="18"/>
          <w:szCs w:val="18"/>
        </w:rPr>
      </w:pPr>
      <w:r w:rsidRPr="00B23DEC">
        <w:rPr>
          <w:rFonts w:ascii="Verdana" w:hAnsi="Verdana" w:cs="Arial"/>
          <w:b/>
          <w:bCs/>
          <w:color w:val="000000"/>
          <w:kern w:val="36"/>
          <w:sz w:val="18"/>
          <w:szCs w:val="18"/>
        </w:rPr>
        <w:t>HASTA EL 22 DE JUNIO</w:t>
      </w:r>
    </w:p>
    <w:p w14:paraId="3D0F501E"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Renta y Sociedades</w:t>
      </w:r>
    </w:p>
    <w:p w14:paraId="0F815170" w14:textId="77777777" w:rsidR="00B23DEC" w:rsidRPr="00B23DEC" w:rsidRDefault="00B23DEC" w:rsidP="00B23DEC">
      <w:p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lastRenderedPageBreak/>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6F1DF48D" w14:textId="77777777" w:rsidR="00B23DEC" w:rsidRPr="00B23DEC" w:rsidRDefault="00B23DEC">
      <w:pPr>
        <w:numPr>
          <w:ilvl w:val="0"/>
          <w:numId w:val="18"/>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Grandes empresas: 111, 115, 117, 123, 124, 126, 128, 216, 230</w:t>
      </w:r>
    </w:p>
    <w:p w14:paraId="6B3BAE45"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IVA</w:t>
      </w:r>
    </w:p>
    <w:p w14:paraId="6B998061" w14:textId="77777777" w:rsidR="00B23DEC" w:rsidRPr="00B23DEC" w:rsidRDefault="00B23DEC">
      <w:pPr>
        <w:numPr>
          <w:ilvl w:val="0"/>
          <w:numId w:val="19"/>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Declaración recapitulativa de operaciones intracomunitarias: 349</w:t>
      </w:r>
    </w:p>
    <w:p w14:paraId="7ADEF80E" w14:textId="77777777" w:rsidR="00B23DEC" w:rsidRPr="00B23DEC" w:rsidRDefault="00B23DEC">
      <w:pPr>
        <w:numPr>
          <w:ilvl w:val="0"/>
          <w:numId w:val="19"/>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Solicitud de devolución por sujetos pasivos en el régimen simplificado del IVA y que ejerzan la actividad de transporte de viajeros o de mercancías por carretera, por adquirir determinados medios de transporte: 308</w:t>
      </w:r>
    </w:p>
    <w:p w14:paraId="56DF23CD"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Impuesto sobre las Primas de Seguros</w:t>
      </w:r>
    </w:p>
    <w:p w14:paraId="496D4CE8" w14:textId="77777777" w:rsidR="00B23DEC" w:rsidRPr="00B23DEC" w:rsidRDefault="00B23DEC">
      <w:pPr>
        <w:numPr>
          <w:ilvl w:val="0"/>
          <w:numId w:val="2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430</w:t>
      </w:r>
    </w:p>
    <w:p w14:paraId="012C4D88"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Impuestos Especiales de Fabricación</w:t>
      </w:r>
    </w:p>
    <w:p w14:paraId="1BA70771" w14:textId="77777777" w:rsidR="00B23DEC" w:rsidRPr="00B23DEC" w:rsidRDefault="00B23DEC">
      <w:pPr>
        <w:numPr>
          <w:ilvl w:val="0"/>
          <w:numId w:val="21"/>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Marzo 2026. Grandes empresas: 561, 562, 563</w:t>
      </w:r>
    </w:p>
    <w:p w14:paraId="71D533E5" w14:textId="77777777" w:rsidR="00B23DEC" w:rsidRPr="00B23DEC" w:rsidRDefault="00B23DEC">
      <w:pPr>
        <w:numPr>
          <w:ilvl w:val="0"/>
          <w:numId w:val="21"/>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548, 566, 581</w:t>
      </w:r>
    </w:p>
    <w:p w14:paraId="1B34C63A" w14:textId="77777777" w:rsidR="00B23DEC" w:rsidRPr="00B23DEC" w:rsidRDefault="00B23DEC">
      <w:pPr>
        <w:numPr>
          <w:ilvl w:val="0"/>
          <w:numId w:val="21"/>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573 (Autoliquidación), A24 (Solicitud de devolución)</w:t>
      </w:r>
    </w:p>
    <w:p w14:paraId="52A55BD6" w14:textId="77777777" w:rsidR="00B23DEC" w:rsidRPr="00B23DEC" w:rsidRDefault="00B23DEC">
      <w:pPr>
        <w:numPr>
          <w:ilvl w:val="0"/>
          <w:numId w:val="21"/>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Declaración de operaciones por los destinatarios registrados y representantes fiscales: 510</w:t>
      </w:r>
    </w:p>
    <w:p w14:paraId="2CC1067F"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Impuesto Especial sobre la Electricidad</w:t>
      </w:r>
    </w:p>
    <w:p w14:paraId="0423033E" w14:textId="77777777" w:rsidR="00B23DEC" w:rsidRPr="00B23DEC" w:rsidRDefault="00B23DEC">
      <w:pPr>
        <w:numPr>
          <w:ilvl w:val="0"/>
          <w:numId w:val="22"/>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Grandes empresas: 560</w:t>
      </w:r>
    </w:p>
    <w:p w14:paraId="4E40117A"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Impuestos Medioambientales</w:t>
      </w:r>
    </w:p>
    <w:p w14:paraId="0AEB58C1" w14:textId="77777777" w:rsidR="00B23DEC" w:rsidRPr="00B23DEC" w:rsidRDefault="00B23DEC">
      <w:pPr>
        <w:numPr>
          <w:ilvl w:val="0"/>
          <w:numId w:val="23"/>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Impuesto especial sobre los envases de plástico no reutilizables. Autoliquidación: 592</w:t>
      </w:r>
    </w:p>
    <w:p w14:paraId="01B89904" w14:textId="77777777" w:rsidR="00B23DEC" w:rsidRPr="00B23DEC" w:rsidRDefault="00B23DEC">
      <w:pPr>
        <w:numPr>
          <w:ilvl w:val="0"/>
          <w:numId w:val="24"/>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Año 2026. Impuesto sobre la producción de combustible nuclear gastado y residuos radiactivos resultantes de la generación de energía nucleoeléctrica. Primer pago fraccionado: 584</w:t>
      </w:r>
    </w:p>
    <w:p w14:paraId="21D2EB13"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Impuesto sobre las Transacciones Financieras</w:t>
      </w:r>
    </w:p>
    <w:p w14:paraId="3390E95C" w14:textId="77777777" w:rsidR="00B23DEC" w:rsidRPr="00B23DEC" w:rsidRDefault="00B23DEC">
      <w:pPr>
        <w:numPr>
          <w:ilvl w:val="0"/>
          <w:numId w:val="25"/>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604</w:t>
      </w:r>
    </w:p>
    <w:p w14:paraId="4271C88C" w14:textId="5177D681" w:rsidR="00B23DEC" w:rsidRPr="00B23DEC" w:rsidRDefault="00B23DEC" w:rsidP="00B23DEC">
      <w:pPr>
        <w:pStyle w:val="Ttulo1"/>
        <w:shd w:val="clear" w:color="auto" w:fill="FFFFFF"/>
        <w:rPr>
          <w:rFonts w:ascii="Verdana" w:hAnsi="Verdana" w:cs="Arial"/>
          <w:color w:val="000000"/>
          <w:sz w:val="18"/>
          <w:szCs w:val="18"/>
        </w:rPr>
      </w:pPr>
      <w:r w:rsidRPr="00B23DEC">
        <w:rPr>
          <w:rFonts w:ascii="Verdana" w:hAnsi="Verdana" w:cs="Arial"/>
          <w:color w:val="000000"/>
          <w:sz w:val="18"/>
          <w:szCs w:val="18"/>
        </w:rPr>
        <w:t>HASTA EL 25 DE JUNIO</w:t>
      </w:r>
    </w:p>
    <w:p w14:paraId="59100F75" w14:textId="77777777" w:rsidR="00B23DEC" w:rsidRDefault="00B23DEC" w:rsidP="00B23DEC">
      <w:pPr>
        <w:pStyle w:val="Ttulo3"/>
        <w:shd w:val="clear" w:color="auto" w:fill="FFFFFF"/>
        <w:rPr>
          <w:rStyle w:val="Fuerte"/>
          <w:rFonts w:ascii="Verdana" w:hAnsi="Verdana" w:cs="Arial"/>
          <w:b w:val="0"/>
          <w:bCs w:val="0"/>
          <w:color w:val="000000"/>
          <w:sz w:val="18"/>
          <w:szCs w:val="18"/>
        </w:rPr>
      </w:pPr>
    </w:p>
    <w:p w14:paraId="222769AB" w14:textId="2652FF12" w:rsidR="00B23DEC" w:rsidRPr="00B23DEC" w:rsidRDefault="00B23DEC" w:rsidP="00B23DEC">
      <w:pPr>
        <w:pStyle w:val="Ttulo3"/>
        <w:shd w:val="clear" w:color="auto" w:fill="FFFFFF"/>
        <w:rPr>
          <w:rFonts w:ascii="Verdana" w:hAnsi="Verdana" w:cs="Arial"/>
          <w:color w:val="000000"/>
          <w:sz w:val="18"/>
          <w:szCs w:val="18"/>
          <w:u w:val="none"/>
        </w:rPr>
      </w:pPr>
      <w:r w:rsidRPr="00B23DEC">
        <w:rPr>
          <w:rStyle w:val="Fuerte"/>
          <w:rFonts w:ascii="Verdana" w:hAnsi="Verdana" w:cs="Arial"/>
          <w:color w:val="000000"/>
          <w:sz w:val="18"/>
          <w:szCs w:val="18"/>
          <w:u w:val="none"/>
        </w:rPr>
        <w:t>Renta y Patrimonio</w:t>
      </w:r>
    </w:p>
    <w:p w14:paraId="5D0D918C" w14:textId="77777777" w:rsidR="00B23DEC" w:rsidRPr="00B23DEC" w:rsidRDefault="00B23DEC">
      <w:pPr>
        <w:pStyle w:val="NormalWeb"/>
        <w:numPr>
          <w:ilvl w:val="0"/>
          <w:numId w:val="26"/>
        </w:numPr>
        <w:shd w:val="clear" w:color="auto" w:fill="FFFFFF"/>
        <w:spacing w:before="0" w:beforeAutospacing="0"/>
        <w:jc w:val="left"/>
        <w:rPr>
          <w:rFonts w:cs="Arial"/>
          <w:color w:val="000000"/>
          <w:sz w:val="18"/>
          <w:szCs w:val="18"/>
        </w:rPr>
      </w:pPr>
      <w:r w:rsidRPr="00B23DEC">
        <w:rPr>
          <w:rFonts w:cs="Arial"/>
          <w:color w:val="000000"/>
          <w:sz w:val="18"/>
          <w:szCs w:val="18"/>
        </w:rPr>
        <w:t>Declaración anual Renta y Patrimonio 2025 con resultado a ingresar con domiciliación en cuenta: D-100, D-714</w:t>
      </w:r>
    </w:p>
    <w:p w14:paraId="57850A4B" w14:textId="32D203D8" w:rsidR="00B23DEC" w:rsidRPr="00B23DEC" w:rsidRDefault="00B23DEC" w:rsidP="00B23DEC">
      <w:pPr>
        <w:shd w:val="clear" w:color="auto" w:fill="FFFFFF"/>
        <w:spacing w:after="100" w:afterAutospacing="1"/>
        <w:outlineLvl w:val="0"/>
        <w:rPr>
          <w:rFonts w:ascii="Verdana" w:hAnsi="Verdana" w:cs="Arial"/>
          <w:b/>
          <w:bCs/>
          <w:color w:val="000000"/>
          <w:kern w:val="36"/>
          <w:sz w:val="18"/>
          <w:szCs w:val="18"/>
        </w:rPr>
      </w:pPr>
      <w:r w:rsidRPr="00B23DEC">
        <w:rPr>
          <w:rFonts w:ascii="Verdana" w:hAnsi="Verdana" w:cs="Arial"/>
          <w:b/>
          <w:bCs/>
          <w:color w:val="000000"/>
          <w:kern w:val="36"/>
          <w:sz w:val="18"/>
          <w:szCs w:val="18"/>
        </w:rPr>
        <w:t>HASTA EL 30 DE JUNIO</w:t>
      </w:r>
    </w:p>
    <w:p w14:paraId="25E8B4E4"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Renta y Patrimonio</w:t>
      </w:r>
    </w:p>
    <w:p w14:paraId="6B7059E7" w14:textId="77777777" w:rsidR="00B23DEC" w:rsidRPr="00B23DEC" w:rsidRDefault="00B23DEC">
      <w:pPr>
        <w:numPr>
          <w:ilvl w:val="0"/>
          <w:numId w:val="27"/>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lastRenderedPageBreak/>
        <w:t>Declaración anual Renta y Patrimonio 2025 con resultado a devolver, renuncia a la devolución, negativo y a ingresar sin domiciliación del primer plazo: D-100, D-714</w:t>
      </w:r>
    </w:p>
    <w:p w14:paraId="5035F345" w14:textId="77777777" w:rsidR="00B23DEC" w:rsidRPr="00B23DEC" w:rsidRDefault="00B23DEC">
      <w:pPr>
        <w:numPr>
          <w:ilvl w:val="0"/>
          <w:numId w:val="27"/>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Declaración anual de Renta del régimen especial de tributación para trabajadores, profesionales, emprendedores e inversores desplazados a territorio español 2025: 151</w:t>
      </w:r>
    </w:p>
    <w:p w14:paraId="40C27DC0"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Sociedades</w:t>
      </w:r>
    </w:p>
    <w:p w14:paraId="005F06DF" w14:textId="77777777" w:rsidR="00B23DEC" w:rsidRPr="00B23DEC" w:rsidRDefault="00B23DEC">
      <w:pPr>
        <w:numPr>
          <w:ilvl w:val="0"/>
          <w:numId w:val="28"/>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Comunicación de la entidad constitutiva declarante de la declaración informativa del Impuesto Complementario. Para periodos impositivos finalizados antes del 31 de marzo de 2025: 240</w:t>
      </w:r>
    </w:p>
    <w:p w14:paraId="58973D80" w14:textId="77777777" w:rsidR="00B23DEC" w:rsidRPr="00B23DEC" w:rsidRDefault="00B23DEC">
      <w:pPr>
        <w:numPr>
          <w:ilvl w:val="0"/>
          <w:numId w:val="29"/>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Declaración informativa del Impuesto Complementario. Para periodos impositivos finalizados antes del 31 de marzo de 2025: 241</w:t>
      </w:r>
    </w:p>
    <w:p w14:paraId="3D1F42F3"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IVA</w:t>
      </w:r>
    </w:p>
    <w:p w14:paraId="73583845" w14:textId="77777777" w:rsidR="00B23DEC" w:rsidRPr="00B23DEC" w:rsidRDefault="00B23DEC">
      <w:pPr>
        <w:numPr>
          <w:ilvl w:val="0"/>
          <w:numId w:val="3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Autoliquidación: 303</w:t>
      </w:r>
    </w:p>
    <w:p w14:paraId="1A73A0A9" w14:textId="77777777" w:rsidR="00B23DEC" w:rsidRPr="00B23DEC" w:rsidRDefault="00B23DEC">
      <w:pPr>
        <w:numPr>
          <w:ilvl w:val="0"/>
          <w:numId w:val="3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Grupo de entidades, modelo individual: 322</w:t>
      </w:r>
    </w:p>
    <w:p w14:paraId="60E734F5" w14:textId="77777777" w:rsidR="00B23DEC" w:rsidRPr="00B23DEC" w:rsidRDefault="00B23DEC">
      <w:pPr>
        <w:numPr>
          <w:ilvl w:val="0"/>
          <w:numId w:val="3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Grupo de entidades, modelo agregado: 353</w:t>
      </w:r>
    </w:p>
    <w:p w14:paraId="20E7725F" w14:textId="77777777" w:rsidR="00B23DEC" w:rsidRPr="00B23DEC" w:rsidRDefault="00B23DEC">
      <w:pPr>
        <w:numPr>
          <w:ilvl w:val="0"/>
          <w:numId w:val="3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Ventanilla única - Régimen de importación: 369</w:t>
      </w:r>
    </w:p>
    <w:p w14:paraId="6A1B7868" w14:textId="77777777" w:rsidR="00B23DEC" w:rsidRPr="00B23DEC" w:rsidRDefault="00B23DEC">
      <w:pPr>
        <w:numPr>
          <w:ilvl w:val="0"/>
          <w:numId w:val="3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Operaciones asimiladas a las importaciones: 380</w:t>
      </w:r>
    </w:p>
    <w:p w14:paraId="3AE71C14" w14:textId="77777777" w:rsidR="00B23DEC" w:rsidRPr="00B23DEC" w:rsidRDefault="00B23DEC">
      <w:pPr>
        <w:numPr>
          <w:ilvl w:val="0"/>
          <w:numId w:val="3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Cuarto trimestre 2025: solicitud de reembolso en el marco de las relaciones diplomáticas, consulares y de los Organismos Internacionales reconocidos por España: 362</w:t>
      </w:r>
    </w:p>
    <w:p w14:paraId="4F2CED21" w14:textId="77777777" w:rsidR="00B23DEC" w:rsidRPr="00B23DEC" w:rsidRDefault="00B23DEC">
      <w:pPr>
        <w:numPr>
          <w:ilvl w:val="0"/>
          <w:numId w:val="3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Cuarto trimestre 2025: solicitud de reembolso de las cuotas tributarias soportadas relativas a la Organización del Tratado del Atlántico Norte, a los Cuarteles Generales Internacionales de dicha Organización y a los Estados parte en dicho Tratado: 364</w:t>
      </w:r>
    </w:p>
    <w:p w14:paraId="0991D7DE" w14:textId="77777777" w:rsidR="00B23DEC" w:rsidRPr="00B23DEC" w:rsidRDefault="00B23DEC">
      <w:pPr>
        <w:numPr>
          <w:ilvl w:val="0"/>
          <w:numId w:val="30"/>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Cuarto trimestre 2025: solicitud de reembolso de las cuotas tributarias soportadas por las fuerzas armadas de los Estados miembros de la UE: 381</w:t>
      </w:r>
    </w:p>
    <w:p w14:paraId="3B132110"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Impuestos Medioambientales</w:t>
      </w:r>
    </w:p>
    <w:p w14:paraId="67E82C3D" w14:textId="77777777" w:rsidR="00B23DEC" w:rsidRPr="00B23DEC" w:rsidRDefault="00B23DEC">
      <w:pPr>
        <w:numPr>
          <w:ilvl w:val="0"/>
          <w:numId w:val="31"/>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Impuesto especial sobre los envases de plástico no reutilizables. Presentación contabilidad y libro registro de existencias</w:t>
      </w:r>
    </w:p>
    <w:p w14:paraId="50F620A9"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Declaración informativa mensual de las operaciones realizadas por los empresarios o profesionales adheridos al sistema de gestión de cobros a través de cualquier tipo de tarjetas y mediante pagos asociados a números de teléfono móvil</w:t>
      </w:r>
    </w:p>
    <w:p w14:paraId="0D4FE0F1" w14:textId="77777777" w:rsidR="00B23DEC" w:rsidRPr="00B23DEC" w:rsidRDefault="00B23DEC">
      <w:pPr>
        <w:numPr>
          <w:ilvl w:val="0"/>
          <w:numId w:val="32"/>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170</w:t>
      </w:r>
    </w:p>
    <w:p w14:paraId="4C754675"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Declaración informativa mensual de cuentas en toda clase de instituciones financieras y resumen anual de retenciones e ingresos a cuenta sobre rendimientos del capital mobiliario y rentas obtenidas por la contraprestación derivada de cuentas en toda clase de instituciones financieras</w:t>
      </w:r>
    </w:p>
    <w:p w14:paraId="4A1CC63A" w14:textId="77777777" w:rsidR="00B23DEC" w:rsidRPr="00B23DEC" w:rsidRDefault="00B23DEC">
      <w:pPr>
        <w:numPr>
          <w:ilvl w:val="0"/>
          <w:numId w:val="33"/>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Mayo 2026: 196</w:t>
      </w:r>
    </w:p>
    <w:p w14:paraId="4CED8319"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t>Declaración informativa anual de ayudas recibidas en el marco del régimen económico y fiscal de Canarias y otras ayudas de estado por contribuyentes del Impuesto sobre la Renta de las Personas Físicas o el Impuesto sobre la Renta de no Residentes sin establecimiento permanente</w:t>
      </w:r>
    </w:p>
    <w:p w14:paraId="4ECB42BA" w14:textId="77777777" w:rsidR="00B23DEC" w:rsidRPr="00B23DEC" w:rsidRDefault="00B23DEC">
      <w:pPr>
        <w:numPr>
          <w:ilvl w:val="0"/>
          <w:numId w:val="34"/>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Año 2025: 282</w:t>
      </w:r>
    </w:p>
    <w:p w14:paraId="66CBC1F2" w14:textId="77777777" w:rsidR="00B23DEC" w:rsidRPr="00B23DEC" w:rsidRDefault="00B23DEC" w:rsidP="00B23DEC">
      <w:pPr>
        <w:shd w:val="clear" w:color="auto" w:fill="FFFFFF"/>
        <w:spacing w:after="100" w:afterAutospacing="1"/>
        <w:outlineLvl w:val="2"/>
        <w:rPr>
          <w:rFonts w:ascii="Verdana" w:hAnsi="Verdana" w:cs="Arial"/>
          <w:color w:val="000000"/>
          <w:sz w:val="18"/>
          <w:szCs w:val="18"/>
        </w:rPr>
      </w:pPr>
      <w:r w:rsidRPr="00B23DEC">
        <w:rPr>
          <w:rFonts w:ascii="Verdana" w:hAnsi="Verdana" w:cs="Arial"/>
          <w:b/>
          <w:bCs/>
          <w:color w:val="000000"/>
          <w:sz w:val="18"/>
          <w:szCs w:val="18"/>
        </w:rPr>
        <w:lastRenderedPageBreak/>
        <w:t>Declaración informativa anual de ayudas recibidas en el marco del Régimen fiscal especial de las Illes Balears por contribuyentes del Impuesto sobre la Renta de las Personas Físicas o el Impuesto sobre la Renta de no Residentes sin establecimiento permanente</w:t>
      </w:r>
    </w:p>
    <w:p w14:paraId="31DC3BBA" w14:textId="77777777" w:rsidR="00B23DEC" w:rsidRPr="00B23DEC" w:rsidRDefault="00B23DEC">
      <w:pPr>
        <w:numPr>
          <w:ilvl w:val="0"/>
          <w:numId w:val="35"/>
        </w:numPr>
        <w:shd w:val="clear" w:color="auto" w:fill="FFFFFF"/>
        <w:spacing w:after="100" w:afterAutospacing="1"/>
        <w:rPr>
          <w:rFonts w:ascii="Verdana" w:hAnsi="Verdana" w:cs="Arial"/>
          <w:color w:val="000000"/>
          <w:sz w:val="18"/>
          <w:szCs w:val="18"/>
        </w:rPr>
      </w:pPr>
      <w:r w:rsidRPr="00B23DEC">
        <w:rPr>
          <w:rFonts w:ascii="Verdana" w:hAnsi="Verdana" w:cs="Arial"/>
          <w:color w:val="000000"/>
          <w:sz w:val="18"/>
          <w:szCs w:val="18"/>
        </w:rPr>
        <w:t>Año 2025: 283</w:t>
      </w:r>
    </w:p>
    <w:p w14:paraId="7C830762" w14:textId="77777777" w:rsidR="00B23DEC" w:rsidRPr="00B23DEC" w:rsidRDefault="00B23DEC" w:rsidP="00B23DEC">
      <w:pPr>
        <w:pStyle w:val="NormalWeb"/>
        <w:shd w:val="clear" w:color="auto" w:fill="FFFFFF"/>
        <w:spacing w:before="0" w:beforeAutospacing="0"/>
        <w:jc w:val="left"/>
        <w:rPr>
          <w:rFonts w:cs="Arial"/>
          <w:color w:val="000000"/>
          <w:sz w:val="18"/>
          <w:szCs w:val="18"/>
        </w:rPr>
      </w:pPr>
    </w:p>
    <w:p w14:paraId="743BA8EC" w14:textId="77777777" w:rsidR="00B23DEC" w:rsidRPr="00B23DEC" w:rsidRDefault="00B23DEC" w:rsidP="00B23DEC">
      <w:pPr>
        <w:shd w:val="clear" w:color="auto" w:fill="FFFFFF"/>
        <w:spacing w:after="100" w:afterAutospacing="1"/>
        <w:rPr>
          <w:rFonts w:ascii="Verdana" w:hAnsi="Verdana" w:cs="Arial"/>
          <w:color w:val="000000"/>
          <w:sz w:val="18"/>
          <w:szCs w:val="18"/>
        </w:rPr>
      </w:pPr>
    </w:p>
    <w:p w14:paraId="11DACABC" w14:textId="77777777" w:rsidR="005E04DC" w:rsidRPr="00B23DEC" w:rsidRDefault="005E04DC">
      <w:pPr>
        <w:jc w:val="both"/>
        <w:rPr>
          <w:rFonts w:ascii="Verdana" w:hAnsi="Verdana"/>
          <w:sz w:val="18"/>
          <w:szCs w:val="18"/>
        </w:rPr>
      </w:pPr>
    </w:p>
    <w:p w14:paraId="4AE1B28B" w14:textId="77777777" w:rsidR="00865267" w:rsidRPr="00B23DEC" w:rsidRDefault="00865267">
      <w:pPr>
        <w:jc w:val="both"/>
        <w:rPr>
          <w:rFonts w:ascii="Verdana" w:hAnsi="Verdana"/>
          <w:sz w:val="18"/>
          <w:szCs w:val="18"/>
        </w:rPr>
      </w:pPr>
    </w:p>
    <w:p w14:paraId="2D78878E" w14:textId="77777777" w:rsidR="00865267" w:rsidRPr="00B23DEC" w:rsidRDefault="00865267">
      <w:pPr>
        <w:jc w:val="both"/>
        <w:rPr>
          <w:rFonts w:ascii="Verdana" w:hAnsi="Verdana"/>
          <w:sz w:val="18"/>
          <w:szCs w:val="18"/>
        </w:rPr>
      </w:pPr>
    </w:p>
    <w:sectPr w:rsidR="00865267" w:rsidRPr="00B23DEC" w:rsidSect="00827697">
      <w:footerReference w:type="even" r:id="rId8"/>
      <w:pgSz w:w="11906" w:h="16838"/>
      <w:pgMar w:top="1985" w:right="1701" w:bottom="16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E422" w14:textId="77777777" w:rsidR="00FC1C2F" w:rsidRDefault="00FC1C2F">
      <w:r>
        <w:separator/>
      </w:r>
    </w:p>
  </w:endnote>
  <w:endnote w:type="continuationSeparator" w:id="0">
    <w:p w14:paraId="1E5C103C" w14:textId="77777777" w:rsidR="00FC1C2F" w:rsidRDefault="00FC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442C" w14:textId="77777777" w:rsidR="00D40788" w:rsidRDefault="00D407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9D011D" w14:textId="77777777" w:rsidR="00D40788" w:rsidRDefault="00D4078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C8F6" w14:textId="77777777" w:rsidR="00FC1C2F" w:rsidRDefault="00FC1C2F">
      <w:r>
        <w:separator/>
      </w:r>
    </w:p>
  </w:footnote>
  <w:footnote w:type="continuationSeparator" w:id="0">
    <w:p w14:paraId="5A26AEA5" w14:textId="77777777" w:rsidR="00FC1C2F" w:rsidRDefault="00FC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E0A"/>
    <w:multiLevelType w:val="hybridMultilevel"/>
    <w:tmpl w:val="DE3642F6"/>
    <w:lvl w:ilvl="0" w:tplc="0C0A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1ED7FDC"/>
    <w:multiLevelType w:val="multilevel"/>
    <w:tmpl w:val="DF30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2EB2"/>
    <w:multiLevelType w:val="hybridMultilevel"/>
    <w:tmpl w:val="3306E89C"/>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29F412D"/>
    <w:multiLevelType w:val="multilevel"/>
    <w:tmpl w:val="329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01763"/>
    <w:multiLevelType w:val="multilevel"/>
    <w:tmpl w:val="E02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D1067"/>
    <w:multiLevelType w:val="multilevel"/>
    <w:tmpl w:val="EB5C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46E7E"/>
    <w:multiLevelType w:val="multilevel"/>
    <w:tmpl w:val="7B1A219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6FB7E44"/>
    <w:multiLevelType w:val="multilevel"/>
    <w:tmpl w:val="1022541E"/>
    <w:lvl w:ilvl="0">
      <w:start w:val="1"/>
      <w:numFmt w:val="decimal"/>
      <w:lvlText w:val="%1."/>
      <w:lvlJc w:val="left"/>
      <w:pPr>
        <w:tabs>
          <w:tab w:val="num" w:pos="720"/>
        </w:tabs>
        <w:ind w:left="720" w:hanging="360"/>
      </w:pPr>
      <w:rPr>
        <w:rFonts w:hint="default"/>
        <w:sz w:val="18"/>
        <w:szCs w:val="18"/>
      </w:rPr>
    </w:lvl>
    <w:lvl w:ilvl="1">
      <w:start w:val="3"/>
      <w:numFmt w:val="decimal"/>
      <w:isLgl/>
      <w:lvlText w:val="%1.%2."/>
      <w:lvlJc w:val="left"/>
      <w:pPr>
        <w:ind w:left="806" w:hanging="44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74167E7"/>
    <w:multiLevelType w:val="multilevel"/>
    <w:tmpl w:val="B0D4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383B71"/>
    <w:multiLevelType w:val="multilevel"/>
    <w:tmpl w:val="1F0E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775C90"/>
    <w:multiLevelType w:val="multilevel"/>
    <w:tmpl w:val="870E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6056D7"/>
    <w:multiLevelType w:val="hybridMultilevel"/>
    <w:tmpl w:val="90A8EC94"/>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12EF053B"/>
    <w:multiLevelType w:val="multilevel"/>
    <w:tmpl w:val="C83C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915126"/>
    <w:multiLevelType w:val="multilevel"/>
    <w:tmpl w:val="CC4C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D378F"/>
    <w:multiLevelType w:val="multilevel"/>
    <w:tmpl w:val="5FAC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17EA9"/>
    <w:multiLevelType w:val="multilevel"/>
    <w:tmpl w:val="FAC2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9B1A1F"/>
    <w:multiLevelType w:val="multilevel"/>
    <w:tmpl w:val="A67C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B94290"/>
    <w:multiLevelType w:val="multilevel"/>
    <w:tmpl w:val="807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3E112F"/>
    <w:multiLevelType w:val="hybridMultilevel"/>
    <w:tmpl w:val="DFF67F10"/>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22640C15"/>
    <w:multiLevelType w:val="hybridMultilevel"/>
    <w:tmpl w:val="A7D66080"/>
    <w:lvl w:ilvl="0" w:tplc="9D66E2AC">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15:restartNumberingAfterBreak="0">
    <w:nsid w:val="28323D61"/>
    <w:multiLevelType w:val="multilevel"/>
    <w:tmpl w:val="FC82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D4456"/>
    <w:multiLevelType w:val="multilevel"/>
    <w:tmpl w:val="C968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BC4868"/>
    <w:multiLevelType w:val="multilevel"/>
    <w:tmpl w:val="0D7E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342A23"/>
    <w:multiLevelType w:val="hybridMultilevel"/>
    <w:tmpl w:val="5A26F580"/>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37591F92"/>
    <w:multiLevelType w:val="multilevel"/>
    <w:tmpl w:val="BBB2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7B5224"/>
    <w:multiLevelType w:val="multilevel"/>
    <w:tmpl w:val="0CA0B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9F2BBF"/>
    <w:multiLevelType w:val="multilevel"/>
    <w:tmpl w:val="FE2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A3B25"/>
    <w:multiLevelType w:val="multilevel"/>
    <w:tmpl w:val="80D8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93948"/>
    <w:multiLevelType w:val="multilevel"/>
    <w:tmpl w:val="9236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EF3966"/>
    <w:multiLevelType w:val="hybridMultilevel"/>
    <w:tmpl w:val="6A721708"/>
    <w:lvl w:ilvl="0" w:tplc="8F5E93CC">
      <w:start w:val="6"/>
      <w:numFmt w:val="decimal"/>
      <w:lvlText w:val="%1."/>
      <w:lvlJc w:val="left"/>
      <w:pPr>
        <w:ind w:left="1430"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0" w15:restartNumberingAfterBreak="0">
    <w:nsid w:val="452028C7"/>
    <w:multiLevelType w:val="hybridMultilevel"/>
    <w:tmpl w:val="6D12AE3A"/>
    <w:lvl w:ilvl="0" w:tplc="5AEC82A4">
      <w:start w:val="8"/>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1" w15:restartNumberingAfterBreak="0">
    <w:nsid w:val="48720130"/>
    <w:multiLevelType w:val="multilevel"/>
    <w:tmpl w:val="7E50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D11185"/>
    <w:multiLevelType w:val="multilevel"/>
    <w:tmpl w:val="B148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784092"/>
    <w:multiLevelType w:val="multilevel"/>
    <w:tmpl w:val="A112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D04C72"/>
    <w:multiLevelType w:val="multilevel"/>
    <w:tmpl w:val="09F6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D93F58"/>
    <w:multiLevelType w:val="hybridMultilevel"/>
    <w:tmpl w:val="CB32DBFE"/>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15:restartNumberingAfterBreak="0">
    <w:nsid w:val="550D27D3"/>
    <w:multiLevelType w:val="multilevel"/>
    <w:tmpl w:val="E7EE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4E3BD0"/>
    <w:multiLevelType w:val="multilevel"/>
    <w:tmpl w:val="9C64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543CCB"/>
    <w:multiLevelType w:val="hybridMultilevel"/>
    <w:tmpl w:val="EC5C254E"/>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15:restartNumberingAfterBreak="0">
    <w:nsid w:val="5A472ADF"/>
    <w:multiLevelType w:val="multilevel"/>
    <w:tmpl w:val="EF64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FD61B2"/>
    <w:multiLevelType w:val="multilevel"/>
    <w:tmpl w:val="67D2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103EF2"/>
    <w:multiLevelType w:val="hybridMultilevel"/>
    <w:tmpl w:val="FB0A6772"/>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2" w15:restartNumberingAfterBreak="0">
    <w:nsid w:val="63CC4E2B"/>
    <w:multiLevelType w:val="multilevel"/>
    <w:tmpl w:val="2772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E636BC"/>
    <w:multiLevelType w:val="multilevel"/>
    <w:tmpl w:val="30CC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8C22D6"/>
    <w:multiLevelType w:val="multilevel"/>
    <w:tmpl w:val="3F34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F15C42"/>
    <w:multiLevelType w:val="multilevel"/>
    <w:tmpl w:val="2C3E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6B21B8"/>
    <w:multiLevelType w:val="multilevel"/>
    <w:tmpl w:val="8FCE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2246BC"/>
    <w:multiLevelType w:val="multilevel"/>
    <w:tmpl w:val="C78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286A4B"/>
    <w:multiLevelType w:val="multilevel"/>
    <w:tmpl w:val="0DEA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8A0160"/>
    <w:multiLevelType w:val="multilevel"/>
    <w:tmpl w:val="FF72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6643DD"/>
    <w:multiLevelType w:val="multilevel"/>
    <w:tmpl w:val="6976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7242D6"/>
    <w:multiLevelType w:val="multilevel"/>
    <w:tmpl w:val="B23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070C6A"/>
    <w:multiLevelType w:val="multilevel"/>
    <w:tmpl w:val="F288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F758D9"/>
    <w:multiLevelType w:val="multilevel"/>
    <w:tmpl w:val="68C6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988772">
    <w:abstractNumId w:val="7"/>
  </w:num>
  <w:num w:numId="2" w16cid:durableId="2033916940">
    <w:abstractNumId w:val="19"/>
  </w:num>
  <w:num w:numId="3" w16cid:durableId="601717894">
    <w:abstractNumId w:val="14"/>
  </w:num>
  <w:num w:numId="4" w16cid:durableId="371610107">
    <w:abstractNumId w:val="4"/>
  </w:num>
  <w:num w:numId="5" w16cid:durableId="1055545123">
    <w:abstractNumId w:val="37"/>
  </w:num>
  <w:num w:numId="6" w16cid:durableId="247884414">
    <w:abstractNumId w:val="1"/>
  </w:num>
  <w:num w:numId="7" w16cid:durableId="984555153">
    <w:abstractNumId w:val="25"/>
  </w:num>
  <w:num w:numId="8" w16cid:durableId="2088649964">
    <w:abstractNumId w:val="31"/>
  </w:num>
  <w:num w:numId="9" w16cid:durableId="797992200">
    <w:abstractNumId w:val="5"/>
  </w:num>
  <w:num w:numId="10" w16cid:durableId="914167584">
    <w:abstractNumId w:val="16"/>
  </w:num>
  <w:num w:numId="11" w16cid:durableId="1933851138">
    <w:abstractNumId w:val="42"/>
  </w:num>
  <w:num w:numId="12" w16cid:durableId="1028991304">
    <w:abstractNumId w:val="17"/>
  </w:num>
  <w:num w:numId="13" w16cid:durableId="1609772427">
    <w:abstractNumId w:val="50"/>
  </w:num>
  <w:num w:numId="14" w16cid:durableId="789664466">
    <w:abstractNumId w:val="51"/>
  </w:num>
  <w:num w:numId="15" w16cid:durableId="47923784">
    <w:abstractNumId w:val="8"/>
  </w:num>
  <w:num w:numId="16" w16cid:durableId="819738244">
    <w:abstractNumId w:val="52"/>
  </w:num>
  <w:num w:numId="17" w16cid:durableId="1990477335">
    <w:abstractNumId w:val="12"/>
  </w:num>
  <w:num w:numId="18" w16cid:durableId="570041849">
    <w:abstractNumId w:val="49"/>
  </w:num>
  <w:num w:numId="19" w16cid:durableId="1262951461">
    <w:abstractNumId w:val="48"/>
  </w:num>
  <w:num w:numId="20" w16cid:durableId="706217642">
    <w:abstractNumId w:val="45"/>
  </w:num>
  <w:num w:numId="21" w16cid:durableId="1140920122">
    <w:abstractNumId w:val="36"/>
  </w:num>
  <w:num w:numId="22" w16cid:durableId="661935516">
    <w:abstractNumId w:val="40"/>
  </w:num>
  <w:num w:numId="23" w16cid:durableId="793980539">
    <w:abstractNumId w:val="3"/>
  </w:num>
  <w:num w:numId="24" w16cid:durableId="1856071847">
    <w:abstractNumId w:val="44"/>
  </w:num>
  <w:num w:numId="25" w16cid:durableId="1752194166">
    <w:abstractNumId w:val="20"/>
  </w:num>
  <w:num w:numId="26" w16cid:durableId="424964733">
    <w:abstractNumId w:val="53"/>
  </w:num>
  <w:num w:numId="27" w16cid:durableId="1166554976">
    <w:abstractNumId w:val="24"/>
  </w:num>
  <w:num w:numId="28" w16cid:durableId="1395396126">
    <w:abstractNumId w:val="9"/>
  </w:num>
  <w:num w:numId="29" w16cid:durableId="836506106">
    <w:abstractNumId w:val="39"/>
  </w:num>
  <w:num w:numId="30" w16cid:durableId="957879791">
    <w:abstractNumId w:val="46"/>
  </w:num>
  <w:num w:numId="31" w16cid:durableId="1006706733">
    <w:abstractNumId w:val="22"/>
  </w:num>
  <w:num w:numId="32" w16cid:durableId="40793428">
    <w:abstractNumId w:val="10"/>
  </w:num>
  <w:num w:numId="33" w16cid:durableId="825392234">
    <w:abstractNumId w:val="47"/>
  </w:num>
  <w:num w:numId="34" w16cid:durableId="1041905126">
    <w:abstractNumId w:val="27"/>
  </w:num>
  <w:num w:numId="35" w16cid:durableId="716928507">
    <w:abstractNumId w:val="43"/>
  </w:num>
  <w:num w:numId="36" w16cid:durableId="442772934">
    <w:abstractNumId w:val="26"/>
  </w:num>
  <w:num w:numId="37" w16cid:durableId="1435202961">
    <w:abstractNumId w:val="34"/>
  </w:num>
  <w:num w:numId="38" w16cid:durableId="313609676">
    <w:abstractNumId w:val="15"/>
  </w:num>
  <w:num w:numId="39" w16cid:durableId="1951156312">
    <w:abstractNumId w:val="32"/>
  </w:num>
  <w:num w:numId="40" w16cid:durableId="1231498357">
    <w:abstractNumId w:val="21"/>
  </w:num>
  <w:num w:numId="41" w16cid:durableId="584267225">
    <w:abstractNumId w:val="33"/>
  </w:num>
  <w:num w:numId="42" w16cid:durableId="1069815463">
    <w:abstractNumId w:val="13"/>
  </w:num>
  <w:num w:numId="43" w16cid:durableId="1374160470">
    <w:abstractNumId w:val="28"/>
  </w:num>
  <w:num w:numId="44" w16cid:durableId="431629618">
    <w:abstractNumId w:val="6"/>
  </w:num>
  <w:num w:numId="45" w16cid:durableId="81028144">
    <w:abstractNumId w:val="29"/>
  </w:num>
  <w:num w:numId="46" w16cid:durableId="366608778">
    <w:abstractNumId w:val="23"/>
  </w:num>
  <w:num w:numId="47" w16cid:durableId="1613904315">
    <w:abstractNumId w:val="11"/>
  </w:num>
  <w:num w:numId="48" w16cid:durableId="1495804169">
    <w:abstractNumId w:val="2"/>
  </w:num>
  <w:num w:numId="49" w16cid:durableId="429857949">
    <w:abstractNumId w:val="0"/>
  </w:num>
  <w:num w:numId="50" w16cid:durableId="412705670">
    <w:abstractNumId w:val="30"/>
  </w:num>
  <w:num w:numId="51" w16cid:durableId="1810318739">
    <w:abstractNumId w:val="38"/>
  </w:num>
  <w:num w:numId="52" w16cid:durableId="637077951">
    <w:abstractNumId w:val="18"/>
  </w:num>
  <w:num w:numId="53" w16cid:durableId="391468143">
    <w:abstractNumId w:val="41"/>
  </w:num>
  <w:num w:numId="54" w16cid:durableId="975337872">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E3"/>
    <w:rsid w:val="0000166E"/>
    <w:rsid w:val="00003943"/>
    <w:rsid w:val="0000470D"/>
    <w:rsid w:val="0000542D"/>
    <w:rsid w:val="00005D34"/>
    <w:rsid w:val="00007AF5"/>
    <w:rsid w:val="00007EBE"/>
    <w:rsid w:val="00011811"/>
    <w:rsid w:val="00011E2E"/>
    <w:rsid w:val="00012CC0"/>
    <w:rsid w:val="00012E08"/>
    <w:rsid w:val="00016230"/>
    <w:rsid w:val="00016DF3"/>
    <w:rsid w:val="00017586"/>
    <w:rsid w:val="0001799A"/>
    <w:rsid w:val="00020A09"/>
    <w:rsid w:val="00020DD5"/>
    <w:rsid w:val="00021AC4"/>
    <w:rsid w:val="00025DFE"/>
    <w:rsid w:val="0002627B"/>
    <w:rsid w:val="00031538"/>
    <w:rsid w:val="00031F07"/>
    <w:rsid w:val="00032F88"/>
    <w:rsid w:val="00034328"/>
    <w:rsid w:val="00037C48"/>
    <w:rsid w:val="000415D4"/>
    <w:rsid w:val="0004249F"/>
    <w:rsid w:val="00045430"/>
    <w:rsid w:val="00046AF4"/>
    <w:rsid w:val="0004728E"/>
    <w:rsid w:val="00047A73"/>
    <w:rsid w:val="00050AC4"/>
    <w:rsid w:val="00051647"/>
    <w:rsid w:val="00052B3F"/>
    <w:rsid w:val="00055129"/>
    <w:rsid w:val="00060447"/>
    <w:rsid w:val="00060F04"/>
    <w:rsid w:val="00063445"/>
    <w:rsid w:val="00065A98"/>
    <w:rsid w:val="0007096D"/>
    <w:rsid w:val="00073212"/>
    <w:rsid w:val="000765E2"/>
    <w:rsid w:val="0007685D"/>
    <w:rsid w:val="000773DB"/>
    <w:rsid w:val="00077F5F"/>
    <w:rsid w:val="0008025B"/>
    <w:rsid w:val="00081E00"/>
    <w:rsid w:val="00085DC1"/>
    <w:rsid w:val="0009273A"/>
    <w:rsid w:val="00093427"/>
    <w:rsid w:val="00093819"/>
    <w:rsid w:val="000944FA"/>
    <w:rsid w:val="0009593E"/>
    <w:rsid w:val="000A182A"/>
    <w:rsid w:val="000A1BF3"/>
    <w:rsid w:val="000A40C0"/>
    <w:rsid w:val="000A6009"/>
    <w:rsid w:val="000A6BA2"/>
    <w:rsid w:val="000B0318"/>
    <w:rsid w:val="000B18D4"/>
    <w:rsid w:val="000B22B3"/>
    <w:rsid w:val="000B3E99"/>
    <w:rsid w:val="000B4491"/>
    <w:rsid w:val="000C254D"/>
    <w:rsid w:val="000C4292"/>
    <w:rsid w:val="000C4321"/>
    <w:rsid w:val="000C433E"/>
    <w:rsid w:val="000C5415"/>
    <w:rsid w:val="000D166C"/>
    <w:rsid w:val="000D4A02"/>
    <w:rsid w:val="000E0484"/>
    <w:rsid w:val="000E0E17"/>
    <w:rsid w:val="000E1F29"/>
    <w:rsid w:val="000E3CA0"/>
    <w:rsid w:val="000E42CE"/>
    <w:rsid w:val="000E53F0"/>
    <w:rsid w:val="000E6539"/>
    <w:rsid w:val="000F0D29"/>
    <w:rsid w:val="000F1664"/>
    <w:rsid w:val="000F289B"/>
    <w:rsid w:val="000F2922"/>
    <w:rsid w:val="000F2BA9"/>
    <w:rsid w:val="000F3CB4"/>
    <w:rsid w:val="000F600B"/>
    <w:rsid w:val="000F7FDA"/>
    <w:rsid w:val="0010232C"/>
    <w:rsid w:val="00102F8E"/>
    <w:rsid w:val="0010442A"/>
    <w:rsid w:val="00107D0F"/>
    <w:rsid w:val="001118C9"/>
    <w:rsid w:val="00112280"/>
    <w:rsid w:val="0011469C"/>
    <w:rsid w:val="00115E3C"/>
    <w:rsid w:val="00116B6C"/>
    <w:rsid w:val="00116C07"/>
    <w:rsid w:val="00116E1C"/>
    <w:rsid w:val="001175BD"/>
    <w:rsid w:val="001306D7"/>
    <w:rsid w:val="0013250E"/>
    <w:rsid w:val="00132646"/>
    <w:rsid w:val="00132F76"/>
    <w:rsid w:val="00133303"/>
    <w:rsid w:val="00141587"/>
    <w:rsid w:val="00141ADA"/>
    <w:rsid w:val="00142433"/>
    <w:rsid w:val="00145908"/>
    <w:rsid w:val="00151D99"/>
    <w:rsid w:val="0015262E"/>
    <w:rsid w:val="00153B5E"/>
    <w:rsid w:val="00154154"/>
    <w:rsid w:val="00156CBE"/>
    <w:rsid w:val="00160025"/>
    <w:rsid w:val="00163A99"/>
    <w:rsid w:val="00165B0E"/>
    <w:rsid w:val="0016638E"/>
    <w:rsid w:val="0017178D"/>
    <w:rsid w:val="00171980"/>
    <w:rsid w:val="00171A93"/>
    <w:rsid w:val="001748D0"/>
    <w:rsid w:val="00176FBB"/>
    <w:rsid w:val="00181FBD"/>
    <w:rsid w:val="001826D2"/>
    <w:rsid w:val="00185AE5"/>
    <w:rsid w:val="00186635"/>
    <w:rsid w:val="00187B3B"/>
    <w:rsid w:val="001954EB"/>
    <w:rsid w:val="00196A5D"/>
    <w:rsid w:val="00197419"/>
    <w:rsid w:val="001A11EE"/>
    <w:rsid w:val="001A2549"/>
    <w:rsid w:val="001A3CC4"/>
    <w:rsid w:val="001A4BCA"/>
    <w:rsid w:val="001A64CF"/>
    <w:rsid w:val="001A68C1"/>
    <w:rsid w:val="001B01B4"/>
    <w:rsid w:val="001B1377"/>
    <w:rsid w:val="001B4308"/>
    <w:rsid w:val="001B4853"/>
    <w:rsid w:val="001B6206"/>
    <w:rsid w:val="001B6218"/>
    <w:rsid w:val="001B6F4E"/>
    <w:rsid w:val="001B7148"/>
    <w:rsid w:val="001B77EC"/>
    <w:rsid w:val="001B78EE"/>
    <w:rsid w:val="001C4F40"/>
    <w:rsid w:val="001C5F09"/>
    <w:rsid w:val="001D1F9E"/>
    <w:rsid w:val="001D3BC8"/>
    <w:rsid w:val="001D55B3"/>
    <w:rsid w:val="001D7F82"/>
    <w:rsid w:val="001E094C"/>
    <w:rsid w:val="001E3571"/>
    <w:rsid w:val="001E3865"/>
    <w:rsid w:val="001E4676"/>
    <w:rsid w:val="001E6925"/>
    <w:rsid w:val="001E6E83"/>
    <w:rsid w:val="001F0DCD"/>
    <w:rsid w:val="001F55C7"/>
    <w:rsid w:val="001F6996"/>
    <w:rsid w:val="002010E4"/>
    <w:rsid w:val="00204663"/>
    <w:rsid w:val="002061D4"/>
    <w:rsid w:val="0020775C"/>
    <w:rsid w:val="0021377D"/>
    <w:rsid w:val="002143C6"/>
    <w:rsid w:val="002144EF"/>
    <w:rsid w:val="002245FC"/>
    <w:rsid w:val="002260F9"/>
    <w:rsid w:val="002267DE"/>
    <w:rsid w:val="0022712B"/>
    <w:rsid w:val="00227688"/>
    <w:rsid w:val="00230A86"/>
    <w:rsid w:val="00233887"/>
    <w:rsid w:val="00237EBF"/>
    <w:rsid w:val="002404B7"/>
    <w:rsid w:val="00241285"/>
    <w:rsid w:val="00243FEF"/>
    <w:rsid w:val="0024420A"/>
    <w:rsid w:val="0024571F"/>
    <w:rsid w:val="0024755F"/>
    <w:rsid w:val="00256861"/>
    <w:rsid w:val="00266D33"/>
    <w:rsid w:val="002766C1"/>
    <w:rsid w:val="00276888"/>
    <w:rsid w:val="002801DB"/>
    <w:rsid w:val="00280ECD"/>
    <w:rsid w:val="00283649"/>
    <w:rsid w:val="00284655"/>
    <w:rsid w:val="002872C6"/>
    <w:rsid w:val="00291732"/>
    <w:rsid w:val="0029196D"/>
    <w:rsid w:val="00291ACE"/>
    <w:rsid w:val="00292A21"/>
    <w:rsid w:val="00293315"/>
    <w:rsid w:val="002933D7"/>
    <w:rsid w:val="00294A21"/>
    <w:rsid w:val="0029513A"/>
    <w:rsid w:val="00295471"/>
    <w:rsid w:val="00296812"/>
    <w:rsid w:val="0029732F"/>
    <w:rsid w:val="00297B8E"/>
    <w:rsid w:val="002A2004"/>
    <w:rsid w:val="002A4E55"/>
    <w:rsid w:val="002A57FE"/>
    <w:rsid w:val="002A6454"/>
    <w:rsid w:val="002B0D00"/>
    <w:rsid w:val="002B3309"/>
    <w:rsid w:val="002B44A4"/>
    <w:rsid w:val="002C13F8"/>
    <w:rsid w:val="002C4499"/>
    <w:rsid w:val="002C4777"/>
    <w:rsid w:val="002C754F"/>
    <w:rsid w:val="002D0035"/>
    <w:rsid w:val="002D0B04"/>
    <w:rsid w:val="002D1893"/>
    <w:rsid w:val="002D360B"/>
    <w:rsid w:val="002D5620"/>
    <w:rsid w:val="002D72A8"/>
    <w:rsid w:val="002E487D"/>
    <w:rsid w:val="002E5E89"/>
    <w:rsid w:val="002F0A05"/>
    <w:rsid w:val="002F16AA"/>
    <w:rsid w:val="002F1978"/>
    <w:rsid w:val="002F259F"/>
    <w:rsid w:val="002F4001"/>
    <w:rsid w:val="002F621E"/>
    <w:rsid w:val="002F7096"/>
    <w:rsid w:val="003006EF"/>
    <w:rsid w:val="003012DB"/>
    <w:rsid w:val="00302348"/>
    <w:rsid w:val="00303529"/>
    <w:rsid w:val="00304990"/>
    <w:rsid w:val="0030632B"/>
    <w:rsid w:val="00307302"/>
    <w:rsid w:val="00313498"/>
    <w:rsid w:val="00314293"/>
    <w:rsid w:val="00316269"/>
    <w:rsid w:val="00316C19"/>
    <w:rsid w:val="0032570B"/>
    <w:rsid w:val="00326323"/>
    <w:rsid w:val="00331CD3"/>
    <w:rsid w:val="0033495C"/>
    <w:rsid w:val="0033674A"/>
    <w:rsid w:val="00337933"/>
    <w:rsid w:val="00340F52"/>
    <w:rsid w:val="00343CA3"/>
    <w:rsid w:val="00344563"/>
    <w:rsid w:val="00346A0D"/>
    <w:rsid w:val="00350885"/>
    <w:rsid w:val="003511C2"/>
    <w:rsid w:val="00352BCE"/>
    <w:rsid w:val="00352DF5"/>
    <w:rsid w:val="00353A51"/>
    <w:rsid w:val="0035681C"/>
    <w:rsid w:val="0036278B"/>
    <w:rsid w:val="003667F9"/>
    <w:rsid w:val="003726A3"/>
    <w:rsid w:val="003755D2"/>
    <w:rsid w:val="00380F27"/>
    <w:rsid w:val="00381AEE"/>
    <w:rsid w:val="003830E3"/>
    <w:rsid w:val="00383576"/>
    <w:rsid w:val="00383B1B"/>
    <w:rsid w:val="003845D6"/>
    <w:rsid w:val="00393196"/>
    <w:rsid w:val="0039331D"/>
    <w:rsid w:val="00397E16"/>
    <w:rsid w:val="003A340F"/>
    <w:rsid w:val="003A4CBB"/>
    <w:rsid w:val="003A5C78"/>
    <w:rsid w:val="003A7CC4"/>
    <w:rsid w:val="003B1A31"/>
    <w:rsid w:val="003B34E2"/>
    <w:rsid w:val="003B435F"/>
    <w:rsid w:val="003B4DC1"/>
    <w:rsid w:val="003B5190"/>
    <w:rsid w:val="003B5871"/>
    <w:rsid w:val="003B6664"/>
    <w:rsid w:val="003B6BAB"/>
    <w:rsid w:val="003C18BA"/>
    <w:rsid w:val="003C2071"/>
    <w:rsid w:val="003C2079"/>
    <w:rsid w:val="003C28DB"/>
    <w:rsid w:val="003C4AE8"/>
    <w:rsid w:val="003C5F3F"/>
    <w:rsid w:val="003D1737"/>
    <w:rsid w:val="003D3CCC"/>
    <w:rsid w:val="003D4A64"/>
    <w:rsid w:val="003E08B4"/>
    <w:rsid w:val="003E1BE6"/>
    <w:rsid w:val="003E3936"/>
    <w:rsid w:val="003E40FC"/>
    <w:rsid w:val="003E50B3"/>
    <w:rsid w:val="003E5C74"/>
    <w:rsid w:val="003F0D55"/>
    <w:rsid w:val="003F13C3"/>
    <w:rsid w:val="003F1C6F"/>
    <w:rsid w:val="003F3AC8"/>
    <w:rsid w:val="003F4C16"/>
    <w:rsid w:val="003F4ED9"/>
    <w:rsid w:val="003F62B2"/>
    <w:rsid w:val="00401376"/>
    <w:rsid w:val="00403F5C"/>
    <w:rsid w:val="0040421A"/>
    <w:rsid w:val="0040496E"/>
    <w:rsid w:val="0040569A"/>
    <w:rsid w:val="00407E08"/>
    <w:rsid w:val="0041038C"/>
    <w:rsid w:val="004115B6"/>
    <w:rsid w:val="00412E98"/>
    <w:rsid w:val="00413727"/>
    <w:rsid w:val="00413DDB"/>
    <w:rsid w:val="004159D3"/>
    <w:rsid w:val="00416020"/>
    <w:rsid w:val="004162CC"/>
    <w:rsid w:val="00417A31"/>
    <w:rsid w:val="00421FBE"/>
    <w:rsid w:val="0042489F"/>
    <w:rsid w:val="00433DCF"/>
    <w:rsid w:val="00435708"/>
    <w:rsid w:val="00435B20"/>
    <w:rsid w:val="00435C81"/>
    <w:rsid w:val="00437827"/>
    <w:rsid w:val="004400C3"/>
    <w:rsid w:val="00444495"/>
    <w:rsid w:val="00444702"/>
    <w:rsid w:val="00447300"/>
    <w:rsid w:val="00451818"/>
    <w:rsid w:val="00453BD0"/>
    <w:rsid w:val="00454D09"/>
    <w:rsid w:val="00455194"/>
    <w:rsid w:val="004551F7"/>
    <w:rsid w:val="00455716"/>
    <w:rsid w:val="0046193A"/>
    <w:rsid w:val="004625EA"/>
    <w:rsid w:val="0046366F"/>
    <w:rsid w:val="00465C8E"/>
    <w:rsid w:val="00465DBA"/>
    <w:rsid w:val="00466E95"/>
    <w:rsid w:val="00467AA5"/>
    <w:rsid w:val="00470788"/>
    <w:rsid w:val="00472A48"/>
    <w:rsid w:val="0047536F"/>
    <w:rsid w:val="00475520"/>
    <w:rsid w:val="004779BC"/>
    <w:rsid w:val="00483CCC"/>
    <w:rsid w:val="004847C7"/>
    <w:rsid w:val="00486AE2"/>
    <w:rsid w:val="004901E1"/>
    <w:rsid w:val="004910D5"/>
    <w:rsid w:val="004920A4"/>
    <w:rsid w:val="00493718"/>
    <w:rsid w:val="00493817"/>
    <w:rsid w:val="004959F1"/>
    <w:rsid w:val="0049739A"/>
    <w:rsid w:val="00497E85"/>
    <w:rsid w:val="004A171C"/>
    <w:rsid w:val="004A22DB"/>
    <w:rsid w:val="004A76B9"/>
    <w:rsid w:val="004A7BE2"/>
    <w:rsid w:val="004B3321"/>
    <w:rsid w:val="004B36AD"/>
    <w:rsid w:val="004B43E7"/>
    <w:rsid w:val="004B4DC9"/>
    <w:rsid w:val="004B5A68"/>
    <w:rsid w:val="004B5BCC"/>
    <w:rsid w:val="004C3437"/>
    <w:rsid w:val="004C3F45"/>
    <w:rsid w:val="004C4364"/>
    <w:rsid w:val="004C4F32"/>
    <w:rsid w:val="004C617D"/>
    <w:rsid w:val="004C6EBC"/>
    <w:rsid w:val="004D1CFC"/>
    <w:rsid w:val="004D2135"/>
    <w:rsid w:val="004D5982"/>
    <w:rsid w:val="004D6286"/>
    <w:rsid w:val="004E0DCB"/>
    <w:rsid w:val="004E178E"/>
    <w:rsid w:val="004E32AE"/>
    <w:rsid w:val="004E4D0D"/>
    <w:rsid w:val="004E583F"/>
    <w:rsid w:val="004E58E6"/>
    <w:rsid w:val="004E6D89"/>
    <w:rsid w:val="004F1B8E"/>
    <w:rsid w:val="004F3A4D"/>
    <w:rsid w:val="004F5C7B"/>
    <w:rsid w:val="004F7A67"/>
    <w:rsid w:val="0050262B"/>
    <w:rsid w:val="00507B08"/>
    <w:rsid w:val="0051030C"/>
    <w:rsid w:val="00510D22"/>
    <w:rsid w:val="005137CB"/>
    <w:rsid w:val="00513AB3"/>
    <w:rsid w:val="00513CA6"/>
    <w:rsid w:val="005140A4"/>
    <w:rsid w:val="005143F1"/>
    <w:rsid w:val="005148F8"/>
    <w:rsid w:val="00521943"/>
    <w:rsid w:val="00525D50"/>
    <w:rsid w:val="00527904"/>
    <w:rsid w:val="005338BD"/>
    <w:rsid w:val="00540C9B"/>
    <w:rsid w:val="00542C77"/>
    <w:rsid w:val="00543CD5"/>
    <w:rsid w:val="00546542"/>
    <w:rsid w:val="005479B9"/>
    <w:rsid w:val="005511AE"/>
    <w:rsid w:val="00551BBE"/>
    <w:rsid w:val="00555F77"/>
    <w:rsid w:val="00556D39"/>
    <w:rsid w:val="005636F2"/>
    <w:rsid w:val="00565833"/>
    <w:rsid w:val="005658BC"/>
    <w:rsid w:val="00566B5D"/>
    <w:rsid w:val="005723AB"/>
    <w:rsid w:val="00573514"/>
    <w:rsid w:val="00573DE2"/>
    <w:rsid w:val="005745A4"/>
    <w:rsid w:val="00575C4D"/>
    <w:rsid w:val="005767BB"/>
    <w:rsid w:val="00580C2E"/>
    <w:rsid w:val="00580C48"/>
    <w:rsid w:val="00583AC6"/>
    <w:rsid w:val="005849BB"/>
    <w:rsid w:val="0058543A"/>
    <w:rsid w:val="005866C4"/>
    <w:rsid w:val="0058718E"/>
    <w:rsid w:val="00587643"/>
    <w:rsid w:val="0058776B"/>
    <w:rsid w:val="00590938"/>
    <w:rsid w:val="00590B68"/>
    <w:rsid w:val="00594D23"/>
    <w:rsid w:val="00596224"/>
    <w:rsid w:val="005A056E"/>
    <w:rsid w:val="005A0FB3"/>
    <w:rsid w:val="005A13F3"/>
    <w:rsid w:val="005A288E"/>
    <w:rsid w:val="005A2DB0"/>
    <w:rsid w:val="005A3F45"/>
    <w:rsid w:val="005A5DD3"/>
    <w:rsid w:val="005A618E"/>
    <w:rsid w:val="005A6A2F"/>
    <w:rsid w:val="005B29BE"/>
    <w:rsid w:val="005B372D"/>
    <w:rsid w:val="005B43C8"/>
    <w:rsid w:val="005B6F9D"/>
    <w:rsid w:val="005B7BFC"/>
    <w:rsid w:val="005C3FD4"/>
    <w:rsid w:val="005C421B"/>
    <w:rsid w:val="005C6010"/>
    <w:rsid w:val="005D027F"/>
    <w:rsid w:val="005D03D8"/>
    <w:rsid w:val="005D16B3"/>
    <w:rsid w:val="005D1ECD"/>
    <w:rsid w:val="005D4088"/>
    <w:rsid w:val="005D48D7"/>
    <w:rsid w:val="005D51A3"/>
    <w:rsid w:val="005D5B70"/>
    <w:rsid w:val="005D6DF3"/>
    <w:rsid w:val="005E04DC"/>
    <w:rsid w:val="005E172E"/>
    <w:rsid w:val="005E1E27"/>
    <w:rsid w:val="005E1E90"/>
    <w:rsid w:val="005E3E14"/>
    <w:rsid w:val="005E50CA"/>
    <w:rsid w:val="005E66C6"/>
    <w:rsid w:val="005F0929"/>
    <w:rsid w:val="005F11AF"/>
    <w:rsid w:val="005F1570"/>
    <w:rsid w:val="005F18A3"/>
    <w:rsid w:val="005F2E02"/>
    <w:rsid w:val="005F746F"/>
    <w:rsid w:val="005F76A3"/>
    <w:rsid w:val="0060020B"/>
    <w:rsid w:val="006016BC"/>
    <w:rsid w:val="00602E9D"/>
    <w:rsid w:val="00603846"/>
    <w:rsid w:val="00604D1C"/>
    <w:rsid w:val="0060688D"/>
    <w:rsid w:val="0060751D"/>
    <w:rsid w:val="00610F81"/>
    <w:rsid w:val="006118DB"/>
    <w:rsid w:val="0062009D"/>
    <w:rsid w:val="006249F7"/>
    <w:rsid w:val="00624D90"/>
    <w:rsid w:val="00625D57"/>
    <w:rsid w:val="006261E3"/>
    <w:rsid w:val="00630DB0"/>
    <w:rsid w:val="006322E8"/>
    <w:rsid w:val="00637779"/>
    <w:rsid w:val="0064043C"/>
    <w:rsid w:val="00643EEE"/>
    <w:rsid w:val="00644108"/>
    <w:rsid w:val="006449BE"/>
    <w:rsid w:val="006459B5"/>
    <w:rsid w:val="00650159"/>
    <w:rsid w:val="00651F2B"/>
    <w:rsid w:val="00652B8B"/>
    <w:rsid w:val="006533C6"/>
    <w:rsid w:val="00654301"/>
    <w:rsid w:val="00654B40"/>
    <w:rsid w:val="00655AFB"/>
    <w:rsid w:val="00660CC7"/>
    <w:rsid w:val="00660CE9"/>
    <w:rsid w:val="00660D0C"/>
    <w:rsid w:val="006629F3"/>
    <w:rsid w:val="00662E50"/>
    <w:rsid w:val="00666FC1"/>
    <w:rsid w:val="0067198E"/>
    <w:rsid w:val="00673016"/>
    <w:rsid w:val="006735D8"/>
    <w:rsid w:val="00673E66"/>
    <w:rsid w:val="0067646E"/>
    <w:rsid w:val="00676E4F"/>
    <w:rsid w:val="00677A74"/>
    <w:rsid w:val="00680C20"/>
    <w:rsid w:val="00681CD2"/>
    <w:rsid w:val="00685779"/>
    <w:rsid w:val="00686EBD"/>
    <w:rsid w:val="006A08F0"/>
    <w:rsid w:val="006A13FA"/>
    <w:rsid w:val="006A1BC3"/>
    <w:rsid w:val="006A527A"/>
    <w:rsid w:val="006A7F2D"/>
    <w:rsid w:val="006B0599"/>
    <w:rsid w:val="006B0E2B"/>
    <w:rsid w:val="006B0EC9"/>
    <w:rsid w:val="006B1316"/>
    <w:rsid w:val="006B1EC1"/>
    <w:rsid w:val="006B26DF"/>
    <w:rsid w:val="006B3118"/>
    <w:rsid w:val="006B42C6"/>
    <w:rsid w:val="006B48E3"/>
    <w:rsid w:val="006B640F"/>
    <w:rsid w:val="006C3A89"/>
    <w:rsid w:val="006C5475"/>
    <w:rsid w:val="006C642A"/>
    <w:rsid w:val="006C6F6B"/>
    <w:rsid w:val="006D08C1"/>
    <w:rsid w:val="006E04EE"/>
    <w:rsid w:val="006E0A3D"/>
    <w:rsid w:val="006E0BC2"/>
    <w:rsid w:val="006E437A"/>
    <w:rsid w:val="006E5559"/>
    <w:rsid w:val="006E6B03"/>
    <w:rsid w:val="006F20ED"/>
    <w:rsid w:val="006F2BFE"/>
    <w:rsid w:val="006F44A8"/>
    <w:rsid w:val="006F4827"/>
    <w:rsid w:val="006F4EB3"/>
    <w:rsid w:val="006F62E5"/>
    <w:rsid w:val="00700ECB"/>
    <w:rsid w:val="00701B99"/>
    <w:rsid w:val="00702BF0"/>
    <w:rsid w:val="007045B4"/>
    <w:rsid w:val="0070494D"/>
    <w:rsid w:val="007061D5"/>
    <w:rsid w:val="0070650E"/>
    <w:rsid w:val="00710334"/>
    <w:rsid w:val="00713A13"/>
    <w:rsid w:val="00714D6A"/>
    <w:rsid w:val="007215EC"/>
    <w:rsid w:val="0072229D"/>
    <w:rsid w:val="00723CAB"/>
    <w:rsid w:val="00724636"/>
    <w:rsid w:val="00724E4F"/>
    <w:rsid w:val="0072655D"/>
    <w:rsid w:val="00727324"/>
    <w:rsid w:val="00732608"/>
    <w:rsid w:val="00732BDE"/>
    <w:rsid w:val="00735DF0"/>
    <w:rsid w:val="0074480D"/>
    <w:rsid w:val="00744F54"/>
    <w:rsid w:val="00751139"/>
    <w:rsid w:val="0075119B"/>
    <w:rsid w:val="007511E7"/>
    <w:rsid w:val="00752AED"/>
    <w:rsid w:val="00754549"/>
    <w:rsid w:val="0075711C"/>
    <w:rsid w:val="00757152"/>
    <w:rsid w:val="0076180A"/>
    <w:rsid w:val="00762248"/>
    <w:rsid w:val="00763036"/>
    <w:rsid w:val="0076309B"/>
    <w:rsid w:val="007632E7"/>
    <w:rsid w:val="00763754"/>
    <w:rsid w:val="00765BE0"/>
    <w:rsid w:val="007710E6"/>
    <w:rsid w:val="0077279F"/>
    <w:rsid w:val="00772CD4"/>
    <w:rsid w:val="00772FEC"/>
    <w:rsid w:val="00773B87"/>
    <w:rsid w:val="00774273"/>
    <w:rsid w:val="00774F28"/>
    <w:rsid w:val="00776DC6"/>
    <w:rsid w:val="00780131"/>
    <w:rsid w:val="007813EF"/>
    <w:rsid w:val="00781A9A"/>
    <w:rsid w:val="007828C0"/>
    <w:rsid w:val="0078307F"/>
    <w:rsid w:val="00785F1F"/>
    <w:rsid w:val="00787F52"/>
    <w:rsid w:val="00790591"/>
    <w:rsid w:val="007924C9"/>
    <w:rsid w:val="007936DF"/>
    <w:rsid w:val="00794078"/>
    <w:rsid w:val="0079436C"/>
    <w:rsid w:val="00794ACF"/>
    <w:rsid w:val="00794EE1"/>
    <w:rsid w:val="0079754F"/>
    <w:rsid w:val="007A0B62"/>
    <w:rsid w:val="007A103C"/>
    <w:rsid w:val="007A22D8"/>
    <w:rsid w:val="007A3A13"/>
    <w:rsid w:val="007A5E52"/>
    <w:rsid w:val="007A77A9"/>
    <w:rsid w:val="007B1EFE"/>
    <w:rsid w:val="007B2EF1"/>
    <w:rsid w:val="007B5C3C"/>
    <w:rsid w:val="007B669A"/>
    <w:rsid w:val="007B73FD"/>
    <w:rsid w:val="007B7AA9"/>
    <w:rsid w:val="007C0611"/>
    <w:rsid w:val="007C0DA5"/>
    <w:rsid w:val="007C207F"/>
    <w:rsid w:val="007C4646"/>
    <w:rsid w:val="007C5203"/>
    <w:rsid w:val="007C53CC"/>
    <w:rsid w:val="007C564D"/>
    <w:rsid w:val="007C6562"/>
    <w:rsid w:val="007C6D93"/>
    <w:rsid w:val="007D0656"/>
    <w:rsid w:val="007D2E59"/>
    <w:rsid w:val="007D451D"/>
    <w:rsid w:val="007D4BEC"/>
    <w:rsid w:val="007D5059"/>
    <w:rsid w:val="007D5330"/>
    <w:rsid w:val="007D65DA"/>
    <w:rsid w:val="007D7915"/>
    <w:rsid w:val="007E1AB7"/>
    <w:rsid w:val="007E2AB4"/>
    <w:rsid w:val="007E45FA"/>
    <w:rsid w:val="007E6E17"/>
    <w:rsid w:val="007E6ECC"/>
    <w:rsid w:val="007F04A0"/>
    <w:rsid w:val="007F23FC"/>
    <w:rsid w:val="007F3BF9"/>
    <w:rsid w:val="007F6784"/>
    <w:rsid w:val="007F7A50"/>
    <w:rsid w:val="00800441"/>
    <w:rsid w:val="008008F7"/>
    <w:rsid w:val="00801A05"/>
    <w:rsid w:val="0080221D"/>
    <w:rsid w:val="00803508"/>
    <w:rsid w:val="008036AB"/>
    <w:rsid w:val="00803D35"/>
    <w:rsid w:val="00803D80"/>
    <w:rsid w:val="0081052C"/>
    <w:rsid w:val="008124A0"/>
    <w:rsid w:val="00813314"/>
    <w:rsid w:val="00813DF7"/>
    <w:rsid w:val="008168E9"/>
    <w:rsid w:val="0082181A"/>
    <w:rsid w:val="00821B21"/>
    <w:rsid w:val="00822383"/>
    <w:rsid w:val="00822419"/>
    <w:rsid w:val="00822BB6"/>
    <w:rsid w:val="00823040"/>
    <w:rsid w:val="008231DC"/>
    <w:rsid w:val="00823D95"/>
    <w:rsid w:val="00824054"/>
    <w:rsid w:val="0082409C"/>
    <w:rsid w:val="008267CE"/>
    <w:rsid w:val="00826BB0"/>
    <w:rsid w:val="00827697"/>
    <w:rsid w:val="00830BCC"/>
    <w:rsid w:val="008322E2"/>
    <w:rsid w:val="00832990"/>
    <w:rsid w:val="00832A2A"/>
    <w:rsid w:val="00832FC8"/>
    <w:rsid w:val="008366E2"/>
    <w:rsid w:val="00840301"/>
    <w:rsid w:val="00840581"/>
    <w:rsid w:val="008409F9"/>
    <w:rsid w:val="00846B9D"/>
    <w:rsid w:val="00847F94"/>
    <w:rsid w:val="008547F2"/>
    <w:rsid w:val="00856F7B"/>
    <w:rsid w:val="00860765"/>
    <w:rsid w:val="008609FD"/>
    <w:rsid w:val="00860B3D"/>
    <w:rsid w:val="008622EF"/>
    <w:rsid w:val="0086275C"/>
    <w:rsid w:val="00862B04"/>
    <w:rsid w:val="0086322A"/>
    <w:rsid w:val="008633BB"/>
    <w:rsid w:val="00865267"/>
    <w:rsid w:val="00865C3A"/>
    <w:rsid w:val="00867C86"/>
    <w:rsid w:val="0087093E"/>
    <w:rsid w:val="008710B8"/>
    <w:rsid w:val="00871CFB"/>
    <w:rsid w:val="00871DD7"/>
    <w:rsid w:val="00874756"/>
    <w:rsid w:val="00875F62"/>
    <w:rsid w:val="00876DA5"/>
    <w:rsid w:val="00877056"/>
    <w:rsid w:val="008772DC"/>
    <w:rsid w:val="00877427"/>
    <w:rsid w:val="00887AFB"/>
    <w:rsid w:val="008901A6"/>
    <w:rsid w:val="008A0100"/>
    <w:rsid w:val="008A2616"/>
    <w:rsid w:val="008A2D40"/>
    <w:rsid w:val="008B0D72"/>
    <w:rsid w:val="008B268D"/>
    <w:rsid w:val="008B2DE9"/>
    <w:rsid w:val="008B640E"/>
    <w:rsid w:val="008B7512"/>
    <w:rsid w:val="008B7FA7"/>
    <w:rsid w:val="008C134A"/>
    <w:rsid w:val="008C28CA"/>
    <w:rsid w:val="008C3265"/>
    <w:rsid w:val="008D01A2"/>
    <w:rsid w:val="008D02D1"/>
    <w:rsid w:val="008D12E7"/>
    <w:rsid w:val="008D3F36"/>
    <w:rsid w:val="008D6E88"/>
    <w:rsid w:val="008E01A9"/>
    <w:rsid w:val="008E1688"/>
    <w:rsid w:val="008E69BC"/>
    <w:rsid w:val="008E6D66"/>
    <w:rsid w:val="008E729A"/>
    <w:rsid w:val="008F0895"/>
    <w:rsid w:val="008F11DB"/>
    <w:rsid w:val="008F23C9"/>
    <w:rsid w:val="008F50AB"/>
    <w:rsid w:val="008F7976"/>
    <w:rsid w:val="00902E6A"/>
    <w:rsid w:val="00904972"/>
    <w:rsid w:val="00904B2E"/>
    <w:rsid w:val="00911750"/>
    <w:rsid w:val="00912F55"/>
    <w:rsid w:val="00913F8C"/>
    <w:rsid w:val="009148C7"/>
    <w:rsid w:val="0091532D"/>
    <w:rsid w:val="00920B32"/>
    <w:rsid w:val="0092137F"/>
    <w:rsid w:val="009232D4"/>
    <w:rsid w:val="00924CB8"/>
    <w:rsid w:val="00926679"/>
    <w:rsid w:val="009266BE"/>
    <w:rsid w:val="00927C55"/>
    <w:rsid w:val="0093000A"/>
    <w:rsid w:val="009344C4"/>
    <w:rsid w:val="00934E07"/>
    <w:rsid w:val="00936F2E"/>
    <w:rsid w:val="00943A11"/>
    <w:rsid w:val="00943B77"/>
    <w:rsid w:val="00944562"/>
    <w:rsid w:val="00944C58"/>
    <w:rsid w:val="009538EE"/>
    <w:rsid w:val="00953CF1"/>
    <w:rsid w:val="00960BD3"/>
    <w:rsid w:val="00960C3B"/>
    <w:rsid w:val="00961A95"/>
    <w:rsid w:val="00961FF2"/>
    <w:rsid w:val="009628E8"/>
    <w:rsid w:val="00962F55"/>
    <w:rsid w:val="00964534"/>
    <w:rsid w:val="00966BFA"/>
    <w:rsid w:val="00967DE6"/>
    <w:rsid w:val="00970781"/>
    <w:rsid w:val="0097232F"/>
    <w:rsid w:val="00974303"/>
    <w:rsid w:val="009753D9"/>
    <w:rsid w:val="00982064"/>
    <w:rsid w:val="009820F1"/>
    <w:rsid w:val="009823D6"/>
    <w:rsid w:val="00982CED"/>
    <w:rsid w:val="00983A29"/>
    <w:rsid w:val="00986E65"/>
    <w:rsid w:val="00987F8E"/>
    <w:rsid w:val="00990B4A"/>
    <w:rsid w:val="0099150A"/>
    <w:rsid w:val="00991CA6"/>
    <w:rsid w:val="00992ED8"/>
    <w:rsid w:val="00996E6D"/>
    <w:rsid w:val="0099719A"/>
    <w:rsid w:val="009A5A49"/>
    <w:rsid w:val="009A6EE9"/>
    <w:rsid w:val="009A78F3"/>
    <w:rsid w:val="009B1547"/>
    <w:rsid w:val="009B4884"/>
    <w:rsid w:val="009B5591"/>
    <w:rsid w:val="009B75B2"/>
    <w:rsid w:val="009C09A0"/>
    <w:rsid w:val="009C40A4"/>
    <w:rsid w:val="009C47AC"/>
    <w:rsid w:val="009D0A3A"/>
    <w:rsid w:val="009D14D5"/>
    <w:rsid w:val="009D312D"/>
    <w:rsid w:val="009D4600"/>
    <w:rsid w:val="009D6B69"/>
    <w:rsid w:val="009D7C12"/>
    <w:rsid w:val="009D7C90"/>
    <w:rsid w:val="009E2616"/>
    <w:rsid w:val="009E2D83"/>
    <w:rsid w:val="009E37A5"/>
    <w:rsid w:val="009E48AE"/>
    <w:rsid w:val="009F1E7D"/>
    <w:rsid w:val="009F34EF"/>
    <w:rsid w:val="009F3AE4"/>
    <w:rsid w:val="009F4CBE"/>
    <w:rsid w:val="009F70D5"/>
    <w:rsid w:val="00A013E1"/>
    <w:rsid w:val="00A0178C"/>
    <w:rsid w:val="00A051A3"/>
    <w:rsid w:val="00A07F30"/>
    <w:rsid w:val="00A10277"/>
    <w:rsid w:val="00A104AA"/>
    <w:rsid w:val="00A10B90"/>
    <w:rsid w:val="00A10BF5"/>
    <w:rsid w:val="00A14593"/>
    <w:rsid w:val="00A14D12"/>
    <w:rsid w:val="00A1533F"/>
    <w:rsid w:val="00A21B21"/>
    <w:rsid w:val="00A224F8"/>
    <w:rsid w:val="00A265A1"/>
    <w:rsid w:val="00A32648"/>
    <w:rsid w:val="00A33074"/>
    <w:rsid w:val="00A40C84"/>
    <w:rsid w:val="00A42708"/>
    <w:rsid w:val="00A443F4"/>
    <w:rsid w:val="00A455C3"/>
    <w:rsid w:val="00A46A03"/>
    <w:rsid w:val="00A46D4A"/>
    <w:rsid w:val="00A47EFD"/>
    <w:rsid w:val="00A522AC"/>
    <w:rsid w:val="00A52A5C"/>
    <w:rsid w:val="00A532E5"/>
    <w:rsid w:val="00A53468"/>
    <w:rsid w:val="00A5468F"/>
    <w:rsid w:val="00A60B70"/>
    <w:rsid w:val="00A60B84"/>
    <w:rsid w:val="00A613AB"/>
    <w:rsid w:val="00A62B77"/>
    <w:rsid w:val="00A63B4C"/>
    <w:rsid w:val="00A64337"/>
    <w:rsid w:val="00A649F3"/>
    <w:rsid w:val="00A64EBD"/>
    <w:rsid w:val="00A70205"/>
    <w:rsid w:val="00A72E44"/>
    <w:rsid w:val="00A73A90"/>
    <w:rsid w:val="00A75093"/>
    <w:rsid w:val="00A80BE6"/>
    <w:rsid w:val="00A81DE6"/>
    <w:rsid w:val="00A829A0"/>
    <w:rsid w:val="00A839A1"/>
    <w:rsid w:val="00A86AAD"/>
    <w:rsid w:val="00A86AE0"/>
    <w:rsid w:val="00A87327"/>
    <w:rsid w:val="00A9018B"/>
    <w:rsid w:val="00A90318"/>
    <w:rsid w:val="00A91EE4"/>
    <w:rsid w:val="00A9293E"/>
    <w:rsid w:val="00A93579"/>
    <w:rsid w:val="00A96D4D"/>
    <w:rsid w:val="00A97C6B"/>
    <w:rsid w:val="00AA1307"/>
    <w:rsid w:val="00AA158F"/>
    <w:rsid w:val="00AA1A6F"/>
    <w:rsid w:val="00AA244F"/>
    <w:rsid w:val="00AA3B06"/>
    <w:rsid w:val="00AA45A5"/>
    <w:rsid w:val="00AA699C"/>
    <w:rsid w:val="00AB3003"/>
    <w:rsid w:val="00AB3038"/>
    <w:rsid w:val="00AB4154"/>
    <w:rsid w:val="00AB55F3"/>
    <w:rsid w:val="00AC139E"/>
    <w:rsid w:val="00AC3A1D"/>
    <w:rsid w:val="00AC49A6"/>
    <w:rsid w:val="00AD035E"/>
    <w:rsid w:val="00AD068D"/>
    <w:rsid w:val="00AD1223"/>
    <w:rsid w:val="00AD1246"/>
    <w:rsid w:val="00AD1F85"/>
    <w:rsid w:val="00AD2A34"/>
    <w:rsid w:val="00AD5248"/>
    <w:rsid w:val="00AD5914"/>
    <w:rsid w:val="00AD5A72"/>
    <w:rsid w:val="00AD6204"/>
    <w:rsid w:val="00AD6336"/>
    <w:rsid w:val="00AD637A"/>
    <w:rsid w:val="00AD71B3"/>
    <w:rsid w:val="00AE008B"/>
    <w:rsid w:val="00AE6C6D"/>
    <w:rsid w:val="00AE77C0"/>
    <w:rsid w:val="00AF3CE2"/>
    <w:rsid w:val="00AF42EB"/>
    <w:rsid w:val="00B05363"/>
    <w:rsid w:val="00B06E9E"/>
    <w:rsid w:val="00B15EBD"/>
    <w:rsid w:val="00B23084"/>
    <w:rsid w:val="00B23DEC"/>
    <w:rsid w:val="00B242D8"/>
    <w:rsid w:val="00B2475E"/>
    <w:rsid w:val="00B26666"/>
    <w:rsid w:val="00B27231"/>
    <w:rsid w:val="00B31EBB"/>
    <w:rsid w:val="00B3263A"/>
    <w:rsid w:val="00B32F51"/>
    <w:rsid w:val="00B358A4"/>
    <w:rsid w:val="00B35DCA"/>
    <w:rsid w:val="00B362F3"/>
    <w:rsid w:val="00B40BC0"/>
    <w:rsid w:val="00B4109D"/>
    <w:rsid w:val="00B43B35"/>
    <w:rsid w:val="00B43E34"/>
    <w:rsid w:val="00B4508E"/>
    <w:rsid w:val="00B470AA"/>
    <w:rsid w:val="00B51F11"/>
    <w:rsid w:val="00B52394"/>
    <w:rsid w:val="00B524E9"/>
    <w:rsid w:val="00B526BC"/>
    <w:rsid w:val="00B55DD7"/>
    <w:rsid w:val="00B5615B"/>
    <w:rsid w:val="00B56993"/>
    <w:rsid w:val="00B6012F"/>
    <w:rsid w:val="00B6187B"/>
    <w:rsid w:val="00B62122"/>
    <w:rsid w:val="00B63C77"/>
    <w:rsid w:val="00B67F30"/>
    <w:rsid w:val="00B707A2"/>
    <w:rsid w:val="00B71448"/>
    <w:rsid w:val="00B72513"/>
    <w:rsid w:val="00B76042"/>
    <w:rsid w:val="00B801A8"/>
    <w:rsid w:val="00B80337"/>
    <w:rsid w:val="00B828CE"/>
    <w:rsid w:val="00B83642"/>
    <w:rsid w:val="00B8466D"/>
    <w:rsid w:val="00B87460"/>
    <w:rsid w:val="00B879B2"/>
    <w:rsid w:val="00B901B5"/>
    <w:rsid w:val="00B90886"/>
    <w:rsid w:val="00B90E3E"/>
    <w:rsid w:val="00B93B14"/>
    <w:rsid w:val="00B96BBA"/>
    <w:rsid w:val="00B96D0B"/>
    <w:rsid w:val="00BA187A"/>
    <w:rsid w:val="00BA207F"/>
    <w:rsid w:val="00BA35C4"/>
    <w:rsid w:val="00BA3602"/>
    <w:rsid w:val="00BA68AA"/>
    <w:rsid w:val="00BA6A83"/>
    <w:rsid w:val="00BA6CCF"/>
    <w:rsid w:val="00BA741D"/>
    <w:rsid w:val="00BB03ED"/>
    <w:rsid w:val="00BB166B"/>
    <w:rsid w:val="00BB2D04"/>
    <w:rsid w:val="00BB2DF6"/>
    <w:rsid w:val="00BB33BD"/>
    <w:rsid w:val="00BB4166"/>
    <w:rsid w:val="00BB4221"/>
    <w:rsid w:val="00BB4840"/>
    <w:rsid w:val="00BB6D6A"/>
    <w:rsid w:val="00BB70E2"/>
    <w:rsid w:val="00BC14A0"/>
    <w:rsid w:val="00BC20F1"/>
    <w:rsid w:val="00BC36E0"/>
    <w:rsid w:val="00BC4B04"/>
    <w:rsid w:val="00BC6FC9"/>
    <w:rsid w:val="00BD1495"/>
    <w:rsid w:val="00BD233D"/>
    <w:rsid w:val="00BD76AC"/>
    <w:rsid w:val="00BD7752"/>
    <w:rsid w:val="00BD7D66"/>
    <w:rsid w:val="00BE08FE"/>
    <w:rsid w:val="00BE1374"/>
    <w:rsid w:val="00BE69DE"/>
    <w:rsid w:val="00BE72BB"/>
    <w:rsid w:val="00BF1193"/>
    <w:rsid w:val="00BF5FF7"/>
    <w:rsid w:val="00BF6682"/>
    <w:rsid w:val="00BF747A"/>
    <w:rsid w:val="00C001FA"/>
    <w:rsid w:val="00C00FE2"/>
    <w:rsid w:val="00C01534"/>
    <w:rsid w:val="00C029C1"/>
    <w:rsid w:val="00C05304"/>
    <w:rsid w:val="00C053FC"/>
    <w:rsid w:val="00C0559E"/>
    <w:rsid w:val="00C07D74"/>
    <w:rsid w:val="00C14BC9"/>
    <w:rsid w:val="00C15121"/>
    <w:rsid w:val="00C22C39"/>
    <w:rsid w:val="00C2321C"/>
    <w:rsid w:val="00C313F5"/>
    <w:rsid w:val="00C31E25"/>
    <w:rsid w:val="00C32B65"/>
    <w:rsid w:val="00C34628"/>
    <w:rsid w:val="00C378A6"/>
    <w:rsid w:val="00C429AC"/>
    <w:rsid w:val="00C42DD7"/>
    <w:rsid w:val="00C44212"/>
    <w:rsid w:val="00C44FE1"/>
    <w:rsid w:val="00C47493"/>
    <w:rsid w:val="00C47B47"/>
    <w:rsid w:val="00C50BBB"/>
    <w:rsid w:val="00C61036"/>
    <w:rsid w:val="00C63C30"/>
    <w:rsid w:val="00C6494C"/>
    <w:rsid w:val="00C6726F"/>
    <w:rsid w:val="00C703ED"/>
    <w:rsid w:val="00C726FA"/>
    <w:rsid w:val="00C7351A"/>
    <w:rsid w:val="00C74658"/>
    <w:rsid w:val="00C811AE"/>
    <w:rsid w:val="00C8199B"/>
    <w:rsid w:val="00C81DD4"/>
    <w:rsid w:val="00C8379B"/>
    <w:rsid w:val="00C8742F"/>
    <w:rsid w:val="00C953AA"/>
    <w:rsid w:val="00C9746B"/>
    <w:rsid w:val="00CA05AC"/>
    <w:rsid w:val="00CA0F28"/>
    <w:rsid w:val="00CA1256"/>
    <w:rsid w:val="00CA1754"/>
    <w:rsid w:val="00CA1D1C"/>
    <w:rsid w:val="00CA2F1E"/>
    <w:rsid w:val="00CA5436"/>
    <w:rsid w:val="00CA5438"/>
    <w:rsid w:val="00CA5DFD"/>
    <w:rsid w:val="00CB0FB8"/>
    <w:rsid w:val="00CB1356"/>
    <w:rsid w:val="00CB3639"/>
    <w:rsid w:val="00CB4DDB"/>
    <w:rsid w:val="00CB63CF"/>
    <w:rsid w:val="00CB72DF"/>
    <w:rsid w:val="00CC48A1"/>
    <w:rsid w:val="00CC58C7"/>
    <w:rsid w:val="00CC5E86"/>
    <w:rsid w:val="00CC6017"/>
    <w:rsid w:val="00CC70F5"/>
    <w:rsid w:val="00CC7F02"/>
    <w:rsid w:val="00CD3001"/>
    <w:rsid w:val="00CD553B"/>
    <w:rsid w:val="00CD55F0"/>
    <w:rsid w:val="00CD75BE"/>
    <w:rsid w:val="00CD7850"/>
    <w:rsid w:val="00CE10E1"/>
    <w:rsid w:val="00CE1739"/>
    <w:rsid w:val="00CE18E9"/>
    <w:rsid w:val="00CE4EFE"/>
    <w:rsid w:val="00CE602D"/>
    <w:rsid w:val="00CE7C8A"/>
    <w:rsid w:val="00CF02F3"/>
    <w:rsid w:val="00CF0739"/>
    <w:rsid w:val="00CF26C7"/>
    <w:rsid w:val="00CF2E40"/>
    <w:rsid w:val="00CF6B03"/>
    <w:rsid w:val="00CF7806"/>
    <w:rsid w:val="00D00590"/>
    <w:rsid w:val="00D00F07"/>
    <w:rsid w:val="00D0206B"/>
    <w:rsid w:val="00D02162"/>
    <w:rsid w:val="00D035BB"/>
    <w:rsid w:val="00D077EA"/>
    <w:rsid w:val="00D13671"/>
    <w:rsid w:val="00D13DD3"/>
    <w:rsid w:val="00D13FD0"/>
    <w:rsid w:val="00D14112"/>
    <w:rsid w:val="00D143A7"/>
    <w:rsid w:val="00D1558B"/>
    <w:rsid w:val="00D15DAC"/>
    <w:rsid w:val="00D16179"/>
    <w:rsid w:val="00D165F6"/>
    <w:rsid w:val="00D203AC"/>
    <w:rsid w:val="00D20DC2"/>
    <w:rsid w:val="00D227D3"/>
    <w:rsid w:val="00D24813"/>
    <w:rsid w:val="00D25134"/>
    <w:rsid w:val="00D25944"/>
    <w:rsid w:val="00D32384"/>
    <w:rsid w:val="00D32D9C"/>
    <w:rsid w:val="00D344AE"/>
    <w:rsid w:val="00D370AD"/>
    <w:rsid w:val="00D37B9F"/>
    <w:rsid w:val="00D4049C"/>
    <w:rsid w:val="00D40788"/>
    <w:rsid w:val="00D4169D"/>
    <w:rsid w:val="00D418E8"/>
    <w:rsid w:val="00D426BE"/>
    <w:rsid w:val="00D42D31"/>
    <w:rsid w:val="00D43630"/>
    <w:rsid w:val="00D43FCF"/>
    <w:rsid w:val="00D44A4B"/>
    <w:rsid w:val="00D44B97"/>
    <w:rsid w:val="00D45556"/>
    <w:rsid w:val="00D4562D"/>
    <w:rsid w:val="00D5061F"/>
    <w:rsid w:val="00D536C8"/>
    <w:rsid w:val="00D54C70"/>
    <w:rsid w:val="00D5724E"/>
    <w:rsid w:val="00D57575"/>
    <w:rsid w:val="00D665C2"/>
    <w:rsid w:val="00D67B6C"/>
    <w:rsid w:val="00D7176A"/>
    <w:rsid w:val="00D71FF5"/>
    <w:rsid w:val="00D72555"/>
    <w:rsid w:val="00D729F7"/>
    <w:rsid w:val="00D738B4"/>
    <w:rsid w:val="00D7497A"/>
    <w:rsid w:val="00D778E8"/>
    <w:rsid w:val="00D80567"/>
    <w:rsid w:val="00D809C0"/>
    <w:rsid w:val="00D814F9"/>
    <w:rsid w:val="00D85C50"/>
    <w:rsid w:val="00D85E80"/>
    <w:rsid w:val="00D86408"/>
    <w:rsid w:val="00D87B74"/>
    <w:rsid w:val="00D938ED"/>
    <w:rsid w:val="00D93C02"/>
    <w:rsid w:val="00D95983"/>
    <w:rsid w:val="00D9652C"/>
    <w:rsid w:val="00D968D1"/>
    <w:rsid w:val="00DA25A7"/>
    <w:rsid w:val="00DA66C5"/>
    <w:rsid w:val="00DB38A8"/>
    <w:rsid w:val="00DB410A"/>
    <w:rsid w:val="00DB6C3A"/>
    <w:rsid w:val="00DC050E"/>
    <w:rsid w:val="00DC3063"/>
    <w:rsid w:val="00DC35DA"/>
    <w:rsid w:val="00DC62F2"/>
    <w:rsid w:val="00DC711E"/>
    <w:rsid w:val="00DC7312"/>
    <w:rsid w:val="00DD0D02"/>
    <w:rsid w:val="00DD2143"/>
    <w:rsid w:val="00DD3F9E"/>
    <w:rsid w:val="00DD532E"/>
    <w:rsid w:val="00DD737E"/>
    <w:rsid w:val="00DE0030"/>
    <w:rsid w:val="00DE0C6F"/>
    <w:rsid w:val="00DE19E0"/>
    <w:rsid w:val="00DE2D8F"/>
    <w:rsid w:val="00DF0AD7"/>
    <w:rsid w:val="00DF2E8E"/>
    <w:rsid w:val="00DF37F2"/>
    <w:rsid w:val="00DF40E4"/>
    <w:rsid w:val="00DF524A"/>
    <w:rsid w:val="00DF6F8F"/>
    <w:rsid w:val="00DF751A"/>
    <w:rsid w:val="00E00C51"/>
    <w:rsid w:val="00E00D47"/>
    <w:rsid w:val="00E01763"/>
    <w:rsid w:val="00E0229F"/>
    <w:rsid w:val="00E03CEE"/>
    <w:rsid w:val="00E04064"/>
    <w:rsid w:val="00E05DF1"/>
    <w:rsid w:val="00E07615"/>
    <w:rsid w:val="00E07E80"/>
    <w:rsid w:val="00E1341A"/>
    <w:rsid w:val="00E138DA"/>
    <w:rsid w:val="00E144DF"/>
    <w:rsid w:val="00E17790"/>
    <w:rsid w:val="00E21F86"/>
    <w:rsid w:val="00E225E8"/>
    <w:rsid w:val="00E2495E"/>
    <w:rsid w:val="00E26A6D"/>
    <w:rsid w:val="00E271B0"/>
    <w:rsid w:val="00E3000B"/>
    <w:rsid w:val="00E34B4E"/>
    <w:rsid w:val="00E35918"/>
    <w:rsid w:val="00E36477"/>
    <w:rsid w:val="00E379E0"/>
    <w:rsid w:val="00E37B50"/>
    <w:rsid w:val="00E37D76"/>
    <w:rsid w:val="00E4180C"/>
    <w:rsid w:val="00E41F4D"/>
    <w:rsid w:val="00E428E6"/>
    <w:rsid w:val="00E428FD"/>
    <w:rsid w:val="00E43675"/>
    <w:rsid w:val="00E45F09"/>
    <w:rsid w:val="00E50E84"/>
    <w:rsid w:val="00E512F3"/>
    <w:rsid w:val="00E516A5"/>
    <w:rsid w:val="00E52745"/>
    <w:rsid w:val="00E61559"/>
    <w:rsid w:val="00E62940"/>
    <w:rsid w:val="00E6390B"/>
    <w:rsid w:val="00E63F22"/>
    <w:rsid w:val="00E653EF"/>
    <w:rsid w:val="00E655F4"/>
    <w:rsid w:val="00E701BA"/>
    <w:rsid w:val="00E72D5D"/>
    <w:rsid w:val="00E74E50"/>
    <w:rsid w:val="00E74F88"/>
    <w:rsid w:val="00E770E6"/>
    <w:rsid w:val="00E8016F"/>
    <w:rsid w:val="00E820ED"/>
    <w:rsid w:val="00E84C83"/>
    <w:rsid w:val="00E91214"/>
    <w:rsid w:val="00E92881"/>
    <w:rsid w:val="00E93636"/>
    <w:rsid w:val="00EA30E6"/>
    <w:rsid w:val="00EA7401"/>
    <w:rsid w:val="00EB0580"/>
    <w:rsid w:val="00EB1CCD"/>
    <w:rsid w:val="00EB453A"/>
    <w:rsid w:val="00EB5736"/>
    <w:rsid w:val="00EB5B71"/>
    <w:rsid w:val="00EC2438"/>
    <w:rsid w:val="00EC339D"/>
    <w:rsid w:val="00EC6803"/>
    <w:rsid w:val="00EC6A33"/>
    <w:rsid w:val="00ED0760"/>
    <w:rsid w:val="00ED1C9D"/>
    <w:rsid w:val="00ED4ABC"/>
    <w:rsid w:val="00ED5A35"/>
    <w:rsid w:val="00ED5BDF"/>
    <w:rsid w:val="00ED5FA0"/>
    <w:rsid w:val="00ED728A"/>
    <w:rsid w:val="00ED74FD"/>
    <w:rsid w:val="00EE1051"/>
    <w:rsid w:val="00EE3396"/>
    <w:rsid w:val="00EE346B"/>
    <w:rsid w:val="00EE4CF1"/>
    <w:rsid w:val="00EE5BB5"/>
    <w:rsid w:val="00EE661B"/>
    <w:rsid w:val="00EF1170"/>
    <w:rsid w:val="00EF28F8"/>
    <w:rsid w:val="00EF2D7E"/>
    <w:rsid w:val="00EF5C22"/>
    <w:rsid w:val="00F00B7D"/>
    <w:rsid w:val="00F031CB"/>
    <w:rsid w:val="00F034FF"/>
    <w:rsid w:val="00F04D0D"/>
    <w:rsid w:val="00F04FA5"/>
    <w:rsid w:val="00F06CB6"/>
    <w:rsid w:val="00F10E44"/>
    <w:rsid w:val="00F12D89"/>
    <w:rsid w:val="00F15506"/>
    <w:rsid w:val="00F164F7"/>
    <w:rsid w:val="00F20AAB"/>
    <w:rsid w:val="00F21D48"/>
    <w:rsid w:val="00F25519"/>
    <w:rsid w:val="00F273E0"/>
    <w:rsid w:val="00F340AF"/>
    <w:rsid w:val="00F416FE"/>
    <w:rsid w:val="00F467F4"/>
    <w:rsid w:val="00F47497"/>
    <w:rsid w:val="00F47AA2"/>
    <w:rsid w:val="00F512C5"/>
    <w:rsid w:val="00F53265"/>
    <w:rsid w:val="00F541E2"/>
    <w:rsid w:val="00F5498A"/>
    <w:rsid w:val="00F55A4D"/>
    <w:rsid w:val="00F618D9"/>
    <w:rsid w:val="00F6231A"/>
    <w:rsid w:val="00F65085"/>
    <w:rsid w:val="00F66193"/>
    <w:rsid w:val="00F675A9"/>
    <w:rsid w:val="00F700DD"/>
    <w:rsid w:val="00F7486D"/>
    <w:rsid w:val="00F74E3F"/>
    <w:rsid w:val="00F77548"/>
    <w:rsid w:val="00F808E2"/>
    <w:rsid w:val="00F80994"/>
    <w:rsid w:val="00F831B6"/>
    <w:rsid w:val="00F86410"/>
    <w:rsid w:val="00F8798F"/>
    <w:rsid w:val="00F90BF6"/>
    <w:rsid w:val="00F90FF6"/>
    <w:rsid w:val="00F920DC"/>
    <w:rsid w:val="00F93EAC"/>
    <w:rsid w:val="00F941D4"/>
    <w:rsid w:val="00F9478D"/>
    <w:rsid w:val="00FA1816"/>
    <w:rsid w:val="00FA1C29"/>
    <w:rsid w:val="00FA386D"/>
    <w:rsid w:val="00FA4C3D"/>
    <w:rsid w:val="00FA6752"/>
    <w:rsid w:val="00FA70BE"/>
    <w:rsid w:val="00FB1755"/>
    <w:rsid w:val="00FB1BDD"/>
    <w:rsid w:val="00FB20B5"/>
    <w:rsid w:val="00FB26AC"/>
    <w:rsid w:val="00FB2D53"/>
    <w:rsid w:val="00FB34CD"/>
    <w:rsid w:val="00FC099F"/>
    <w:rsid w:val="00FC0D41"/>
    <w:rsid w:val="00FC1C2F"/>
    <w:rsid w:val="00FC21FD"/>
    <w:rsid w:val="00FC2E9D"/>
    <w:rsid w:val="00FC6BF3"/>
    <w:rsid w:val="00FC7381"/>
    <w:rsid w:val="00FC7498"/>
    <w:rsid w:val="00FC7BDE"/>
    <w:rsid w:val="00FD2A4D"/>
    <w:rsid w:val="00FD440E"/>
    <w:rsid w:val="00FD465A"/>
    <w:rsid w:val="00FD4D07"/>
    <w:rsid w:val="00FD6495"/>
    <w:rsid w:val="00FD6F0B"/>
    <w:rsid w:val="00FD73D1"/>
    <w:rsid w:val="00FE656B"/>
    <w:rsid w:val="00FE7F47"/>
    <w:rsid w:val="00FE7FC7"/>
    <w:rsid w:val="00FF03F8"/>
    <w:rsid w:val="00FF2486"/>
    <w:rsid w:val="00FF24C5"/>
    <w:rsid w:val="00FF2EA3"/>
    <w:rsid w:val="00FF394B"/>
    <w:rsid w:val="00FF3FB8"/>
    <w:rsid w:val="00FF5E3B"/>
    <w:rsid w:val="00FF6AB6"/>
    <w:rsid w:val="00FF7C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E11D2"/>
  <w15:docId w15:val="{AC70D518-9C8C-4D4F-B6C3-907CB18E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600"/>
    <w:rPr>
      <w:sz w:val="24"/>
      <w:szCs w:val="24"/>
    </w:rPr>
  </w:style>
  <w:style w:type="paragraph" w:styleId="Ttulo1">
    <w:name w:val="heading 1"/>
    <w:basedOn w:val="Normal"/>
    <w:next w:val="Normal"/>
    <w:qFormat/>
    <w:pPr>
      <w:keepNext/>
      <w:outlineLvl w:val="0"/>
    </w:pPr>
    <w:rPr>
      <w:b/>
      <w:bCs/>
      <w:sz w:val="28"/>
      <w:szCs w:val="28"/>
    </w:rPr>
  </w:style>
  <w:style w:type="paragraph" w:styleId="Ttulo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b/>
      <w:bCs/>
      <w:sz w:val="28"/>
    </w:rPr>
  </w:style>
  <w:style w:type="paragraph" w:styleId="Ttulo3">
    <w:name w:val="heading 3"/>
    <w:basedOn w:val="Normal"/>
    <w:next w:val="Normal"/>
    <w:qFormat/>
    <w:pPr>
      <w:keepNext/>
      <w:outlineLvl w:val="2"/>
    </w:pPr>
    <w:rPr>
      <w:u w:val="single"/>
    </w:rPr>
  </w:style>
  <w:style w:type="paragraph" w:styleId="Ttulo4">
    <w:name w:val="heading 4"/>
    <w:basedOn w:val="Normal"/>
    <w:next w:val="Normal"/>
    <w:qFormat/>
    <w:pPr>
      <w:keepNext/>
      <w:jc w:val="both"/>
      <w:outlineLvl w:val="3"/>
    </w:pPr>
    <w:rPr>
      <w:u w:val="single"/>
    </w:rPr>
  </w:style>
  <w:style w:type="paragraph" w:styleId="Ttulo5">
    <w:name w:val="heading 5"/>
    <w:basedOn w:val="Normal"/>
    <w:next w:val="Normal"/>
    <w:qFormat/>
    <w:pPr>
      <w:keepNext/>
      <w:jc w:val="both"/>
      <w:outlineLvl w:val="4"/>
    </w:pPr>
    <w:rPr>
      <w:b/>
      <w:bCs/>
    </w:rPr>
  </w:style>
  <w:style w:type="paragraph" w:styleId="Ttulo6">
    <w:name w:val="heading 6"/>
    <w:basedOn w:val="Normal"/>
    <w:next w:val="Normal"/>
    <w:qFormat/>
    <w:pPr>
      <w:keepNext/>
      <w:jc w:val="both"/>
      <w:outlineLvl w:val="5"/>
    </w:pPr>
    <w:rPr>
      <w:b/>
      <w:bCs/>
      <w:sz w:val="22"/>
      <w:szCs w:val="22"/>
      <w:lang w:val="es-ES_tradnl"/>
    </w:rPr>
  </w:style>
  <w:style w:type="paragraph" w:styleId="Ttulo7">
    <w:name w:val="heading 7"/>
    <w:basedOn w:val="Normal"/>
    <w:next w:val="Normal"/>
    <w:qFormat/>
    <w:pPr>
      <w:keepNext/>
      <w:pBdr>
        <w:top w:val="single" w:sz="6" w:space="1" w:color="auto"/>
        <w:left w:val="single" w:sz="6" w:space="1" w:color="auto"/>
        <w:bottom w:val="single" w:sz="6" w:space="1" w:color="auto"/>
        <w:right w:val="single" w:sz="6" w:space="1" w:color="auto"/>
      </w:pBdr>
      <w:jc w:val="both"/>
      <w:outlineLvl w:val="6"/>
    </w:pPr>
    <w:rPr>
      <w:b/>
      <w:bCs/>
      <w:sz w:val="22"/>
      <w:szCs w:val="22"/>
      <w:lang w:val="es-ES_tradnl"/>
    </w:rPr>
  </w:style>
  <w:style w:type="paragraph" w:styleId="Ttulo8">
    <w:name w:val="heading 8"/>
    <w:basedOn w:val="Normal"/>
    <w:next w:val="Normal"/>
    <w:qFormat/>
    <w:pPr>
      <w:keepNext/>
      <w:jc w:val="both"/>
      <w:outlineLvl w:val="7"/>
    </w:pPr>
    <w:rPr>
      <w:b/>
      <w:bCs/>
      <w:color w:val="800000"/>
      <w:sz w:val="22"/>
      <w:szCs w:val="22"/>
      <w:lang w:val="es-ES_tradnl"/>
    </w:rPr>
  </w:style>
  <w:style w:type="paragraph" w:styleId="Ttulo9">
    <w:name w:val="heading 9"/>
    <w:basedOn w:val="Normal"/>
    <w:next w:val="Normal"/>
    <w:qFormat/>
    <w:pPr>
      <w:keepNext/>
      <w:pBdr>
        <w:top w:val="single" w:sz="6" w:space="1" w:color="auto"/>
        <w:left w:val="single" w:sz="6" w:space="1" w:color="auto"/>
        <w:bottom w:val="single" w:sz="6" w:space="1" w:color="auto"/>
        <w:right w:val="single" w:sz="6" w:space="1" w:color="auto"/>
      </w:pBdr>
      <w:shd w:val="pct5" w:color="auto" w:fill="auto"/>
      <w:autoSpaceDE w:val="0"/>
      <w:autoSpaceDN w:val="0"/>
      <w:jc w:val="center"/>
      <w:outlineLvl w:val="8"/>
    </w:pPr>
    <w:rPr>
      <w:b/>
      <w:b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b/>
      <w:bCs/>
    </w:rPr>
  </w:style>
  <w:style w:type="paragraph" w:styleId="Textoindependiente2">
    <w:name w:val="Body Text 2"/>
    <w:basedOn w:val="Normal"/>
    <w:pPr>
      <w:pBdr>
        <w:top w:val="single" w:sz="4" w:space="1" w:color="auto"/>
        <w:left w:val="single" w:sz="4" w:space="4" w:color="auto"/>
        <w:bottom w:val="single" w:sz="4" w:space="1" w:color="auto"/>
        <w:right w:val="single" w:sz="4" w:space="4" w:color="auto"/>
      </w:pBdr>
      <w:jc w:val="both"/>
    </w:pPr>
    <w:rPr>
      <w:b/>
      <w:bCs/>
      <w:sz w:val="28"/>
    </w:rPr>
  </w:style>
  <w:style w:type="paragraph" w:styleId="Textoindependiente3">
    <w:name w:val="Body Text 3"/>
    <w:basedOn w:val="Normal"/>
    <w:pPr>
      <w:jc w:val="both"/>
    </w:p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link w:val="SangradetextonormalCar"/>
    <w:pPr>
      <w:ind w:left="180"/>
      <w:jc w:val="both"/>
    </w:pPr>
  </w:style>
  <w:style w:type="paragraph" w:styleId="Sangra2detindependiente">
    <w:name w:val="Body Text Indent 2"/>
    <w:basedOn w:val="Normal"/>
    <w:pPr>
      <w:ind w:left="360"/>
      <w:jc w:val="both"/>
    </w:pPr>
    <w:rPr>
      <w:szCs w:val="22"/>
    </w:rPr>
  </w:style>
  <w:style w:type="paragraph" w:styleId="Sangra3detindependiente">
    <w:name w:val="Body Text Indent 3"/>
    <w:basedOn w:val="Normal"/>
    <w:pPr>
      <w:ind w:left="708"/>
      <w:jc w:val="both"/>
    </w:pPr>
    <w:rPr>
      <w:szCs w:val="22"/>
    </w:rPr>
  </w:style>
  <w:style w:type="character" w:styleId="Fuerte">
    <w:name w:val="Strong"/>
    <w:uiPriority w:val="22"/>
    <w:qFormat/>
    <w:rPr>
      <w:b/>
      <w:bCs/>
    </w:rPr>
  </w:style>
  <w:style w:type="character" w:styleId="nfasis">
    <w:name w:val="Emphasis"/>
    <w:qFormat/>
    <w:rPr>
      <w:i/>
      <w:iCs/>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character" w:customStyle="1" w:styleId="textoinfo21">
    <w:name w:val="textoinfo21"/>
    <w:rPr>
      <w:rFonts w:ascii="Verdana" w:hAnsi="Verdana" w:hint="default"/>
      <w:vanish w:val="0"/>
      <w:webHidden w:val="0"/>
      <w:color w:val="656565"/>
      <w:sz w:val="16"/>
      <w:szCs w:val="16"/>
      <w:specVanish w:val="0"/>
    </w:rPr>
  </w:style>
  <w:style w:type="paragraph" w:styleId="NormalWeb">
    <w:name w:val="Normal (Web)"/>
    <w:basedOn w:val="Normal"/>
    <w:uiPriority w:val="99"/>
    <w:pPr>
      <w:spacing w:before="100" w:beforeAutospacing="1" w:after="100" w:afterAutospacing="1"/>
      <w:jc w:val="both"/>
    </w:pPr>
    <w:rPr>
      <w:rFonts w:ascii="Verdana" w:eastAsia="Arial Unicode MS" w:hAnsi="Verdana" w:cs="Arial Unicode MS"/>
      <w:sz w:val="16"/>
      <w:szCs w:val="16"/>
    </w:rPr>
  </w:style>
  <w:style w:type="character" w:styleId="Hipervnculo">
    <w:name w:val="Hyperlink"/>
    <w:rPr>
      <w:strike w:val="0"/>
      <w:dstrike w:val="0"/>
      <w:color w:val="4C6F99"/>
      <w:u w:val="none"/>
      <w:effect w:val="none"/>
    </w:rP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sz w:val="20"/>
      <w:szCs w:val="20"/>
    </w:rPr>
  </w:style>
  <w:style w:type="character" w:customStyle="1" w:styleId="PiedepginaCar">
    <w:name w:val="Pie de página Car"/>
    <w:link w:val="Piedepgina"/>
    <w:uiPriority w:val="99"/>
    <w:rsid w:val="00832A2A"/>
    <w:rPr>
      <w:sz w:val="24"/>
      <w:szCs w:val="24"/>
    </w:rPr>
  </w:style>
  <w:style w:type="paragraph" w:customStyle="1" w:styleId="contenido">
    <w:name w:val="contenido"/>
    <w:basedOn w:val="Normal"/>
    <w:rsid w:val="00A47EFD"/>
    <w:pPr>
      <w:spacing w:before="45" w:after="45" w:line="330" w:lineRule="atLeast"/>
      <w:jc w:val="both"/>
    </w:pPr>
    <w:rPr>
      <w:color w:val="000000"/>
      <w:sz w:val="17"/>
      <w:szCs w:val="17"/>
    </w:rPr>
  </w:style>
  <w:style w:type="character" w:styleId="Ttulodellibro">
    <w:name w:val="Book Title"/>
    <w:uiPriority w:val="33"/>
    <w:qFormat/>
    <w:rsid w:val="00FE7FC7"/>
    <w:rPr>
      <w:b/>
      <w:bCs/>
      <w:smallCaps/>
      <w:spacing w:val="5"/>
    </w:rPr>
  </w:style>
  <w:style w:type="character" w:customStyle="1" w:styleId="TextoindependienteCar">
    <w:name w:val="Texto independiente Car"/>
    <w:link w:val="Textoindependiente"/>
    <w:rsid w:val="00077F5F"/>
    <w:rPr>
      <w:b/>
      <w:bCs/>
      <w:sz w:val="24"/>
      <w:szCs w:val="24"/>
    </w:rPr>
  </w:style>
  <w:style w:type="paragraph" w:styleId="Prrafodelista">
    <w:name w:val="List Paragraph"/>
    <w:basedOn w:val="Normal"/>
    <w:uiPriority w:val="34"/>
    <w:qFormat/>
    <w:rsid w:val="007D2E59"/>
    <w:pPr>
      <w:ind w:left="708"/>
    </w:pPr>
  </w:style>
  <w:style w:type="character" w:customStyle="1" w:styleId="apple-converted-space">
    <w:name w:val="apple-converted-space"/>
    <w:rsid w:val="009E48AE"/>
  </w:style>
  <w:style w:type="character" w:customStyle="1" w:styleId="txtbold">
    <w:name w:val="txtbold"/>
    <w:rsid w:val="009E48AE"/>
  </w:style>
  <w:style w:type="table" w:styleId="Tablaconcuadrcula">
    <w:name w:val="Table Grid"/>
    <w:basedOn w:val="Tablanormal"/>
    <w:rsid w:val="00350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detextonormalCar">
    <w:name w:val="Sangría de texto normal Car"/>
    <w:link w:val="Sangradetextonormal"/>
    <w:rsid w:val="00D418E8"/>
    <w:rPr>
      <w:sz w:val="24"/>
      <w:szCs w:val="24"/>
    </w:rPr>
  </w:style>
  <w:style w:type="character" w:styleId="Mencinsinresolver">
    <w:name w:val="Unresolved Mention"/>
    <w:basedOn w:val="Fuentedeprrafopredeter"/>
    <w:uiPriority w:val="99"/>
    <w:semiHidden/>
    <w:unhideWhenUsed/>
    <w:rsid w:val="00D227D3"/>
    <w:rPr>
      <w:color w:val="605E5C"/>
      <w:shd w:val="clear" w:color="auto" w:fill="E1DFDD"/>
    </w:rPr>
  </w:style>
  <w:style w:type="paragraph" w:styleId="Revisin">
    <w:name w:val="Revision"/>
    <w:hidden/>
    <w:uiPriority w:val="99"/>
    <w:semiHidden/>
    <w:rsid w:val="00E74E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820">
      <w:bodyDiv w:val="1"/>
      <w:marLeft w:val="0"/>
      <w:marRight w:val="0"/>
      <w:marTop w:val="0"/>
      <w:marBottom w:val="0"/>
      <w:divBdr>
        <w:top w:val="none" w:sz="0" w:space="0" w:color="auto"/>
        <w:left w:val="none" w:sz="0" w:space="0" w:color="auto"/>
        <w:bottom w:val="none" w:sz="0" w:space="0" w:color="auto"/>
        <w:right w:val="none" w:sz="0" w:space="0" w:color="auto"/>
      </w:divBdr>
    </w:div>
    <w:div w:id="66080301">
      <w:bodyDiv w:val="1"/>
      <w:marLeft w:val="0"/>
      <w:marRight w:val="0"/>
      <w:marTop w:val="0"/>
      <w:marBottom w:val="0"/>
      <w:divBdr>
        <w:top w:val="none" w:sz="0" w:space="0" w:color="auto"/>
        <w:left w:val="none" w:sz="0" w:space="0" w:color="auto"/>
        <w:bottom w:val="none" w:sz="0" w:space="0" w:color="auto"/>
        <w:right w:val="none" w:sz="0" w:space="0" w:color="auto"/>
      </w:divBdr>
    </w:div>
    <w:div w:id="74324923">
      <w:bodyDiv w:val="1"/>
      <w:marLeft w:val="0"/>
      <w:marRight w:val="0"/>
      <w:marTop w:val="0"/>
      <w:marBottom w:val="0"/>
      <w:divBdr>
        <w:top w:val="single" w:sz="2" w:space="0" w:color="CC3640"/>
        <w:left w:val="none" w:sz="0" w:space="0" w:color="auto"/>
        <w:bottom w:val="none" w:sz="0" w:space="0" w:color="auto"/>
        <w:right w:val="none" w:sz="0" w:space="0" w:color="auto"/>
      </w:divBdr>
      <w:divsChild>
        <w:div w:id="1715303632">
          <w:marLeft w:val="0"/>
          <w:marRight w:val="0"/>
          <w:marTop w:val="0"/>
          <w:marBottom w:val="0"/>
          <w:divBdr>
            <w:top w:val="single" w:sz="2" w:space="0" w:color="FF0000"/>
            <w:left w:val="single" w:sz="2" w:space="0" w:color="FF0000"/>
            <w:bottom w:val="single" w:sz="2" w:space="0" w:color="FF0000"/>
            <w:right w:val="single" w:sz="2" w:space="0" w:color="FF0000"/>
          </w:divBdr>
          <w:divsChild>
            <w:div w:id="1841040371">
              <w:marLeft w:val="0"/>
              <w:marRight w:val="0"/>
              <w:marTop w:val="0"/>
              <w:marBottom w:val="0"/>
              <w:divBdr>
                <w:top w:val="none" w:sz="0" w:space="0" w:color="auto"/>
                <w:left w:val="single" w:sz="6" w:space="0" w:color="DDDDDD"/>
                <w:bottom w:val="none" w:sz="0" w:space="0" w:color="auto"/>
                <w:right w:val="none" w:sz="0" w:space="0" w:color="auto"/>
              </w:divBdr>
              <w:divsChild>
                <w:div w:id="814680154">
                  <w:marLeft w:val="0"/>
                  <w:marRight w:val="0"/>
                  <w:marTop w:val="0"/>
                  <w:marBottom w:val="0"/>
                  <w:divBdr>
                    <w:top w:val="single" w:sz="2" w:space="0" w:color="008000"/>
                    <w:left w:val="single" w:sz="2" w:space="0" w:color="008000"/>
                    <w:bottom w:val="single" w:sz="2" w:space="0" w:color="008000"/>
                    <w:right w:val="single" w:sz="2" w:space="0" w:color="008000"/>
                  </w:divBdr>
                  <w:divsChild>
                    <w:div w:id="882792879">
                      <w:marLeft w:val="0"/>
                      <w:marRight w:val="0"/>
                      <w:marTop w:val="0"/>
                      <w:marBottom w:val="0"/>
                      <w:divBdr>
                        <w:top w:val="none" w:sz="0" w:space="0" w:color="auto"/>
                        <w:left w:val="none" w:sz="0" w:space="0" w:color="auto"/>
                        <w:bottom w:val="none" w:sz="0" w:space="0" w:color="auto"/>
                        <w:right w:val="none" w:sz="0" w:space="0" w:color="auto"/>
                      </w:divBdr>
                      <w:divsChild>
                        <w:div w:id="1932079239">
                          <w:marLeft w:val="0"/>
                          <w:marRight w:val="0"/>
                          <w:marTop w:val="0"/>
                          <w:marBottom w:val="0"/>
                          <w:divBdr>
                            <w:top w:val="none" w:sz="0" w:space="0" w:color="auto"/>
                            <w:left w:val="none" w:sz="0" w:space="0" w:color="auto"/>
                            <w:bottom w:val="none" w:sz="0" w:space="0" w:color="auto"/>
                            <w:right w:val="none" w:sz="0" w:space="0" w:color="auto"/>
                          </w:divBdr>
                          <w:divsChild>
                            <w:div w:id="80439569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38571540">
      <w:bodyDiv w:val="1"/>
      <w:marLeft w:val="0"/>
      <w:marRight w:val="0"/>
      <w:marTop w:val="0"/>
      <w:marBottom w:val="0"/>
      <w:divBdr>
        <w:top w:val="single" w:sz="2" w:space="0" w:color="CC3640"/>
        <w:left w:val="none" w:sz="0" w:space="0" w:color="auto"/>
        <w:bottom w:val="none" w:sz="0" w:space="0" w:color="auto"/>
        <w:right w:val="none" w:sz="0" w:space="0" w:color="auto"/>
      </w:divBdr>
      <w:divsChild>
        <w:div w:id="1840193442">
          <w:marLeft w:val="0"/>
          <w:marRight w:val="0"/>
          <w:marTop w:val="0"/>
          <w:marBottom w:val="0"/>
          <w:divBdr>
            <w:top w:val="single" w:sz="2" w:space="0" w:color="FF0000"/>
            <w:left w:val="single" w:sz="2" w:space="0" w:color="FF0000"/>
            <w:bottom w:val="single" w:sz="2" w:space="0" w:color="FF0000"/>
            <w:right w:val="single" w:sz="2" w:space="0" w:color="FF0000"/>
          </w:divBdr>
          <w:divsChild>
            <w:div w:id="1327442386">
              <w:marLeft w:val="0"/>
              <w:marRight w:val="0"/>
              <w:marTop w:val="0"/>
              <w:marBottom w:val="0"/>
              <w:divBdr>
                <w:top w:val="none" w:sz="0" w:space="0" w:color="auto"/>
                <w:left w:val="single" w:sz="6" w:space="0" w:color="DDDDDD"/>
                <w:bottom w:val="none" w:sz="0" w:space="0" w:color="auto"/>
                <w:right w:val="none" w:sz="0" w:space="0" w:color="auto"/>
              </w:divBdr>
              <w:divsChild>
                <w:div w:id="384331365">
                  <w:marLeft w:val="0"/>
                  <w:marRight w:val="0"/>
                  <w:marTop w:val="0"/>
                  <w:marBottom w:val="0"/>
                  <w:divBdr>
                    <w:top w:val="single" w:sz="2" w:space="0" w:color="008000"/>
                    <w:left w:val="single" w:sz="2" w:space="0" w:color="008000"/>
                    <w:bottom w:val="single" w:sz="2" w:space="0" w:color="008000"/>
                    <w:right w:val="single" w:sz="2" w:space="0" w:color="008000"/>
                  </w:divBdr>
                  <w:divsChild>
                    <w:div w:id="10299839">
                      <w:marLeft w:val="0"/>
                      <w:marRight w:val="0"/>
                      <w:marTop w:val="0"/>
                      <w:marBottom w:val="0"/>
                      <w:divBdr>
                        <w:top w:val="none" w:sz="0" w:space="0" w:color="auto"/>
                        <w:left w:val="none" w:sz="0" w:space="0" w:color="auto"/>
                        <w:bottom w:val="none" w:sz="0" w:space="0" w:color="auto"/>
                        <w:right w:val="none" w:sz="0" w:space="0" w:color="auto"/>
                      </w:divBdr>
                      <w:divsChild>
                        <w:div w:id="850990228">
                          <w:marLeft w:val="0"/>
                          <w:marRight w:val="0"/>
                          <w:marTop w:val="0"/>
                          <w:marBottom w:val="0"/>
                          <w:divBdr>
                            <w:top w:val="none" w:sz="0" w:space="0" w:color="auto"/>
                            <w:left w:val="none" w:sz="0" w:space="0" w:color="auto"/>
                            <w:bottom w:val="none" w:sz="0" w:space="0" w:color="auto"/>
                            <w:right w:val="none" w:sz="0" w:space="0" w:color="auto"/>
                          </w:divBdr>
                          <w:divsChild>
                            <w:div w:id="23810087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60779415">
      <w:bodyDiv w:val="1"/>
      <w:marLeft w:val="0"/>
      <w:marRight w:val="0"/>
      <w:marTop w:val="0"/>
      <w:marBottom w:val="0"/>
      <w:divBdr>
        <w:top w:val="none" w:sz="0" w:space="0" w:color="auto"/>
        <w:left w:val="none" w:sz="0" w:space="0" w:color="auto"/>
        <w:bottom w:val="none" w:sz="0" w:space="0" w:color="auto"/>
        <w:right w:val="none" w:sz="0" w:space="0" w:color="auto"/>
      </w:divBdr>
    </w:div>
    <w:div w:id="173154688">
      <w:bodyDiv w:val="1"/>
      <w:marLeft w:val="0"/>
      <w:marRight w:val="0"/>
      <w:marTop w:val="0"/>
      <w:marBottom w:val="0"/>
      <w:divBdr>
        <w:top w:val="single" w:sz="2" w:space="0" w:color="CC3640"/>
        <w:left w:val="none" w:sz="0" w:space="0" w:color="auto"/>
        <w:bottom w:val="none" w:sz="0" w:space="0" w:color="auto"/>
        <w:right w:val="none" w:sz="0" w:space="0" w:color="auto"/>
      </w:divBdr>
      <w:divsChild>
        <w:div w:id="167065441">
          <w:marLeft w:val="0"/>
          <w:marRight w:val="0"/>
          <w:marTop w:val="0"/>
          <w:marBottom w:val="0"/>
          <w:divBdr>
            <w:top w:val="single" w:sz="2" w:space="0" w:color="FF0000"/>
            <w:left w:val="single" w:sz="2" w:space="0" w:color="FF0000"/>
            <w:bottom w:val="single" w:sz="2" w:space="0" w:color="FF0000"/>
            <w:right w:val="single" w:sz="2" w:space="0" w:color="FF0000"/>
          </w:divBdr>
          <w:divsChild>
            <w:div w:id="2031714053">
              <w:marLeft w:val="0"/>
              <w:marRight w:val="0"/>
              <w:marTop w:val="0"/>
              <w:marBottom w:val="0"/>
              <w:divBdr>
                <w:top w:val="none" w:sz="0" w:space="0" w:color="auto"/>
                <w:left w:val="single" w:sz="6" w:space="0" w:color="DDDDDD"/>
                <w:bottom w:val="none" w:sz="0" w:space="0" w:color="auto"/>
                <w:right w:val="none" w:sz="0" w:space="0" w:color="auto"/>
              </w:divBdr>
              <w:divsChild>
                <w:div w:id="343677980">
                  <w:marLeft w:val="0"/>
                  <w:marRight w:val="0"/>
                  <w:marTop w:val="0"/>
                  <w:marBottom w:val="0"/>
                  <w:divBdr>
                    <w:top w:val="single" w:sz="2" w:space="0" w:color="008000"/>
                    <w:left w:val="single" w:sz="2" w:space="0" w:color="008000"/>
                    <w:bottom w:val="single" w:sz="2" w:space="0" w:color="008000"/>
                    <w:right w:val="single" w:sz="2" w:space="0" w:color="008000"/>
                  </w:divBdr>
                  <w:divsChild>
                    <w:div w:id="747265942">
                      <w:marLeft w:val="0"/>
                      <w:marRight w:val="0"/>
                      <w:marTop w:val="0"/>
                      <w:marBottom w:val="0"/>
                      <w:divBdr>
                        <w:top w:val="none" w:sz="0" w:space="0" w:color="auto"/>
                        <w:left w:val="none" w:sz="0" w:space="0" w:color="auto"/>
                        <w:bottom w:val="none" w:sz="0" w:space="0" w:color="auto"/>
                        <w:right w:val="none" w:sz="0" w:space="0" w:color="auto"/>
                      </w:divBdr>
                      <w:divsChild>
                        <w:div w:id="187181243">
                          <w:marLeft w:val="0"/>
                          <w:marRight w:val="0"/>
                          <w:marTop w:val="0"/>
                          <w:marBottom w:val="0"/>
                          <w:divBdr>
                            <w:top w:val="none" w:sz="0" w:space="0" w:color="auto"/>
                            <w:left w:val="none" w:sz="0" w:space="0" w:color="auto"/>
                            <w:bottom w:val="none" w:sz="0" w:space="0" w:color="auto"/>
                            <w:right w:val="none" w:sz="0" w:space="0" w:color="auto"/>
                          </w:divBdr>
                          <w:divsChild>
                            <w:div w:id="120783561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95260128">
      <w:bodyDiv w:val="1"/>
      <w:marLeft w:val="0"/>
      <w:marRight w:val="0"/>
      <w:marTop w:val="0"/>
      <w:marBottom w:val="0"/>
      <w:divBdr>
        <w:top w:val="none" w:sz="0" w:space="0" w:color="auto"/>
        <w:left w:val="none" w:sz="0" w:space="0" w:color="auto"/>
        <w:bottom w:val="none" w:sz="0" w:space="0" w:color="auto"/>
        <w:right w:val="none" w:sz="0" w:space="0" w:color="auto"/>
      </w:divBdr>
    </w:div>
    <w:div w:id="347215523">
      <w:bodyDiv w:val="1"/>
      <w:marLeft w:val="0"/>
      <w:marRight w:val="0"/>
      <w:marTop w:val="0"/>
      <w:marBottom w:val="0"/>
      <w:divBdr>
        <w:top w:val="none" w:sz="0" w:space="0" w:color="auto"/>
        <w:left w:val="none" w:sz="0" w:space="0" w:color="auto"/>
        <w:bottom w:val="none" w:sz="0" w:space="0" w:color="auto"/>
        <w:right w:val="none" w:sz="0" w:space="0" w:color="auto"/>
      </w:divBdr>
    </w:div>
    <w:div w:id="365299893">
      <w:bodyDiv w:val="1"/>
      <w:marLeft w:val="0"/>
      <w:marRight w:val="0"/>
      <w:marTop w:val="0"/>
      <w:marBottom w:val="0"/>
      <w:divBdr>
        <w:top w:val="none" w:sz="0" w:space="0" w:color="auto"/>
        <w:left w:val="none" w:sz="0" w:space="0" w:color="auto"/>
        <w:bottom w:val="none" w:sz="0" w:space="0" w:color="auto"/>
        <w:right w:val="none" w:sz="0" w:space="0" w:color="auto"/>
      </w:divBdr>
    </w:div>
    <w:div w:id="401217432">
      <w:bodyDiv w:val="1"/>
      <w:marLeft w:val="0"/>
      <w:marRight w:val="0"/>
      <w:marTop w:val="0"/>
      <w:marBottom w:val="0"/>
      <w:divBdr>
        <w:top w:val="single" w:sz="2" w:space="0" w:color="CC3640"/>
        <w:left w:val="none" w:sz="0" w:space="0" w:color="auto"/>
        <w:bottom w:val="none" w:sz="0" w:space="0" w:color="auto"/>
        <w:right w:val="none" w:sz="0" w:space="0" w:color="auto"/>
      </w:divBdr>
      <w:divsChild>
        <w:div w:id="1481848916">
          <w:marLeft w:val="0"/>
          <w:marRight w:val="0"/>
          <w:marTop w:val="0"/>
          <w:marBottom w:val="0"/>
          <w:divBdr>
            <w:top w:val="single" w:sz="2" w:space="0" w:color="FF0000"/>
            <w:left w:val="single" w:sz="2" w:space="0" w:color="FF0000"/>
            <w:bottom w:val="single" w:sz="2" w:space="0" w:color="FF0000"/>
            <w:right w:val="single" w:sz="2" w:space="0" w:color="FF0000"/>
          </w:divBdr>
          <w:divsChild>
            <w:div w:id="888538368">
              <w:marLeft w:val="0"/>
              <w:marRight w:val="0"/>
              <w:marTop w:val="0"/>
              <w:marBottom w:val="0"/>
              <w:divBdr>
                <w:top w:val="none" w:sz="0" w:space="0" w:color="auto"/>
                <w:left w:val="single" w:sz="6" w:space="0" w:color="DDDDDD"/>
                <w:bottom w:val="none" w:sz="0" w:space="0" w:color="auto"/>
                <w:right w:val="none" w:sz="0" w:space="0" w:color="auto"/>
              </w:divBdr>
              <w:divsChild>
                <w:div w:id="613172717">
                  <w:marLeft w:val="0"/>
                  <w:marRight w:val="0"/>
                  <w:marTop w:val="0"/>
                  <w:marBottom w:val="0"/>
                  <w:divBdr>
                    <w:top w:val="single" w:sz="2" w:space="0" w:color="008000"/>
                    <w:left w:val="single" w:sz="2" w:space="0" w:color="008000"/>
                    <w:bottom w:val="single" w:sz="2" w:space="0" w:color="008000"/>
                    <w:right w:val="single" w:sz="2" w:space="0" w:color="008000"/>
                  </w:divBdr>
                  <w:divsChild>
                    <w:div w:id="1049458147">
                      <w:marLeft w:val="0"/>
                      <w:marRight w:val="0"/>
                      <w:marTop w:val="0"/>
                      <w:marBottom w:val="0"/>
                      <w:divBdr>
                        <w:top w:val="none" w:sz="0" w:space="0" w:color="auto"/>
                        <w:left w:val="none" w:sz="0" w:space="0" w:color="auto"/>
                        <w:bottom w:val="none" w:sz="0" w:space="0" w:color="auto"/>
                        <w:right w:val="none" w:sz="0" w:space="0" w:color="auto"/>
                      </w:divBdr>
                      <w:divsChild>
                        <w:div w:id="1780298123">
                          <w:marLeft w:val="0"/>
                          <w:marRight w:val="0"/>
                          <w:marTop w:val="0"/>
                          <w:marBottom w:val="0"/>
                          <w:divBdr>
                            <w:top w:val="none" w:sz="0" w:space="0" w:color="auto"/>
                            <w:left w:val="none" w:sz="0" w:space="0" w:color="auto"/>
                            <w:bottom w:val="none" w:sz="0" w:space="0" w:color="auto"/>
                            <w:right w:val="none" w:sz="0" w:space="0" w:color="auto"/>
                          </w:divBdr>
                          <w:divsChild>
                            <w:div w:id="51002827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461846692">
      <w:bodyDiv w:val="1"/>
      <w:marLeft w:val="0"/>
      <w:marRight w:val="0"/>
      <w:marTop w:val="0"/>
      <w:marBottom w:val="0"/>
      <w:divBdr>
        <w:top w:val="single" w:sz="2" w:space="0" w:color="CC3640"/>
        <w:left w:val="none" w:sz="0" w:space="0" w:color="auto"/>
        <w:bottom w:val="none" w:sz="0" w:space="0" w:color="auto"/>
        <w:right w:val="none" w:sz="0" w:space="0" w:color="auto"/>
      </w:divBdr>
      <w:divsChild>
        <w:div w:id="1892886488">
          <w:marLeft w:val="0"/>
          <w:marRight w:val="0"/>
          <w:marTop w:val="0"/>
          <w:marBottom w:val="0"/>
          <w:divBdr>
            <w:top w:val="single" w:sz="2" w:space="0" w:color="FF0000"/>
            <w:left w:val="single" w:sz="2" w:space="0" w:color="FF0000"/>
            <w:bottom w:val="single" w:sz="2" w:space="0" w:color="FF0000"/>
            <w:right w:val="single" w:sz="2" w:space="0" w:color="FF0000"/>
          </w:divBdr>
          <w:divsChild>
            <w:div w:id="709231662">
              <w:marLeft w:val="0"/>
              <w:marRight w:val="0"/>
              <w:marTop w:val="0"/>
              <w:marBottom w:val="0"/>
              <w:divBdr>
                <w:top w:val="none" w:sz="0" w:space="0" w:color="auto"/>
                <w:left w:val="single" w:sz="6" w:space="0" w:color="DDDDDD"/>
                <w:bottom w:val="none" w:sz="0" w:space="0" w:color="auto"/>
                <w:right w:val="none" w:sz="0" w:space="0" w:color="auto"/>
              </w:divBdr>
              <w:divsChild>
                <w:div w:id="996491807">
                  <w:marLeft w:val="0"/>
                  <w:marRight w:val="0"/>
                  <w:marTop w:val="0"/>
                  <w:marBottom w:val="0"/>
                  <w:divBdr>
                    <w:top w:val="single" w:sz="2" w:space="0" w:color="008000"/>
                    <w:left w:val="single" w:sz="2" w:space="0" w:color="008000"/>
                    <w:bottom w:val="single" w:sz="2" w:space="0" w:color="008000"/>
                    <w:right w:val="single" w:sz="2" w:space="0" w:color="008000"/>
                  </w:divBdr>
                  <w:divsChild>
                    <w:div w:id="1975796822">
                      <w:marLeft w:val="0"/>
                      <w:marRight w:val="0"/>
                      <w:marTop w:val="0"/>
                      <w:marBottom w:val="0"/>
                      <w:divBdr>
                        <w:top w:val="none" w:sz="0" w:space="0" w:color="auto"/>
                        <w:left w:val="none" w:sz="0" w:space="0" w:color="auto"/>
                        <w:bottom w:val="none" w:sz="0" w:space="0" w:color="auto"/>
                        <w:right w:val="none" w:sz="0" w:space="0" w:color="auto"/>
                      </w:divBdr>
                      <w:divsChild>
                        <w:div w:id="1117915153">
                          <w:marLeft w:val="0"/>
                          <w:marRight w:val="0"/>
                          <w:marTop w:val="0"/>
                          <w:marBottom w:val="0"/>
                          <w:divBdr>
                            <w:top w:val="none" w:sz="0" w:space="0" w:color="auto"/>
                            <w:left w:val="none" w:sz="0" w:space="0" w:color="auto"/>
                            <w:bottom w:val="none" w:sz="0" w:space="0" w:color="auto"/>
                            <w:right w:val="none" w:sz="0" w:space="0" w:color="auto"/>
                          </w:divBdr>
                          <w:divsChild>
                            <w:div w:id="49677494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43634529">
      <w:bodyDiv w:val="1"/>
      <w:marLeft w:val="0"/>
      <w:marRight w:val="0"/>
      <w:marTop w:val="0"/>
      <w:marBottom w:val="0"/>
      <w:divBdr>
        <w:top w:val="none" w:sz="0" w:space="0" w:color="auto"/>
        <w:left w:val="none" w:sz="0" w:space="0" w:color="auto"/>
        <w:bottom w:val="none" w:sz="0" w:space="0" w:color="auto"/>
        <w:right w:val="none" w:sz="0" w:space="0" w:color="auto"/>
      </w:divBdr>
    </w:div>
    <w:div w:id="564800397">
      <w:bodyDiv w:val="1"/>
      <w:marLeft w:val="0"/>
      <w:marRight w:val="0"/>
      <w:marTop w:val="0"/>
      <w:marBottom w:val="0"/>
      <w:divBdr>
        <w:top w:val="single" w:sz="2" w:space="0" w:color="CC3640"/>
        <w:left w:val="none" w:sz="0" w:space="0" w:color="auto"/>
        <w:bottom w:val="none" w:sz="0" w:space="0" w:color="auto"/>
        <w:right w:val="none" w:sz="0" w:space="0" w:color="auto"/>
      </w:divBdr>
      <w:divsChild>
        <w:div w:id="1080639780">
          <w:marLeft w:val="0"/>
          <w:marRight w:val="0"/>
          <w:marTop w:val="0"/>
          <w:marBottom w:val="0"/>
          <w:divBdr>
            <w:top w:val="single" w:sz="2" w:space="0" w:color="FF0000"/>
            <w:left w:val="single" w:sz="2" w:space="0" w:color="FF0000"/>
            <w:bottom w:val="single" w:sz="2" w:space="0" w:color="FF0000"/>
            <w:right w:val="single" w:sz="2" w:space="0" w:color="FF0000"/>
          </w:divBdr>
          <w:divsChild>
            <w:div w:id="416443104">
              <w:marLeft w:val="0"/>
              <w:marRight w:val="0"/>
              <w:marTop w:val="0"/>
              <w:marBottom w:val="0"/>
              <w:divBdr>
                <w:top w:val="none" w:sz="0" w:space="0" w:color="auto"/>
                <w:left w:val="single" w:sz="6" w:space="0" w:color="DDDDDD"/>
                <w:bottom w:val="none" w:sz="0" w:space="0" w:color="auto"/>
                <w:right w:val="none" w:sz="0" w:space="0" w:color="auto"/>
              </w:divBdr>
              <w:divsChild>
                <w:div w:id="2143189068">
                  <w:marLeft w:val="0"/>
                  <w:marRight w:val="0"/>
                  <w:marTop w:val="0"/>
                  <w:marBottom w:val="0"/>
                  <w:divBdr>
                    <w:top w:val="single" w:sz="2" w:space="0" w:color="008000"/>
                    <w:left w:val="single" w:sz="2" w:space="0" w:color="008000"/>
                    <w:bottom w:val="single" w:sz="2" w:space="0" w:color="008000"/>
                    <w:right w:val="single" w:sz="2" w:space="0" w:color="008000"/>
                  </w:divBdr>
                  <w:divsChild>
                    <w:div w:id="221982973">
                      <w:marLeft w:val="0"/>
                      <w:marRight w:val="0"/>
                      <w:marTop w:val="0"/>
                      <w:marBottom w:val="0"/>
                      <w:divBdr>
                        <w:top w:val="none" w:sz="0" w:space="0" w:color="auto"/>
                        <w:left w:val="none" w:sz="0" w:space="0" w:color="auto"/>
                        <w:bottom w:val="none" w:sz="0" w:space="0" w:color="auto"/>
                        <w:right w:val="none" w:sz="0" w:space="0" w:color="auto"/>
                      </w:divBdr>
                      <w:divsChild>
                        <w:div w:id="481384538">
                          <w:marLeft w:val="0"/>
                          <w:marRight w:val="0"/>
                          <w:marTop w:val="0"/>
                          <w:marBottom w:val="0"/>
                          <w:divBdr>
                            <w:top w:val="none" w:sz="0" w:space="0" w:color="auto"/>
                            <w:left w:val="none" w:sz="0" w:space="0" w:color="auto"/>
                            <w:bottom w:val="none" w:sz="0" w:space="0" w:color="auto"/>
                            <w:right w:val="none" w:sz="0" w:space="0" w:color="auto"/>
                          </w:divBdr>
                          <w:divsChild>
                            <w:div w:id="4757962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74514597">
      <w:bodyDiv w:val="1"/>
      <w:marLeft w:val="0"/>
      <w:marRight w:val="0"/>
      <w:marTop w:val="0"/>
      <w:marBottom w:val="0"/>
      <w:divBdr>
        <w:top w:val="none" w:sz="0" w:space="0" w:color="auto"/>
        <w:left w:val="none" w:sz="0" w:space="0" w:color="auto"/>
        <w:bottom w:val="none" w:sz="0" w:space="0" w:color="auto"/>
        <w:right w:val="none" w:sz="0" w:space="0" w:color="auto"/>
      </w:divBdr>
    </w:div>
    <w:div w:id="578633909">
      <w:bodyDiv w:val="1"/>
      <w:marLeft w:val="0"/>
      <w:marRight w:val="0"/>
      <w:marTop w:val="0"/>
      <w:marBottom w:val="0"/>
      <w:divBdr>
        <w:top w:val="none" w:sz="0" w:space="0" w:color="auto"/>
        <w:left w:val="none" w:sz="0" w:space="0" w:color="auto"/>
        <w:bottom w:val="none" w:sz="0" w:space="0" w:color="auto"/>
        <w:right w:val="none" w:sz="0" w:space="0" w:color="auto"/>
      </w:divBdr>
    </w:div>
    <w:div w:id="650018175">
      <w:bodyDiv w:val="1"/>
      <w:marLeft w:val="0"/>
      <w:marRight w:val="0"/>
      <w:marTop w:val="0"/>
      <w:marBottom w:val="0"/>
      <w:divBdr>
        <w:top w:val="single" w:sz="2" w:space="0" w:color="CC3640"/>
        <w:left w:val="none" w:sz="0" w:space="0" w:color="auto"/>
        <w:bottom w:val="none" w:sz="0" w:space="0" w:color="auto"/>
        <w:right w:val="none" w:sz="0" w:space="0" w:color="auto"/>
      </w:divBdr>
      <w:divsChild>
        <w:div w:id="770202685">
          <w:marLeft w:val="0"/>
          <w:marRight w:val="0"/>
          <w:marTop w:val="0"/>
          <w:marBottom w:val="0"/>
          <w:divBdr>
            <w:top w:val="single" w:sz="2" w:space="0" w:color="FF0000"/>
            <w:left w:val="single" w:sz="2" w:space="0" w:color="FF0000"/>
            <w:bottom w:val="single" w:sz="2" w:space="0" w:color="FF0000"/>
            <w:right w:val="single" w:sz="2" w:space="0" w:color="FF0000"/>
          </w:divBdr>
          <w:divsChild>
            <w:div w:id="853376400">
              <w:marLeft w:val="0"/>
              <w:marRight w:val="0"/>
              <w:marTop w:val="0"/>
              <w:marBottom w:val="0"/>
              <w:divBdr>
                <w:top w:val="none" w:sz="0" w:space="0" w:color="auto"/>
                <w:left w:val="single" w:sz="6" w:space="0" w:color="DDDDDD"/>
                <w:bottom w:val="none" w:sz="0" w:space="0" w:color="auto"/>
                <w:right w:val="none" w:sz="0" w:space="0" w:color="auto"/>
              </w:divBdr>
              <w:divsChild>
                <w:div w:id="1850674415">
                  <w:marLeft w:val="0"/>
                  <w:marRight w:val="0"/>
                  <w:marTop w:val="0"/>
                  <w:marBottom w:val="0"/>
                  <w:divBdr>
                    <w:top w:val="single" w:sz="2" w:space="0" w:color="008000"/>
                    <w:left w:val="single" w:sz="2" w:space="0" w:color="008000"/>
                    <w:bottom w:val="single" w:sz="2" w:space="0" w:color="008000"/>
                    <w:right w:val="single" w:sz="2" w:space="0" w:color="008000"/>
                  </w:divBdr>
                  <w:divsChild>
                    <w:div w:id="464936025">
                      <w:marLeft w:val="0"/>
                      <w:marRight w:val="0"/>
                      <w:marTop w:val="0"/>
                      <w:marBottom w:val="0"/>
                      <w:divBdr>
                        <w:top w:val="none" w:sz="0" w:space="0" w:color="auto"/>
                        <w:left w:val="none" w:sz="0" w:space="0" w:color="auto"/>
                        <w:bottom w:val="none" w:sz="0" w:space="0" w:color="auto"/>
                        <w:right w:val="none" w:sz="0" w:space="0" w:color="auto"/>
                      </w:divBdr>
                      <w:divsChild>
                        <w:div w:id="1048141741">
                          <w:marLeft w:val="0"/>
                          <w:marRight w:val="0"/>
                          <w:marTop w:val="0"/>
                          <w:marBottom w:val="0"/>
                          <w:divBdr>
                            <w:top w:val="none" w:sz="0" w:space="0" w:color="auto"/>
                            <w:left w:val="none" w:sz="0" w:space="0" w:color="auto"/>
                            <w:bottom w:val="none" w:sz="0" w:space="0" w:color="auto"/>
                            <w:right w:val="none" w:sz="0" w:space="0" w:color="auto"/>
                          </w:divBdr>
                          <w:divsChild>
                            <w:div w:id="117711726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659966802">
      <w:bodyDiv w:val="1"/>
      <w:marLeft w:val="0"/>
      <w:marRight w:val="0"/>
      <w:marTop w:val="0"/>
      <w:marBottom w:val="0"/>
      <w:divBdr>
        <w:top w:val="none" w:sz="0" w:space="0" w:color="auto"/>
        <w:left w:val="none" w:sz="0" w:space="0" w:color="auto"/>
        <w:bottom w:val="none" w:sz="0" w:space="0" w:color="auto"/>
        <w:right w:val="none" w:sz="0" w:space="0" w:color="auto"/>
      </w:divBdr>
    </w:div>
    <w:div w:id="679698688">
      <w:bodyDiv w:val="1"/>
      <w:marLeft w:val="0"/>
      <w:marRight w:val="0"/>
      <w:marTop w:val="0"/>
      <w:marBottom w:val="0"/>
      <w:divBdr>
        <w:top w:val="none" w:sz="0" w:space="0" w:color="auto"/>
        <w:left w:val="none" w:sz="0" w:space="0" w:color="auto"/>
        <w:bottom w:val="none" w:sz="0" w:space="0" w:color="auto"/>
        <w:right w:val="none" w:sz="0" w:space="0" w:color="auto"/>
      </w:divBdr>
    </w:div>
    <w:div w:id="681123864">
      <w:bodyDiv w:val="1"/>
      <w:marLeft w:val="0"/>
      <w:marRight w:val="0"/>
      <w:marTop w:val="0"/>
      <w:marBottom w:val="0"/>
      <w:divBdr>
        <w:top w:val="none" w:sz="0" w:space="0" w:color="auto"/>
        <w:left w:val="none" w:sz="0" w:space="0" w:color="auto"/>
        <w:bottom w:val="none" w:sz="0" w:space="0" w:color="auto"/>
        <w:right w:val="none" w:sz="0" w:space="0" w:color="auto"/>
      </w:divBdr>
    </w:div>
    <w:div w:id="683752581">
      <w:bodyDiv w:val="1"/>
      <w:marLeft w:val="0"/>
      <w:marRight w:val="0"/>
      <w:marTop w:val="0"/>
      <w:marBottom w:val="0"/>
      <w:divBdr>
        <w:top w:val="none" w:sz="0" w:space="0" w:color="auto"/>
        <w:left w:val="none" w:sz="0" w:space="0" w:color="auto"/>
        <w:bottom w:val="none" w:sz="0" w:space="0" w:color="auto"/>
        <w:right w:val="none" w:sz="0" w:space="0" w:color="auto"/>
      </w:divBdr>
    </w:div>
    <w:div w:id="689330816">
      <w:bodyDiv w:val="1"/>
      <w:marLeft w:val="0"/>
      <w:marRight w:val="0"/>
      <w:marTop w:val="0"/>
      <w:marBottom w:val="0"/>
      <w:divBdr>
        <w:top w:val="none" w:sz="0" w:space="0" w:color="auto"/>
        <w:left w:val="none" w:sz="0" w:space="0" w:color="auto"/>
        <w:bottom w:val="none" w:sz="0" w:space="0" w:color="auto"/>
        <w:right w:val="none" w:sz="0" w:space="0" w:color="auto"/>
      </w:divBdr>
    </w:div>
    <w:div w:id="724908893">
      <w:bodyDiv w:val="1"/>
      <w:marLeft w:val="0"/>
      <w:marRight w:val="0"/>
      <w:marTop w:val="0"/>
      <w:marBottom w:val="0"/>
      <w:divBdr>
        <w:top w:val="none" w:sz="0" w:space="0" w:color="auto"/>
        <w:left w:val="none" w:sz="0" w:space="0" w:color="auto"/>
        <w:bottom w:val="none" w:sz="0" w:space="0" w:color="auto"/>
        <w:right w:val="none" w:sz="0" w:space="0" w:color="auto"/>
      </w:divBdr>
    </w:div>
    <w:div w:id="754283142">
      <w:bodyDiv w:val="1"/>
      <w:marLeft w:val="0"/>
      <w:marRight w:val="0"/>
      <w:marTop w:val="0"/>
      <w:marBottom w:val="0"/>
      <w:divBdr>
        <w:top w:val="none" w:sz="0" w:space="0" w:color="auto"/>
        <w:left w:val="none" w:sz="0" w:space="0" w:color="auto"/>
        <w:bottom w:val="none" w:sz="0" w:space="0" w:color="auto"/>
        <w:right w:val="none" w:sz="0" w:space="0" w:color="auto"/>
      </w:divBdr>
    </w:div>
    <w:div w:id="791171608">
      <w:bodyDiv w:val="1"/>
      <w:marLeft w:val="0"/>
      <w:marRight w:val="0"/>
      <w:marTop w:val="0"/>
      <w:marBottom w:val="0"/>
      <w:divBdr>
        <w:top w:val="none" w:sz="0" w:space="0" w:color="auto"/>
        <w:left w:val="none" w:sz="0" w:space="0" w:color="auto"/>
        <w:bottom w:val="none" w:sz="0" w:space="0" w:color="auto"/>
        <w:right w:val="none" w:sz="0" w:space="0" w:color="auto"/>
      </w:divBdr>
    </w:div>
    <w:div w:id="865143770">
      <w:bodyDiv w:val="1"/>
      <w:marLeft w:val="0"/>
      <w:marRight w:val="0"/>
      <w:marTop w:val="0"/>
      <w:marBottom w:val="0"/>
      <w:divBdr>
        <w:top w:val="none" w:sz="0" w:space="0" w:color="auto"/>
        <w:left w:val="none" w:sz="0" w:space="0" w:color="auto"/>
        <w:bottom w:val="none" w:sz="0" w:space="0" w:color="auto"/>
        <w:right w:val="none" w:sz="0" w:space="0" w:color="auto"/>
      </w:divBdr>
    </w:div>
    <w:div w:id="867179539">
      <w:bodyDiv w:val="1"/>
      <w:marLeft w:val="0"/>
      <w:marRight w:val="0"/>
      <w:marTop w:val="0"/>
      <w:marBottom w:val="0"/>
      <w:divBdr>
        <w:top w:val="single" w:sz="2" w:space="0" w:color="CC3640"/>
        <w:left w:val="none" w:sz="0" w:space="0" w:color="auto"/>
        <w:bottom w:val="none" w:sz="0" w:space="0" w:color="auto"/>
        <w:right w:val="none" w:sz="0" w:space="0" w:color="auto"/>
      </w:divBdr>
      <w:divsChild>
        <w:div w:id="55321117">
          <w:marLeft w:val="0"/>
          <w:marRight w:val="0"/>
          <w:marTop w:val="0"/>
          <w:marBottom w:val="0"/>
          <w:divBdr>
            <w:top w:val="single" w:sz="2" w:space="0" w:color="FF0000"/>
            <w:left w:val="single" w:sz="2" w:space="0" w:color="FF0000"/>
            <w:bottom w:val="single" w:sz="2" w:space="0" w:color="FF0000"/>
            <w:right w:val="single" w:sz="2" w:space="0" w:color="FF0000"/>
          </w:divBdr>
          <w:divsChild>
            <w:div w:id="903492498">
              <w:marLeft w:val="0"/>
              <w:marRight w:val="0"/>
              <w:marTop w:val="0"/>
              <w:marBottom w:val="0"/>
              <w:divBdr>
                <w:top w:val="none" w:sz="0" w:space="0" w:color="auto"/>
                <w:left w:val="single" w:sz="6" w:space="0" w:color="DDDDDD"/>
                <w:bottom w:val="none" w:sz="0" w:space="0" w:color="auto"/>
                <w:right w:val="none" w:sz="0" w:space="0" w:color="auto"/>
              </w:divBdr>
              <w:divsChild>
                <w:div w:id="1174077932">
                  <w:marLeft w:val="0"/>
                  <w:marRight w:val="0"/>
                  <w:marTop w:val="0"/>
                  <w:marBottom w:val="0"/>
                  <w:divBdr>
                    <w:top w:val="single" w:sz="2" w:space="0" w:color="008000"/>
                    <w:left w:val="single" w:sz="2" w:space="0" w:color="008000"/>
                    <w:bottom w:val="single" w:sz="2" w:space="0" w:color="008000"/>
                    <w:right w:val="single" w:sz="2" w:space="0" w:color="008000"/>
                  </w:divBdr>
                  <w:divsChild>
                    <w:div w:id="1555387910">
                      <w:marLeft w:val="0"/>
                      <w:marRight w:val="0"/>
                      <w:marTop w:val="0"/>
                      <w:marBottom w:val="0"/>
                      <w:divBdr>
                        <w:top w:val="none" w:sz="0" w:space="0" w:color="auto"/>
                        <w:left w:val="none" w:sz="0" w:space="0" w:color="auto"/>
                        <w:bottom w:val="none" w:sz="0" w:space="0" w:color="auto"/>
                        <w:right w:val="none" w:sz="0" w:space="0" w:color="auto"/>
                      </w:divBdr>
                      <w:divsChild>
                        <w:div w:id="1396247345">
                          <w:marLeft w:val="0"/>
                          <w:marRight w:val="0"/>
                          <w:marTop w:val="0"/>
                          <w:marBottom w:val="0"/>
                          <w:divBdr>
                            <w:top w:val="none" w:sz="0" w:space="0" w:color="auto"/>
                            <w:left w:val="none" w:sz="0" w:space="0" w:color="auto"/>
                            <w:bottom w:val="none" w:sz="0" w:space="0" w:color="auto"/>
                            <w:right w:val="none" w:sz="0" w:space="0" w:color="auto"/>
                          </w:divBdr>
                          <w:divsChild>
                            <w:div w:id="146932398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941112682">
      <w:bodyDiv w:val="1"/>
      <w:marLeft w:val="0"/>
      <w:marRight w:val="0"/>
      <w:marTop w:val="0"/>
      <w:marBottom w:val="0"/>
      <w:divBdr>
        <w:top w:val="none" w:sz="0" w:space="0" w:color="auto"/>
        <w:left w:val="none" w:sz="0" w:space="0" w:color="auto"/>
        <w:bottom w:val="none" w:sz="0" w:space="0" w:color="auto"/>
        <w:right w:val="none" w:sz="0" w:space="0" w:color="auto"/>
      </w:divBdr>
    </w:div>
    <w:div w:id="955869856">
      <w:bodyDiv w:val="1"/>
      <w:marLeft w:val="0"/>
      <w:marRight w:val="0"/>
      <w:marTop w:val="0"/>
      <w:marBottom w:val="0"/>
      <w:divBdr>
        <w:top w:val="single" w:sz="2" w:space="0" w:color="CC3640"/>
        <w:left w:val="none" w:sz="0" w:space="0" w:color="auto"/>
        <w:bottom w:val="none" w:sz="0" w:space="0" w:color="auto"/>
        <w:right w:val="none" w:sz="0" w:space="0" w:color="auto"/>
      </w:divBdr>
      <w:divsChild>
        <w:div w:id="1783498747">
          <w:marLeft w:val="0"/>
          <w:marRight w:val="0"/>
          <w:marTop w:val="0"/>
          <w:marBottom w:val="0"/>
          <w:divBdr>
            <w:top w:val="single" w:sz="2" w:space="0" w:color="FF0000"/>
            <w:left w:val="single" w:sz="2" w:space="0" w:color="FF0000"/>
            <w:bottom w:val="single" w:sz="2" w:space="0" w:color="FF0000"/>
            <w:right w:val="single" w:sz="2" w:space="0" w:color="FF0000"/>
          </w:divBdr>
          <w:divsChild>
            <w:div w:id="435564523">
              <w:marLeft w:val="0"/>
              <w:marRight w:val="0"/>
              <w:marTop w:val="0"/>
              <w:marBottom w:val="0"/>
              <w:divBdr>
                <w:top w:val="none" w:sz="0" w:space="0" w:color="auto"/>
                <w:left w:val="single" w:sz="6" w:space="0" w:color="DDDDDD"/>
                <w:bottom w:val="none" w:sz="0" w:space="0" w:color="auto"/>
                <w:right w:val="none" w:sz="0" w:space="0" w:color="auto"/>
              </w:divBdr>
              <w:divsChild>
                <w:div w:id="2081561966">
                  <w:marLeft w:val="0"/>
                  <w:marRight w:val="0"/>
                  <w:marTop w:val="0"/>
                  <w:marBottom w:val="0"/>
                  <w:divBdr>
                    <w:top w:val="single" w:sz="2" w:space="0" w:color="008000"/>
                    <w:left w:val="single" w:sz="2" w:space="0" w:color="008000"/>
                    <w:bottom w:val="single" w:sz="2" w:space="0" w:color="008000"/>
                    <w:right w:val="single" w:sz="2" w:space="0" w:color="008000"/>
                  </w:divBdr>
                  <w:divsChild>
                    <w:div w:id="1963730800">
                      <w:marLeft w:val="0"/>
                      <w:marRight w:val="0"/>
                      <w:marTop w:val="0"/>
                      <w:marBottom w:val="0"/>
                      <w:divBdr>
                        <w:top w:val="none" w:sz="0" w:space="0" w:color="auto"/>
                        <w:left w:val="none" w:sz="0" w:space="0" w:color="auto"/>
                        <w:bottom w:val="none" w:sz="0" w:space="0" w:color="auto"/>
                        <w:right w:val="none" w:sz="0" w:space="0" w:color="auto"/>
                      </w:divBdr>
                      <w:divsChild>
                        <w:div w:id="1328285439">
                          <w:marLeft w:val="0"/>
                          <w:marRight w:val="0"/>
                          <w:marTop w:val="0"/>
                          <w:marBottom w:val="0"/>
                          <w:divBdr>
                            <w:top w:val="none" w:sz="0" w:space="0" w:color="auto"/>
                            <w:left w:val="none" w:sz="0" w:space="0" w:color="auto"/>
                            <w:bottom w:val="none" w:sz="0" w:space="0" w:color="auto"/>
                            <w:right w:val="none" w:sz="0" w:space="0" w:color="auto"/>
                          </w:divBdr>
                          <w:divsChild>
                            <w:div w:id="76350231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986470883">
      <w:bodyDiv w:val="1"/>
      <w:marLeft w:val="0"/>
      <w:marRight w:val="0"/>
      <w:marTop w:val="0"/>
      <w:marBottom w:val="0"/>
      <w:divBdr>
        <w:top w:val="none" w:sz="0" w:space="0" w:color="auto"/>
        <w:left w:val="none" w:sz="0" w:space="0" w:color="auto"/>
        <w:bottom w:val="none" w:sz="0" w:space="0" w:color="auto"/>
        <w:right w:val="none" w:sz="0" w:space="0" w:color="auto"/>
      </w:divBdr>
    </w:div>
    <w:div w:id="1016423511">
      <w:bodyDiv w:val="1"/>
      <w:marLeft w:val="0"/>
      <w:marRight w:val="0"/>
      <w:marTop w:val="0"/>
      <w:marBottom w:val="0"/>
      <w:divBdr>
        <w:top w:val="none" w:sz="0" w:space="0" w:color="auto"/>
        <w:left w:val="none" w:sz="0" w:space="0" w:color="auto"/>
        <w:bottom w:val="none" w:sz="0" w:space="0" w:color="auto"/>
        <w:right w:val="none" w:sz="0" w:space="0" w:color="auto"/>
      </w:divBdr>
    </w:div>
    <w:div w:id="1029987061">
      <w:bodyDiv w:val="1"/>
      <w:marLeft w:val="0"/>
      <w:marRight w:val="0"/>
      <w:marTop w:val="0"/>
      <w:marBottom w:val="0"/>
      <w:divBdr>
        <w:top w:val="none" w:sz="0" w:space="0" w:color="auto"/>
        <w:left w:val="none" w:sz="0" w:space="0" w:color="auto"/>
        <w:bottom w:val="none" w:sz="0" w:space="0" w:color="auto"/>
        <w:right w:val="none" w:sz="0" w:space="0" w:color="auto"/>
      </w:divBdr>
    </w:div>
    <w:div w:id="1036007605">
      <w:bodyDiv w:val="1"/>
      <w:marLeft w:val="0"/>
      <w:marRight w:val="0"/>
      <w:marTop w:val="0"/>
      <w:marBottom w:val="0"/>
      <w:divBdr>
        <w:top w:val="none" w:sz="0" w:space="0" w:color="auto"/>
        <w:left w:val="none" w:sz="0" w:space="0" w:color="auto"/>
        <w:bottom w:val="none" w:sz="0" w:space="0" w:color="auto"/>
        <w:right w:val="none" w:sz="0" w:space="0" w:color="auto"/>
      </w:divBdr>
    </w:div>
    <w:div w:id="1059213224">
      <w:bodyDiv w:val="1"/>
      <w:marLeft w:val="0"/>
      <w:marRight w:val="0"/>
      <w:marTop w:val="0"/>
      <w:marBottom w:val="0"/>
      <w:divBdr>
        <w:top w:val="single" w:sz="2" w:space="0" w:color="CC3640"/>
        <w:left w:val="none" w:sz="0" w:space="0" w:color="auto"/>
        <w:bottom w:val="none" w:sz="0" w:space="0" w:color="auto"/>
        <w:right w:val="none" w:sz="0" w:space="0" w:color="auto"/>
      </w:divBdr>
      <w:divsChild>
        <w:div w:id="582181172">
          <w:marLeft w:val="0"/>
          <w:marRight w:val="0"/>
          <w:marTop w:val="0"/>
          <w:marBottom w:val="0"/>
          <w:divBdr>
            <w:top w:val="single" w:sz="2" w:space="0" w:color="FF0000"/>
            <w:left w:val="single" w:sz="2" w:space="0" w:color="FF0000"/>
            <w:bottom w:val="single" w:sz="2" w:space="0" w:color="FF0000"/>
            <w:right w:val="single" w:sz="2" w:space="0" w:color="FF0000"/>
          </w:divBdr>
          <w:divsChild>
            <w:div w:id="214703904">
              <w:marLeft w:val="0"/>
              <w:marRight w:val="0"/>
              <w:marTop w:val="0"/>
              <w:marBottom w:val="0"/>
              <w:divBdr>
                <w:top w:val="none" w:sz="0" w:space="0" w:color="auto"/>
                <w:left w:val="single" w:sz="6" w:space="0" w:color="DDDDDD"/>
                <w:bottom w:val="none" w:sz="0" w:space="0" w:color="auto"/>
                <w:right w:val="none" w:sz="0" w:space="0" w:color="auto"/>
              </w:divBdr>
              <w:divsChild>
                <w:div w:id="1479108786">
                  <w:marLeft w:val="0"/>
                  <w:marRight w:val="0"/>
                  <w:marTop w:val="0"/>
                  <w:marBottom w:val="0"/>
                  <w:divBdr>
                    <w:top w:val="single" w:sz="2" w:space="0" w:color="008000"/>
                    <w:left w:val="single" w:sz="2" w:space="0" w:color="008000"/>
                    <w:bottom w:val="single" w:sz="2" w:space="0" w:color="008000"/>
                    <w:right w:val="single" w:sz="2" w:space="0" w:color="008000"/>
                  </w:divBdr>
                  <w:divsChild>
                    <w:div w:id="407769165">
                      <w:marLeft w:val="0"/>
                      <w:marRight w:val="0"/>
                      <w:marTop w:val="0"/>
                      <w:marBottom w:val="0"/>
                      <w:divBdr>
                        <w:top w:val="none" w:sz="0" w:space="0" w:color="auto"/>
                        <w:left w:val="none" w:sz="0" w:space="0" w:color="auto"/>
                        <w:bottom w:val="none" w:sz="0" w:space="0" w:color="auto"/>
                        <w:right w:val="none" w:sz="0" w:space="0" w:color="auto"/>
                      </w:divBdr>
                      <w:divsChild>
                        <w:div w:id="332344530">
                          <w:marLeft w:val="0"/>
                          <w:marRight w:val="0"/>
                          <w:marTop w:val="0"/>
                          <w:marBottom w:val="0"/>
                          <w:divBdr>
                            <w:top w:val="none" w:sz="0" w:space="0" w:color="auto"/>
                            <w:left w:val="none" w:sz="0" w:space="0" w:color="auto"/>
                            <w:bottom w:val="none" w:sz="0" w:space="0" w:color="auto"/>
                            <w:right w:val="none" w:sz="0" w:space="0" w:color="auto"/>
                          </w:divBdr>
                          <w:divsChild>
                            <w:div w:id="125050048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097335089">
      <w:bodyDiv w:val="1"/>
      <w:marLeft w:val="0"/>
      <w:marRight w:val="0"/>
      <w:marTop w:val="0"/>
      <w:marBottom w:val="0"/>
      <w:divBdr>
        <w:top w:val="single" w:sz="2" w:space="0" w:color="CC3640"/>
        <w:left w:val="none" w:sz="0" w:space="0" w:color="auto"/>
        <w:bottom w:val="none" w:sz="0" w:space="0" w:color="auto"/>
        <w:right w:val="none" w:sz="0" w:space="0" w:color="auto"/>
      </w:divBdr>
      <w:divsChild>
        <w:div w:id="1656646658">
          <w:marLeft w:val="0"/>
          <w:marRight w:val="0"/>
          <w:marTop w:val="0"/>
          <w:marBottom w:val="0"/>
          <w:divBdr>
            <w:top w:val="single" w:sz="2" w:space="0" w:color="FF0000"/>
            <w:left w:val="single" w:sz="2" w:space="0" w:color="FF0000"/>
            <w:bottom w:val="single" w:sz="2" w:space="0" w:color="FF0000"/>
            <w:right w:val="single" w:sz="2" w:space="0" w:color="FF0000"/>
          </w:divBdr>
          <w:divsChild>
            <w:div w:id="1795555804">
              <w:marLeft w:val="0"/>
              <w:marRight w:val="0"/>
              <w:marTop w:val="0"/>
              <w:marBottom w:val="0"/>
              <w:divBdr>
                <w:top w:val="none" w:sz="0" w:space="0" w:color="auto"/>
                <w:left w:val="single" w:sz="6" w:space="0" w:color="DDDDDD"/>
                <w:bottom w:val="none" w:sz="0" w:space="0" w:color="auto"/>
                <w:right w:val="none" w:sz="0" w:space="0" w:color="auto"/>
              </w:divBdr>
              <w:divsChild>
                <w:div w:id="2003922157">
                  <w:marLeft w:val="0"/>
                  <w:marRight w:val="0"/>
                  <w:marTop w:val="0"/>
                  <w:marBottom w:val="0"/>
                  <w:divBdr>
                    <w:top w:val="single" w:sz="2" w:space="0" w:color="008000"/>
                    <w:left w:val="single" w:sz="2" w:space="0" w:color="008000"/>
                    <w:bottom w:val="single" w:sz="2" w:space="0" w:color="008000"/>
                    <w:right w:val="single" w:sz="2" w:space="0" w:color="008000"/>
                  </w:divBdr>
                  <w:divsChild>
                    <w:div w:id="969434743">
                      <w:marLeft w:val="0"/>
                      <w:marRight w:val="0"/>
                      <w:marTop w:val="0"/>
                      <w:marBottom w:val="0"/>
                      <w:divBdr>
                        <w:top w:val="none" w:sz="0" w:space="0" w:color="auto"/>
                        <w:left w:val="none" w:sz="0" w:space="0" w:color="auto"/>
                        <w:bottom w:val="none" w:sz="0" w:space="0" w:color="auto"/>
                        <w:right w:val="none" w:sz="0" w:space="0" w:color="auto"/>
                      </w:divBdr>
                      <w:divsChild>
                        <w:div w:id="694773809">
                          <w:marLeft w:val="0"/>
                          <w:marRight w:val="0"/>
                          <w:marTop w:val="0"/>
                          <w:marBottom w:val="0"/>
                          <w:divBdr>
                            <w:top w:val="none" w:sz="0" w:space="0" w:color="auto"/>
                            <w:left w:val="none" w:sz="0" w:space="0" w:color="auto"/>
                            <w:bottom w:val="none" w:sz="0" w:space="0" w:color="auto"/>
                            <w:right w:val="none" w:sz="0" w:space="0" w:color="auto"/>
                          </w:divBdr>
                          <w:divsChild>
                            <w:div w:id="10095738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129978862">
      <w:bodyDiv w:val="1"/>
      <w:marLeft w:val="0"/>
      <w:marRight w:val="0"/>
      <w:marTop w:val="0"/>
      <w:marBottom w:val="0"/>
      <w:divBdr>
        <w:top w:val="none" w:sz="0" w:space="0" w:color="auto"/>
        <w:left w:val="none" w:sz="0" w:space="0" w:color="auto"/>
        <w:bottom w:val="none" w:sz="0" w:space="0" w:color="auto"/>
        <w:right w:val="none" w:sz="0" w:space="0" w:color="auto"/>
      </w:divBdr>
    </w:div>
    <w:div w:id="1139959198">
      <w:bodyDiv w:val="1"/>
      <w:marLeft w:val="0"/>
      <w:marRight w:val="0"/>
      <w:marTop w:val="0"/>
      <w:marBottom w:val="0"/>
      <w:divBdr>
        <w:top w:val="none" w:sz="0" w:space="0" w:color="auto"/>
        <w:left w:val="none" w:sz="0" w:space="0" w:color="auto"/>
        <w:bottom w:val="none" w:sz="0" w:space="0" w:color="auto"/>
        <w:right w:val="none" w:sz="0" w:space="0" w:color="auto"/>
      </w:divBdr>
    </w:div>
    <w:div w:id="1158225747">
      <w:bodyDiv w:val="1"/>
      <w:marLeft w:val="0"/>
      <w:marRight w:val="0"/>
      <w:marTop w:val="0"/>
      <w:marBottom w:val="0"/>
      <w:divBdr>
        <w:top w:val="single" w:sz="2" w:space="0" w:color="CC3640"/>
        <w:left w:val="none" w:sz="0" w:space="0" w:color="auto"/>
        <w:bottom w:val="none" w:sz="0" w:space="0" w:color="auto"/>
        <w:right w:val="none" w:sz="0" w:space="0" w:color="auto"/>
      </w:divBdr>
      <w:divsChild>
        <w:div w:id="426195937">
          <w:marLeft w:val="0"/>
          <w:marRight w:val="0"/>
          <w:marTop w:val="0"/>
          <w:marBottom w:val="0"/>
          <w:divBdr>
            <w:top w:val="single" w:sz="2" w:space="0" w:color="FF0000"/>
            <w:left w:val="single" w:sz="2" w:space="0" w:color="FF0000"/>
            <w:bottom w:val="single" w:sz="2" w:space="0" w:color="FF0000"/>
            <w:right w:val="single" w:sz="2" w:space="0" w:color="FF0000"/>
          </w:divBdr>
          <w:divsChild>
            <w:div w:id="1218320530">
              <w:marLeft w:val="0"/>
              <w:marRight w:val="0"/>
              <w:marTop w:val="0"/>
              <w:marBottom w:val="0"/>
              <w:divBdr>
                <w:top w:val="none" w:sz="0" w:space="0" w:color="auto"/>
                <w:left w:val="single" w:sz="6" w:space="0" w:color="DDDDDD"/>
                <w:bottom w:val="none" w:sz="0" w:space="0" w:color="auto"/>
                <w:right w:val="none" w:sz="0" w:space="0" w:color="auto"/>
              </w:divBdr>
              <w:divsChild>
                <w:div w:id="712576139">
                  <w:marLeft w:val="0"/>
                  <w:marRight w:val="0"/>
                  <w:marTop w:val="0"/>
                  <w:marBottom w:val="0"/>
                  <w:divBdr>
                    <w:top w:val="single" w:sz="2" w:space="0" w:color="008000"/>
                    <w:left w:val="single" w:sz="2" w:space="0" w:color="008000"/>
                    <w:bottom w:val="single" w:sz="2" w:space="0" w:color="008000"/>
                    <w:right w:val="single" w:sz="2" w:space="0" w:color="008000"/>
                  </w:divBdr>
                  <w:divsChild>
                    <w:div w:id="1035933872">
                      <w:marLeft w:val="0"/>
                      <w:marRight w:val="0"/>
                      <w:marTop w:val="0"/>
                      <w:marBottom w:val="0"/>
                      <w:divBdr>
                        <w:top w:val="none" w:sz="0" w:space="0" w:color="auto"/>
                        <w:left w:val="none" w:sz="0" w:space="0" w:color="auto"/>
                        <w:bottom w:val="none" w:sz="0" w:space="0" w:color="auto"/>
                        <w:right w:val="none" w:sz="0" w:space="0" w:color="auto"/>
                      </w:divBdr>
                      <w:divsChild>
                        <w:div w:id="1986934983">
                          <w:marLeft w:val="0"/>
                          <w:marRight w:val="0"/>
                          <w:marTop w:val="0"/>
                          <w:marBottom w:val="0"/>
                          <w:divBdr>
                            <w:top w:val="none" w:sz="0" w:space="0" w:color="auto"/>
                            <w:left w:val="none" w:sz="0" w:space="0" w:color="auto"/>
                            <w:bottom w:val="none" w:sz="0" w:space="0" w:color="auto"/>
                            <w:right w:val="none" w:sz="0" w:space="0" w:color="auto"/>
                          </w:divBdr>
                          <w:divsChild>
                            <w:div w:id="46435162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23178817">
      <w:bodyDiv w:val="1"/>
      <w:marLeft w:val="0"/>
      <w:marRight w:val="0"/>
      <w:marTop w:val="0"/>
      <w:marBottom w:val="0"/>
      <w:divBdr>
        <w:top w:val="single" w:sz="2" w:space="0" w:color="CC3640"/>
        <w:left w:val="none" w:sz="0" w:space="0" w:color="auto"/>
        <w:bottom w:val="none" w:sz="0" w:space="0" w:color="auto"/>
        <w:right w:val="none" w:sz="0" w:space="0" w:color="auto"/>
      </w:divBdr>
      <w:divsChild>
        <w:div w:id="1382748533">
          <w:marLeft w:val="0"/>
          <w:marRight w:val="0"/>
          <w:marTop w:val="0"/>
          <w:marBottom w:val="0"/>
          <w:divBdr>
            <w:top w:val="single" w:sz="2" w:space="0" w:color="FF0000"/>
            <w:left w:val="single" w:sz="2" w:space="0" w:color="FF0000"/>
            <w:bottom w:val="single" w:sz="2" w:space="0" w:color="FF0000"/>
            <w:right w:val="single" w:sz="2" w:space="0" w:color="FF0000"/>
          </w:divBdr>
          <w:divsChild>
            <w:div w:id="914247281">
              <w:marLeft w:val="0"/>
              <w:marRight w:val="0"/>
              <w:marTop w:val="0"/>
              <w:marBottom w:val="0"/>
              <w:divBdr>
                <w:top w:val="none" w:sz="0" w:space="0" w:color="auto"/>
                <w:left w:val="single" w:sz="6" w:space="0" w:color="DDDDDD"/>
                <w:bottom w:val="none" w:sz="0" w:space="0" w:color="auto"/>
                <w:right w:val="none" w:sz="0" w:space="0" w:color="auto"/>
              </w:divBdr>
              <w:divsChild>
                <w:div w:id="362245563">
                  <w:marLeft w:val="0"/>
                  <w:marRight w:val="0"/>
                  <w:marTop w:val="0"/>
                  <w:marBottom w:val="0"/>
                  <w:divBdr>
                    <w:top w:val="single" w:sz="2" w:space="0" w:color="008000"/>
                    <w:left w:val="single" w:sz="2" w:space="0" w:color="008000"/>
                    <w:bottom w:val="single" w:sz="2" w:space="0" w:color="008000"/>
                    <w:right w:val="single" w:sz="2" w:space="0" w:color="008000"/>
                  </w:divBdr>
                  <w:divsChild>
                    <w:div w:id="20515074">
                      <w:marLeft w:val="0"/>
                      <w:marRight w:val="0"/>
                      <w:marTop w:val="0"/>
                      <w:marBottom w:val="0"/>
                      <w:divBdr>
                        <w:top w:val="none" w:sz="0" w:space="0" w:color="auto"/>
                        <w:left w:val="none" w:sz="0" w:space="0" w:color="auto"/>
                        <w:bottom w:val="none" w:sz="0" w:space="0" w:color="auto"/>
                        <w:right w:val="none" w:sz="0" w:space="0" w:color="auto"/>
                      </w:divBdr>
                      <w:divsChild>
                        <w:div w:id="1249004566">
                          <w:marLeft w:val="0"/>
                          <w:marRight w:val="0"/>
                          <w:marTop w:val="0"/>
                          <w:marBottom w:val="0"/>
                          <w:divBdr>
                            <w:top w:val="none" w:sz="0" w:space="0" w:color="auto"/>
                            <w:left w:val="none" w:sz="0" w:space="0" w:color="auto"/>
                            <w:bottom w:val="none" w:sz="0" w:space="0" w:color="auto"/>
                            <w:right w:val="none" w:sz="0" w:space="0" w:color="auto"/>
                          </w:divBdr>
                          <w:divsChild>
                            <w:div w:id="204605583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43684821">
      <w:bodyDiv w:val="1"/>
      <w:marLeft w:val="0"/>
      <w:marRight w:val="0"/>
      <w:marTop w:val="0"/>
      <w:marBottom w:val="0"/>
      <w:divBdr>
        <w:top w:val="none" w:sz="0" w:space="0" w:color="auto"/>
        <w:left w:val="none" w:sz="0" w:space="0" w:color="auto"/>
        <w:bottom w:val="none" w:sz="0" w:space="0" w:color="auto"/>
        <w:right w:val="none" w:sz="0" w:space="0" w:color="auto"/>
      </w:divBdr>
    </w:div>
    <w:div w:id="1277298465">
      <w:bodyDiv w:val="1"/>
      <w:marLeft w:val="0"/>
      <w:marRight w:val="0"/>
      <w:marTop w:val="0"/>
      <w:marBottom w:val="0"/>
      <w:divBdr>
        <w:top w:val="single" w:sz="2" w:space="0" w:color="CC3640"/>
        <w:left w:val="none" w:sz="0" w:space="0" w:color="auto"/>
        <w:bottom w:val="none" w:sz="0" w:space="0" w:color="auto"/>
        <w:right w:val="none" w:sz="0" w:space="0" w:color="auto"/>
      </w:divBdr>
      <w:divsChild>
        <w:div w:id="293492067">
          <w:marLeft w:val="0"/>
          <w:marRight w:val="0"/>
          <w:marTop w:val="0"/>
          <w:marBottom w:val="0"/>
          <w:divBdr>
            <w:top w:val="single" w:sz="2" w:space="0" w:color="FF0000"/>
            <w:left w:val="single" w:sz="2" w:space="0" w:color="FF0000"/>
            <w:bottom w:val="single" w:sz="2" w:space="0" w:color="FF0000"/>
            <w:right w:val="single" w:sz="2" w:space="0" w:color="FF0000"/>
          </w:divBdr>
          <w:divsChild>
            <w:div w:id="1598709947">
              <w:marLeft w:val="0"/>
              <w:marRight w:val="0"/>
              <w:marTop w:val="0"/>
              <w:marBottom w:val="0"/>
              <w:divBdr>
                <w:top w:val="none" w:sz="0" w:space="0" w:color="auto"/>
                <w:left w:val="single" w:sz="6" w:space="0" w:color="DDDDDD"/>
                <w:bottom w:val="none" w:sz="0" w:space="0" w:color="auto"/>
                <w:right w:val="none" w:sz="0" w:space="0" w:color="auto"/>
              </w:divBdr>
              <w:divsChild>
                <w:div w:id="1919636141">
                  <w:marLeft w:val="0"/>
                  <w:marRight w:val="0"/>
                  <w:marTop w:val="0"/>
                  <w:marBottom w:val="0"/>
                  <w:divBdr>
                    <w:top w:val="single" w:sz="2" w:space="0" w:color="008000"/>
                    <w:left w:val="single" w:sz="2" w:space="0" w:color="008000"/>
                    <w:bottom w:val="single" w:sz="2" w:space="0" w:color="008000"/>
                    <w:right w:val="single" w:sz="2" w:space="0" w:color="008000"/>
                  </w:divBdr>
                  <w:divsChild>
                    <w:div w:id="721174762">
                      <w:marLeft w:val="0"/>
                      <w:marRight w:val="0"/>
                      <w:marTop w:val="0"/>
                      <w:marBottom w:val="0"/>
                      <w:divBdr>
                        <w:top w:val="none" w:sz="0" w:space="0" w:color="auto"/>
                        <w:left w:val="none" w:sz="0" w:space="0" w:color="auto"/>
                        <w:bottom w:val="none" w:sz="0" w:space="0" w:color="auto"/>
                        <w:right w:val="none" w:sz="0" w:space="0" w:color="auto"/>
                      </w:divBdr>
                      <w:divsChild>
                        <w:div w:id="776604464">
                          <w:marLeft w:val="0"/>
                          <w:marRight w:val="0"/>
                          <w:marTop w:val="0"/>
                          <w:marBottom w:val="0"/>
                          <w:divBdr>
                            <w:top w:val="none" w:sz="0" w:space="0" w:color="auto"/>
                            <w:left w:val="none" w:sz="0" w:space="0" w:color="auto"/>
                            <w:bottom w:val="none" w:sz="0" w:space="0" w:color="auto"/>
                            <w:right w:val="none" w:sz="0" w:space="0" w:color="auto"/>
                          </w:divBdr>
                          <w:divsChild>
                            <w:div w:id="175748355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90942340">
      <w:bodyDiv w:val="1"/>
      <w:marLeft w:val="0"/>
      <w:marRight w:val="0"/>
      <w:marTop w:val="0"/>
      <w:marBottom w:val="0"/>
      <w:divBdr>
        <w:top w:val="none" w:sz="0" w:space="0" w:color="auto"/>
        <w:left w:val="none" w:sz="0" w:space="0" w:color="auto"/>
        <w:bottom w:val="none" w:sz="0" w:space="0" w:color="auto"/>
        <w:right w:val="none" w:sz="0" w:space="0" w:color="auto"/>
      </w:divBdr>
    </w:div>
    <w:div w:id="1293174382">
      <w:bodyDiv w:val="1"/>
      <w:marLeft w:val="0"/>
      <w:marRight w:val="0"/>
      <w:marTop w:val="0"/>
      <w:marBottom w:val="0"/>
      <w:divBdr>
        <w:top w:val="none" w:sz="0" w:space="0" w:color="auto"/>
        <w:left w:val="none" w:sz="0" w:space="0" w:color="auto"/>
        <w:bottom w:val="none" w:sz="0" w:space="0" w:color="auto"/>
        <w:right w:val="none" w:sz="0" w:space="0" w:color="auto"/>
      </w:divBdr>
    </w:div>
    <w:div w:id="1335037620">
      <w:bodyDiv w:val="1"/>
      <w:marLeft w:val="0"/>
      <w:marRight w:val="0"/>
      <w:marTop w:val="0"/>
      <w:marBottom w:val="0"/>
      <w:divBdr>
        <w:top w:val="none" w:sz="0" w:space="0" w:color="auto"/>
        <w:left w:val="none" w:sz="0" w:space="0" w:color="auto"/>
        <w:bottom w:val="none" w:sz="0" w:space="0" w:color="auto"/>
        <w:right w:val="none" w:sz="0" w:space="0" w:color="auto"/>
      </w:divBdr>
    </w:div>
    <w:div w:id="1335570535">
      <w:bodyDiv w:val="1"/>
      <w:marLeft w:val="0"/>
      <w:marRight w:val="0"/>
      <w:marTop w:val="0"/>
      <w:marBottom w:val="0"/>
      <w:divBdr>
        <w:top w:val="none" w:sz="0" w:space="0" w:color="auto"/>
        <w:left w:val="none" w:sz="0" w:space="0" w:color="auto"/>
        <w:bottom w:val="none" w:sz="0" w:space="0" w:color="auto"/>
        <w:right w:val="none" w:sz="0" w:space="0" w:color="auto"/>
      </w:divBdr>
    </w:div>
    <w:div w:id="1347630021">
      <w:bodyDiv w:val="1"/>
      <w:marLeft w:val="0"/>
      <w:marRight w:val="0"/>
      <w:marTop w:val="0"/>
      <w:marBottom w:val="0"/>
      <w:divBdr>
        <w:top w:val="none" w:sz="0" w:space="0" w:color="auto"/>
        <w:left w:val="none" w:sz="0" w:space="0" w:color="auto"/>
        <w:bottom w:val="none" w:sz="0" w:space="0" w:color="auto"/>
        <w:right w:val="none" w:sz="0" w:space="0" w:color="auto"/>
      </w:divBdr>
    </w:div>
    <w:div w:id="1359425561">
      <w:bodyDiv w:val="1"/>
      <w:marLeft w:val="0"/>
      <w:marRight w:val="0"/>
      <w:marTop w:val="0"/>
      <w:marBottom w:val="0"/>
      <w:divBdr>
        <w:top w:val="none" w:sz="0" w:space="0" w:color="auto"/>
        <w:left w:val="none" w:sz="0" w:space="0" w:color="auto"/>
        <w:bottom w:val="none" w:sz="0" w:space="0" w:color="auto"/>
        <w:right w:val="none" w:sz="0" w:space="0" w:color="auto"/>
      </w:divBdr>
    </w:div>
    <w:div w:id="1397431453">
      <w:bodyDiv w:val="1"/>
      <w:marLeft w:val="0"/>
      <w:marRight w:val="0"/>
      <w:marTop w:val="0"/>
      <w:marBottom w:val="0"/>
      <w:divBdr>
        <w:top w:val="none" w:sz="0" w:space="0" w:color="auto"/>
        <w:left w:val="none" w:sz="0" w:space="0" w:color="auto"/>
        <w:bottom w:val="none" w:sz="0" w:space="0" w:color="auto"/>
        <w:right w:val="none" w:sz="0" w:space="0" w:color="auto"/>
      </w:divBdr>
    </w:div>
    <w:div w:id="1403216558">
      <w:bodyDiv w:val="1"/>
      <w:marLeft w:val="0"/>
      <w:marRight w:val="0"/>
      <w:marTop w:val="0"/>
      <w:marBottom w:val="0"/>
      <w:divBdr>
        <w:top w:val="none" w:sz="0" w:space="0" w:color="auto"/>
        <w:left w:val="none" w:sz="0" w:space="0" w:color="auto"/>
        <w:bottom w:val="none" w:sz="0" w:space="0" w:color="auto"/>
        <w:right w:val="none" w:sz="0" w:space="0" w:color="auto"/>
      </w:divBdr>
    </w:div>
    <w:div w:id="1453209987">
      <w:bodyDiv w:val="1"/>
      <w:marLeft w:val="0"/>
      <w:marRight w:val="0"/>
      <w:marTop w:val="0"/>
      <w:marBottom w:val="0"/>
      <w:divBdr>
        <w:top w:val="none" w:sz="0" w:space="0" w:color="auto"/>
        <w:left w:val="none" w:sz="0" w:space="0" w:color="auto"/>
        <w:bottom w:val="none" w:sz="0" w:space="0" w:color="auto"/>
        <w:right w:val="none" w:sz="0" w:space="0" w:color="auto"/>
      </w:divBdr>
      <w:divsChild>
        <w:div w:id="1031492797">
          <w:marLeft w:val="0"/>
          <w:marRight w:val="0"/>
          <w:marTop w:val="120"/>
          <w:marBottom w:val="120"/>
          <w:divBdr>
            <w:top w:val="none" w:sz="0" w:space="0" w:color="auto"/>
            <w:left w:val="none" w:sz="0" w:space="0" w:color="auto"/>
            <w:bottom w:val="none" w:sz="0" w:space="0" w:color="auto"/>
            <w:right w:val="none" w:sz="0" w:space="0" w:color="auto"/>
          </w:divBdr>
        </w:div>
      </w:divsChild>
    </w:div>
    <w:div w:id="1457717573">
      <w:bodyDiv w:val="1"/>
      <w:marLeft w:val="0"/>
      <w:marRight w:val="0"/>
      <w:marTop w:val="0"/>
      <w:marBottom w:val="0"/>
      <w:divBdr>
        <w:top w:val="none" w:sz="0" w:space="0" w:color="auto"/>
        <w:left w:val="none" w:sz="0" w:space="0" w:color="auto"/>
        <w:bottom w:val="none" w:sz="0" w:space="0" w:color="auto"/>
        <w:right w:val="none" w:sz="0" w:space="0" w:color="auto"/>
      </w:divBdr>
    </w:div>
    <w:div w:id="1469517578">
      <w:bodyDiv w:val="1"/>
      <w:marLeft w:val="0"/>
      <w:marRight w:val="0"/>
      <w:marTop w:val="0"/>
      <w:marBottom w:val="0"/>
      <w:divBdr>
        <w:top w:val="none" w:sz="0" w:space="0" w:color="auto"/>
        <w:left w:val="none" w:sz="0" w:space="0" w:color="auto"/>
        <w:bottom w:val="none" w:sz="0" w:space="0" w:color="auto"/>
        <w:right w:val="none" w:sz="0" w:space="0" w:color="auto"/>
      </w:divBdr>
    </w:div>
    <w:div w:id="1480612843">
      <w:bodyDiv w:val="1"/>
      <w:marLeft w:val="0"/>
      <w:marRight w:val="0"/>
      <w:marTop w:val="0"/>
      <w:marBottom w:val="0"/>
      <w:divBdr>
        <w:top w:val="none" w:sz="0" w:space="0" w:color="auto"/>
        <w:left w:val="none" w:sz="0" w:space="0" w:color="auto"/>
        <w:bottom w:val="none" w:sz="0" w:space="0" w:color="auto"/>
        <w:right w:val="none" w:sz="0" w:space="0" w:color="auto"/>
      </w:divBdr>
    </w:div>
    <w:div w:id="1499225961">
      <w:bodyDiv w:val="1"/>
      <w:marLeft w:val="0"/>
      <w:marRight w:val="0"/>
      <w:marTop w:val="0"/>
      <w:marBottom w:val="0"/>
      <w:divBdr>
        <w:top w:val="single" w:sz="2" w:space="0" w:color="CC3640"/>
        <w:left w:val="none" w:sz="0" w:space="0" w:color="auto"/>
        <w:bottom w:val="none" w:sz="0" w:space="0" w:color="auto"/>
        <w:right w:val="none" w:sz="0" w:space="0" w:color="auto"/>
      </w:divBdr>
      <w:divsChild>
        <w:div w:id="515270729">
          <w:marLeft w:val="0"/>
          <w:marRight w:val="0"/>
          <w:marTop w:val="0"/>
          <w:marBottom w:val="0"/>
          <w:divBdr>
            <w:top w:val="single" w:sz="2" w:space="0" w:color="FF0000"/>
            <w:left w:val="single" w:sz="2" w:space="0" w:color="FF0000"/>
            <w:bottom w:val="single" w:sz="2" w:space="0" w:color="FF0000"/>
            <w:right w:val="single" w:sz="2" w:space="0" w:color="FF0000"/>
          </w:divBdr>
          <w:divsChild>
            <w:div w:id="942690991">
              <w:marLeft w:val="0"/>
              <w:marRight w:val="0"/>
              <w:marTop w:val="0"/>
              <w:marBottom w:val="0"/>
              <w:divBdr>
                <w:top w:val="none" w:sz="0" w:space="0" w:color="auto"/>
                <w:left w:val="single" w:sz="6" w:space="0" w:color="DDDDDD"/>
                <w:bottom w:val="none" w:sz="0" w:space="0" w:color="auto"/>
                <w:right w:val="none" w:sz="0" w:space="0" w:color="auto"/>
              </w:divBdr>
              <w:divsChild>
                <w:div w:id="1581328895">
                  <w:marLeft w:val="0"/>
                  <w:marRight w:val="0"/>
                  <w:marTop w:val="0"/>
                  <w:marBottom w:val="0"/>
                  <w:divBdr>
                    <w:top w:val="single" w:sz="2" w:space="0" w:color="008000"/>
                    <w:left w:val="single" w:sz="2" w:space="0" w:color="008000"/>
                    <w:bottom w:val="single" w:sz="2" w:space="0" w:color="008000"/>
                    <w:right w:val="single" w:sz="2" w:space="0" w:color="008000"/>
                  </w:divBdr>
                  <w:divsChild>
                    <w:div w:id="1165314759">
                      <w:marLeft w:val="0"/>
                      <w:marRight w:val="0"/>
                      <w:marTop w:val="0"/>
                      <w:marBottom w:val="0"/>
                      <w:divBdr>
                        <w:top w:val="none" w:sz="0" w:space="0" w:color="auto"/>
                        <w:left w:val="none" w:sz="0" w:space="0" w:color="auto"/>
                        <w:bottom w:val="none" w:sz="0" w:space="0" w:color="auto"/>
                        <w:right w:val="none" w:sz="0" w:space="0" w:color="auto"/>
                      </w:divBdr>
                      <w:divsChild>
                        <w:div w:id="1681659223">
                          <w:marLeft w:val="0"/>
                          <w:marRight w:val="0"/>
                          <w:marTop w:val="0"/>
                          <w:marBottom w:val="0"/>
                          <w:divBdr>
                            <w:top w:val="none" w:sz="0" w:space="0" w:color="auto"/>
                            <w:left w:val="none" w:sz="0" w:space="0" w:color="auto"/>
                            <w:bottom w:val="none" w:sz="0" w:space="0" w:color="auto"/>
                            <w:right w:val="none" w:sz="0" w:space="0" w:color="auto"/>
                          </w:divBdr>
                          <w:divsChild>
                            <w:div w:id="207712346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529676757">
      <w:bodyDiv w:val="1"/>
      <w:marLeft w:val="0"/>
      <w:marRight w:val="0"/>
      <w:marTop w:val="0"/>
      <w:marBottom w:val="0"/>
      <w:divBdr>
        <w:top w:val="none" w:sz="0" w:space="0" w:color="auto"/>
        <w:left w:val="none" w:sz="0" w:space="0" w:color="auto"/>
        <w:bottom w:val="none" w:sz="0" w:space="0" w:color="auto"/>
        <w:right w:val="none" w:sz="0" w:space="0" w:color="auto"/>
      </w:divBdr>
    </w:div>
    <w:div w:id="1537694618">
      <w:bodyDiv w:val="1"/>
      <w:marLeft w:val="0"/>
      <w:marRight w:val="0"/>
      <w:marTop w:val="0"/>
      <w:marBottom w:val="0"/>
      <w:divBdr>
        <w:top w:val="none" w:sz="0" w:space="0" w:color="auto"/>
        <w:left w:val="none" w:sz="0" w:space="0" w:color="auto"/>
        <w:bottom w:val="none" w:sz="0" w:space="0" w:color="auto"/>
        <w:right w:val="none" w:sz="0" w:space="0" w:color="auto"/>
      </w:divBdr>
    </w:div>
    <w:div w:id="1551769145">
      <w:bodyDiv w:val="1"/>
      <w:marLeft w:val="0"/>
      <w:marRight w:val="0"/>
      <w:marTop w:val="0"/>
      <w:marBottom w:val="0"/>
      <w:divBdr>
        <w:top w:val="single" w:sz="2" w:space="0" w:color="CC3640"/>
        <w:left w:val="none" w:sz="0" w:space="0" w:color="auto"/>
        <w:bottom w:val="none" w:sz="0" w:space="0" w:color="auto"/>
        <w:right w:val="none" w:sz="0" w:space="0" w:color="auto"/>
      </w:divBdr>
      <w:divsChild>
        <w:div w:id="2092003755">
          <w:marLeft w:val="0"/>
          <w:marRight w:val="0"/>
          <w:marTop w:val="0"/>
          <w:marBottom w:val="0"/>
          <w:divBdr>
            <w:top w:val="single" w:sz="2" w:space="0" w:color="FF0000"/>
            <w:left w:val="single" w:sz="2" w:space="0" w:color="FF0000"/>
            <w:bottom w:val="single" w:sz="2" w:space="0" w:color="FF0000"/>
            <w:right w:val="single" w:sz="2" w:space="0" w:color="FF0000"/>
          </w:divBdr>
          <w:divsChild>
            <w:div w:id="1184708345">
              <w:marLeft w:val="0"/>
              <w:marRight w:val="0"/>
              <w:marTop w:val="0"/>
              <w:marBottom w:val="0"/>
              <w:divBdr>
                <w:top w:val="none" w:sz="0" w:space="0" w:color="auto"/>
                <w:left w:val="single" w:sz="6" w:space="0" w:color="DDDDDD"/>
                <w:bottom w:val="none" w:sz="0" w:space="0" w:color="auto"/>
                <w:right w:val="none" w:sz="0" w:space="0" w:color="auto"/>
              </w:divBdr>
              <w:divsChild>
                <w:div w:id="853032926">
                  <w:marLeft w:val="0"/>
                  <w:marRight w:val="0"/>
                  <w:marTop w:val="0"/>
                  <w:marBottom w:val="0"/>
                  <w:divBdr>
                    <w:top w:val="single" w:sz="2" w:space="0" w:color="008000"/>
                    <w:left w:val="single" w:sz="2" w:space="0" w:color="008000"/>
                    <w:bottom w:val="single" w:sz="2" w:space="0" w:color="008000"/>
                    <w:right w:val="single" w:sz="2" w:space="0" w:color="008000"/>
                  </w:divBdr>
                  <w:divsChild>
                    <w:div w:id="1906991736">
                      <w:marLeft w:val="0"/>
                      <w:marRight w:val="0"/>
                      <w:marTop w:val="0"/>
                      <w:marBottom w:val="0"/>
                      <w:divBdr>
                        <w:top w:val="none" w:sz="0" w:space="0" w:color="auto"/>
                        <w:left w:val="none" w:sz="0" w:space="0" w:color="auto"/>
                        <w:bottom w:val="none" w:sz="0" w:space="0" w:color="auto"/>
                        <w:right w:val="none" w:sz="0" w:space="0" w:color="auto"/>
                      </w:divBdr>
                      <w:divsChild>
                        <w:div w:id="1395933014">
                          <w:marLeft w:val="0"/>
                          <w:marRight w:val="0"/>
                          <w:marTop w:val="0"/>
                          <w:marBottom w:val="0"/>
                          <w:divBdr>
                            <w:top w:val="none" w:sz="0" w:space="0" w:color="auto"/>
                            <w:left w:val="none" w:sz="0" w:space="0" w:color="auto"/>
                            <w:bottom w:val="none" w:sz="0" w:space="0" w:color="auto"/>
                            <w:right w:val="none" w:sz="0" w:space="0" w:color="auto"/>
                          </w:divBdr>
                          <w:divsChild>
                            <w:div w:id="9070651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559781924">
      <w:bodyDiv w:val="1"/>
      <w:marLeft w:val="0"/>
      <w:marRight w:val="0"/>
      <w:marTop w:val="0"/>
      <w:marBottom w:val="0"/>
      <w:divBdr>
        <w:top w:val="none" w:sz="0" w:space="0" w:color="auto"/>
        <w:left w:val="none" w:sz="0" w:space="0" w:color="auto"/>
        <w:bottom w:val="none" w:sz="0" w:space="0" w:color="auto"/>
        <w:right w:val="none" w:sz="0" w:space="0" w:color="auto"/>
      </w:divBdr>
    </w:div>
    <w:div w:id="1581715734">
      <w:bodyDiv w:val="1"/>
      <w:marLeft w:val="0"/>
      <w:marRight w:val="0"/>
      <w:marTop w:val="0"/>
      <w:marBottom w:val="0"/>
      <w:divBdr>
        <w:top w:val="single" w:sz="2" w:space="0" w:color="CC3640"/>
        <w:left w:val="none" w:sz="0" w:space="0" w:color="auto"/>
        <w:bottom w:val="none" w:sz="0" w:space="0" w:color="auto"/>
        <w:right w:val="none" w:sz="0" w:space="0" w:color="auto"/>
      </w:divBdr>
      <w:divsChild>
        <w:div w:id="2011832431">
          <w:marLeft w:val="0"/>
          <w:marRight w:val="0"/>
          <w:marTop w:val="0"/>
          <w:marBottom w:val="0"/>
          <w:divBdr>
            <w:top w:val="single" w:sz="2" w:space="0" w:color="FF0000"/>
            <w:left w:val="single" w:sz="2" w:space="0" w:color="FF0000"/>
            <w:bottom w:val="single" w:sz="2" w:space="0" w:color="FF0000"/>
            <w:right w:val="single" w:sz="2" w:space="0" w:color="FF0000"/>
          </w:divBdr>
          <w:divsChild>
            <w:div w:id="1010329587">
              <w:marLeft w:val="0"/>
              <w:marRight w:val="0"/>
              <w:marTop w:val="0"/>
              <w:marBottom w:val="0"/>
              <w:divBdr>
                <w:top w:val="none" w:sz="0" w:space="0" w:color="auto"/>
                <w:left w:val="single" w:sz="6" w:space="0" w:color="DDDDDD"/>
                <w:bottom w:val="none" w:sz="0" w:space="0" w:color="auto"/>
                <w:right w:val="none" w:sz="0" w:space="0" w:color="auto"/>
              </w:divBdr>
              <w:divsChild>
                <w:div w:id="527372474">
                  <w:marLeft w:val="0"/>
                  <w:marRight w:val="0"/>
                  <w:marTop w:val="0"/>
                  <w:marBottom w:val="0"/>
                  <w:divBdr>
                    <w:top w:val="single" w:sz="2" w:space="0" w:color="008000"/>
                    <w:left w:val="single" w:sz="2" w:space="0" w:color="008000"/>
                    <w:bottom w:val="single" w:sz="2" w:space="0" w:color="008000"/>
                    <w:right w:val="single" w:sz="2" w:space="0" w:color="008000"/>
                  </w:divBdr>
                  <w:divsChild>
                    <w:div w:id="1154956246">
                      <w:marLeft w:val="0"/>
                      <w:marRight w:val="0"/>
                      <w:marTop w:val="0"/>
                      <w:marBottom w:val="0"/>
                      <w:divBdr>
                        <w:top w:val="none" w:sz="0" w:space="0" w:color="auto"/>
                        <w:left w:val="none" w:sz="0" w:space="0" w:color="auto"/>
                        <w:bottom w:val="none" w:sz="0" w:space="0" w:color="auto"/>
                        <w:right w:val="none" w:sz="0" w:space="0" w:color="auto"/>
                      </w:divBdr>
                      <w:divsChild>
                        <w:div w:id="1136994699">
                          <w:marLeft w:val="0"/>
                          <w:marRight w:val="0"/>
                          <w:marTop w:val="0"/>
                          <w:marBottom w:val="0"/>
                          <w:divBdr>
                            <w:top w:val="none" w:sz="0" w:space="0" w:color="auto"/>
                            <w:left w:val="none" w:sz="0" w:space="0" w:color="auto"/>
                            <w:bottom w:val="none" w:sz="0" w:space="0" w:color="auto"/>
                            <w:right w:val="none" w:sz="0" w:space="0" w:color="auto"/>
                          </w:divBdr>
                          <w:divsChild>
                            <w:div w:id="185869460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725055086">
      <w:bodyDiv w:val="1"/>
      <w:marLeft w:val="0"/>
      <w:marRight w:val="0"/>
      <w:marTop w:val="0"/>
      <w:marBottom w:val="0"/>
      <w:divBdr>
        <w:top w:val="none" w:sz="0" w:space="0" w:color="auto"/>
        <w:left w:val="none" w:sz="0" w:space="0" w:color="auto"/>
        <w:bottom w:val="none" w:sz="0" w:space="0" w:color="auto"/>
        <w:right w:val="none" w:sz="0" w:space="0" w:color="auto"/>
      </w:divBdr>
    </w:div>
    <w:div w:id="1730692927">
      <w:bodyDiv w:val="1"/>
      <w:marLeft w:val="0"/>
      <w:marRight w:val="0"/>
      <w:marTop w:val="0"/>
      <w:marBottom w:val="0"/>
      <w:divBdr>
        <w:top w:val="single" w:sz="2" w:space="0" w:color="CC3640"/>
        <w:left w:val="none" w:sz="0" w:space="0" w:color="auto"/>
        <w:bottom w:val="none" w:sz="0" w:space="0" w:color="auto"/>
        <w:right w:val="none" w:sz="0" w:space="0" w:color="auto"/>
      </w:divBdr>
      <w:divsChild>
        <w:div w:id="587033563">
          <w:marLeft w:val="0"/>
          <w:marRight w:val="0"/>
          <w:marTop w:val="0"/>
          <w:marBottom w:val="0"/>
          <w:divBdr>
            <w:top w:val="single" w:sz="2" w:space="0" w:color="FF0000"/>
            <w:left w:val="single" w:sz="2" w:space="0" w:color="FF0000"/>
            <w:bottom w:val="single" w:sz="2" w:space="0" w:color="FF0000"/>
            <w:right w:val="single" w:sz="2" w:space="0" w:color="FF0000"/>
          </w:divBdr>
          <w:divsChild>
            <w:div w:id="2011369637">
              <w:marLeft w:val="0"/>
              <w:marRight w:val="0"/>
              <w:marTop w:val="0"/>
              <w:marBottom w:val="0"/>
              <w:divBdr>
                <w:top w:val="none" w:sz="0" w:space="0" w:color="auto"/>
                <w:left w:val="single" w:sz="6" w:space="0" w:color="DDDDDD"/>
                <w:bottom w:val="none" w:sz="0" w:space="0" w:color="auto"/>
                <w:right w:val="none" w:sz="0" w:space="0" w:color="auto"/>
              </w:divBdr>
              <w:divsChild>
                <w:div w:id="358313458">
                  <w:marLeft w:val="0"/>
                  <w:marRight w:val="0"/>
                  <w:marTop w:val="0"/>
                  <w:marBottom w:val="0"/>
                  <w:divBdr>
                    <w:top w:val="single" w:sz="2" w:space="0" w:color="008000"/>
                    <w:left w:val="single" w:sz="2" w:space="0" w:color="008000"/>
                    <w:bottom w:val="single" w:sz="2" w:space="0" w:color="008000"/>
                    <w:right w:val="single" w:sz="2" w:space="0" w:color="008000"/>
                  </w:divBdr>
                  <w:divsChild>
                    <w:div w:id="1858157960">
                      <w:marLeft w:val="0"/>
                      <w:marRight w:val="0"/>
                      <w:marTop w:val="0"/>
                      <w:marBottom w:val="0"/>
                      <w:divBdr>
                        <w:top w:val="none" w:sz="0" w:space="0" w:color="auto"/>
                        <w:left w:val="none" w:sz="0" w:space="0" w:color="auto"/>
                        <w:bottom w:val="none" w:sz="0" w:space="0" w:color="auto"/>
                        <w:right w:val="none" w:sz="0" w:space="0" w:color="auto"/>
                      </w:divBdr>
                      <w:divsChild>
                        <w:div w:id="626618372">
                          <w:marLeft w:val="0"/>
                          <w:marRight w:val="0"/>
                          <w:marTop w:val="0"/>
                          <w:marBottom w:val="0"/>
                          <w:divBdr>
                            <w:top w:val="none" w:sz="0" w:space="0" w:color="auto"/>
                            <w:left w:val="none" w:sz="0" w:space="0" w:color="auto"/>
                            <w:bottom w:val="none" w:sz="0" w:space="0" w:color="auto"/>
                            <w:right w:val="none" w:sz="0" w:space="0" w:color="auto"/>
                          </w:divBdr>
                          <w:divsChild>
                            <w:div w:id="30404253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763187385">
      <w:bodyDiv w:val="1"/>
      <w:marLeft w:val="0"/>
      <w:marRight w:val="0"/>
      <w:marTop w:val="0"/>
      <w:marBottom w:val="0"/>
      <w:divBdr>
        <w:top w:val="single" w:sz="2" w:space="0" w:color="CC3640"/>
        <w:left w:val="none" w:sz="0" w:space="0" w:color="auto"/>
        <w:bottom w:val="none" w:sz="0" w:space="0" w:color="auto"/>
        <w:right w:val="none" w:sz="0" w:space="0" w:color="auto"/>
      </w:divBdr>
      <w:divsChild>
        <w:div w:id="1601986232">
          <w:marLeft w:val="0"/>
          <w:marRight w:val="0"/>
          <w:marTop w:val="0"/>
          <w:marBottom w:val="0"/>
          <w:divBdr>
            <w:top w:val="single" w:sz="2" w:space="0" w:color="FF0000"/>
            <w:left w:val="single" w:sz="2" w:space="0" w:color="FF0000"/>
            <w:bottom w:val="single" w:sz="2" w:space="0" w:color="FF0000"/>
            <w:right w:val="single" w:sz="2" w:space="0" w:color="FF0000"/>
          </w:divBdr>
          <w:divsChild>
            <w:div w:id="125859347">
              <w:marLeft w:val="0"/>
              <w:marRight w:val="0"/>
              <w:marTop w:val="0"/>
              <w:marBottom w:val="0"/>
              <w:divBdr>
                <w:top w:val="none" w:sz="0" w:space="0" w:color="auto"/>
                <w:left w:val="single" w:sz="6" w:space="0" w:color="DDDDDD"/>
                <w:bottom w:val="none" w:sz="0" w:space="0" w:color="auto"/>
                <w:right w:val="none" w:sz="0" w:space="0" w:color="auto"/>
              </w:divBdr>
              <w:divsChild>
                <w:div w:id="2145346824">
                  <w:marLeft w:val="0"/>
                  <w:marRight w:val="0"/>
                  <w:marTop w:val="0"/>
                  <w:marBottom w:val="0"/>
                  <w:divBdr>
                    <w:top w:val="single" w:sz="2" w:space="0" w:color="008000"/>
                    <w:left w:val="single" w:sz="2" w:space="0" w:color="008000"/>
                    <w:bottom w:val="single" w:sz="2" w:space="0" w:color="008000"/>
                    <w:right w:val="single" w:sz="2" w:space="0" w:color="008000"/>
                  </w:divBdr>
                  <w:divsChild>
                    <w:div w:id="1830098238">
                      <w:marLeft w:val="0"/>
                      <w:marRight w:val="0"/>
                      <w:marTop w:val="0"/>
                      <w:marBottom w:val="0"/>
                      <w:divBdr>
                        <w:top w:val="none" w:sz="0" w:space="0" w:color="auto"/>
                        <w:left w:val="none" w:sz="0" w:space="0" w:color="auto"/>
                        <w:bottom w:val="none" w:sz="0" w:space="0" w:color="auto"/>
                        <w:right w:val="none" w:sz="0" w:space="0" w:color="auto"/>
                      </w:divBdr>
                      <w:divsChild>
                        <w:div w:id="664866676">
                          <w:marLeft w:val="0"/>
                          <w:marRight w:val="0"/>
                          <w:marTop w:val="0"/>
                          <w:marBottom w:val="0"/>
                          <w:divBdr>
                            <w:top w:val="none" w:sz="0" w:space="0" w:color="auto"/>
                            <w:left w:val="none" w:sz="0" w:space="0" w:color="auto"/>
                            <w:bottom w:val="none" w:sz="0" w:space="0" w:color="auto"/>
                            <w:right w:val="none" w:sz="0" w:space="0" w:color="auto"/>
                          </w:divBdr>
                          <w:divsChild>
                            <w:div w:id="69044859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776440593">
      <w:bodyDiv w:val="1"/>
      <w:marLeft w:val="0"/>
      <w:marRight w:val="0"/>
      <w:marTop w:val="0"/>
      <w:marBottom w:val="0"/>
      <w:divBdr>
        <w:top w:val="none" w:sz="0" w:space="0" w:color="auto"/>
        <w:left w:val="none" w:sz="0" w:space="0" w:color="auto"/>
        <w:bottom w:val="none" w:sz="0" w:space="0" w:color="auto"/>
        <w:right w:val="none" w:sz="0" w:space="0" w:color="auto"/>
      </w:divBdr>
    </w:div>
    <w:div w:id="1829252397">
      <w:bodyDiv w:val="1"/>
      <w:marLeft w:val="0"/>
      <w:marRight w:val="0"/>
      <w:marTop w:val="0"/>
      <w:marBottom w:val="0"/>
      <w:divBdr>
        <w:top w:val="none" w:sz="0" w:space="0" w:color="auto"/>
        <w:left w:val="none" w:sz="0" w:space="0" w:color="auto"/>
        <w:bottom w:val="none" w:sz="0" w:space="0" w:color="auto"/>
        <w:right w:val="none" w:sz="0" w:space="0" w:color="auto"/>
      </w:divBdr>
    </w:div>
    <w:div w:id="1848515653">
      <w:bodyDiv w:val="1"/>
      <w:marLeft w:val="0"/>
      <w:marRight w:val="0"/>
      <w:marTop w:val="0"/>
      <w:marBottom w:val="0"/>
      <w:divBdr>
        <w:top w:val="single" w:sz="2" w:space="0" w:color="CC3640"/>
        <w:left w:val="none" w:sz="0" w:space="0" w:color="auto"/>
        <w:bottom w:val="none" w:sz="0" w:space="0" w:color="auto"/>
        <w:right w:val="none" w:sz="0" w:space="0" w:color="auto"/>
      </w:divBdr>
      <w:divsChild>
        <w:div w:id="1434202512">
          <w:marLeft w:val="0"/>
          <w:marRight w:val="0"/>
          <w:marTop w:val="0"/>
          <w:marBottom w:val="0"/>
          <w:divBdr>
            <w:top w:val="single" w:sz="2" w:space="0" w:color="FF0000"/>
            <w:left w:val="single" w:sz="2" w:space="0" w:color="FF0000"/>
            <w:bottom w:val="single" w:sz="2" w:space="0" w:color="FF0000"/>
            <w:right w:val="single" w:sz="2" w:space="0" w:color="FF0000"/>
          </w:divBdr>
          <w:divsChild>
            <w:div w:id="481459991">
              <w:marLeft w:val="0"/>
              <w:marRight w:val="0"/>
              <w:marTop w:val="0"/>
              <w:marBottom w:val="0"/>
              <w:divBdr>
                <w:top w:val="none" w:sz="0" w:space="0" w:color="auto"/>
                <w:left w:val="single" w:sz="6" w:space="0" w:color="DDDDDD"/>
                <w:bottom w:val="none" w:sz="0" w:space="0" w:color="auto"/>
                <w:right w:val="none" w:sz="0" w:space="0" w:color="auto"/>
              </w:divBdr>
              <w:divsChild>
                <w:div w:id="1196045550">
                  <w:marLeft w:val="0"/>
                  <w:marRight w:val="0"/>
                  <w:marTop w:val="0"/>
                  <w:marBottom w:val="0"/>
                  <w:divBdr>
                    <w:top w:val="single" w:sz="2" w:space="0" w:color="008000"/>
                    <w:left w:val="single" w:sz="2" w:space="0" w:color="008000"/>
                    <w:bottom w:val="single" w:sz="2" w:space="0" w:color="008000"/>
                    <w:right w:val="single" w:sz="2" w:space="0" w:color="008000"/>
                  </w:divBdr>
                  <w:divsChild>
                    <w:div w:id="604768428">
                      <w:marLeft w:val="0"/>
                      <w:marRight w:val="0"/>
                      <w:marTop w:val="0"/>
                      <w:marBottom w:val="0"/>
                      <w:divBdr>
                        <w:top w:val="none" w:sz="0" w:space="0" w:color="auto"/>
                        <w:left w:val="none" w:sz="0" w:space="0" w:color="auto"/>
                        <w:bottom w:val="none" w:sz="0" w:space="0" w:color="auto"/>
                        <w:right w:val="none" w:sz="0" w:space="0" w:color="auto"/>
                      </w:divBdr>
                      <w:divsChild>
                        <w:div w:id="1263025621">
                          <w:marLeft w:val="0"/>
                          <w:marRight w:val="0"/>
                          <w:marTop w:val="0"/>
                          <w:marBottom w:val="0"/>
                          <w:divBdr>
                            <w:top w:val="none" w:sz="0" w:space="0" w:color="auto"/>
                            <w:left w:val="none" w:sz="0" w:space="0" w:color="auto"/>
                            <w:bottom w:val="none" w:sz="0" w:space="0" w:color="auto"/>
                            <w:right w:val="none" w:sz="0" w:space="0" w:color="auto"/>
                          </w:divBdr>
                          <w:divsChild>
                            <w:div w:id="131178836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864511264">
      <w:bodyDiv w:val="1"/>
      <w:marLeft w:val="0"/>
      <w:marRight w:val="0"/>
      <w:marTop w:val="0"/>
      <w:marBottom w:val="0"/>
      <w:divBdr>
        <w:top w:val="none" w:sz="0" w:space="0" w:color="auto"/>
        <w:left w:val="none" w:sz="0" w:space="0" w:color="auto"/>
        <w:bottom w:val="none" w:sz="0" w:space="0" w:color="auto"/>
        <w:right w:val="none" w:sz="0" w:space="0" w:color="auto"/>
      </w:divBdr>
    </w:div>
    <w:div w:id="1879581212">
      <w:bodyDiv w:val="1"/>
      <w:marLeft w:val="0"/>
      <w:marRight w:val="0"/>
      <w:marTop w:val="0"/>
      <w:marBottom w:val="0"/>
      <w:divBdr>
        <w:top w:val="single" w:sz="2" w:space="0" w:color="CC3640"/>
        <w:left w:val="none" w:sz="0" w:space="0" w:color="auto"/>
        <w:bottom w:val="none" w:sz="0" w:space="0" w:color="auto"/>
        <w:right w:val="none" w:sz="0" w:space="0" w:color="auto"/>
      </w:divBdr>
      <w:divsChild>
        <w:div w:id="1487746245">
          <w:marLeft w:val="0"/>
          <w:marRight w:val="0"/>
          <w:marTop w:val="0"/>
          <w:marBottom w:val="0"/>
          <w:divBdr>
            <w:top w:val="single" w:sz="2" w:space="0" w:color="FF0000"/>
            <w:left w:val="single" w:sz="2" w:space="0" w:color="FF0000"/>
            <w:bottom w:val="single" w:sz="2" w:space="0" w:color="FF0000"/>
            <w:right w:val="single" w:sz="2" w:space="0" w:color="FF0000"/>
          </w:divBdr>
          <w:divsChild>
            <w:div w:id="876166571">
              <w:marLeft w:val="0"/>
              <w:marRight w:val="0"/>
              <w:marTop w:val="0"/>
              <w:marBottom w:val="0"/>
              <w:divBdr>
                <w:top w:val="none" w:sz="0" w:space="0" w:color="auto"/>
                <w:left w:val="single" w:sz="6" w:space="0" w:color="DDDDDD"/>
                <w:bottom w:val="none" w:sz="0" w:space="0" w:color="auto"/>
                <w:right w:val="none" w:sz="0" w:space="0" w:color="auto"/>
              </w:divBdr>
              <w:divsChild>
                <w:div w:id="390081197">
                  <w:marLeft w:val="0"/>
                  <w:marRight w:val="0"/>
                  <w:marTop w:val="0"/>
                  <w:marBottom w:val="0"/>
                  <w:divBdr>
                    <w:top w:val="single" w:sz="2" w:space="0" w:color="008000"/>
                    <w:left w:val="single" w:sz="2" w:space="0" w:color="008000"/>
                    <w:bottom w:val="single" w:sz="2" w:space="0" w:color="008000"/>
                    <w:right w:val="single" w:sz="2" w:space="0" w:color="008000"/>
                  </w:divBdr>
                  <w:divsChild>
                    <w:div w:id="1584100574">
                      <w:marLeft w:val="0"/>
                      <w:marRight w:val="0"/>
                      <w:marTop w:val="0"/>
                      <w:marBottom w:val="0"/>
                      <w:divBdr>
                        <w:top w:val="none" w:sz="0" w:space="0" w:color="auto"/>
                        <w:left w:val="none" w:sz="0" w:space="0" w:color="auto"/>
                        <w:bottom w:val="none" w:sz="0" w:space="0" w:color="auto"/>
                        <w:right w:val="none" w:sz="0" w:space="0" w:color="auto"/>
                      </w:divBdr>
                      <w:divsChild>
                        <w:div w:id="322392325">
                          <w:marLeft w:val="0"/>
                          <w:marRight w:val="0"/>
                          <w:marTop w:val="0"/>
                          <w:marBottom w:val="0"/>
                          <w:divBdr>
                            <w:top w:val="none" w:sz="0" w:space="0" w:color="auto"/>
                            <w:left w:val="none" w:sz="0" w:space="0" w:color="auto"/>
                            <w:bottom w:val="none" w:sz="0" w:space="0" w:color="auto"/>
                            <w:right w:val="none" w:sz="0" w:space="0" w:color="auto"/>
                          </w:divBdr>
                          <w:divsChild>
                            <w:div w:id="131302291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12765084">
      <w:bodyDiv w:val="1"/>
      <w:marLeft w:val="0"/>
      <w:marRight w:val="0"/>
      <w:marTop w:val="0"/>
      <w:marBottom w:val="0"/>
      <w:divBdr>
        <w:top w:val="none" w:sz="0" w:space="0" w:color="auto"/>
        <w:left w:val="none" w:sz="0" w:space="0" w:color="auto"/>
        <w:bottom w:val="none" w:sz="0" w:space="0" w:color="auto"/>
        <w:right w:val="none" w:sz="0" w:space="0" w:color="auto"/>
      </w:divBdr>
      <w:divsChild>
        <w:div w:id="645205733">
          <w:marLeft w:val="0"/>
          <w:marRight w:val="0"/>
          <w:marTop w:val="0"/>
          <w:marBottom w:val="0"/>
          <w:divBdr>
            <w:top w:val="none" w:sz="0" w:space="0" w:color="auto"/>
            <w:left w:val="none" w:sz="0" w:space="0" w:color="auto"/>
            <w:bottom w:val="none" w:sz="0" w:space="0" w:color="auto"/>
            <w:right w:val="none" w:sz="0" w:space="0" w:color="auto"/>
          </w:divBdr>
        </w:div>
        <w:div w:id="1682733408">
          <w:marLeft w:val="0"/>
          <w:marRight w:val="0"/>
          <w:marTop w:val="0"/>
          <w:marBottom w:val="0"/>
          <w:divBdr>
            <w:top w:val="none" w:sz="0" w:space="0" w:color="auto"/>
            <w:left w:val="none" w:sz="0" w:space="0" w:color="auto"/>
            <w:bottom w:val="none" w:sz="0" w:space="0" w:color="auto"/>
            <w:right w:val="none" w:sz="0" w:space="0" w:color="auto"/>
          </w:divBdr>
        </w:div>
      </w:divsChild>
    </w:div>
    <w:div w:id="1927958419">
      <w:bodyDiv w:val="1"/>
      <w:marLeft w:val="0"/>
      <w:marRight w:val="0"/>
      <w:marTop w:val="0"/>
      <w:marBottom w:val="0"/>
      <w:divBdr>
        <w:top w:val="none" w:sz="0" w:space="0" w:color="auto"/>
        <w:left w:val="none" w:sz="0" w:space="0" w:color="auto"/>
        <w:bottom w:val="none" w:sz="0" w:space="0" w:color="auto"/>
        <w:right w:val="none" w:sz="0" w:space="0" w:color="auto"/>
      </w:divBdr>
    </w:div>
    <w:div w:id="1936015855">
      <w:bodyDiv w:val="1"/>
      <w:marLeft w:val="0"/>
      <w:marRight w:val="0"/>
      <w:marTop w:val="0"/>
      <w:marBottom w:val="0"/>
      <w:divBdr>
        <w:top w:val="single" w:sz="2" w:space="0" w:color="CC3640"/>
        <w:left w:val="none" w:sz="0" w:space="0" w:color="auto"/>
        <w:bottom w:val="none" w:sz="0" w:space="0" w:color="auto"/>
        <w:right w:val="none" w:sz="0" w:space="0" w:color="auto"/>
      </w:divBdr>
      <w:divsChild>
        <w:div w:id="460080743">
          <w:marLeft w:val="0"/>
          <w:marRight w:val="0"/>
          <w:marTop w:val="0"/>
          <w:marBottom w:val="0"/>
          <w:divBdr>
            <w:top w:val="single" w:sz="2" w:space="0" w:color="FF0000"/>
            <w:left w:val="single" w:sz="2" w:space="0" w:color="FF0000"/>
            <w:bottom w:val="single" w:sz="2" w:space="0" w:color="FF0000"/>
            <w:right w:val="single" w:sz="2" w:space="0" w:color="FF0000"/>
          </w:divBdr>
          <w:divsChild>
            <w:div w:id="1523979526">
              <w:marLeft w:val="0"/>
              <w:marRight w:val="0"/>
              <w:marTop w:val="0"/>
              <w:marBottom w:val="0"/>
              <w:divBdr>
                <w:top w:val="none" w:sz="0" w:space="0" w:color="auto"/>
                <w:left w:val="single" w:sz="6" w:space="0" w:color="DDDDDD"/>
                <w:bottom w:val="none" w:sz="0" w:space="0" w:color="auto"/>
                <w:right w:val="none" w:sz="0" w:space="0" w:color="auto"/>
              </w:divBdr>
              <w:divsChild>
                <w:div w:id="142964470">
                  <w:marLeft w:val="0"/>
                  <w:marRight w:val="0"/>
                  <w:marTop w:val="0"/>
                  <w:marBottom w:val="0"/>
                  <w:divBdr>
                    <w:top w:val="single" w:sz="2" w:space="0" w:color="008000"/>
                    <w:left w:val="single" w:sz="2" w:space="0" w:color="008000"/>
                    <w:bottom w:val="single" w:sz="2" w:space="0" w:color="008000"/>
                    <w:right w:val="single" w:sz="2" w:space="0" w:color="008000"/>
                  </w:divBdr>
                  <w:divsChild>
                    <w:div w:id="777405074">
                      <w:marLeft w:val="0"/>
                      <w:marRight w:val="0"/>
                      <w:marTop w:val="0"/>
                      <w:marBottom w:val="0"/>
                      <w:divBdr>
                        <w:top w:val="none" w:sz="0" w:space="0" w:color="auto"/>
                        <w:left w:val="none" w:sz="0" w:space="0" w:color="auto"/>
                        <w:bottom w:val="none" w:sz="0" w:space="0" w:color="auto"/>
                        <w:right w:val="none" w:sz="0" w:space="0" w:color="auto"/>
                      </w:divBdr>
                      <w:divsChild>
                        <w:div w:id="1243106404">
                          <w:marLeft w:val="0"/>
                          <w:marRight w:val="0"/>
                          <w:marTop w:val="0"/>
                          <w:marBottom w:val="0"/>
                          <w:divBdr>
                            <w:top w:val="none" w:sz="0" w:space="0" w:color="auto"/>
                            <w:left w:val="none" w:sz="0" w:space="0" w:color="auto"/>
                            <w:bottom w:val="none" w:sz="0" w:space="0" w:color="auto"/>
                            <w:right w:val="none" w:sz="0" w:space="0" w:color="auto"/>
                          </w:divBdr>
                          <w:divsChild>
                            <w:div w:id="60346215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39824819">
      <w:bodyDiv w:val="1"/>
      <w:marLeft w:val="0"/>
      <w:marRight w:val="0"/>
      <w:marTop w:val="0"/>
      <w:marBottom w:val="0"/>
      <w:divBdr>
        <w:top w:val="none" w:sz="0" w:space="0" w:color="auto"/>
        <w:left w:val="none" w:sz="0" w:space="0" w:color="auto"/>
        <w:bottom w:val="none" w:sz="0" w:space="0" w:color="auto"/>
        <w:right w:val="none" w:sz="0" w:space="0" w:color="auto"/>
      </w:divBdr>
    </w:div>
    <w:div w:id="1942255050">
      <w:bodyDiv w:val="1"/>
      <w:marLeft w:val="0"/>
      <w:marRight w:val="0"/>
      <w:marTop w:val="0"/>
      <w:marBottom w:val="0"/>
      <w:divBdr>
        <w:top w:val="none" w:sz="0" w:space="0" w:color="auto"/>
        <w:left w:val="none" w:sz="0" w:space="0" w:color="auto"/>
        <w:bottom w:val="none" w:sz="0" w:space="0" w:color="auto"/>
        <w:right w:val="none" w:sz="0" w:space="0" w:color="auto"/>
      </w:divBdr>
    </w:div>
    <w:div w:id="1968388460">
      <w:bodyDiv w:val="1"/>
      <w:marLeft w:val="0"/>
      <w:marRight w:val="0"/>
      <w:marTop w:val="0"/>
      <w:marBottom w:val="0"/>
      <w:divBdr>
        <w:top w:val="none" w:sz="0" w:space="0" w:color="auto"/>
        <w:left w:val="none" w:sz="0" w:space="0" w:color="auto"/>
        <w:bottom w:val="none" w:sz="0" w:space="0" w:color="auto"/>
        <w:right w:val="none" w:sz="0" w:space="0" w:color="auto"/>
      </w:divBdr>
    </w:div>
    <w:div w:id="1971085429">
      <w:bodyDiv w:val="1"/>
      <w:marLeft w:val="0"/>
      <w:marRight w:val="0"/>
      <w:marTop w:val="0"/>
      <w:marBottom w:val="0"/>
      <w:divBdr>
        <w:top w:val="none" w:sz="0" w:space="0" w:color="auto"/>
        <w:left w:val="none" w:sz="0" w:space="0" w:color="auto"/>
        <w:bottom w:val="none" w:sz="0" w:space="0" w:color="auto"/>
        <w:right w:val="none" w:sz="0" w:space="0" w:color="auto"/>
      </w:divBdr>
    </w:div>
    <w:div w:id="1971747094">
      <w:bodyDiv w:val="1"/>
      <w:marLeft w:val="0"/>
      <w:marRight w:val="0"/>
      <w:marTop w:val="0"/>
      <w:marBottom w:val="0"/>
      <w:divBdr>
        <w:top w:val="single" w:sz="2" w:space="0" w:color="CC3640"/>
        <w:left w:val="none" w:sz="0" w:space="0" w:color="auto"/>
        <w:bottom w:val="none" w:sz="0" w:space="0" w:color="auto"/>
        <w:right w:val="none" w:sz="0" w:space="0" w:color="auto"/>
      </w:divBdr>
      <w:divsChild>
        <w:div w:id="829904421">
          <w:marLeft w:val="0"/>
          <w:marRight w:val="0"/>
          <w:marTop w:val="0"/>
          <w:marBottom w:val="0"/>
          <w:divBdr>
            <w:top w:val="single" w:sz="2" w:space="0" w:color="FF0000"/>
            <w:left w:val="single" w:sz="2" w:space="0" w:color="FF0000"/>
            <w:bottom w:val="single" w:sz="2" w:space="0" w:color="FF0000"/>
            <w:right w:val="single" w:sz="2" w:space="0" w:color="FF0000"/>
          </w:divBdr>
          <w:divsChild>
            <w:div w:id="1245142170">
              <w:marLeft w:val="0"/>
              <w:marRight w:val="0"/>
              <w:marTop w:val="0"/>
              <w:marBottom w:val="0"/>
              <w:divBdr>
                <w:top w:val="none" w:sz="0" w:space="0" w:color="auto"/>
                <w:left w:val="single" w:sz="6" w:space="0" w:color="DDDDDD"/>
                <w:bottom w:val="none" w:sz="0" w:space="0" w:color="auto"/>
                <w:right w:val="none" w:sz="0" w:space="0" w:color="auto"/>
              </w:divBdr>
              <w:divsChild>
                <w:div w:id="1205019022">
                  <w:marLeft w:val="0"/>
                  <w:marRight w:val="0"/>
                  <w:marTop w:val="0"/>
                  <w:marBottom w:val="0"/>
                  <w:divBdr>
                    <w:top w:val="single" w:sz="2" w:space="0" w:color="008000"/>
                    <w:left w:val="single" w:sz="2" w:space="0" w:color="008000"/>
                    <w:bottom w:val="single" w:sz="2" w:space="0" w:color="008000"/>
                    <w:right w:val="single" w:sz="2" w:space="0" w:color="008000"/>
                  </w:divBdr>
                  <w:divsChild>
                    <w:div w:id="326984402">
                      <w:marLeft w:val="0"/>
                      <w:marRight w:val="0"/>
                      <w:marTop w:val="0"/>
                      <w:marBottom w:val="0"/>
                      <w:divBdr>
                        <w:top w:val="none" w:sz="0" w:space="0" w:color="auto"/>
                        <w:left w:val="none" w:sz="0" w:space="0" w:color="auto"/>
                        <w:bottom w:val="none" w:sz="0" w:space="0" w:color="auto"/>
                        <w:right w:val="none" w:sz="0" w:space="0" w:color="auto"/>
                      </w:divBdr>
                      <w:divsChild>
                        <w:div w:id="1746873384">
                          <w:marLeft w:val="0"/>
                          <w:marRight w:val="0"/>
                          <w:marTop w:val="0"/>
                          <w:marBottom w:val="0"/>
                          <w:divBdr>
                            <w:top w:val="none" w:sz="0" w:space="0" w:color="auto"/>
                            <w:left w:val="none" w:sz="0" w:space="0" w:color="auto"/>
                            <w:bottom w:val="none" w:sz="0" w:space="0" w:color="auto"/>
                            <w:right w:val="none" w:sz="0" w:space="0" w:color="auto"/>
                          </w:divBdr>
                          <w:divsChild>
                            <w:div w:id="99530112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72206133">
      <w:bodyDiv w:val="1"/>
      <w:marLeft w:val="0"/>
      <w:marRight w:val="0"/>
      <w:marTop w:val="0"/>
      <w:marBottom w:val="0"/>
      <w:divBdr>
        <w:top w:val="single" w:sz="2" w:space="0" w:color="CC3640"/>
        <w:left w:val="none" w:sz="0" w:space="0" w:color="auto"/>
        <w:bottom w:val="none" w:sz="0" w:space="0" w:color="auto"/>
        <w:right w:val="none" w:sz="0" w:space="0" w:color="auto"/>
      </w:divBdr>
      <w:divsChild>
        <w:div w:id="356085474">
          <w:marLeft w:val="0"/>
          <w:marRight w:val="0"/>
          <w:marTop w:val="0"/>
          <w:marBottom w:val="0"/>
          <w:divBdr>
            <w:top w:val="single" w:sz="2" w:space="0" w:color="FF0000"/>
            <w:left w:val="single" w:sz="2" w:space="0" w:color="FF0000"/>
            <w:bottom w:val="single" w:sz="2" w:space="0" w:color="FF0000"/>
            <w:right w:val="single" w:sz="2" w:space="0" w:color="FF0000"/>
          </w:divBdr>
          <w:divsChild>
            <w:div w:id="49812899">
              <w:marLeft w:val="0"/>
              <w:marRight w:val="0"/>
              <w:marTop w:val="0"/>
              <w:marBottom w:val="0"/>
              <w:divBdr>
                <w:top w:val="none" w:sz="0" w:space="0" w:color="auto"/>
                <w:left w:val="single" w:sz="6" w:space="0" w:color="DDDDDD"/>
                <w:bottom w:val="none" w:sz="0" w:space="0" w:color="auto"/>
                <w:right w:val="none" w:sz="0" w:space="0" w:color="auto"/>
              </w:divBdr>
              <w:divsChild>
                <w:div w:id="421799168">
                  <w:marLeft w:val="0"/>
                  <w:marRight w:val="0"/>
                  <w:marTop w:val="0"/>
                  <w:marBottom w:val="0"/>
                  <w:divBdr>
                    <w:top w:val="single" w:sz="2" w:space="0" w:color="008000"/>
                    <w:left w:val="single" w:sz="2" w:space="0" w:color="008000"/>
                    <w:bottom w:val="single" w:sz="2" w:space="0" w:color="008000"/>
                    <w:right w:val="single" w:sz="2" w:space="0" w:color="008000"/>
                  </w:divBdr>
                  <w:divsChild>
                    <w:div w:id="29687828">
                      <w:marLeft w:val="0"/>
                      <w:marRight w:val="0"/>
                      <w:marTop w:val="0"/>
                      <w:marBottom w:val="0"/>
                      <w:divBdr>
                        <w:top w:val="none" w:sz="0" w:space="0" w:color="auto"/>
                        <w:left w:val="none" w:sz="0" w:space="0" w:color="auto"/>
                        <w:bottom w:val="none" w:sz="0" w:space="0" w:color="auto"/>
                        <w:right w:val="none" w:sz="0" w:space="0" w:color="auto"/>
                      </w:divBdr>
                      <w:divsChild>
                        <w:div w:id="2077431609">
                          <w:marLeft w:val="0"/>
                          <w:marRight w:val="0"/>
                          <w:marTop w:val="0"/>
                          <w:marBottom w:val="0"/>
                          <w:divBdr>
                            <w:top w:val="none" w:sz="0" w:space="0" w:color="auto"/>
                            <w:left w:val="none" w:sz="0" w:space="0" w:color="auto"/>
                            <w:bottom w:val="none" w:sz="0" w:space="0" w:color="auto"/>
                            <w:right w:val="none" w:sz="0" w:space="0" w:color="auto"/>
                          </w:divBdr>
                          <w:divsChild>
                            <w:div w:id="52397894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82342170">
      <w:bodyDiv w:val="1"/>
      <w:marLeft w:val="0"/>
      <w:marRight w:val="0"/>
      <w:marTop w:val="0"/>
      <w:marBottom w:val="0"/>
      <w:divBdr>
        <w:top w:val="none" w:sz="0" w:space="0" w:color="auto"/>
        <w:left w:val="none" w:sz="0" w:space="0" w:color="auto"/>
        <w:bottom w:val="none" w:sz="0" w:space="0" w:color="auto"/>
        <w:right w:val="none" w:sz="0" w:space="0" w:color="auto"/>
      </w:divBdr>
    </w:div>
    <w:div w:id="1996371673">
      <w:bodyDiv w:val="1"/>
      <w:marLeft w:val="0"/>
      <w:marRight w:val="0"/>
      <w:marTop w:val="0"/>
      <w:marBottom w:val="0"/>
      <w:divBdr>
        <w:top w:val="single" w:sz="2" w:space="0" w:color="CC3640"/>
        <w:left w:val="none" w:sz="0" w:space="0" w:color="auto"/>
        <w:bottom w:val="none" w:sz="0" w:space="0" w:color="auto"/>
        <w:right w:val="none" w:sz="0" w:space="0" w:color="auto"/>
      </w:divBdr>
      <w:divsChild>
        <w:div w:id="425273293">
          <w:marLeft w:val="0"/>
          <w:marRight w:val="0"/>
          <w:marTop w:val="0"/>
          <w:marBottom w:val="0"/>
          <w:divBdr>
            <w:top w:val="single" w:sz="2" w:space="0" w:color="FF0000"/>
            <w:left w:val="single" w:sz="2" w:space="0" w:color="FF0000"/>
            <w:bottom w:val="single" w:sz="2" w:space="0" w:color="FF0000"/>
            <w:right w:val="single" w:sz="2" w:space="0" w:color="FF0000"/>
          </w:divBdr>
          <w:divsChild>
            <w:div w:id="655691297">
              <w:marLeft w:val="0"/>
              <w:marRight w:val="0"/>
              <w:marTop w:val="0"/>
              <w:marBottom w:val="0"/>
              <w:divBdr>
                <w:top w:val="none" w:sz="0" w:space="0" w:color="auto"/>
                <w:left w:val="single" w:sz="6" w:space="0" w:color="DDDDDD"/>
                <w:bottom w:val="none" w:sz="0" w:space="0" w:color="auto"/>
                <w:right w:val="none" w:sz="0" w:space="0" w:color="auto"/>
              </w:divBdr>
              <w:divsChild>
                <w:div w:id="2137798567">
                  <w:marLeft w:val="0"/>
                  <w:marRight w:val="0"/>
                  <w:marTop w:val="0"/>
                  <w:marBottom w:val="0"/>
                  <w:divBdr>
                    <w:top w:val="single" w:sz="2" w:space="0" w:color="008000"/>
                    <w:left w:val="single" w:sz="2" w:space="0" w:color="008000"/>
                    <w:bottom w:val="single" w:sz="2" w:space="0" w:color="008000"/>
                    <w:right w:val="single" w:sz="2" w:space="0" w:color="008000"/>
                  </w:divBdr>
                  <w:divsChild>
                    <w:div w:id="818309170">
                      <w:marLeft w:val="0"/>
                      <w:marRight w:val="0"/>
                      <w:marTop w:val="0"/>
                      <w:marBottom w:val="0"/>
                      <w:divBdr>
                        <w:top w:val="none" w:sz="0" w:space="0" w:color="auto"/>
                        <w:left w:val="none" w:sz="0" w:space="0" w:color="auto"/>
                        <w:bottom w:val="none" w:sz="0" w:space="0" w:color="auto"/>
                        <w:right w:val="none" w:sz="0" w:space="0" w:color="auto"/>
                      </w:divBdr>
                      <w:divsChild>
                        <w:div w:id="1574854467">
                          <w:marLeft w:val="0"/>
                          <w:marRight w:val="0"/>
                          <w:marTop w:val="0"/>
                          <w:marBottom w:val="0"/>
                          <w:divBdr>
                            <w:top w:val="none" w:sz="0" w:space="0" w:color="auto"/>
                            <w:left w:val="none" w:sz="0" w:space="0" w:color="auto"/>
                            <w:bottom w:val="none" w:sz="0" w:space="0" w:color="auto"/>
                            <w:right w:val="none" w:sz="0" w:space="0" w:color="auto"/>
                          </w:divBdr>
                          <w:divsChild>
                            <w:div w:id="6850079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037921096">
      <w:bodyDiv w:val="1"/>
      <w:marLeft w:val="0"/>
      <w:marRight w:val="0"/>
      <w:marTop w:val="0"/>
      <w:marBottom w:val="0"/>
      <w:divBdr>
        <w:top w:val="none" w:sz="0" w:space="0" w:color="auto"/>
        <w:left w:val="none" w:sz="0" w:space="0" w:color="auto"/>
        <w:bottom w:val="none" w:sz="0" w:space="0" w:color="auto"/>
        <w:right w:val="none" w:sz="0" w:space="0" w:color="auto"/>
      </w:divBdr>
    </w:div>
    <w:div w:id="2057653515">
      <w:bodyDiv w:val="1"/>
      <w:marLeft w:val="0"/>
      <w:marRight w:val="0"/>
      <w:marTop w:val="0"/>
      <w:marBottom w:val="0"/>
      <w:divBdr>
        <w:top w:val="none" w:sz="0" w:space="0" w:color="auto"/>
        <w:left w:val="none" w:sz="0" w:space="0" w:color="auto"/>
        <w:bottom w:val="none" w:sz="0" w:space="0" w:color="auto"/>
        <w:right w:val="none" w:sz="0" w:space="0" w:color="auto"/>
      </w:divBdr>
    </w:div>
    <w:div w:id="2071611431">
      <w:bodyDiv w:val="1"/>
      <w:marLeft w:val="0"/>
      <w:marRight w:val="0"/>
      <w:marTop w:val="0"/>
      <w:marBottom w:val="0"/>
      <w:divBdr>
        <w:top w:val="none" w:sz="0" w:space="0" w:color="auto"/>
        <w:left w:val="none" w:sz="0" w:space="0" w:color="auto"/>
        <w:bottom w:val="none" w:sz="0" w:space="0" w:color="auto"/>
        <w:right w:val="none" w:sz="0" w:space="0" w:color="auto"/>
      </w:divBdr>
    </w:div>
    <w:div w:id="2126146874">
      <w:bodyDiv w:val="1"/>
      <w:marLeft w:val="0"/>
      <w:marRight w:val="0"/>
      <w:marTop w:val="0"/>
      <w:marBottom w:val="0"/>
      <w:divBdr>
        <w:top w:val="none" w:sz="0" w:space="0" w:color="auto"/>
        <w:left w:val="none" w:sz="0" w:space="0" w:color="auto"/>
        <w:bottom w:val="none" w:sz="0" w:space="0" w:color="auto"/>
        <w:right w:val="none" w:sz="0" w:space="0" w:color="auto"/>
      </w:divBdr>
    </w:div>
    <w:div w:id="213687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F121A-4A1F-40F3-942E-2AB1181B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6443</Words>
  <Characters>37692</Characters>
  <Application>Microsoft Office Word</Application>
  <DocSecurity>0</DocSecurity>
  <Lines>919</Lines>
  <Paragraphs>432</Paragraphs>
  <ScaleCrop>false</ScaleCrop>
  <HeadingPairs>
    <vt:vector size="2" baseType="variant">
      <vt:variant>
        <vt:lpstr>Título</vt:lpstr>
      </vt:variant>
      <vt:variant>
        <vt:i4>1</vt:i4>
      </vt:variant>
    </vt:vector>
  </HeadingPairs>
  <TitlesOfParts>
    <vt:vector size="1" baseType="lpstr">
      <vt:lpstr>APUNTES SOBRE LA ACTUALIDAD FISCAL</vt:lpstr>
    </vt:vector>
  </TitlesOfParts>
  <Company>Atlantis Hotels</Company>
  <LinksUpToDate>false</LinksUpToDate>
  <CharactersWithSpaces>43703</CharactersWithSpaces>
  <SharedDoc>false</SharedDoc>
  <HLinks>
    <vt:vector size="12" baseType="variant">
      <vt:variant>
        <vt:i4>3211333</vt:i4>
      </vt:variant>
      <vt:variant>
        <vt:i4>3</vt:i4>
      </vt:variant>
      <vt:variant>
        <vt:i4>0</vt:i4>
      </vt:variant>
      <vt:variant>
        <vt:i4>5</vt:i4>
      </vt:variant>
      <vt:variant>
        <vt:lpwstr>javascript:Redirection('LE0000204336_Vigente.html')</vt:lpwstr>
      </vt:variant>
      <vt:variant>
        <vt:lpwstr/>
      </vt:variant>
      <vt:variant>
        <vt:i4>3211333</vt:i4>
      </vt:variant>
      <vt:variant>
        <vt:i4>0</vt:i4>
      </vt:variant>
      <vt:variant>
        <vt:i4>0</vt:i4>
      </vt:variant>
      <vt:variant>
        <vt:i4>5</vt:i4>
      </vt:variant>
      <vt:variant>
        <vt:lpwstr>javascript:Redirection('LE0000204336_Vigente.html')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SOBRE LA ACTUALIDAD FISCAL</dc:title>
  <dc:creator>Juan Lorente Montañés</dc:creator>
  <cp:lastModifiedBy>Vigesco Vigesco</cp:lastModifiedBy>
  <cp:revision>6</cp:revision>
  <cp:lastPrinted>2004-05-28T09:19:00Z</cp:lastPrinted>
  <dcterms:created xsi:type="dcterms:W3CDTF">2026-05-26T16:40:00Z</dcterms:created>
  <dcterms:modified xsi:type="dcterms:W3CDTF">2026-05-30T08:30:00Z</dcterms:modified>
</cp:coreProperties>
</file>