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tblBorders>
        <w:shd w:val="clear" w:color="auto" w:fill="800000"/>
        <w:tblCellMar>
          <w:left w:w="70" w:type="dxa"/>
          <w:right w:w="70" w:type="dxa"/>
        </w:tblCellMar>
        <w:tblLook w:val="0000" w:firstRow="0" w:lastRow="0" w:firstColumn="0" w:lastColumn="0" w:noHBand="0" w:noVBand="0"/>
      </w:tblPr>
      <w:tblGrid>
        <w:gridCol w:w="1146"/>
        <w:gridCol w:w="7348"/>
      </w:tblGrid>
      <w:tr w:rsidR="002F1978" w:rsidRPr="006261E3" w14:paraId="4DAB152A" w14:textId="77777777">
        <w:trPr>
          <w:trHeight w:val="889"/>
        </w:trPr>
        <w:tc>
          <w:tcPr>
            <w:tcW w:w="1150" w:type="dxa"/>
            <w:shd w:val="clear" w:color="auto" w:fill="000000"/>
            <w:vAlign w:val="center"/>
          </w:tcPr>
          <w:p w14:paraId="50C8AAA1" w14:textId="0A0D0AE8" w:rsidR="002F1978" w:rsidRPr="006261E3" w:rsidRDefault="002F1978">
            <w:pPr>
              <w:jc w:val="center"/>
              <w:rPr>
                <w:rFonts w:ascii="Verdana" w:hAnsi="Verdana"/>
                <w:b/>
                <w:bCs/>
              </w:rPr>
            </w:pPr>
            <w:r w:rsidRPr="006261E3">
              <w:rPr>
                <w:rFonts w:ascii="Verdana" w:hAnsi="Verdana"/>
                <w:b/>
                <w:bCs/>
              </w:rPr>
              <w:t>JUNIO</w:t>
            </w:r>
          </w:p>
          <w:p w14:paraId="3D46CF49" w14:textId="601664C4" w:rsidR="002F1978" w:rsidRPr="006261E3" w:rsidRDefault="002F1978" w:rsidP="00AD2A34">
            <w:pPr>
              <w:jc w:val="center"/>
              <w:rPr>
                <w:rFonts w:ascii="Verdana" w:hAnsi="Verdana"/>
                <w:b/>
                <w:bCs/>
              </w:rPr>
            </w:pPr>
            <w:r w:rsidRPr="006261E3">
              <w:rPr>
                <w:rFonts w:ascii="Verdana" w:hAnsi="Verdana"/>
                <w:b/>
                <w:bCs/>
              </w:rPr>
              <w:t>20</w:t>
            </w:r>
            <w:r w:rsidR="00BB4166">
              <w:rPr>
                <w:rFonts w:ascii="Verdana" w:hAnsi="Verdana"/>
                <w:b/>
                <w:bCs/>
              </w:rPr>
              <w:t>2</w:t>
            </w:r>
            <w:r w:rsidR="007C207F">
              <w:rPr>
                <w:rFonts w:ascii="Verdana" w:hAnsi="Verdana"/>
                <w:b/>
                <w:bCs/>
              </w:rPr>
              <w:t>5</w:t>
            </w:r>
          </w:p>
        </w:tc>
        <w:tc>
          <w:tcPr>
            <w:tcW w:w="7494" w:type="dxa"/>
            <w:shd w:val="clear" w:color="auto" w:fill="993300"/>
            <w:vAlign w:val="center"/>
          </w:tcPr>
          <w:p w14:paraId="608AF377" w14:textId="77777777" w:rsidR="002F1978" w:rsidRPr="006261E3" w:rsidRDefault="002F1978">
            <w:pPr>
              <w:jc w:val="center"/>
              <w:rPr>
                <w:rFonts w:ascii="Verdana" w:hAnsi="Verdana"/>
                <w:b/>
                <w:bCs/>
                <w:color w:val="FFFFFF"/>
              </w:rPr>
            </w:pPr>
            <w:r w:rsidRPr="006261E3">
              <w:rPr>
                <w:rFonts w:ascii="Verdana" w:hAnsi="Verdana"/>
                <w:b/>
                <w:bCs/>
                <w:color w:val="FFFFFF"/>
              </w:rPr>
              <w:t>APUNTES SOBRE LA ACTUALIDAD FISCAL</w:t>
            </w:r>
          </w:p>
        </w:tc>
      </w:tr>
    </w:tbl>
    <w:p w14:paraId="3757CC8B" w14:textId="77777777" w:rsidR="002F1978" w:rsidRPr="005E1E27" w:rsidRDefault="002F1978">
      <w:pPr>
        <w:rPr>
          <w:rFonts w:ascii="Verdana" w:hAnsi="Verdana"/>
          <w:b/>
          <w:bCs/>
          <w:sz w:val="20"/>
          <w:szCs w:val="32"/>
        </w:rPr>
      </w:pPr>
    </w:p>
    <w:p w14:paraId="3E4EB3A2" w14:textId="77777777" w:rsidR="002F1978" w:rsidRPr="005E1E27" w:rsidRDefault="002F1978">
      <w:pPr>
        <w:rPr>
          <w:rFonts w:ascii="Verdana" w:hAnsi="Verdana"/>
          <w:b/>
          <w:bCs/>
          <w:sz w:val="20"/>
          <w:szCs w:val="32"/>
        </w:rPr>
      </w:pPr>
    </w:p>
    <w:p w14:paraId="6C4E1E19" w14:textId="77777777" w:rsidR="002F1978" w:rsidRPr="00DB410A" w:rsidRDefault="002F1978">
      <w:pPr>
        <w:pStyle w:val="Ttulo3"/>
        <w:jc w:val="center"/>
        <w:rPr>
          <w:rFonts w:ascii="Verdana" w:hAnsi="Verdana"/>
          <w:color w:val="800000"/>
        </w:rPr>
      </w:pPr>
      <w:r w:rsidRPr="00DB410A">
        <w:rPr>
          <w:rFonts w:ascii="Verdana" w:hAnsi="Verdana"/>
          <w:b/>
          <w:bCs/>
          <w:i/>
          <w:color w:val="800000"/>
        </w:rPr>
        <w:t>SUMARIO</w:t>
      </w:r>
    </w:p>
    <w:p w14:paraId="0BE59388" w14:textId="77777777" w:rsidR="002F1978" w:rsidRDefault="002F1978">
      <w:pPr>
        <w:jc w:val="center"/>
        <w:rPr>
          <w:rFonts w:ascii="Verdana" w:hAnsi="Verdana"/>
          <w:b/>
          <w:bCs/>
          <w:i/>
          <w:iCs/>
          <w:color w:val="800000"/>
          <w:sz w:val="18"/>
          <w:szCs w:val="18"/>
          <w:u w:val="single"/>
        </w:rPr>
      </w:pPr>
    </w:p>
    <w:p w14:paraId="7612A09D" w14:textId="2DF1337A" w:rsidR="001D1F9E" w:rsidRPr="00FF5E3B" w:rsidRDefault="00FF5E3B" w:rsidP="00FF5E3B">
      <w:pPr>
        <w:pStyle w:val="Prrafodelista"/>
        <w:numPr>
          <w:ilvl w:val="0"/>
          <w:numId w:val="28"/>
        </w:numPr>
        <w:ind w:left="426" w:hanging="284"/>
        <w:jc w:val="both"/>
        <w:rPr>
          <w:rFonts w:ascii="Verdana" w:hAnsi="Verdana"/>
          <w:b/>
          <w:bCs/>
          <w:i/>
          <w:iCs/>
          <w:color w:val="800000"/>
          <w:sz w:val="18"/>
          <w:szCs w:val="18"/>
        </w:rPr>
      </w:pPr>
      <w:r w:rsidRPr="00FF5E3B">
        <w:rPr>
          <w:rFonts w:ascii="Verdana" w:hAnsi="Verdana"/>
          <w:b/>
          <w:bCs/>
          <w:i/>
          <w:iCs/>
          <w:color w:val="800000"/>
          <w:sz w:val="18"/>
          <w:szCs w:val="18"/>
        </w:rPr>
        <w:t>NULIDAD DE LAS LIQUIDACIONES DEL IMPUESTO SOBRE CONSTRUCCIONES, INSTALACIONES Y OBRAS, Y DE LAS TASAS URBANÍSTICAS DICTADAS EN PROCEDIMIENTOS URBANÍSTICOS</w:t>
      </w:r>
      <w:r w:rsidR="00751139">
        <w:rPr>
          <w:rFonts w:ascii="Verdana" w:hAnsi="Verdana"/>
          <w:b/>
          <w:bCs/>
          <w:i/>
          <w:iCs/>
          <w:color w:val="800000"/>
          <w:sz w:val="18"/>
          <w:szCs w:val="18"/>
        </w:rPr>
        <w:t>.</w:t>
      </w:r>
      <w:r>
        <w:rPr>
          <w:rFonts w:ascii="Verdana" w:hAnsi="Verdana"/>
          <w:b/>
          <w:bCs/>
          <w:i/>
          <w:iCs/>
          <w:color w:val="800000"/>
          <w:sz w:val="18"/>
          <w:szCs w:val="18"/>
        </w:rPr>
        <w:t xml:space="preserve"> </w:t>
      </w:r>
      <w:r w:rsidRPr="00FF5E3B">
        <w:rPr>
          <w:rFonts w:ascii="Verdana" w:hAnsi="Verdana"/>
          <w:b/>
          <w:bCs/>
          <w:i/>
          <w:iCs/>
          <w:color w:val="800000"/>
          <w:sz w:val="18"/>
          <w:szCs w:val="18"/>
        </w:rPr>
        <w:t>EL TRIBUNAL SUPREMO LO FIJA COMO DOCTRINA EN SU SENTENCIA DE 17 DE ABRIL DE 2024</w:t>
      </w:r>
    </w:p>
    <w:p w14:paraId="5D57EB19" w14:textId="4FD69450" w:rsidR="00A9293E" w:rsidRDefault="00FF5E3B" w:rsidP="00FF5E3B">
      <w:pPr>
        <w:ind w:left="426"/>
        <w:jc w:val="both"/>
        <w:rPr>
          <w:rFonts w:ascii="Verdana" w:hAnsi="Verdana"/>
          <w:b/>
          <w:bCs/>
          <w:i/>
          <w:iCs/>
          <w:color w:val="800000"/>
          <w:sz w:val="18"/>
          <w:szCs w:val="18"/>
        </w:rPr>
      </w:pPr>
      <w:r w:rsidRPr="00FF5E3B">
        <w:rPr>
          <w:rFonts w:ascii="Verdana" w:hAnsi="Verdana"/>
          <w:b/>
          <w:bCs/>
          <w:i/>
          <w:iCs/>
          <w:color w:val="800000"/>
          <w:sz w:val="18"/>
          <w:szCs w:val="18"/>
        </w:rPr>
        <w:t>El Tribunal Supremo concluye que los actos de liquidación incurren en causa de nulidad radical cuando la comprobación administrativa de las liquidaciones del impuesto se realiza en el marco de un procedimiento urbanístico, y no en un procedimiento tributario de comprobación. La conclusión se extiende también a la liquidación de las tasas urbanísticas.</w:t>
      </w:r>
    </w:p>
    <w:p w14:paraId="25FDE150" w14:textId="77777777" w:rsidR="004F1B8E" w:rsidRDefault="004F1B8E" w:rsidP="00FF5E3B">
      <w:pPr>
        <w:ind w:left="426"/>
        <w:jc w:val="both"/>
        <w:rPr>
          <w:rFonts w:ascii="Verdana" w:hAnsi="Verdana"/>
          <w:b/>
          <w:bCs/>
          <w:i/>
          <w:iCs/>
          <w:color w:val="800000"/>
          <w:sz w:val="18"/>
          <w:szCs w:val="18"/>
        </w:rPr>
      </w:pPr>
    </w:p>
    <w:p w14:paraId="2F3AF957" w14:textId="77777777" w:rsidR="00513AB3" w:rsidRPr="00827697" w:rsidRDefault="00513AB3" w:rsidP="00827697">
      <w:pPr>
        <w:pStyle w:val="Prrafodelista"/>
        <w:numPr>
          <w:ilvl w:val="0"/>
          <w:numId w:val="28"/>
        </w:numPr>
        <w:ind w:left="426" w:hanging="284"/>
        <w:jc w:val="both"/>
        <w:rPr>
          <w:rFonts w:ascii="Verdana" w:hAnsi="Verdana"/>
          <w:b/>
          <w:bCs/>
          <w:color w:val="800000"/>
          <w:sz w:val="18"/>
          <w:szCs w:val="18"/>
        </w:rPr>
      </w:pPr>
      <w:r w:rsidRPr="00827697">
        <w:rPr>
          <w:rFonts w:ascii="Verdana" w:hAnsi="Verdana"/>
          <w:b/>
          <w:bCs/>
          <w:color w:val="800000"/>
          <w:sz w:val="18"/>
          <w:szCs w:val="18"/>
        </w:rPr>
        <w:t>IMPUESTO SOBRE EL PATRIMONIO E IMPUESTO SOBRE SUCESIONES Y DONACIONES. LOS INMUEBLES QUE UNA SOCIEDAD FAMILIAR ALQUILA A SUS PROPIOS SOCIOS O FAMILIARES DIRECTOS A PRECIOS DE MERCADO DEBEN CONSIDERARSE AFECTOS A LA ACTIVIDAD ECONÓMICA A EFECTOS DE APLICAR LA EXENCIÓN EN EL IP</w:t>
      </w:r>
    </w:p>
    <w:p w14:paraId="71605E5F" w14:textId="68B2D24E" w:rsidR="004F1B8E" w:rsidRDefault="004F1B8E" w:rsidP="00FF5E3B">
      <w:pPr>
        <w:ind w:left="426"/>
        <w:jc w:val="both"/>
        <w:rPr>
          <w:rFonts w:ascii="Verdana" w:hAnsi="Verdana"/>
          <w:b/>
          <w:bCs/>
          <w:i/>
          <w:iCs/>
          <w:color w:val="800000"/>
          <w:sz w:val="18"/>
          <w:szCs w:val="18"/>
        </w:rPr>
      </w:pPr>
      <w:r w:rsidRPr="004F1B8E">
        <w:rPr>
          <w:rFonts w:ascii="Verdana" w:hAnsi="Verdana"/>
          <w:b/>
          <w:bCs/>
          <w:i/>
          <w:iCs/>
          <w:color w:val="800000"/>
          <w:sz w:val="18"/>
          <w:szCs w:val="18"/>
        </w:rPr>
        <w:t>Una reciente sentencia del Tribunal Superior de Justicia de Cataluña (TSJC), fechada el 10 de marzo, contradice frontalmente un criterio establecido previamente por el Tribunal Económico-Administrativo Central (TEAC).</w:t>
      </w:r>
    </w:p>
    <w:p w14:paraId="689B1F6E" w14:textId="77777777" w:rsidR="004F1B8E" w:rsidRDefault="004F1B8E" w:rsidP="00FF5E3B">
      <w:pPr>
        <w:ind w:left="426"/>
        <w:jc w:val="both"/>
        <w:rPr>
          <w:rFonts w:ascii="Verdana" w:hAnsi="Verdana"/>
          <w:b/>
          <w:bCs/>
          <w:i/>
          <w:iCs/>
          <w:color w:val="800000"/>
          <w:sz w:val="18"/>
          <w:szCs w:val="18"/>
        </w:rPr>
      </w:pPr>
    </w:p>
    <w:p w14:paraId="49475FC8" w14:textId="03E86800" w:rsidR="00A532E5" w:rsidRPr="00A532E5" w:rsidRDefault="00A532E5" w:rsidP="00A532E5">
      <w:pPr>
        <w:pStyle w:val="Prrafodelista"/>
        <w:numPr>
          <w:ilvl w:val="0"/>
          <w:numId w:val="28"/>
        </w:numPr>
        <w:ind w:left="426" w:hanging="284"/>
        <w:jc w:val="both"/>
        <w:rPr>
          <w:rFonts w:ascii="Verdana" w:hAnsi="Verdana"/>
          <w:b/>
          <w:bCs/>
          <w:i/>
          <w:iCs/>
          <w:color w:val="800000"/>
          <w:sz w:val="18"/>
          <w:szCs w:val="18"/>
        </w:rPr>
      </w:pPr>
      <w:r>
        <w:rPr>
          <w:rFonts w:ascii="Verdana" w:hAnsi="Verdana"/>
          <w:b/>
          <w:bCs/>
          <w:i/>
          <w:iCs/>
          <w:color w:val="800000"/>
          <w:sz w:val="18"/>
          <w:szCs w:val="18"/>
        </w:rPr>
        <w:t xml:space="preserve">IMPUESTO SOBRE ACTOS JURÍDICOS DOCUMENTADOS. </w:t>
      </w:r>
      <w:r w:rsidRPr="00A532E5">
        <w:rPr>
          <w:rFonts w:ascii="Verdana" w:hAnsi="Verdana"/>
          <w:b/>
          <w:bCs/>
          <w:i/>
          <w:iCs/>
          <w:color w:val="800000"/>
          <w:sz w:val="18"/>
          <w:szCs w:val="18"/>
        </w:rPr>
        <w:t xml:space="preserve">LA ASUNCIÓN DE LA DEUDA HIPOTECARIA POR EL COMPRADOR NO GENERA UN NUEVO PAGO DEL IMPUESTO </w:t>
      </w:r>
    </w:p>
    <w:p w14:paraId="747F0543" w14:textId="1CBD8C54" w:rsidR="00A532E5" w:rsidRDefault="00991CA6" w:rsidP="00A532E5">
      <w:pPr>
        <w:pStyle w:val="Prrafodelista"/>
        <w:ind w:left="426"/>
        <w:jc w:val="both"/>
        <w:rPr>
          <w:rFonts w:ascii="Verdana" w:hAnsi="Verdana"/>
          <w:b/>
          <w:bCs/>
          <w:i/>
          <w:iCs/>
          <w:color w:val="800000"/>
          <w:sz w:val="18"/>
          <w:szCs w:val="18"/>
        </w:rPr>
      </w:pPr>
      <w:r>
        <w:rPr>
          <w:rFonts w:ascii="Verdana" w:hAnsi="Verdana"/>
          <w:b/>
          <w:bCs/>
          <w:i/>
          <w:iCs/>
          <w:color w:val="800000"/>
          <w:sz w:val="18"/>
          <w:szCs w:val="18"/>
        </w:rPr>
        <w:t>L</w:t>
      </w:r>
      <w:r w:rsidRPr="00991CA6">
        <w:rPr>
          <w:rFonts w:ascii="Verdana" w:hAnsi="Verdana" w:hint="cs"/>
          <w:b/>
          <w:bCs/>
          <w:i/>
          <w:iCs/>
          <w:color w:val="800000"/>
          <w:sz w:val="18"/>
          <w:szCs w:val="18"/>
        </w:rPr>
        <w:t>a asunción de la deuda hipotecaria por el comprador no genera un nuevo pago del Impuesto sobre Actos Jurídicos Documentados.</w:t>
      </w:r>
    </w:p>
    <w:p w14:paraId="62685674" w14:textId="77777777" w:rsidR="00827697" w:rsidRDefault="00827697" w:rsidP="00A532E5">
      <w:pPr>
        <w:pStyle w:val="Prrafodelista"/>
        <w:ind w:left="426"/>
        <w:jc w:val="both"/>
        <w:rPr>
          <w:rFonts w:ascii="Verdana" w:hAnsi="Verdana"/>
          <w:b/>
          <w:bCs/>
          <w:i/>
          <w:iCs/>
          <w:color w:val="800000"/>
          <w:sz w:val="18"/>
          <w:szCs w:val="18"/>
        </w:rPr>
      </w:pPr>
    </w:p>
    <w:p w14:paraId="46800432" w14:textId="58051B4B" w:rsidR="00827697" w:rsidRDefault="00827697" w:rsidP="00827697">
      <w:pPr>
        <w:pStyle w:val="Prrafodelista"/>
        <w:numPr>
          <w:ilvl w:val="0"/>
          <w:numId w:val="28"/>
        </w:numPr>
        <w:ind w:left="426" w:hanging="284"/>
        <w:jc w:val="both"/>
        <w:rPr>
          <w:rFonts w:ascii="Verdana" w:hAnsi="Verdana"/>
          <w:b/>
          <w:bCs/>
          <w:i/>
          <w:iCs/>
          <w:color w:val="800000"/>
          <w:sz w:val="18"/>
          <w:szCs w:val="18"/>
        </w:rPr>
      </w:pPr>
      <w:r w:rsidRPr="00827697">
        <w:rPr>
          <w:rFonts w:ascii="Verdana" w:hAnsi="Verdana"/>
          <w:b/>
          <w:bCs/>
          <w:i/>
          <w:iCs/>
          <w:color w:val="800000"/>
          <w:sz w:val="18"/>
          <w:szCs w:val="18"/>
        </w:rPr>
        <w:t>EL TRIBUNAL SUPREMO DICTAMINA QUE LAS AUTORIDADES FISCALES DEBEN DEMOSTRAR LA CULPA DEL ADMINISTRADOR EMPRESARIAL PARA PODER IMPUTARLE SUBSIDIARIAMENTE SANCIONES Y DEUDAS TRIBUTARIAS</w:t>
      </w:r>
    </w:p>
    <w:p w14:paraId="0B9072A7" w14:textId="089BE8C7" w:rsidR="00827697" w:rsidRPr="00827697" w:rsidRDefault="00827697" w:rsidP="00827697">
      <w:pPr>
        <w:pStyle w:val="Prrafodelista"/>
        <w:ind w:left="426"/>
        <w:jc w:val="both"/>
        <w:rPr>
          <w:rFonts w:ascii="Verdana" w:hAnsi="Verdana"/>
          <w:b/>
          <w:bCs/>
          <w:i/>
          <w:iCs/>
          <w:color w:val="800000"/>
          <w:sz w:val="18"/>
          <w:szCs w:val="18"/>
        </w:rPr>
      </w:pPr>
      <w:r w:rsidRPr="00827697">
        <w:rPr>
          <w:rFonts w:ascii="Verdana" w:hAnsi="Verdana"/>
          <w:b/>
          <w:bCs/>
          <w:i/>
          <w:iCs/>
          <w:color w:val="800000"/>
          <w:sz w:val="18"/>
          <w:szCs w:val="18"/>
        </w:rPr>
        <w:t xml:space="preserve">El Tribunal Supremo </w:t>
      </w:r>
      <w:r>
        <w:rPr>
          <w:rFonts w:ascii="Verdana" w:hAnsi="Verdana"/>
          <w:b/>
          <w:bCs/>
          <w:i/>
          <w:iCs/>
          <w:color w:val="800000"/>
          <w:sz w:val="18"/>
          <w:szCs w:val="18"/>
        </w:rPr>
        <w:t>pone</w:t>
      </w:r>
      <w:r w:rsidRPr="00827697">
        <w:rPr>
          <w:rFonts w:ascii="Verdana" w:hAnsi="Verdana"/>
          <w:b/>
          <w:bCs/>
          <w:i/>
          <w:iCs/>
          <w:color w:val="800000"/>
          <w:sz w:val="18"/>
          <w:szCs w:val="18"/>
        </w:rPr>
        <w:t xml:space="preserve"> coto a la capacidad de Hacienda para exigir responsabilidades subsidiarias a los administradores empresarial</w:t>
      </w:r>
      <w:r w:rsidR="00011E2E">
        <w:rPr>
          <w:rFonts w:ascii="Verdana" w:hAnsi="Verdana"/>
          <w:b/>
          <w:bCs/>
          <w:i/>
          <w:iCs/>
          <w:color w:val="800000"/>
          <w:sz w:val="18"/>
          <w:szCs w:val="18"/>
        </w:rPr>
        <w:t>es</w:t>
      </w:r>
      <w:r>
        <w:rPr>
          <w:rFonts w:ascii="Verdana" w:hAnsi="Verdana"/>
          <w:b/>
          <w:bCs/>
          <w:i/>
          <w:iCs/>
          <w:color w:val="800000"/>
          <w:sz w:val="18"/>
          <w:szCs w:val="18"/>
        </w:rPr>
        <w:t>.</w:t>
      </w:r>
    </w:p>
    <w:p w14:paraId="79F090AC" w14:textId="77777777" w:rsidR="00D729F7" w:rsidRDefault="00D729F7" w:rsidP="00A532E5">
      <w:pPr>
        <w:pStyle w:val="Prrafodelista"/>
        <w:ind w:left="426"/>
        <w:jc w:val="both"/>
        <w:rPr>
          <w:rFonts w:ascii="Verdana" w:hAnsi="Verdana"/>
          <w:b/>
          <w:bCs/>
          <w:i/>
          <w:iCs/>
          <w:color w:val="800000"/>
          <w:sz w:val="18"/>
          <w:szCs w:val="18"/>
        </w:rPr>
      </w:pPr>
    </w:p>
    <w:p w14:paraId="75DA3081" w14:textId="524CDA4D" w:rsidR="00D729F7" w:rsidRDefault="00D729F7" w:rsidP="00D729F7">
      <w:pPr>
        <w:pStyle w:val="Prrafodelista"/>
        <w:numPr>
          <w:ilvl w:val="0"/>
          <w:numId w:val="28"/>
        </w:numPr>
        <w:ind w:left="426" w:hanging="284"/>
        <w:jc w:val="both"/>
        <w:rPr>
          <w:rFonts w:ascii="Verdana" w:hAnsi="Verdana"/>
          <w:b/>
          <w:bCs/>
          <w:i/>
          <w:iCs/>
          <w:color w:val="800000"/>
          <w:sz w:val="18"/>
          <w:szCs w:val="18"/>
        </w:rPr>
      </w:pPr>
      <w:r>
        <w:rPr>
          <w:rFonts w:ascii="Verdana" w:hAnsi="Verdana"/>
          <w:b/>
          <w:bCs/>
          <w:i/>
          <w:iCs/>
          <w:color w:val="800000"/>
          <w:sz w:val="18"/>
          <w:szCs w:val="18"/>
        </w:rPr>
        <w:t>LAS SOCIEDADES DE CAPITAL RIESGO. UN NUEVO CONFLICTO A LA VISTA CON LA INSPECCIÓN TRIBUTARIA</w:t>
      </w:r>
    </w:p>
    <w:p w14:paraId="59F02391" w14:textId="603DD962" w:rsidR="00D729F7" w:rsidRPr="00E653EF" w:rsidRDefault="00D729F7" w:rsidP="00D729F7">
      <w:pPr>
        <w:pStyle w:val="Prrafodelista"/>
        <w:ind w:left="426"/>
        <w:jc w:val="both"/>
        <w:rPr>
          <w:rFonts w:ascii="Verdana" w:hAnsi="Verdana"/>
          <w:b/>
          <w:bCs/>
          <w:i/>
          <w:iCs/>
          <w:color w:val="800000"/>
          <w:sz w:val="18"/>
          <w:szCs w:val="18"/>
        </w:rPr>
      </w:pPr>
      <w:r w:rsidRPr="00D729F7">
        <w:rPr>
          <w:rFonts w:ascii="Verdana" w:hAnsi="Verdana"/>
          <w:b/>
          <w:bCs/>
          <w:i/>
          <w:iCs/>
          <w:color w:val="800000"/>
          <w:sz w:val="18"/>
          <w:szCs w:val="18"/>
        </w:rPr>
        <w:t>Hacienda empieza a cuestionar algunos puntos de estas figuras en inspecciones y comprobaciones, lo que está incrementando la incertidumbre en torno a grandes fortunas</w:t>
      </w:r>
      <w:r w:rsidR="00011E2E">
        <w:rPr>
          <w:rFonts w:ascii="Verdana" w:hAnsi="Verdana"/>
          <w:b/>
          <w:bCs/>
          <w:i/>
          <w:iCs/>
          <w:color w:val="800000"/>
          <w:sz w:val="18"/>
          <w:szCs w:val="18"/>
        </w:rPr>
        <w:t>.</w:t>
      </w:r>
    </w:p>
    <w:p w14:paraId="261FE7DF" w14:textId="77777777" w:rsidR="00E653EF" w:rsidRDefault="00E653EF" w:rsidP="00FF5E3B">
      <w:pPr>
        <w:ind w:left="426"/>
        <w:jc w:val="both"/>
        <w:rPr>
          <w:rFonts w:ascii="Verdana" w:hAnsi="Verdana"/>
          <w:b/>
          <w:bCs/>
          <w:i/>
          <w:iCs/>
          <w:color w:val="800000"/>
          <w:sz w:val="18"/>
          <w:szCs w:val="18"/>
        </w:rPr>
      </w:pPr>
    </w:p>
    <w:p w14:paraId="1777A18D" w14:textId="02C8D82C" w:rsidR="00E653EF" w:rsidRPr="00E653EF" w:rsidRDefault="00E653EF" w:rsidP="00E653EF">
      <w:pPr>
        <w:pStyle w:val="Prrafodelista"/>
        <w:numPr>
          <w:ilvl w:val="0"/>
          <w:numId w:val="28"/>
        </w:numPr>
        <w:ind w:left="426" w:hanging="284"/>
        <w:jc w:val="both"/>
        <w:rPr>
          <w:rFonts w:ascii="Verdana" w:hAnsi="Verdana"/>
          <w:b/>
          <w:bCs/>
          <w:i/>
          <w:iCs/>
          <w:color w:val="800000"/>
          <w:sz w:val="18"/>
          <w:szCs w:val="18"/>
        </w:rPr>
      </w:pPr>
      <w:r w:rsidRPr="00E653EF">
        <w:rPr>
          <w:rFonts w:ascii="Verdana" w:hAnsi="Verdana"/>
          <w:b/>
          <w:bCs/>
          <w:i/>
          <w:iCs/>
          <w:color w:val="800000"/>
          <w:sz w:val="18"/>
          <w:szCs w:val="18"/>
        </w:rPr>
        <w:t>REDUCCIÓN PARA 2024 DE LOS ÍNDICES DE RENDIMIENTO NETO APLICABLES EN EL MÉTODO DE ESTIMACIÓN OBJETIVA DEL IRPF PARA LAS ACTIVIDADES AGRÍCOLAS Y GANADERAS AFECTADAS POR DIVERSAS CIRCUNSTANCIAS EXCEPCIONALES</w:t>
      </w:r>
    </w:p>
    <w:p w14:paraId="2C304C73" w14:textId="75A6B604" w:rsidR="00E653EF" w:rsidRDefault="00E653EF" w:rsidP="00E653EF">
      <w:pPr>
        <w:pStyle w:val="Prrafodelista"/>
        <w:ind w:left="426"/>
        <w:jc w:val="both"/>
        <w:rPr>
          <w:rFonts w:ascii="Verdana" w:hAnsi="Verdana"/>
          <w:b/>
          <w:bCs/>
          <w:i/>
          <w:iCs/>
          <w:color w:val="800000"/>
          <w:sz w:val="18"/>
          <w:szCs w:val="18"/>
        </w:rPr>
      </w:pPr>
      <w:r w:rsidRPr="00E653EF">
        <w:rPr>
          <w:rFonts w:ascii="Verdana" w:hAnsi="Verdana"/>
          <w:b/>
          <w:bCs/>
          <w:i/>
          <w:iCs/>
          <w:color w:val="800000"/>
          <w:sz w:val="18"/>
          <w:szCs w:val="18"/>
        </w:rPr>
        <w:t>Reducción para el período impositivo 2024 de los índices de rendimiento neto aplicables en el método de estimación objetiva del Impuesto sobre la Renta de las Personas Físicas, para las actividades agrícolas y ganaderas afectadas por diversas circunstancias excepcionales.</w:t>
      </w:r>
    </w:p>
    <w:p w14:paraId="442BF5F3" w14:textId="77777777" w:rsidR="00751139" w:rsidRDefault="00751139" w:rsidP="00E653EF">
      <w:pPr>
        <w:pStyle w:val="Prrafodelista"/>
        <w:ind w:left="426"/>
        <w:jc w:val="both"/>
        <w:rPr>
          <w:rFonts w:ascii="Verdana" w:hAnsi="Verdana"/>
          <w:b/>
          <w:bCs/>
          <w:i/>
          <w:iCs/>
          <w:color w:val="800000"/>
          <w:sz w:val="18"/>
          <w:szCs w:val="18"/>
        </w:rPr>
      </w:pPr>
    </w:p>
    <w:p w14:paraId="6C988936" w14:textId="323F19F2" w:rsidR="00751139" w:rsidRPr="00751139" w:rsidRDefault="00751139" w:rsidP="00751139">
      <w:pPr>
        <w:pStyle w:val="Prrafodelista"/>
        <w:numPr>
          <w:ilvl w:val="0"/>
          <w:numId w:val="28"/>
        </w:numPr>
        <w:ind w:left="426" w:hanging="284"/>
        <w:jc w:val="both"/>
        <w:rPr>
          <w:rFonts w:ascii="Verdana" w:hAnsi="Verdana"/>
          <w:b/>
          <w:bCs/>
          <w:i/>
          <w:iCs/>
          <w:color w:val="800000"/>
          <w:sz w:val="18"/>
          <w:szCs w:val="18"/>
        </w:rPr>
      </w:pPr>
      <w:r w:rsidRPr="00751139">
        <w:rPr>
          <w:rFonts w:ascii="Verdana" w:hAnsi="Verdana"/>
          <w:b/>
          <w:bCs/>
          <w:i/>
          <w:iCs/>
          <w:color w:val="800000"/>
          <w:sz w:val="18"/>
          <w:szCs w:val="18"/>
        </w:rPr>
        <w:t>LAS HOJAS DE CÁLCULO, LAS BASES DE DATOS Y LOS PROCESADORES DE TEXTO PUEDEN CONSIDERARSE SISTEMAS INFORMÁTICOS DE FACTURACIÓN ESTANDO SUJETAS AL REGLAMENTO VERI*FACTU</w:t>
      </w:r>
    </w:p>
    <w:p w14:paraId="10E3A80A" w14:textId="12B81D0E" w:rsidR="00751139" w:rsidRDefault="00751139" w:rsidP="00154154">
      <w:pPr>
        <w:pStyle w:val="Prrafodelista"/>
        <w:ind w:left="426"/>
        <w:jc w:val="both"/>
        <w:rPr>
          <w:rFonts w:ascii="Verdana" w:hAnsi="Verdana"/>
          <w:b/>
          <w:bCs/>
          <w:i/>
          <w:iCs/>
          <w:color w:val="800000"/>
          <w:sz w:val="18"/>
          <w:szCs w:val="18"/>
        </w:rPr>
      </w:pPr>
      <w:r w:rsidRPr="00751139">
        <w:rPr>
          <w:rFonts w:ascii="Verdana" w:hAnsi="Verdana"/>
          <w:b/>
          <w:bCs/>
          <w:i/>
          <w:iCs/>
          <w:color w:val="800000"/>
          <w:sz w:val="18"/>
          <w:szCs w:val="18"/>
        </w:rPr>
        <w:t xml:space="preserve">De nuevo la DGT es consultada en relación con la aplicación del </w:t>
      </w:r>
      <w:r w:rsidR="00154154" w:rsidRPr="00751139">
        <w:rPr>
          <w:rFonts w:ascii="Verdana" w:hAnsi="Verdana"/>
          <w:b/>
          <w:bCs/>
          <w:i/>
          <w:iCs/>
          <w:color w:val="800000"/>
          <w:sz w:val="18"/>
          <w:szCs w:val="18"/>
        </w:rPr>
        <w:t>Reglamento</w:t>
      </w:r>
      <w:r>
        <w:rPr>
          <w:rFonts w:ascii="Verdana" w:hAnsi="Verdana"/>
          <w:b/>
          <w:bCs/>
          <w:i/>
          <w:iCs/>
          <w:color w:val="800000"/>
          <w:sz w:val="18"/>
          <w:szCs w:val="18"/>
        </w:rPr>
        <w:t xml:space="preserve"> </w:t>
      </w:r>
      <w:r w:rsidRPr="00751139">
        <w:rPr>
          <w:rFonts w:ascii="Verdana" w:hAnsi="Verdana"/>
          <w:b/>
          <w:bCs/>
          <w:i/>
          <w:iCs/>
          <w:color w:val="800000"/>
          <w:sz w:val="18"/>
          <w:szCs w:val="18"/>
        </w:rPr>
        <w:t>1007/2023.</w:t>
      </w:r>
    </w:p>
    <w:p w14:paraId="3760D0A1" w14:textId="77777777" w:rsidR="00D729F7" w:rsidRDefault="00D729F7" w:rsidP="00154154">
      <w:pPr>
        <w:pStyle w:val="Prrafodelista"/>
        <w:ind w:left="426"/>
        <w:jc w:val="both"/>
        <w:rPr>
          <w:rFonts w:ascii="Verdana" w:hAnsi="Verdana"/>
          <w:b/>
          <w:bCs/>
          <w:i/>
          <w:iCs/>
          <w:color w:val="800000"/>
          <w:sz w:val="18"/>
          <w:szCs w:val="18"/>
        </w:rPr>
      </w:pPr>
    </w:p>
    <w:p w14:paraId="6389BDC0" w14:textId="77777777" w:rsidR="00165B0E" w:rsidRDefault="00165B0E" w:rsidP="00413727">
      <w:pPr>
        <w:tabs>
          <w:tab w:val="left" w:pos="284"/>
        </w:tabs>
        <w:ind w:left="284"/>
        <w:jc w:val="both"/>
        <w:rPr>
          <w:rFonts w:ascii="Verdana" w:hAnsi="Verdana"/>
          <w:b/>
          <w:bCs/>
          <w:i/>
          <w:iCs/>
          <w:color w:val="800000"/>
          <w:sz w:val="18"/>
          <w:szCs w:val="18"/>
        </w:rPr>
      </w:pPr>
    </w:p>
    <w:p w14:paraId="38F3792C" w14:textId="77777777" w:rsidR="00D729F7" w:rsidRDefault="00D729F7" w:rsidP="00413727">
      <w:pPr>
        <w:tabs>
          <w:tab w:val="left" w:pos="284"/>
        </w:tabs>
        <w:ind w:left="284"/>
        <w:jc w:val="both"/>
        <w:rPr>
          <w:rFonts w:ascii="Verdana" w:hAnsi="Verdana"/>
          <w:b/>
          <w:bCs/>
          <w:i/>
          <w:iCs/>
          <w:color w:val="800000"/>
          <w:sz w:val="18"/>
          <w:szCs w:val="18"/>
        </w:rPr>
      </w:pPr>
    </w:p>
    <w:p w14:paraId="50E86A69" w14:textId="77777777" w:rsidR="00EE661B" w:rsidRDefault="00EE661B" w:rsidP="00413727">
      <w:pPr>
        <w:tabs>
          <w:tab w:val="left" w:pos="284"/>
        </w:tabs>
        <w:ind w:left="284"/>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2B44A4" w:rsidRPr="00FF5E3B" w14:paraId="34588293" w14:textId="77777777" w:rsidTr="00D40788">
        <w:tc>
          <w:tcPr>
            <w:tcW w:w="180" w:type="dxa"/>
            <w:shd w:val="clear" w:color="auto" w:fill="FF6600"/>
          </w:tcPr>
          <w:p w14:paraId="22E37D39" w14:textId="77777777" w:rsidR="002B44A4" w:rsidRPr="00FF5E3B" w:rsidRDefault="002B44A4" w:rsidP="00D40788">
            <w:pPr>
              <w:pStyle w:val="Textoindependiente"/>
              <w:rPr>
                <w:rFonts w:ascii="Verdana" w:hAnsi="Verdana"/>
                <w:color w:val="800000"/>
                <w:sz w:val="16"/>
                <w:szCs w:val="16"/>
              </w:rPr>
            </w:pPr>
            <w:bookmarkStart w:id="0" w:name="_Hlk72520559"/>
          </w:p>
        </w:tc>
        <w:tc>
          <w:tcPr>
            <w:tcW w:w="8460" w:type="dxa"/>
          </w:tcPr>
          <w:p w14:paraId="0C47AA2F" w14:textId="17BCCD70" w:rsidR="002B44A4" w:rsidRPr="00FF5E3B" w:rsidRDefault="00FF5E3B" w:rsidP="00763754">
            <w:pPr>
              <w:numPr>
                <w:ilvl w:val="0"/>
                <w:numId w:val="5"/>
              </w:numPr>
              <w:tabs>
                <w:tab w:val="clear" w:pos="720"/>
                <w:tab w:val="num" w:pos="317"/>
                <w:tab w:val="left" w:pos="360"/>
              </w:tabs>
              <w:ind w:left="317" w:hanging="283"/>
              <w:jc w:val="both"/>
              <w:rPr>
                <w:rFonts w:ascii="Verdana" w:hAnsi="Verdana"/>
                <w:b/>
                <w:bCs/>
                <w:color w:val="800000"/>
                <w:sz w:val="16"/>
                <w:szCs w:val="16"/>
              </w:rPr>
            </w:pPr>
            <w:r w:rsidRPr="00FF5E3B">
              <w:rPr>
                <w:rFonts w:ascii="Verdana" w:hAnsi="Verdana"/>
                <w:b/>
                <w:bCs/>
                <w:color w:val="800000"/>
                <w:sz w:val="18"/>
                <w:szCs w:val="18"/>
              </w:rPr>
              <w:t>NULIDAD DE LAS LIQUIDACIONES DEL IMPUESTO SOBRE CONSTRUCCIONES, INSTALACIONES Y OBRAS, Y DE LAS TASAS URBANÍSTICAS DICTADAS EN PROCEDIMIENTOS URBANÍSTICOS</w:t>
            </w:r>
            <w:r w:rsidR="00751139">
              <w:rPr>
                <w:rFonts w:ascii="Verdana" w:hAnsi="Verdana"/>
                <w:b/>
                <w:bCs/>
                <w:color w:val="800000"/>
                <w:sz w:val="18"/>
                <w:szCs w:val="18"/>
              </w:rPr>
              <w:t>.</w:t>
            </w:r>
            <w:r w:rsidRPr="00FF5E3B">
              <w:rPr>
                <w:rFonts w:ascii="Verdana" w:hAnsi="Verdana"/>
                <w:b/>
                <w:bCs/>
                <w:color w:val="800000"/>
                <w:sz w:val="18"/>
                <w:szCs w:val="18"/>
              </w:rPr>
              <w:t xml:space="preserve"> </w:t>
            </w:r>
          </w:p>
        </w:tc>
      </w:tr>
      <w:bookmarkEnd w:id="0"/>
    </w:tbl>
    <w:p w14:paraId="2FB5A72A" w14:textId="77777777" w:rsidR="002B44A4" w:rsidRDefault="002B44A4" w:rsidP="007D0656">
      <w:pPr>
        <w:tabs>
          <w:tab w:val="left" w:pos="360"/>
        </w:tabs>
        <w:ind w:left="720"/>
        <w:jc w:val="both"/>
        <w:rPr>
          <w:rFonts w:ascii="Verdana" w:hAnsi="Verdana"/>
          <w:b/>
          <w:bCs/>
          <w:i/>
          <w:iCs/>
          <w:color w:val="800000"/>
          <w:sz w:val="18"/>
          <w:szCs w:val="18"/>
        </w:rPr>
      </w:pPr>
    </w:p>
    <w:p w14:paraId="1A8292A2" w14:textId="0D21B283" w:rsidR="001E3571" w:rsidRDefault="001E3571" w:rsidP="00FF5E3B">
      <w:pPr>
        <w:ind w:left="284"/>
        <w:jc w:val="both"/>
        <w:rPr>
          <w:rFonts w:ascii="Verdana" w:hAnsi="Verdana"/>
          <w:bCs/>
          <w:iCs/>
          <w:sz w:val="18"/>
          <w:szCs w:val="18"/>
        </w:rPr>
      </w:pPr>
      <w:r w:rsidRPr="001E3571">
        <w:rPr>
          <w:rFonts w:ascii="Verdana" w:hAnsi="Verdana"/>
          <w:bCs/>
          <w:iCs/>
          <w:sz w:val="18"/>
          <w:szCs w:val="18"/>
        </w:rPr>
        <w:t>El Tribunal Supremo en una sentencia</w:t>
      </w:r>
      <w:r w:rsidRPr="001E3571">
        <w:rPr>
          <w:rFonts w:ascii="Verdana" w:hAnsi="Verdana"/>
          <w:sz w:val="18"/>
          <w:szCs w:val="18"/>
        </w:rPr>
        <w:t xml:space="preserve"> de 10 de febrero de 2021 Sala de lo Contencioso-Administrativo Rec. n.º 168/2021</w:t>
      </w:r>
      <w:r w:rsidRPr="001E3571">
        <w:rPr>
          <w:rFonts w:ascii="Verdana" w:hAnsi="Verdana"/>
          <w:bCs/>
          <w:iCs/>
          <w:sz w:val="18"/>
          <w:szCs w:val="18"/>
        </w:rPr>
        <w:t xml:space="preserve"> de 10 de febrero de 2021, </w:t>
      </w:r>
      <w:r w:rsidRPr="001E3571">
        <w:rPr>
          <w:rFonts w:ascii="Verdana" w:hAnsi="Verdana"/>
          <w:b/>
          <w:iCs/>
          <w:sz w:val="18"/>
          <w:szCs w:val="18"/>
        </w:rPr>
        <w:t>recién publicada</w:t>
      </w:r>
      <w:r w:rsidRPr="001E3571">
        <w:rPr>
          <w:rFonts w:ascii="Verdana" w:hAnsi="Verdana"/>
          <w:bCs/>
          <w:iCs/>
          <w:sz w:val="18"/>
          <w:szCs w:val="18"/>
        </w:rPr>
        <w:t xml:space="preserve">, resuelve que estamos en presencia de un supuesto de nulidad radical cuando la Administración para determinar la base imponible del ICIO </w:t>
      </w:r>
      <w:r w:rsidRPr="001E3571">
        <w:rPr>
          <w:rFonts w:ascii="Verdana" w:hAnsi="Verdana"/>
          <w:b/>
          <w:iCs/>
          <w:sz w:val="18"/>
          <w:szCs w:val="18"/>
        </w:rPr>
        <w:t>no ha seguido un procedimiento tributario</w:t>
      </w:r>
      <w:r w:rsidRPr="001E3571">
        <w:rPr>
          <w:rFonts w:ascii="Verdana" w:hAnsi="Verdana"/>
          <w:bCs/>
          <w:iCs/>
          <w:sz w:val="18"/>
          <w:szCs w:val="18"/>
        </w:rPr>
        <w:t xml:space="preserve"> en concreto, sino que se ha procedido a la comprobación para las correspondientes liquidaciones definitivas en el seno de unos procedimientos urbanísticos, limitándose la Administración a utilizar el dictamen del arquitecto municipal, con la doble proyección que se pone de manifiesto en el propio informe, urbanística y tributaria.</w:t>
      </w:r>
    </w:p>
    <w:p w14:paraId="1A152F21" w14:textId="77777777" w:rsidR="001E3571" w:rsidRDefault="001E3571" w:rsidP="00FF5E3B">
      <w:pPr>
        <w:ind w:left="284"/>
        <w:jc w:val="both"/>
        <w:rPr>
          <w:rFonts w:ascii="Verdana" w:hAnsi="Verdana"/>
          <w:bCs/>
          <w:iCs/>
          <w:sz w:val="18"/>
          <w:szCs w:val="18"/>
        </w:rPr>
      </w:pPr>
    </w:p>
    <w:p w14:paraId="7F42C765" w14:textId="464A9B8B" w:rsidR="00E379E0" w:rsidRDefault="00FF5E3B" w:rsidP="00FF5E3B">
      <w:pPr>
        <w:ind w:left="284"/>
        <w:jc w:val="both"/>
        <w:rPr>
          <w:rFonts w:ascii="Verdana" w:hAnsi="Verdana"/>
          <w:bCs/>
          <w:iCs/>
          <w:sz w:val="18"/>
          <w:szCs w:val="18"/>
        </w:rPr>
      </w:pPr>
      <w:r w:rsidRPr="00FF5E3B">
        <w:rPr>
          <w:rFonts w:ascii="Verdana" w:hAnsi="Verdana"/>
          <w:bCs/>
          <w:iCs/>
          <w:sz w:val="18"/>
          <w:szCs w:val="18"/>
        </w:rPr>
        <w:t xml:space="preserve">El Tribunal Supremo aclara que es imprescindible seguir </w:t>
      </w:r>
      <w:r w:rsidRPr="007B73FD">
        <w:rPr>
          <w:rFonts w:ascii="Verdana" w:hAnsi="Verdana"/>
          <w:b/>
          <w:iCs/>
          <w:sz w:val="18"/>
          <w:szCs w:val="18"/>
        </w:rPr>
        <w:t xml:space="preserve">un procedimiento de comprobación tributaria </w:t>
      </w:r>
      <w:r w:rsidRPr="00FF5E3B">
        <w:rPr>
          <w:rFonts w:ascii="Verdana" w:hAnsi="Verdana"/>
          <w:bCs/>
          <w:iCs/>
          <w:sz w:val="18"/>
          <w:szCs w:val="18"/>
        </w:rPr>
        <w:t>para determinar la base imponible de la liquidación definitiva del Impuesto sobre Construcciones, Instalaciones y Obras (“</w:t>
      </w:r>
      <w:r w:rsidRPr="00FF5E3B">
        <w:rPr>
          <w:rFonts w:ascii="Verdana" w:hAnsi="Verdana"/>
          <w:b/>
          <w:bCs/>
          <w:iCs/>
          <w:sz w:val="18"/>
          <w:szCs w:val="18"/>
        </w:rPr>
        <w:t>ICIO</w:t>
      </w:r>
      <w:r w:rsidRPr="00FF5E3B">
        <w:rPr>
          <w:rFonts w:ascii="Verdana" w:hAnsi="Verdana"/>
          <w:bCs/>
          <w:iCs/>
          <w:sz w:val="18"/>
          <w:szCs w:val="18"/>
        </w:rPr>
        <w:t>”). Se incurre en nulidad radical cuando la Administración realiza la comprobación de las liquidaciones en el marco de procedimientos urbanísticos, en lugar de seguir el procedimiento tributario adecuado.</w:t>
      </w:r>
    </w:p>
    <w:p w14:paraId="51D86701" w14:textId="77777777" w:rsidR="00E379E0" w:rsidRDefault="00E379E0" w:rsidP="00FF5E3B">
      <w:pPr>
        <w:ind w:left="284"/>
        <w:jc w:val="both"/>
        <w:rPr>
          <w:rFonts w:ascii="Verdana" w:hAnsi="Verdana"/>
          <w:bCs/>
          <w:iCs/>
          <w:sz w:val="18"/>
          <w:szCs w:val="18"/>
        </w:rPr>
      </w:pPr>
    </w:p>
    <w:p w14:paraId="06556E06" w14:textId="4E998B0E" w:rsidR="00E379E0" w:rsidRDefault="00E379E0" w:rsidP="00E379E0">
      <w:pPr>
        <w:ind w:left="284"/>
        <w:jc w:val="both"/>
        <w:rPr>
          <w:rFonts w:ascii="Verdana" w:hAnsi="Verdana"/>
          <w:bCs/>
          <w:iCs/>
          <w:sz w:val="18"/>
          <w:szCs w:val="18"/>
        </w:rPr>
      </w:pPr>
      <w:r w:rsidRPr="00E379E0">
        <w:rPr>
          <w:rFonts w:ascii="Verdana" w:hAnsi="Verdana"/>
          <w:bCs/>
          <w:iCs/>
          <w:sz w:val="18"/>
          <w:szCs w:val="18"/>
        </w:rPr>
        <w:t>El Tribunal indica que si la comprobación del valor declarado se realiza conforme a los medios previstos en el artículo 57 de la Ley General Tributaria —específicamente conforme al dictamen de peritos de la Administración previsto en su letra e)—, debe tramitarse el procedimiento de comprobación de valores (art. 134 LGT), con trámite de audiencia al administrado previa puesta de manifiesto del expediente. La falta de este procedimiento supone la nulidad radical de las liquidaciones definitivas conforme al artículo 217.1.e) de la Ley General Tributaria.</w:t>
      </w:r>
    </w:p>
    <w:p w14:paraId="29CA516A" w14:textId="77777777" w:rsidR="00E379E0" w:rsidRPr="00E379E0" w:rsidRDefault="00E379E0" w:rsidP="00E379E0">
      <w:pPr>
        <w:ind w:left="284"/>
        <w:jc w:val="both"/>
        <w:rPr>
          <w:rFonts w:ascii="Verdana" w:hAnsi="Verdana"/>
          <w:bCs/>
          <w:iCs/>
          <w:sz w:val="18"/>
          <w:szCs w:val="18"/>
        </w:rPr>
      </w:pPr>
    </w:p>
    <w:p w14:paraId="166A8D43" w14:textId="77777777" w:rsidR="00E379E0" w:rsidRDefault="00E379E0" w:rsidP="00E379E0">
      <w:pPr>
        <w:ind w:left="284"/>
        <w:jc w:val="both"/>
        <w:rPr>
          <w:rFonts w:ascii="Verdana" w:hAnsi="Verdana"/>
          <w:bCs/>
          <w:iCs/>
          <w:sz w:val="18"/>
          <w:szCs w:val="18"/>
        </w:rPr>
      </w:pPr>
      <w:r w:rsidRPr="00E379E0">
        <w:rPr>
          <w:rFonts w:ascii="Verdana" w:hAnsi="Verdana"/>
          <w:bCs/>
          <w:iCs/>
          <w:sz w:val="18"/>
          <w:szCs w:val="18"/>
        </w:rPr>
        <w:t xml:space="preserve">La sentencia extiende estas conclusiones a </w:t>
      </w:r>
      <w:r w:rsidRPr="007B73FD">
        <w:rPr>
          <w:rFonts w:ascii="Verdana" w:hAnsi="Verdana"/>
          <w:b/>
          <w:iCs/>
          <w:sz w:val="18"/>
          <w:szCs w:val="18"/>
        </w:rPr>
        <w:t>las tasas urbanísticas</w:t>
      </w:r>
      <w:r w:rsidRPr="00E379E0">
        <w:rPr>
          <w:rFonts w:ascii="Verdana" w:hAnsi="Verdana"/>
          <w:bCs/>
          <w:iCs/>
          <w:sz w:val="18"/>
          <w:szCs w:val="18"/>
        </w:rPr>
        <w:t>, dado que la base imponible del ICIO también determina la base imponible de dichas tasas.</w:t>
      </w:r>
    </w:p>
    <w:p w14:paraId="49DCE3F4" w14:textId="77777777" w:rsidR="00E653EF" w:rsidRDefault="00E653EF" w:rsidP="00E379E0">
      <w:pPr>
        <w:ind w:left="284"/>
        <w:jc w:val="both"/>
        <w:rPr>
          <w:rFonts w:ascii="Verdana" w:hAnsi="Verdana"/>
          <w:bCs/>
          <w:iCs/>
          <w:sz w:val="18"/>
          <w:szCs w:val="18"/>
        </w:rPr>
      </w:pPr>
    </w:p>
    <w:p w14:paraId="63BAA55C" w14:textId="77777777" w:rsidR="004F1B8E" w:rsidRDefault="004F1B8E" w:rsidP="00E379E0">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4F1B8E" w:rsidRPr="004F1B8E" w14:paraId="1FDCA1E0" w14:textId="77777777" w:rsidTr="003B1F4C">
        <w:tc>
          <w:tcPr>
            <w:tcW w:w="180" w:type="dxa"/>
            <w:shd w:val="clear" w:color="auto" w:fill="FF6600"/>
          </w:tcPr>
          <w:p w14:paraId="25D8732C" w14:textId="77777777" w:rsidR="004F1B8E" w:rsidRPr="004F1B8E" w:rsidRDefault="004F1B8E" w:rsidP="003B1F4C">
            <w:pPr>
              <w:pStyle w:val="Textoindependiente"/>
              <w:rPr>
                <w:rFonts w:ascii="Verdana" w:hAnsi="Verdana"/>
                <w:color w:val="800000"/>
                <w:sz w:val="16"/>
                <w:szCs w:val="16"/>
              </w:rPr>
            </w:pPr>
          </w:p>
        </w:tc>
        <w:tc>
          <w:tcPr>
            <w:tcW w:w="8460" w:type="dxa"/>
          </w:tcPr>
          <w:p w14:paraId="7BC7177A" w14:textId="2C3BB395" w:rsidR="004F1B8E" w:rsidRPr="004F1B8E" w:rsidRDefault="004F1B8E" w:rsidP="004F1B8E">
            <w:pPr>
              <w:pStyle w:val="Prrafodelista"/>
              <w:numPr>
                <w:ilvl w:val="0"/>
                <w:numId w:val="5"/>
              </w:numPr>
              <w:tabs>
                <w:tab w:val="clear" w:pos="720"/>
                <w:tab w:val="num" w:pos="242"/>
              </w:tabs>
              <w:ind w:left="384" w:hanging="283"/>
              <w:jc w:val="both"/>
              <w:rPr>
                <w:rFonts w:ascii="Verdana" w:hAnsi="Verdana"/>
                <w:b/>
                <w:bCs/>
                <w:color w:val="800000"/>
                <w:sz w:val="18"/>
                <w:szCs w:val="18"/>
              </w:rPr>
            </w:pPr>
            <w:r w:rsidRPr="004F1B8E">
              <w:rPr>
                <w:rFonts w:ascii="Verdana" w:hAnsi="Verdana"/>
                <w:b/>
                <w:bCs/>
                <w:color w:val="800000"/>
                <w:sz w:val="18"/>
                <w:szCs w:val="18"/>
              </w:rPr>
              <w:t xml:space="preserve">IMPUESTO SOBRE EL PATRIMONIO E IMPUESTO SOBRE SUCESIONES Y DONACIONES. </w:t>
            </w:r>
            <w:r w:rsidR="00513AB3">
              <w:rPr>
                <w:rFonts w:ascii="Verdana" w:hAnsi="Verdana"/>
                <w:b/>
                <w:bCs/>
                <w:color w:val="800000"/>
                <w:sz w:val="18"/>
                <w:szCs w:val="18"/>
              </w:rPr>
              <w:t>LOS INMUEBLES QUE UNA SOCIEDAD FAMILIAR ALQUILA A SUS PROPIOS SOCIOS O FAMILIARES DIRECTOS A PRECIOS DE MERCADO DEBEN CONSIDERARSE AFECTOS A LA ACTIVIDAD ECONÓMICA A EFECTOS DE APLICAR LA EXENCIÓN EN EL IP</w:t>
            </w:r>
          </w:p>
        </w:tc>
      </w:tr>
    </w:tbl>
    <w:p w14:paraId="27971CC5" w14:textId="77777777" w:rsidR="00751139" w:rsidRDefault="00751139" w:rsidP="00E379E0">
      <w:pPr>
        <w:ind w:left="284"/>
        <w:jc w:val="both"/>
        <w:rPr>
          <w:rFonts w:ascii="Verdana" w:hAnsi="Verdana"/>
          <w:bCs/>
          <w:iCs/>
          <w:sz w:val="18"/>
          <w:szCs w:val="18"/>
        </w:rPr>
      </w:pPr>
    </w:p>
    <w:p w14:paraId="382B2B42" w14:textId="4A52C3D1" w:rsidR="00451818" w:rsidRPr="00451818" w:rsidRDefault="007B73FD" w:rsidP="00451818">
      <w:pPr>
        <w:spacing w:after="160" w:line="259" w:lineRule="auto"/>
        <w:ind w:left="284"/>
        <w:jc w:val="both"/>
        <w:rPr>
          <w:rFonts w:ascii="Verdana" w:hAnsi="Verdana"/>
          <w:bCs/>
          <w:iCs/>
          <w:sz w:val="18"/>
          <w:szCs w:val="18"/>
        </w:rPr>
      </w:pPr>
      <w:r>
        <w:rPr>
          <w:rFonts w:ascii="Verdana" w:hAnsi="Verdana"/>
          <w:bCs/>
          <w:iCs/>
          <w:sz w:val="18"/>
          <w:szCs w:val="18"/>
        </w:rPr>
        <w:t>El</w:t>
      </w:r>
      <w:r w:rsidR="00451818" w:rsidRPr="00451818">
        <w:rPr>
          <w:rFonts w:ascii="Verdana" w:hAnsi="Verdana" w:hint="cs"/>
          <w:bCs/>
          <w:iCs/>
          <w:sz w:val="18"/>
          <w:szCs w:val="18"/>
        </w:rPr>
        <w:t xml:space="preserve"> panorama fiscal para las empresas familiares dedicadas al arrendamiento de inmuebles se vuelve aún más complejo e incierto</w:t>
      </w:r>
      <w:r w:rsidR="00451818">
        <w:rPr>
          <w:rFonts w:ascii="Verdana" w:hAnsi="Verdana"/>
          <w:bCs/>
          <w:iCs/>
          <w:sz w:val="18"/>
          <w:szCs w:val="18"/>
        </w:rPr>
        <w:t xml:space="preserve"> tras u</w:t>
      </w:r>
      <w:r w:rsidR="00451818" w:rsidRPr="00451818">
        <w:rPr>
          <w:rFonts w:ascii="Verdana" w:hAnsi="Verdana" w:hint="cs"/>
          <w:bCs/>
          <w:iCs/>
          <w:sz w:val="18"/>
          <w:szCs w:val="18"/>
        </w:rPr>
        <w:t>na reciente sentencia</w:t>
      </w:r>
      <w:r w:rsidR="005D1ECD">
        <w:rPr>
          <w:rFonts w:ascii="Verdana" w:hAnsi="Verdana"/>
          <w:bCs/>
          <w:iCs/>
          <w:sz w:val="18"/>
          <w:szCs w:val="18"/>
        </w:rPr>
        <w:t xml:space="preserve">, 768/2025, </w:t>
      </w:r>
      <w:r w:rsidR="00451818" w:rsidRPr="00451818">
        <w:rPr>
          <w:rFonts w:ascii="Verdana" w:hAnsi="Verdana" w:hint="cs"/>
          <w:bCs/>
          <w:iCs/>
          <w:sz w:val="18"/>
          <w:szCs w:val="18"/>
        </w:rPr>
        <w:t>del Tribunal Superior de Justicia de Cataluña (TSJC</w:t>
      </w:r>
      <w:r w:rsidR="00401376" w:rsidRPr="00451818">
        <w:rPr>
          <w:rFonts w:ascii="Verdana" w:hAnsi="Verdana"/>
          <w:bCs/>
          <w:iCs/>
          <w:sz w:val="18"/>
          <w:szCs w:val="18"/>
        </w:rPr>
        <w:t>), fechada</w:t>
      </w:r>
      <w:r w:rsidR="00451818" w:rsidRPr="00451818">
        <w:rPr>
          <w:rFonts w:ascii="Verdana" w:hAnsi="Verdana" w:hint="cs"/>
          <w:bCs/>
          <w:iCs/>
          <w:sz w:val="18"/>
          <w:szCs w:val="18"/>
        </w:rPr>
        <w:t> el 10 de marzo,</w:t>
      </w:r>
      <w:r w:rsidR="00451818">
        <w:rPr>
          <w:rFonts w:ascii="Verdana" w:hAnsi="Verdana"/>
          <w:bCs/>
          <w:iCs/>
          <w:sz w:val="18"/>
          <w:szCs w:val="18"/>
        </w:rPr>
        <w:t xml:space="preserve"> que</w:t>
      </w:r>
      <w:r w:rsidR="00451818" w:rsidRPr="00451818">
        <w:rPr>
          <w:rFonts w:ascii="Verdana" w:hAnsi="Verdana" w:hint="cs"/>
          <w:bCs/>
          <w:iCs/>
          <w:sz w:val="18"/>
          <w:szCs w:val="18"/>
        </w:rPr>
        <w:t xml:space="preserve"> </w:t>
      </w:r>
      <w:r w:rsidR="00451818" w:rsidRPr="00451818">
        <w:rPr>
          <w:rFonts w:ascii="Verdana" w:hAnsi="Verdana" w:hint="cs"/>
          <w:b/>
          <w:iCs/>
          <w:sz w:val="18"/>
          <w:szCs w:val="18"/>
        </w:rPr>
        <w:t>contradice frontalmente</w:t>
      </w:r>
      <w:r w:rsidR="00451818" w:rsidRPr="00451818">
        <w:rPr>
          <w:rFonts w:ascii="Verdana" w:hAnsi="Verdana" w:hint="cs"/>
          <w:bCs/>
          <w:iCs/>
          <w:sz w:val="18"/>
          <w:szCs w:val="18"/>
        </w:rPr>
        <w:t xml:space="preserve"> un criterio establecido previamente por el Tribunal Económico-Administrativo Central (TEAC).</w:t>
      </w:r>
    </w:p>
    <w:p w14:paraId="6B275FBC" w14:textId="77777777" w:rsidR="00451818" w:rsidRPr="00451818"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t xml:space="preserve">La controversia gira en torno a una cuestión clave: </w:t>
      </w:r>
      <w:r w:rsidRPr="00451818">
        <w:rPr>
          <w:rFonts w:ascii="Verdana" w:hAnsi="Verdana" w:hint="cs"/>
          <w:b/>
          <w:iCs/>
          <w:sz w:val="18"/>
          <w:szCs w:val="18"/>
        </w:rPr>
        <w:t>si los inmuebles que una sociedad familiar alquila a sus propios socios o familiares directos deben considerarse "afectos" a la actividad económica, incluso cuando dicho alquiler se realiza a precios de mercado</w:t>
      </w:r>
      <w:r w:rsidRPr="00451818">
        <w:rPr>
          <w:rFonts w:ascii="Verdana" w:hAnsi="Verdana" w:hint="cs"/>
          <w:bCs/>
          <w:iCs/>
          <w:sz w:val="18"/>
          <w:szCs w:val="18"/>
        </w:rPr>
        <w:t>. La consideración de "afecto" es crucial, ya que es un requisito indispensable para poder beneficiarse de la exención en el Impuesto sobre el Patrimonio (IP) y, consecuentemente, de la importante bonificación aplicable a las empresas familiares en el Impuesto sobre Sucesiones y Donaciones.</w:t>
      </w:r>
    </w:p>
    <w:p w14:paraId="6090AA8D" w14:textId="64BEFDB0" w:rsidR="00451818" w:rsidRPr="00451818" w:rsidRDefault="00451818" w:rsidP="00451818">
      <w:pPr>
        <w:spacing w:after="160" w:line="259" w:lineRule="auto"/>
        <w:ind w:left="284"/>
        <w:jc w:val="both"/>
        <w:rPr>
          <w:rFonts w:ascii="Verdana" w:hAnsi="Verdana"/>
          <w:bCs/>
          <w:iCs/>
          <w:sz w:val="18"/>
          <w:szCs w:val="18"/>
        </w:rPr>
      </w:pPr>
      <w:r w:rsidRPr="00451818">
        <w:rPr>
          <w:rFonts w:ascii="Verdana" w:hAnsi="Verdana" w:hint="cs"/>
          <w:b/>
          <w:iCs/>
          <w:sz w:val="18"/>
          <w:szCs w:val="18"/>
        </w:rPr>
        <w:t>El TEAC</w:t>
      </w:r>
      <w:r w:rsidRPr="00451818">
        <w:rPr>
          <w:rFonts w:ascii="Verdana" w:hAnsi="Verdana" w:hint="cs"/>
          <w:bCs/>
          <w:iCs/>
          <w:sz w:val="18"/>
          <w:szCs w:val="18"/>
        </w:rPr>
        <w:t xml:space="preserve"> había sido tajante al respecto, concluyendo que estos inmuebles alquilados a familiares </w:t>
      </w:r>
      <w:r w:rsidRPr="00451818">
        <w:rPr>
          <w:rFonts w:ascii="Verdana" w:hAnsi="Verdana" w:hint="cs"/>
          <w:b/>
          <w:iCs/>
          <w:sz w:val="18"/>
          <w:szCs w:val="18"/>
        </w:rPr>
        <w:t>no se consideraban afectos a la actividad empresarial</w:t>
      </w:r>
      <w:r w:rsidRPr="00451818">
        <w:rPr>
          <w:rFonts w:ascii="Verdana" w:hAnsi="Verdana" w:hint="cs"/>
          <w:bCs/>
          <w:iCs/>
          <w:sz w:val="18"/>
          <w:szCs w:val="18"/>
        </w:rPr>
        <w:t xml:space="preserve">, cerrando la puerta a dichos beneficios fiscales en esos casos específicos, independientemente de que la renta pactada fuera la de mercado. </w:t>
      </w:r>
    </w:p>
    <w:p w14:paraId="28EBDBC9" w14:textId="559A194B" w:rsidR="00451818" w:rsidRPr="00513AB3"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lastRenderedPageBreak/>
        <w:t xml:space="preserve">Sin embargo, el TSJ de Cataluña, en su sentencia, ha adoptado una postura diametralmente opuesta. Desestima un recurso interpuesto por la Generalitat de Cataluña, que defendía el criterio restrictivo similar al del TEAC. La base de la decisión del TSJC no radica en una nueva interpretación de la ley, </w:t>
      </w:r>
      <w:r w:rsidRPr="00451818">
        <w:rPr>
          <w:rFonts w:ascii="Verdana" w:hAnsi="Verdana" w:hint="cs"/>
          <w:b/>
          <w:iCs/>
          <w:sz w:val="18"/>
          <w:szCs w:val="18"/>
        </w:rPr>
        <w:t>sino en la aplicación directa de una consulta vinculante emitida por la Dirección General de Tributos (DGT).</w:t>
      </w:r>
      <w:r w:rsidR="00513AB3">
        <w:rPr>
          <w:rFonts w:ascii="Verdana" w:hAnsi="Verdana"/>
          <w:b/>
          <w:iCs/>
          <w:sz w:val="18"/>
          <w:szCs w:val="18"/>
        </w:rPr>
        <w:t xml:space="preserve"> </w:t>
      </w:r>
    </w:p>
    <w:p w14:paraId="7B5B6B75" w14:textId="77777777" w:rsidR="00451818" w:rsidRPr="00451818"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t>Concretamente, el TSJC se apoya en la consulta V1255/2020, de 5 de mayo de 2020. En dicha consulta, la DGT manifestó que "</w:t>
      </w:r>
      <w:r w:rsidRPr="007B73FD">
        <w:rPr>
          <w:rFonts w:ascii="Verdana" w:hAnsi="Verdana" w:hint="cs"/>
          <w:b/>
          <w:iCs/>
          <w:sz w:val="18"/>
          <w:szCs w:val="18"/>
        </w:rPr>
        <w:t>si los inmuebles que se arriendan por la entidad a miembros del grupo familiar lo son a valor de mercado, pueden considerarse necesarios para la obtención de rendimientos y, por tanto, considerar que están afectos</w:t>
      </w:r>
      <w:r w:rsidRPr="00451818">
        <w:rPr>
          <w:rFonts w:ascii="Verdana" w:hAnsi="Verdana" w:hint="cs"/>
          <w:bCs/>
          <w:iCs/>
          <w:sz w:val="18"/>
          <w:szCs w:val="18"/>
        </w:rPr>
        <w:t>".</w:t>
      </w:r>
    </w:p>
    <w:p w14:paraId="7D36659B" w14:textId="454087E3" w:rsidR="00451818" w:rsidRPr="00451818" w:rsidRDefault="00401376" w:rsidP="00451818">
      <w:pPr>
        <w:spacing w:after="160" w:line="259" w:lineRule="auto"/>
        <w:ind w:left="284"/>
        <w:jc w:val="both"/>
        <w:rPr>
          <w:rFonts w:ascii="Verdana" w:hAnsi="Verdana"/>
          <w:bCs/>
          <w:iCs/>
          <w:sz w:val="18"/>
          <w:szCs w:val="18"/>
        </w:rPr>
      </w:pPr>
      <w:r>
        <w:rPr>
          <w:rFonts w:ascii="Verdana" w:hAnsi="Verdana"/>
          <w:bCs/>
          <w:iCs/>
          <w:sz w:val="18"/>
          <w:szCs w:val="18"/>
        </w:rPr>
        <w:t>S</w:t>
      </w:r>
      <w:r w:rsidR="00451818" w:rsidRPr="00451818">
        <w:rPr>
          <w:rFonts w:ascii="Verdana" w:hAnsi="Verdana" w:hint="cs"/>
          <w:bCs/>
          <w:iCs/>
          <w:sz w:val="18"/>
          <w:szCs w:val="18"/>
        </w:rPr>
        <w:t xml:space="preserve">e trata de una cuestión muy importante y </w:t>
      </w:r>
      <w:r w:rsidR="005D1ECD">
        <w:rPr>
          <w:rFonts w:ascii="Verdana" w:hAnsi="Verdana"/>
          <w:bCs/>
          <w:iCs/>
          <w:sz w:val="18"/>
          <w:szCs w:val="18"/>
        </w:rPr>
        <w:t xml:space="preserve">no </w:t>
      </w:r>
      <w:r w:rsidR="00451818" w:rsidRPr="00451818">
        <w:rPr>
          <w:rFonts w:ascii="Verdana" w:hAnsi="Verdana" w:hint="cs"/>
          <w:bCs/>
          <w:iCs/>
          <w:sz w:val="18"/>
          <w:szCs w:val="18"/>
        </w:rPr>
        <w:t xml:space="preserve">sólo se está generando inseguridad jurídica. </w:t>
      </w:r>
    </w:p>
    <w:p w14:paraId="2AE4E020" w14:textId="1080A2E3" w:rsidR="00451818" w:rsidRPr="00451818"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t>Así es el criterio y sus consecuencias para la empresa</w:t>
      </w:r>
      <w:r w:rsidR="00011E2E">
        <w:rPr>
          <w:rFonts w:ascii="Verdana" w:hAnsi="Verdana"/>
          <w:bCs/>
          <w:iCs/>
          <w:sz w:val="18"/>
          <w:szCs w:val="18"/>
        </w:rPr>
        <w:t>:</w:t>
      </w:r>
    </w:p>
    <w:p w14:paraId="2976E5FF" w14:textId="2715F5BA" w:rsidR="00451818" w:rsidRPr="00451818"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t>El TSJ</w:t>
      </w:r>
      <w:r w:rsidR="00011E2E">
        <w:rPr>
          <w:rFonts w:ascii="Verdana" w:hAnsi="Verdana"/>
          <w:bCs/>
          <w:iCs/>
          <w:sz w:val="18"/>
          <w:szCs w:val="18"/>
        </w:rPr>
        <w:t xml:space="preserve">C </w:t>
      </w:r>
      <w:r w:rsidRPr="00451818">
        <w:rPr>
          <w:rFonts w:ascii="Verdana" w:hAnsi="Verdana" w:hint="cs"/>
          <w:bCs/>
          <w:iCs/>
          <w:sz w:val="18"/>
          <w:szCs w:val="18"/>
        </w:rPr>
        <w:t xml:space="preserve">fundamenta su fallo recordando el artículo 89.1 de la Ley General Tributaria (LGT). Este artículo establece que las respuestas a consultas tributarias escritas tienen carácter vinculante para la Administración tributaria en su relación con el consultante. Además, y de forma crucial para este caso, </w:t>
      </w:r>
      <w:r w:rsidRPr="00451818">
        <w:rPr>
          <w:rFonts w:ascii="Verdana" w:hAnsi="Verdana" w:hint="cs"/>
          <w:b/>
          <w:iCs/>
          <w:sz w:val="18"/>
          <w:szCs w:val="18"/>
        </w:rPr>
        <w:t>obliga a los órganos de aplicación de los tributos a aplicar los criterios de dichas consultas a cualquier contribuyente, siempre que exista identidad entre los hechos y circunstancias del caso y los de la consulta respondida</w:t>
      </w:r>
      <w:r w:rsidRPr="00451818">
        <w:rPr>
          <w:rFonts w:ascii="Verdana" w:hAnsi="Verdana" w:hint="cs"/>
          <w:bCs/>
          <w:iCs/>
          <w:sz w:val="18"/>
          <w:szCs w:val="18"/>
        </w:rPr>
        <w:t>.</w:t>
      </w:r>
    </w:p>
    <w:p w14:paraId="51622E38" w14:textId="1CC4938F" w:rsidR="00451818" w:rsidRDefault="00451818" w:rsidP="00451818">
      <w:pPr>
        <w:spacing w:after="160" w:line="259" w:lineRule="auto"/>
        <w:ind w:left="284"/>
        <w:jc w:val="both"/>
        <w:rPr>
          <w:rFonts w:ascii="Verdana" w:hAnsi="Verdana"/>
          <w:bCs/>
          <w:iCs/>
          <w:sz w:val="18"/>
          <w:szCs w:val="18"/>
        </w:rPr>
      </w:pPr>
      <w:r w:rsidRPr="00451818">
        <w:rPr>
          <w:rFonts w:ascii="Verdana" w:hAnsi="Verdana" w:hint="cs"/>
          <w:bCs/>
          <w:iCs/>
          <w:sz w:val="18"/>
          <w:szCs w:val="18"/>
        </w:rPr>
        <w:t>En esencia, el TSJ</w:t>
      </w:r>
      <w:r w:rsidR="005D1ECD">
        <w:rPr>
          <w:rFonts w:ascii="Verdana" w:hAnsi="Verdana"/>
          <w:bCs/>
          <w:iCs/>
          <w:sz w:val="18"/>
          <w:szCs w:val="18"/>
        </w:rPr>
        <w:t>C</w:t>
      </w:r>
      <w:r w:rsidRPr="00451818">
        <w:rPr>
          <w:rFonts w:ascii="Verdana" w:hAnsi="Verdana" w:hint="cs"/>
          <w:bCs/>
          <w:iCs/>
          <w:sz w:val="18"/>
          <w:szCs w:val="18"/>
        </w:rPr>
        <w:t xml:space="preserve"> considera que la Dirección General de Tributos </w:t>
      </w:r>
      <w:r w:rsidRPr="007B73FD">
        <w:rPr>
          <w:rFonts w:ascii="Verdana" w:hAnsi="Verdana" w:hint="cs"/>
          <w:b/>
          <w:iCs/>
          <w:sz w:val="18"/>
          <w:szCs w:val="18"/>
        </w:rPr>
        <w:t xml:space="preserve">ya fijó un criterio vinculante favorable a la afectación </w:t>
      </w:r>
      <w:r w:rsidRPr="00451818">
        <w:rPr>
          <w:rFonts w:ascii="Verdana" w:hAnsi="Verdana" w:hint="cs"/>
          <w:bCs/>
          <w:iCs/>
          <w:sz w:val="18"/>
          <w:szCs w:val="18"/>
        </w:rPr>
        <w:t>en 2020 y que la Administración (en este caso, representada por la Generalitat en su recurso) debe acatarlo. La cuestión es de gran calado económico y afecta a la planificación patrimonial y sucesoria de numerosas familias empresarias en España. La inseguridad jurídica resultante es máxima para las empresas familiares que operan en el sector inmobiliario sobre el criterio</w:t>
      </w:r>
      <w:r w:rsidR="00011E2E">
        <w:rPr>
          <w:rFonts w:ascii="Verdana" w:hAnsi="Verdana"/>
          <w:bCs/>
          <w:iCs/>
          <w:sz w:val="18"/>
          <w:szCs w:val="18"/>
        </w:rPr>
        <w:t xml:space="preserve"> que</w:t>
      </w:r>
      <w:r w:rsidRPr="00451818">
        <w:rPr>
          <w:rFonts w:ascii="Verdana" w:hAnsi="Verdana" w:hint="cs"/>
          <w:bCs/>
          <w:iCs/>
          <w:sz w:val="18"/>
          <w:szCs w:val="18"/>
        </w:rPr>
        <w:t xml:space="preserve"> deben seguir. Bien el del TEAC, más restrictivo, o de la DGT.</w:t>
      </w:r>
    </w:p>
    <w:p w14:paraId="2E2CDDF3" w14:textId="75BB26EC" w:rsidR="00451818" w:rsidRDefault="00451818" w:rsidP="00827697">
      <w:pPr>
        <w:spacing w:after="160" w:line="259" w:lineRule="auto"/>
        <w:ind w:left="284"/>
        <w:jc w:val="both"/>
        <w:rPr>
          <w:rFonts w:ascii="Verdana" w:hAnsi="Verdana"/>
          <w:bCs/>
          <w:iCs/>
          <w:sz w:val="18"/>
          <w:szCs w:val="18"/>
        </w:rPr>
      </w:pPr>
      <w:r>
        <w:rPr>
          <w:rFonts w:ascii="Verdana" w:hAnsi="Verdana"/>
          <w:bCs/>
          <w:iCs/>
          <w:sz w:val="18"/>
          <w:szCs w:val="18"/>
        </w:rPr>
        <w:t xml:space="preserve">Al final, tendrá que ser el Tribunal Supremo quien establezca qué criterio deberá ser el que </w:t>
      </w:r>
      <w:r w:rsidR="007B73FD">
        <w:rPr>
          <w:rFonts w:ascii="Verdana" w:hAnsi="Verdana"/>
          <w:bCs/>
          <w:iCs/>
          <w:sz w:val="18"/>
          <w:szCs w:val="18"/>
        </w:rPr>
        <w:t>prevalezca</w:t>
      </w:r>
      <w:r>
        <w:rPr>
          <w:rFonts w:ascii="Verdana" w:hAnsi="Verdana"/>
          <w:bCs/>
          <w:iCs/>
          <w:sz w:val="18"/>
          <w:szCs w:val="18"/>
        </w:rPr>
        <w:t>.</w:t>
      </w:r>
    </w:p>
    <w:p w14:paraId="7967755A" w14:textId="77777777" w:rsidR="00827697" w:rsidRDefault="00827697" w:rsidP="00E379E0">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F26C7" w:rsidRPr="00CF26C7" w14:paraId="346BAEAF" w14:textId="77777777" w:rsidTr="00C320A8">
        <w:tc>
          <w:tcPr>
            <w:tcW w:w="180" w:type="dxa"/>
            <w:shd w:val="clear" w:color="auto" w:fill="FF6600"/>
          </w:tcPr>
          <w:p w14:paraId="2E040E3A" w14:textId="77777777" w:rsidR="00CF26C7" w:rsidRPr="00CF26C7" w:rsidRDefault="00CF26C7" w:rsidP="00C320A8">
            <w:pPr>
              <w:pStyle w:val="Textoindependiente"/>
              <w:rPr>
                <w:rFonts w:ascii="Verdana" w:hAnsi="Verdana"/>
                <w:color w:val="800000"/>
                <w:sz w:val="16"/>
                <w:szCs w:val="16"/>
              </w:rPr>
            </w:pPr>
            <w:bookmarkStart w:id="1" w:name="_Hlk198912825"/>
          </w:p>
        </w:tc>
        <w:tc>
          <w:tcPr>
            <w:tcW w:w="8460" w:type="dxa"/>
          </w:tcPr>
          <w:p w14:paraId="6CA29644" w14:textId="106EC0D5" w:rsidR="00CF26C7" w:rsidRPr="00CF26C7" w:rsidRDefault="00CF26C7" w:rsidP="00C320A8">
            <w:pPr>
              <w:pStyle w:val="Prrafodelista"/>
              <w:numPr>
                <w:ilvl w:val="0"/>
                <w:numId w:val="5"/>
              </w:numPr>
              <w:tabs>
                <w:tab w:val="clear" w:pos="720"/>
                <w:tab w:val="num" w:pos="242"/>
              </w:tabs>
              <w:ind w:left="384" w:hanging="283"/>
              <w:jc w:val="both"/>
              <w:rPr>
                <w:rFonts w:ascii="Verdana" w:hAnsi="Verdana"/>
                <w:b/>
                <w:bCs/>
                <w:color w:val="800000"/>
                <w:sz w:val="18"/>
                <w:szCs w:val="18"/>
              </w:rPr>
            </w:pPr>
            <w:r w:rsidRPr="00CF26C7">
              <w:rPr>
                <w:rFonts w:ascii="Verdana" w:hAnsi="Verdana"/>
                <w:b/>
                <w:bCs/>
                <w:color w:val="800000"/>
                <w:sz w:val="18"/>
                <w:szCs w:val="18"/>
              </w:rPr>
              <w:t xml:space="preserve">IMPUESTO SOBRE ACTOS JURÍDICOS DOCUMENTADOS. LA ASUNCIÓN DE LA DEUDA HIPOTECARIA POR EL COMPRADOR NO GENERA UN NUEVO PAGO DEL IMPUESTO </w:t>
            </w:r>
          </w:p>
        </w:tc>
      </w:tr>
      <w:bookmarkEnd w:id="1"/>
    </w:tbl>
    <w:p w14:paraId="6D2C520D" w14:textId="77777777" w:rsidR="00A532E5" w:rsidRDefault="00A532E5" w:rsidP="00E379E0">
      <w:pPr>
        <w:ind w:left="284"/>
        <w:jc w:val="both"/>
        <w:rPr>
          <w:rFonts w:ascii="Verdana" w:hAnsi="Verdana"/>
          <w:bCs/>
          <w:iCs/>
          <w:sz w:val="18"/>
          <w:szCs w:val="18"/>
        </w:rPr>
      </w:pPr>
    </w:p>
    <w:p w14:paraId="40A20D66" w14:textId="77777777" w:rsidR="00A532E5" w:rsidRDefault="00A532E5" w:rsidP="00A532E5">
      <w:pPr>
        <w:ind w:left="284"/>
        <w:jc w:val="both"/>
        <w:rPr>
          <w:rFonts w:ascii="Verdana" w:hAnsi="Verdana"/>
          <w:b/>
          <w:bCs/>
          <w:iCs/>
          <w:sz w:val="18"/>
          <w:szCs w:val="18"/>
        </w:rPr>
      </w:pPr>
      <w:r w:rsidRPr="00A532E5">
        <w:rPr>
          <w:rFonts w:ascii="Verdana" w:hAnsi="Verdana" w:hint="cs"/>
          <w:b/>
          <w:bCs/>
          <w:iCs/>
          <w:sz w:val="18"/>
          <w:szCs w:val="18"/>
        </w:rPr>
        <w:t>La Dirección General de Tributos termina con las dudas y confirma que la asunción de la deuda hipotecaria por el comprador no genera un nuevo pago del Impuesto sobre Actos Jurídicos Documentados.</w:t>
      </w:r>
    </w:p>
    <w:p w14:paraId="0F422C7D" w14:textId="77777777" w:rsidR="00CF26C7" w:rsidRPr="00A532E5" w:rsidRDefault="00CF26C7" w:rsidP="00A532E5">
      <w:pPr>
        <w:ind w:left="284"/>
        <w:jc w:val="both"/>
        <w:rPr>
          <w:rFonts w:ascii="Verdana" w:hAnsi="Verdana"/>
          <w:b/>
          <w:bCs/>
          <w:iCs/>
          <w:sz w:val="18"/>
          <w:szCs w:val="18"/>
        </w:rPr>
      </w:pPr>
    </w:p>
    <w:p w14:paraId="23E8DD52" w14:textId="7A28AB56" w:rsidR="00A532E5" w:rsidRDefault="00CF26C7" w:rsidP="00A532E5">
      <w:pPr>
        <w:ind w:left="284"/>
        <w:jc w:val="both"/>
        <w:rPr>
          <w:rFonts w:ascii="Verdana" w:hAnsi="Verdana"/>
          <w:bCs/>
          <w:iCs/>
          <w:sz w:val="18"/>
          <w:szCs w:val="18"/>
        </w:rPr>
      </w:pPr>
      <w:r>
        <w:rPr>
          <w:rFonts w:ascii="Verdana" w:hAnsi="Verdana"/>
          <w:bCs/>
          <w:iCs/>
          <w:sz w:val="18"/>
          <w:szCs w:val="18"/>
        </w:rPr>
        <w:t>C</w:t>
      </w:r>
      <w:r w:rsidR="00F5498A">
        <w:rPr>
          <w:rFonts w:ascii="Verdana" w:hAnsi="Verdana"/>
          <w:bCs/>
          <w:iCs/>
          <w:sz w:val="18"/>
          <w:szCs w:val="18"/>
        </w:rPr>
        <w:t>o</w:t>
      </w:r>
      <w:r>
        <w:rPr>
          <w:rFonts w:ascii="Verdana" w:hAnsi="Verdana"/>
          <w:bCs/>
          <w:iCs/>
          <w:sz w:val="18"/>
          <w:szCs w:val="18"/>
        </w:rPr>
        <w:t>n esta respuesta de la DGT se pone fin a la</w:t>
      </w:r>
      <w:r w:rsidR="00A532E5" w:rsidRPr="00A532E5">
        <w:rPr>
          <w:rFonts w:ascii="Verdana" w:hAnsi="Verdana" w:hint="cs"/>
          <w:bCs/>
          <w:iCs/>
          <w:sz w:val="18"/>
          <w:szCs w:val="18"/>
        </w:rPr>
        <w:t xml:space="preserve"> incertidumbre fiscal que afectaba tanto al sector inmobiliario como al bancario. </w:t>
      </w:r>
      <w:r>
        <w:rPr>
          <w:rFonts w:ascii="Verdana" w:hAnsi="Verdana"/>
          <w:bCs/>
          <w:iCs/>
          <w:sz w:val="18"/>
          <w:szCs w:val="18"/>
        </w:rPr>
        <w:t>Así, se termina</w:t>
      </w:r>
      <w:r w:rsidR="00A532E5" w:rsidRPr="00A532E5">
        <w:rPr>
          <w:rFonts w:ascii="Verdana" w:hAnsi="Verdana" w:hint="cs"/>
          <w:bCs/>
          <w:iCs/>
          <w:sz w:val="18"/>
          <w:szCs w:val="18"/>
        </w:rPr>
        <w:t xml:space="preserve"> con el </w:t>
      </w:r>
      <w:r w:rsidR="00A532E5" w:rsidRPr="00A532E5">
        <w:rPr>
          <w:rFonts w:ascii="Verdana" w:hAnsi="Verdana" w:hint="cs"/>
          <w:b/>
          <w:bCs/>
          <w:iCs/>
          <w:sz w:val="18"/>
          <w:szCs w:val="18"/>
        </w:rPr>
        <w:t>golpe fiscal en la compra de viviendas con subrogación hipotecaria</w:t>
      </w:r>
      <w:r w:rsidR="00A532E5" w:rsidRPr="00A532E5">
        <w:rPr>
          <w:rFonts w:ascii="Verdana" w:hAnsi="Verdana" w:hint="cs"/>
          <w:bCs/>
          <w:iCs/>
          <w:sz w:val="18"/>
          <w:szCs w:val="18"/>
        </w:rPr>
        <w:t>.</w:t>
      </w:r>
    </w:p>
    <w:p w14:paraId="48BA7F82" w14:textId="77777777" w:rsidR="00CF26C7" w:rsidRPr="00A532E5" w:rsidRDefault="00CF26C7" w:rsidP="00A532E5">
      <w:pPr>
        <w:ind w:left="284"/>
        <w:jc w:val="both"/>
        <w:rPr>
          <w:rFonts w:ascii="Verdana" w:hAnsi="Verdana"/>
          <w:bCs/>
          <w:iCs/>
          <w:sz w:val="18"/>
          <w:szCs w:val="18"/>
        </w:rPr>
      </w:pPr>
    </w:p>
    <w:p w14:paraId="377F4F68"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Tributos confirma que la asunción de la hipoteca por el comprador no genera un nuevo pago del </w:t>
      </w:r>
      <w:r w:rsidRPr="00A532E5">
        <w:rPr>
          <w:rFonts w:ascii="Verdana" w:hAnsi="Verdana" w:hint="cs"/>
          <w:b/>
          <w:bCs/>
          <w:iCs/>
          <w:sz w:val="18"/>
          <w:szCs w:val="18"/>
        </w:rPr>
        <w:t>Impuesto sobre Actos Jurídicos Documentados</w:t>
      </w:r>
      <w:r w:rsidRPr="00A532E5">
        <w:rPr>
          <w:rFonts w:ascii="Verdana" w:hAnsi="Verdana" w:hint="cs"/>
          <w:bCs/>
          <w:iCs/>
          <w:sz w:val="18"/>
          <w:szCs w:val="18"/>
        </w:rPr>
        <w:t>. En concreto, la DGT aclara en una consulta vinculante que la subrogación del deudor hipotecario que se produce en el contexto de una compraventa de un inmueble no está sujeta a la cuota gradual de la modalidad de Actos Jurídicos Documentados (AJD) del </w:t>
      </w:r>
      <w:r w:rsidRPr="00A532E5">
        <w:rPr>
          <w:rFonts w:ascii="Verdana" w:hAnsi="Verdana" w:hint="cs"/>
          <w:b/>
          <w:bCs/>
          <w:iCs/>
          <w:sz w:val="18"/>
          <w:szCs w:val="18"/>
        </w:rPr>
        <w:t>Impuesto sobre Transmisiones Patrimoniales</w:t>
      </w:r>
      <w:r w:rsidRPr="00A532E5">
        <w:rPr>
          <w:rFonts w:ascii="Verdana" w:hAnsi="Verdana" w:hint="cs"/>
          <w:bCs/>
          <w:iCs/>
          <w:sz w:val="18"/>
          <w:szCs w:val="18"/>
        </w:rPr>
        <w:t>.</w:t>
      </w:r>
    </w:p>
    <w:p w14:paraId="033B32F2" w14:textId="77777777" w:rsidR="00CF26C7" w:rsidRPr="00A532E5" w:rsidRDefault="00CF26C7" w:rsidP="00A532E5">
      <w:pPr>
        <w:ind w:left="284"/>
        <w:jc w:val="both"/>
        <w:rPr>
          <w:rFonts w:ascii="Verdana" w:hAnsi="Verdana"/>
          <w:bCs/>
          <w:iCs/>
          <w:sz w:val="18"/>
          <w:szCs w:val="18"/>
        </w:rPr>
      </w:pPr>
    </w:p>
    <w:p w14:paraId="06F8F3AB" w14:textId="3C5D939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 xml:space="preserve">Tal y como concluye </w:t>
      </w:r>
      <w:r w:rsidR="005D1ECD">
        <w:rPr>
          <w:rFonts w:ascii="Verdana" w:hAnsi="Verdana"/>
          <w:bCs/>
          <w:iCs/>
          <w:sz w:val="18"/>
          <w:szCs w:val="18"/>
        </w:rPr>
        <w:t>la DGT</w:t>
      </w:r>
      <w:r w:rsidRPr="00A532E5">
        <w:rPr>
          <w:rFonts w:ascii="Verdana" w:hAnsi="Verdana" w:hint="cs"/>
          <w:bCs/>
          <w:iCs/>
          <w:sz w:val="18"/>
          <w:szCs w:val="18"/>
        </w:rPr>
        <w:t>, "dicha subrogación no produce una inscripción distinta de la que origina la propia transmisión del inmueble" y ello "porque se entiende que </w:t>
      </w:r>
      <w:r w:rsidRPr="00A532E5">
        <w:rPr>
          <w:rFonts w:ascii="Verdana" w:hAnsi="Verdana" w:hint="cs"/>
          <w:b/>
          <w:bCs/>
          <w:iCs/>
          <w:sz w:val="18"/>
          <w:szCs w:val="18"/>
        </w:rPr>
        <w:t xml:space="preserve">la única operación inscribible es el cambio de titularidad </w:t>
      </w:r>
      <w:r w:rsidR="00011E2E">
        <w:rPr>
          <w:rFonts w:ascii="Verdana" w:hAnsi="Verdana"/>
          <w:b/>
          <w:bCs/>
          <w:iCs/>
          <w:sz w:val="18"/>
          <w:szCs w:val="18"/>
        </w:rPr>
        <w:t>d</w:t>
      </w:r>
      <w:r w:rsidRPr="00A532E5">
        <w:rPr>
          <w:rFonts w:ascii="Verdana" w:hAnsi="Verdana" w:hint="cs"/>
          <w:b/>
          <w:bCs/>
          <w:iCs/>
          <w:sz w:val="18"/>
          <w:szCs w:val="18"/>
        </w:rPr>
        <w:t>el bien transmitido que garantiza la hipoteca</w:t>
      </w:r>
      <w:r w:rsidRPr="00A532E5">
        <w:rPr>
          <w:rFonts w:ascii="Verdana" w:hAnsi="Verdana" w:hint="cs"/>
          <w:bCs/>
          <w:iCs/>
          <w:sz w:val="18"/>
          <w:szCs w:val="18"/>
        </w:rPr>
        <w:t>", dado que "no se vería afectada la hipoteca en sí misma considerada, ya que permanece inalterada".</w:t>
      </w:r>
    </w:p>
    <w:p w14:paraId="5D6F7944" w14:textId="77777777" w:rsidR="00CF26C7" w:rsidRPr="00A532E5" w:rsidRDefault="00CF26C7" w:rsidP="00A532E5">
      <w:pPr>
        <w:ind w:left="284"/>
        <w:jc w:val="both"/>
        <w:rPr>
          <w:rFonts w:ascii="Verdana" w:hAnsi="Verdana"/>
          <w:bCs/>
          <w:iCs/>
          <w:sz w:val="18"/>
          <w:szCs w:val="18"/>
        </w:rPr>
      </w:pPr>
    </w:p>
    <w:p w14:paraId="3CBDD48B" w14:textId="6EF83089"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Para entender la relevancia de este pronunciamiento, es necesario recordar los requisitos que establece </w:t>
      </w:r>
      <w:r w:rsidRPr="00A532E5">
        <w:rPr>
          <w:rFonts w:ascii="Verdana" w:hAnsi="Verdana" w:hint="cs"/>
          <w:b/>
          <w:bCs/>
          <w:iCs/>
          <w:sz w:val="18"/>
          <w:szCs w:val="18"/>
        </w:rPr>
        <w:t>el artículo 31.2 del Texto Refundido de la Ley del Impuesto sobre Transmisiones Patrimoniales y AJD para que un documento notarial quede sujeto a la cuota gradual de AJD</w:t>
      </w:r>
      <w:r w:rsidRPr="00A532E5">
        <w:rPr>
          <w:rFonts w:ascii="Verdana" w:hAnsi="Verdana" w:hint="cs"/>
          <w:bCs/>
          <w:iCs/>
          <w:sz w:val="18"/>
          <w:szCs w:val="18"/>
        </w:rPr>
        <w:t xml:space="preserve">. Estos son: ser una primera copia de escritura o acta notarial; tener contenido económico </w:t>
      </w:r>
      <w:r w:rsidR="00CF26C7" w:rsidRPr="00A532E5">
        <w:rPr>
          <w:rFonts w:ascii="Verdana" w:hAnsi="Verdana"/>
          <w:bCs/>
          <w:iCs/>
          <w:sz w:val="18"/>
          <w:szCs w:val="18"/>
        </w:rPr>
        <w:t>evaluable</w:t>
      </w:r>
      <w:r w:rsidRPr="00A532E5">
        <w:rPr>
          <w:rFonts w:ascii="Verdana" w:hAnsi="Verdana" w:hint="cs"/>
          <w:bCs/>
          <w:iCs/>
          <w:sz w:val="18"/>
          <w:szCs w:val="18"/>
        </w:rPr>
        <w:t>; documentar actos o contratos inscribibles en registros públicos (como el de la Propiedad) y, finalmente, no estar sujeto a otras modalidades del Impuesto ni al </w:t>
      </w:r>
      <w:r w:rsidRPr="00A532E5">
        <w:rPr>
          <w:rFonts w:ascii="Verdana" w:hAnsi="Verdana" w:hint="cs"/>
          <w:b/>
          <w:bCs/>
          <w:iCs/>
          <w:sz w:val="18"/>
          <w:szCs w:val="18"/>
        </w:rPr>
        <w:t>Impuesto sobre Sucesiones y Donaciones</w:t>
      </w:r>
      <w:r w:rsidRPr="00A532E5">
        <w:rPr>
          <w:rFonts w:ascii="Verdana" w:hAnsi="Verdana" w:hint="cs"/>
          <w:bCs/>
          <w:iCs/>
          <w:sz w:val="18"/>
          <w:szCs w:val="18"/>
        </w:rPr>
        <w:t>.</w:t>
      </w:r>
    </w:p>
    <w:p w14:paraId="18652F12" w14:textId="77777777" w:rsidR="00CF26C7" w:rsidRPr="00A532E5" w:rsidRDefault="00CF26C7" w:rsidP="00A532E5">
      <w:pPr>
        <w:ind w:left="284"/>
        <w:jc w:val="both"/>
        <w:rPr>
          <w:rFonts w:ascii="Verdana" w:hAnsi="Verdana"/>
          <w:bCs/>
          <w:iCs/>
          <w:sz w:val="18"/>
          <w:szCs w:val="18"/>
        </w:rPr>
      </w:pPr>
    </w:p>
    <w:p w14:paraId="598FB7BB" w14:textId="77777777" w:rsidR="00A532E5" w:rsidRDefault="00A532E5" w:rsidP="00A532E5">
      <w:pPr>
        <w:ind w:left="284"/>
        <w:jc w:val="both"/>
        <w:rPr>
          <w:rFonts w:ascii="Verdana" w:hAnsi="Verdana"/>
          <w:bCs/>
          <w:iCs/>
          <w:sz w:val="18"/>
          <w:szCs w:val="18"/>
        </w:rPr>
      </w:pPr>
      <w:r w:rsidRPr="00A532E5">
        <w:rPr>
          <w:rFonts w:ascii="Verdana" w:hAnsi="Verdana" w:hint="cs"/>
          <w:b/>
          <w:bCs/>
          <w:iCs/>
          <w:sz w:val="18"/>
          <w:szCs w:val="18"/>
        </w:rPr>
        <w:t>Tradicionalmente, el criterio de la DGT</w:t>
      </w:r>
      <w:r w:rsidRPr="00A532E5">
        <w:rPr>
          <w:rFonts w:ascii="Verdana" w:hAnsi="Verdana" w:hint="cs"/>
          <w:bCs/>
          <w:iCs/>
          <w:sz w:val="18"/>
          <w:szCs w:val="18"/>
        </w:rPr>
        <w:t> había sido que la subrogación de deudor hipotecario no tenía carácter inscribible propio y, por tanto, la escritura que la recogía no estaba sujeta a AJD. Sin embargo, </w:t>
      </w:r>
      <w:r w:rsidRPr="00A532E5">
        <w:rPr>
          <w:rFonts w:ascii="Verdana" w:hAnsi="Verdana" w:hint="cs"/>
          <w:b/>
          <w:bCs/>
          <w:iCs/>
          <w:sz w:val="18"/>
          <w:szCs w:val="18"/>
        </w:rPr>
        <w:t>esta postura se vio sacudida tras una sentencia del Tribunal Supremo de 20 de mayo de 2020</w:t>
      </w:r>
      <w:r w:rsidRPr="00A532E5">
        <w:rPr>
          <w:rFonts w:ascii="Verdana" w:hAnsi="Verdana" w:hint="cs"/>
          <w:bCs/>
          <w:iCs/>
          <w:sz w:val="18"/>
          <w:szCs w:val="18"/>
        </w:rPr>
        <w:t>. Esta sentencia consideró sujeta a AJD la liberación de codeudores de un préstamo hipotecario formalizada en escritura pública.</w:t>
      </w:r>
    </w:p>
    <w:p w14:paraId="2901D12E" w14:textId="77777777" w:rsidR="00CF26C7" w:rsidRPr="00A532E5" w:rsidRDefault="00CF26C7" w:rsidP="00A532E5">
      <w:pPr>
        <w:ind w:left="284"/>
        <w:jc w:val="both"/>
        <w:rPr>
          <w:rFonts w:ascii="Verdana" w:hAnsi="Verdana"/>
          <w:bCs/>
          <w:iCs/>
          <w:sz w:val="18"/>
          <w:szCs w:val="18"/>
        </w:rPr>
      </w:pPr>
    </w:p>
    <w:p w14:paraId="79885599"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En aplicación de dicha jurisprudencia del Supremo, </w:t>
      </w:r>
      <w:r w:rsidRPr="00A532E5">
        <w:rPr>
          <w:rFonts w:ascii="Verdana" w:hAnsi="Verdana" w:hint="cs"/>
          <w:b/>
          <w:bCs/>
          <w:iCs/>
          <w:sz w:val="18"/>
          <w:szCs w:val="18"/>
        </w:rPr>
        <w:t>Tributos emitió varias respuestas a consultas (V1148-22, V3397-20, V3116-20) </w:t>
      </w:r>
      <w:r w:rsidRPr="00A532E5">
        <w:rPr>
          <w:rFonts w:ascii="Verdana" w:hAnsi="Verdana" w:hint="cs"/>
          <w:bCs/>
          <w:iCs/>
          <w:sz w:val="18"/>
          <w:szCs w:val="18"/>
        </w:rPr>
        <w:t>que llevaron a determinar la tributación por la cuota variable de AJD de la sustitución del deudor original de un préstamo hipotecario por uno nuevo en caso de transmisión del inmueble hipotecado. Aunque estas consultas se referían a supuestos como la extinción de condominio o la liquidación de sociedad de gananciales, contenían una mención genérica a la "transmisión del inmueble hipotecado" que generó una notable preocupación en el sector, al sembrar la duda sobre la tributación de la subrogación en compraventas.</w:t>
      </w:r>
    </w:p>
    <w:p w14:paraId="58365227" w14:textId="77777777" w:rsidR="00CF26C7" w:rsidRPr="00A532E5" w:rsidRDefault="00CF26C7" w:rsidP="00A532E5">
      <w:pPr>
        <w:ind w:left="284"/>
        <w:jc w:val="both"/>
        <w:rPr>
          <w:rFonts w:ascii="Verdana" w:hAnsi="Verdana"/>
          <w:bCs/>
          <w:iCs/>
          <w:sz w:val="18"/>
          <w:szCs w:val="18"/>
        </w:rPr>
      </w:pPr>
    </w:p>
    <w:p w14:paraId="7E48D886" w14:textId="77777777" w:rsidR="00A532E5" w:rsidRPr="00A532E5" w:rsidRDefault="00A532E5" w:rsidP="00A532E5">
      <w:pPr>
        <w:ind w:left="284"/>
        <w:jc w:val="both"/>
        <w:rPr>
          <w:rFonts w:ascii="Verdana" w:hAnsi="Verdana"/>
          <w:bCs/>
          <w:iCs/>
          <w:sz w:val="18"/>
          <w:szCs w:val="18"/>
        </w:rPr>
      </w:pPr>
      <w:r w:rsidRPr="00A532E5">
        <w:rPr>
          <w:rFonts w:ascii="Verdana" w:hAnsi="Verdana" w:hint="cs"/>
          <w:bCs/>
          <w:iCs/>
          <w:sz w:val="18"/>
          <w:szCs w:val="18"/>
        </w:rPr>
        <w:t>Ahora, en la nueva consulta vinculante, la DGT justifica esta postura y distingue claramente el supuesto de la </w:t>
      </w:r>
      <w:r w:rsidRPr="00A532E5">
        <w:rPr>
          <w:rFonts w:ascii="Verdana" w:hAnsi="Verdana" w:hint="cs"/>
          <w:b/>
          <w:bCs/>
          <w:iCs/>
          <w:sz w:val="18"/>
          <w:szCs w:val="18"/>
        </w:rPr>
        <w:t>subrogación de deudor en una compraventa de inmueble </w:t>
      </w:r>
      <w:r w:rsidRPr="00A532E5">
        <w:rPr>
          <w:rFonts w:ascii="Verdana" w:hAnsi="Verdana" w:hint="cs"/>
          <w:bCs/>
          <w:iCs/>
          <w:sz w:val="18"/>
          <w:szCs w:val="18"/>
        </w:rPr>
        <w:t>de los hechos analizados por el Tribunal Supremo en su sentencia de 20 de mayo de 2020. La Dirección General de Tributos subraya que no existe la necesaria identidad de hechos y circunstancias entre ambos casos.</w:t>
      </w:r>
    </w:p>
    <w:p w14:paraId="439F1CF3" w14:textId="77777777" w:rsidR="00CF26C7" w:rsidRDefault="00CF26C7" w:rsidP="00A532E5">
      <w:pPr>
        <w:ind w:left="284"/>
        <w:jc w:val="both"/>
        <w:rPr>
          <w:rFonts w:ascii="Verdana" w:hAnsi="Verdana"/>
          <w:b/>
          <w:bCs/>
          <w:iCs/>
          <w:sz w:val="18"/>
          <w:szCs w:val="18"/>
        </w:rPr>
      </w:pPr>
    </w:p>
    <w:p w14:paraId="4BA775F4" w14:textId="36FA83CD" w:rsidR="00A532E5" w:rsidRPr="00A532E5" w:rsidRDefault="00A532E5" w:rsidP="00A532E5">
      <w:pPr>
        <w:ind w:left="284"/>
        <w:jc w:val="both"/>
        <w:rPr>
          <w:rFonts w:ascii="Verdana" w:hAnsi="Verdana"/>
          <w:b/>
          <w:bCs/>
          <w:iCs/>
          <w:sz w:val="18"/>
          <w:szCs w:val="18"/>
        </w:rPr>
      </w:pPr>
      <w:r w:rsidRPr="00A532E5">
        <w:rPr>
          <w:rFonts w:ascii="Verdana" w:hAnsi="Verdana" w:hint="cs"/>
          <w:b/>
          <w:bCs/>
          <w:iCs/>
          <w:sz w:val="18"/>
          <w:szCs w:val="18"/>
        </w:rPr>
        <w:t>Una sola operación</w:t>
      </w:r>
    </w:p>
    <w:p w14:paraId="7264F36B"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A juicio de la DGT, la jurisprudencia del Supremo se refería a situaciones donde se produjo una redistribución de la responsabilidad hipotecaria a través de dos escrituras diferentes (extinción de condominio y liberación de codeudores), resultando en la adjudicación de un inmueble a una pareja que asumía los préstamos, liberando a otros propietarios. Por el contrario, </w:t>
      </w:r>
      <w:r w:rsidRPr="00A532E5">
        <w:rPr>
          <w:rFonts w:ascii="Verdana" w:hAnsi="Verdana" w:hint="cs"/>
          <w:b/>
          <w:bCs/>
          <w:iCs/>
          <w:sz w:val="18"/>
          <w:szCs w:val="18"/>
        </w:rPr>
        <w:t>en una subrogación de deudor en el contexto de una compraventa, se realiza un único negocio jurídico inscribible sujeto a AJD: la compraventa del inmueble</w:t>
      </w:r>
      <w:r w:rsidRPr="00A532E5">
        <w:rPr>
          <w:rFonts w:ascii="Verdana" w:hAnsi="Verdana" w:hint="cs"/>
          <w:bCs/>
          <w:iCs/>
          <w:sz w:val="18"/>
          <w:szCs w:val="18"/>
        </w:rPr>
        <w:t>.</w:t>
      </w:r>
    </w:p>
    <w:p w14:paraId="3E99CCBA" w14:textId="77777777" w:rsidR="00CF26C7" w:rsidRDefault="00CF26C7" w:rsidP="00A532E5">
      <w:pPr>
        <w:ind w:left="284"/>
        <w:jc w:val="both"/>
        <w:rPr>
          <w:rFonts w:ascii="Verdana" w:hAnsi="Verdana"/>
          <w:bCs/>
          <w:iCs/>
          <w:sz w:val="18"/>
          <w:szCs w:val="18"/>
        </w:rPr>
      </w:pPr>
    </w:p>
    <w:p w14:paraId="25DB51A6"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Este reciente pronunciamiento de la Dirección General de Tributos es de gran importancia práctica. Proporciona seguridad jurídica a los contribuyentes en lo referente a la tributación por AJD de las compraventas con subrogación del comprador en la posición del deudor hipotecario. Asimismo, facilita el desarrollo normal de este tipo de operaciones, que son muy frecuentes tanto en el ámbito empresarial como entre particulares. </w:t>
      </w:r>
      <w:r w:rsidRPr="00A532E5">
        <w:rPr>
          <w:rFonts w:ascii="Verdana" w:hAnsi="Verdana" w:hint="cs"/>
          <w:b/>
          <w:bCs/>
          <w:iCs/>
          <w:sz w:val="18"/>
          <w:szCs w:val="18"/>
        </w:rPr>
        <w:t>Con esta aclaración, se disipan las dudas que pesaban sobre estas transacciones</w:t>
      </w:r>
      <w:r w:rsidRPr="00A532E5">
        <w:rPr>
          <w:rFonts w:ascii="Verdana" w:hAnsi="Verdana" w:hint="cs"/>
          <w:bCs/>
          <w:iCs/>
          <w:sz w:val="18"/>
          <w:szCs w:val="18"/>
        </w:rPr>
        <w:t>.</w:t>
      </w:r>
    </w:p>
    <w:p w14:paraId="7A1F37A5" w14:textId="77777777" w:rsidR="00CF26C7" w:rsidRPr="00A532E5" w:rsidRDefault="00CF26C7" w:rsidP="00A532E5">
      <w:pPr>
        <w:ind w:left="284"/>
        <w:jc w:val="both"/>
        <w:rPr>
          <w:rFonts w:ascii="Verdana" w:hAnsi="Verdana"/>
          <w:bCs/>
          <w:iCs/>
          <w:sz w:val="18"/>
          <w:szCs w:val="18"/>
        </w:rPr>
      </w:pPr>
    </w:p>
    <w:p w14:paraId="69D817DB" w14:textId="597BFA9B" w:rsidR="00A532E5" w:rsidRPr="00A532E5" w:rsidRDefault="00A532E5" w:rsidP="00A532E5">
      <w:pPr>
        <w:ind w:left="284"/>
        <w:jc w:val="both"/>
        <w:rPr>
          <w:rFonts w:ascii="Verdana" w:hAnsi="Verdana"/>
          <w:b/>
          <w:bCs/>
          <w:iCs/>
          <w:sz w:val="18"/>
          <w:szCs w:val="18"/>
        </w:rPr>
      </w:pPr>
      <w:r w:rsidRPr="00A532E5">
        <w:rPr>
          <w:rFonts w:ascii="Verdana" w:hAnsi="Verdana" w:hint="cs"/>
          <w:b/>
          <w:bCs/>
          <w:iCs/>
          <w:sz w:val="18"/>
          <w:szCs w:val="18"/>
        </w:rPr>
        <w:t>La hipoteca permanece inalterada</w:t>
      </w:r>
    </w:p>
    <w:p w14:paraId="2218227F"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Un aspecto crucial y específico de la conclusión de la Dirección General de Tributos (DGT) es el </w:t>
      </w:r>
      <w:r w:rsidRPr="00A532E5">
        <w:rPr>
          <w:rFonts w:ascii="Verdana" w:hAnsi="Verdana" w:hint="cs"/>
          <w:b/>
          <w:bCs/>
          <w:iCs/>
          <w:sz w:val="18"/>
          <w:szCs w:val="18"/>
        </w:rPr>
        <w:t>análisis detallado de la Sentencia del Tribunal Supremo de 2020 </w:t>
      </w:r>
      <w:r w:rsidRPr="00A532E5">
        <w:rPr>
          <w:rFonts w:ascii="Verdana" w:hAnsi="Verdana" w:hint="cs"/>
          <w:bCs/>
          <w:iCs/>
          <w:sz w:val="18"/>
          <w:szCs w:val="18"/>
        </w:rPr>
        <w:t>y por qué su doctrina legal no se aplica al caso.</w:t>
      </w:r>
    </w:p>
    <w:p w14:paraId="4CD84A07" w14:textId="77777777" w:rsidR="00F5498A" w:rsidRPr="00A532E5" w:rsidRDefault="00F5498A" w:rsidP="00A532E5">
      <w:pPr>
        <w:ind w:left="284"/>
        <w:jc w:val="both"/>
        <w:rPr>
          <w:rFonts w:ascii="Verdana" w:hAnsi="Verdana"/>
          <w:bCs/>
          <w:iCs/>
          <w:sz w:val="18"/>
          <w:szCs w:val="18"/>
        </w:rPr>
      </w:pPr>
    </w:p>
    <w:p w14:paraId="12F0383B"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El </w:t>
      </w:r>
      <w:r w:rsidRPr="00A532E5">
        <w:rPr>
          <w:rFonts w:ascii="Verdana" w:hAnsi="Verdana" w:hint="cs"/>
          <w:b/>
          <w:bCs/>
          <w:iCs/>
          <w:sz w:val="18"/>
          <w:szCs w:val="18"/>
        </w:rPr>
        <w:t>Supremo </w:t>
      </w:r>
      <w:r w:rsidRPr="00A532E5">
        <w:rPr>
          <w:rFonts w:ascii="Verdana" w:hAnsi="Verdana" w:hint="cs"/>
          <w:bCs/>
          <w:iCs/>
          <w:sz w:val="18"/>
          <w:szCs w:val="18"/>
        </w:rPr>
        <w:t>estableció en esa sentencia que la liberación de codeudores en un préstamo hipotecario, documentada en escritura pública (a menudo vinculada a operaciones como la disolución de condominio), sí está sujeta a </w:t>
      </w:r>
      <w:r w:rsidRPr="00A532E5">
        <w:rPr>
          <w:rFonts w:ascii="Verdana" w:hAnsi="Verdana" w:hint="cs"/>
          <w:b/>
          <w:bCs/>
          <w:iCs/>
          <w:sz w:val="18"/>
          <w:szCs w:val="18"/>
        </w:rPr>
        <w:t>AJD</w:t>
      </w:r>
      <w:r w:rsidRPr="00A532E5">
        <w:rPr>
          <w:rFonts w:ascii="Verdana" w:hAnsi="Verdana" w:hint="cs"/>
          <w:bCs/>
          <w:iCs/>
          <w:sz w:val="18"/>
          <w:szCs w:val="18"/>
        </w:rPr>
        <w:t>. Su razonamiento se basaba en que, aunque la hipoteca no cambie, se produce una modificación subjetiva de los responsables con acceso al registro. Esta sentencia llevó a la DGT a </w:t>
      </w:r>
      <w:r w:rsidRPr="00A532E5">
        <w:rPr>
          <w:rFonts w:ascii="Verdana" w:hAnsi="Verdana" w:hint="cs"/>
          <w:b/>
          <w:bCs/>
          <w:iCs/>
          <w:sz w:val="18"/>
          <w:szCs w:val="18"/>
        </w:rPr>
        <w:t>modificar su criterio en casos idénticos de liberación de codeudores</w:t>
      </w:r>
      <w:r w:rsidRPr="00A532E5">
        <w:rPr>
          <w:rFonts w:ascii="Verdana" w:hAnsi="Verdana" w:hint="cs"/>
          <w:bCs/>
          <w:iCs/>
          <w:sz w:val="18"/>
          <w:szCs w:val="18"/>
        </w:rPr>
        <w:t>.</w:t>
      </w:r>
    </w:p>
    <w:p w14:paraId="07358CFD" w14:textId="77777777" w:rsidR="00CF26C7" w:rsidRPr="00A532E5" w:rsidRDefault="00CF26C7" w:rsidP="00A532E5">
      <w:pPr>
        <w:ind w:left="284"/>
        <w:jc w:val="both"/>
        <w:rPr>
          <w:rFonts w:ascii="Verdana" w:hAnsi="Verdana"/>
          <w:bCs/>
          <w:iCs/>
          <w:sz w:val="18"/>
          <w:szCs w:val="18"/>
        </w:rPr>
      </w:pPr>
    </w:p>
    <w:p w14:paraId="24A9FDF6"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Sin embargo, </w:t>
      </w:r>
      <w:r w:rsidRPr="00A532E5">
        <w:rPr>
          <w:rFonts w:ascii="Verdana" w:hAnsi="Verdana" w:hint="cs"/>
          <w:b/>
          <w:bCs/>
          <w:iCs/>
          <w:sz w:val="18"/>
          <w:szCs w:val="18"/>
        </w:rPr>
        <w:t>en el caso de la subrogación de un comprador en la hipoteca del vendedor dentro de una compraventa</w:t>
      </w:r>
      <w:r w:rsidRPr="00A532E5">
        <w:rPr>
          <w:rFonts w:ascii="Verdana" w:hAnsi="Verdana" w:hint="cs"/>
          <w:bCs/>
          <w:iCs/>
          <w:sz w:val="18"/>
          <w:szCs w:val="18"/>
        </w:rPr>
        <w:t>, la DGT argumenta que no existe una "identidad plena entre los hechos y circunstancias" con el supuesto analizado por el Supremo. A su juicio, la sentencia se refería a situaciones donde había una redistribución de responsabilidad entre varios codeudores preexistentes, a menudo formalizada en varias operaciones (como disolución de condominio y posterior novación/liberación).</w:t>
      </w:r>
    </w:p>
    <w:p w14:paraId="272AA602" w14:textId="77777777" w:rsidR="00CF26C7" w:rsidRPr="00A532E5" w:rsidRDefault="00CF26C7" w:rsidP="00A532E5">
      <w:pPr>
        <w:ind w:left="284"/>
        <w:jc w:val="both"/>
        <w:rPr>
          <w:rFonts w:ascii="Verdana" w:hAnsi="Verdana"/>
          <w:bCs/>
          <w:iCs/>
          <w:sz w:val="18"/>
          <w:szCs w:val="18"/>
        </w:rPr>
      </w:pPr>
    </w:p>
    <w:p w14:paraId="288087A2" w14:textId="77777777" w:rsidR="00A532E5" w:rsidRDefault="00A532E5" w:rsidP="00A532E5">
      <w:pPr>
        <w:ind w:left="284"/>
        <w:jc w:val="both"/>
        <w:rPr>
          <w:rFonts w:ascii="Verdana" w:hAnsi="Verdana"/>
          <w:bCs/>
          <w:iCs/>
          <w:sz w:val="18"/>
          <w:szCs w:val="18"/>
        </w:rPr>
      </w:pPr>
      <w:r w:rsidRPr="00A532E5">
        <w:rPr>
          <w:rFonts w:ascii="Verdana" w:hAnsi="Verdana" w:hint="cs"/>
          <w:bCs/>
          <w:iCs/>
          <w:sz w:val="18"/>
          <w:szCs w:val="18"/>
        </w:rPr>
        <w:t>Por el contrario, </w:t>
      </w:r>
      <w:r w:rsidRPr="00A532E5">
        <w:rPr>
          <w:rFonts w:ascii="Verdana" w:hAnsi="Verdana" w:hint="cs"/>
          <w:b/>
          <w:bCs/>
          <w:iCs/>
          <w:sz w:val="18"/>
          <w:szCs w:val="18"/>
        </w:rPr>
        <w:t>en la subrogación objeto de la consulta, hay un único negocio jurídico principal: la compraventa</w:t>
      </w:r>
      <w:r w:rsidRPr="00A532E5">
        <w:rPr>
          <w:rFonts w:ascii="Verdana" w:hAnsi="Verdana" w:hint="cs"/>
          <w:bCs/>
          <w:iCs/>
          <w:sz w:val="18"/>
          <w:szCs w:val="18"/>
        </w:rPr>
        <w:t>. La subrogación es simplemente la sustitución de un deudor por otro en el mismo préstamo hipotecario, sin una redistribución entre codeudores. La hipoteca sobre la finca permanece inalterada.</w:t>
      </w:r>
    </w:p>
    <w:p w14:paraId="74EEC604" w14:textId="77777777" w:rsidR="00CF26C7" w:rsidRPr="00A532E5" w:rsidRDefault="00CF26C7" w:rsidP="00A532E5">
      <w:pPr>
        <w:ind w:left="284"/>
        <w:jc w:val="both"/>
        <w:rPr>
          <w:rFonts w:ascii="Verdana" w:hAnsi="Verdana"/>
          <w:bCs/>
          <w:iCs/>
          <w:sz w:val="18"/>
          <w:szCs w:val="18"/>
        </w:rPr>
      </w:pPr>
    </w:p>
    <w:p w14:paraId="65E00D58" w14:textId="77777777" w:rsidR="00A532E5" w:rsidRPr="00A532E5" w:rsidRDefault="00A532E5" w:rsidP="00A532E5">
      <w:pPr>
        <w:ind w:left="284"/>
        <w:jc w:val="both"/>
        <w:rPr>
          <w:rFonts w:ascii="Verdana" w:hAnsi="Verdana"/>
          <w:bCs/>
          <w:iCs/>
          <w:sz w:val="18"/>
          <w:szCs w:val="18"/>
        </w:rPr>
      </w:pPr>
      <w:r w:rsidRPr="00A532E5">
        <w:rPr>
          <w:rFonts w:ascii="Verdana" w:hAnsi="Verdana" w:hint="cs"/>
          <w:bCs/>
          <w:iCs/>
          <w:sz w:val="18"/>
          <w:szCs w:val="18"/>
        </w:rPr>
        <w:t>Esta falta de identidad en los supuestos de hecho es la razón fundamental por la que la DGT concluye que la doctrina del Tribunal Supremo sobre la liberación de codeudores no es aplicable a la subrogación del comprador en la deuda del vendedor en una operación de compraventa. Así es como Hacienda distingue en este caso los hechos para llegar a esta conclusión.</w:t>
      </w:r>
    </w:p>
    <w:p w14:paraId="43821D0F" w14:textId="4C7E908E" w:rsidR="00A532E5" w:rsidRDefault="00A532E5" w:rsidP="00E379E0">
      <w:pPr>
        <w:ind w:left="284"/>
        <w:jc w:val="both"/>
        <w:rPr>
          <w:rFonts w:ascii="Verdana" w:hAnsi="Verdana"/>
          <w:bCs/>
          <w:iCs/>
          <w:sz w:val="18"/>
          <w:szCs w:val="18"/>
        </w:rPr>
      </w:pPr>
    </w:p>
    <w:p w14:paraId="7DFA4FAA" w14:textId="77777777" w:rsidR="004F1B8E" w:rsidRDefault="004F1B8E" w:rsidP="00E379E0">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827697" w:rsidRPr="00827697" w14:paraId="3E472953" w14:textId="77777777" w:rsidTr="0065084F">
        <w:tc>
          <w:tcPr>
            <w:tcW w:w="180" w:type="dxa"/>
            <w:shd w:val="clear" w:color="auto" w:fill="FF6600"/>
          </w:tcPr>
          <w:p w14:paraId="434CB25F" w14:textId="77777777" w:rsidR="00827697" w:rsidRPr="00827697" w:rsidRDefault="00827697" w:rsidP="0065084F">
            <w:pPr>
              <w:pStyle w:val="Textoindependiente"/>
              <w:rPr>
                <w:rFonts w:ascii="Verdana" w:hAnsi="Verdana"/>
                <w:color w:val="800000"/>
                <w:sz w:val="16"/>
                <w:szCs w:val="16"/>
              </w:rPr>
            </w:pPr>
          </w:p>
        </w:tc>
        <w:tc>
          <w:tcPr>
            <w:tcW w:w="8460" w:type="dxa"/>
          </w:tcPr>
          <w:p w14:paraId="7063C345" w14:textId="6EB71BDB" w:rsidR="00827697" w:rsidRPr="00827697" w:rsidRDefault="00827697" w:rsidP="0065084F">
            <w:pPr>
              <w:numPr>
                <w:ilvl w:val="0"/>
                <w:numId w:val="5"/>
              </w:numPr>
              <w:tabs>
                <w:tab w:val="clear" w:pos="720"/>
                <w:tab w:val="num" w:pos="317"/>
                <w:tab w:val="left" w:pos="360"/>
              </w:tabs>
              <w:ind w:left="317" w:hanging="283"/>
              <w:jc w:val="both"/>
              <w:rPr>
                <w:rFonts w:ascii="Verdana" w:hAnsi="Verdana"/>
                <w:b/>
                <w:bCs/>
                <w:color w:val="800000"/>
                <w:sz w:val="16"/>
                <w:szCs w:val="16"/>
              </w:rPr>
            </w:pPr>
            <w:r w:rsidRPr="00827697">
              <w:rPr>
                <w:rFonts w:ascii="Verdana" w:hAnsi="Verdana"/>
                <w:b/>
                <w:bCs/>
                <w:color w:val="800000"/>
                <w:sz w:val="18"/>
                <w:szCs w:val="18"/>
              </w:rPr>
              <w:t>EL TRIBUNAL SUPREMO DICTAMINA QUE LAS AUTORIDADES FISCALES DEBEN DEMOSTRAR LA CULPA DEL ADMINISTRADOR EMPRESARIAL PARA PODER IMPUTARLE SUBSIDIARIAMENTE SANCIONES Y DEUDAS TRIBUTARIAS</w:t>
            </w:r>
          </w:p>
        </w:tc>
      </w:tr>
    </w:tbl>
    <w:p w14:paraId="63DF3FC6" w14:textId="77777777" w:rsidR="00827697" w:rsidRDefault="00827697" w:rsidP="00E379E0">
      <w:pPr>
        <w:ind w:left="284"/>
        <w:jc w:val="both"/>
        <w:rPr>
          <w:rFonts w:ascii="Verdana" w:hAnsi="Verdana"/>
          <w:bCs/>
          <w:iCs/>
          <w:sz w:val="18"/>
          <w:szCs w:val="18"/>
        </w:rPr>
      </w:pPr>
    </w:p>
    <w:p w14:paraId="7552A9DC" w14:textId="3F3FCE7F" w:rsidR="00827697" w:rsidRDefault="00827697" w:rsidP="00827697">
      <w:pPr>
        <w:ind w:left="284"/>
        <w:jc w:val="both"/>
        <w:rPr>
          <w:rFonts w:ascii="Verdana" w:hAnsi="Verdana"/>
          <w:bCs/>
          <w:iCs/>
          <w:sz w:val="18"/>
          <w:szCs w:val="18"/>
        </w:rPr>
      </w:pPr>
      <w:r w:rsidRPr="00827697">
        <w:rPr>
          <w:rFonts w:ascii="Verdana" w:hAnsi="Verdana" w:hint="cs"/>
          <w:bCs/>
          <w:iCs/>
          <w:sz w:val="18"/>
          <w:szCs w:val="18"/>
        </w:rPr>
        <w:t xml:space="preserve">El Tribunal Supremo </w:t>
      </w:r>
      <w:r>
        <w:rPr>
          <w:rFonts w:ascii="Verdana" w:hAnsi="Verdana"/>
          <w:bCs/>
          <w:iCs/>
          <w:sz w:val="18"/>
          <w:szCs w:val="18"/>
        </w:rPr>
        <w:t>limita</w:t>
      </w:r>
      <w:r w:rsidRPr="00827697">
        <w:rPr>
          <w:rFonts w:ascii="Verdana" w:hAnsi="Verdana" w:hint="cs"/>
          <w:bCs/>
          <w:iCs/>
          <w:sz w:val="18"/>
          <w:szCs w:val="18"/>
        </w:rPr>
        <w:t xml:space="preserve"> la capacidad de Hacienda para exigir responsabilidades subsidiarias a los administradores empresariales. Los magistrados aclaran </w:t>
      </w:r>
      <w:r w:rsidRPr="00827697">
        <w:rPr>
          <w:rFonts w:ascii="Verdana" w:hAnsi="Verdana"/>
          <w:bCs/>
          <w:iCs/>
          <w:sz w:val="18"/>
          <w:szCs w:val="18"/>
        </w:rPr>
        <w:t>que,</w:t>
      </w:r>
      <w:r w:rsidRPr="00827697">
        <w:rPr>
          <w:rFonts w:ascii="Verdana" w:hAnsi="Verdana" w:hint="cs"/>
          <w:bCs/>
          <w:iCs/>
          <w:sz w:val="18"/>
          <w:szCs w:val="18"/>
        </w:rPr>
        <w:t xml:space="preserve"> en caso de insolvencia de una compañía, </w:t>
      </w:r>
      <w:r>
        <w:rPr>
          <w:rFonts w:ascii="Verdana" w:hAnsi="Verdana"/>
          <w:bCs/>
          <w:iCs/>
          <w:sz w:val="18"/>
          <w:szCs w:val="18"/>
        </w:rPr>
        <w:t>Hacienda</w:t>
      </w:r>
      <w:r w:rsidRPr="00827697">
        <w:rPr>
          <w:rFonts w:ascii="Verdana" w:hAnsi="Verdana" w:hint="cs"/>
          <w:bCs/>
          <w:iCs/>
          <w:sz w:val="18"/>
          <w:szCs w:val="18"/>
        </w:rPr>
        <w:t xml:space="preserve"> no puede derivar automáticamente a sus administradores de forma subsidiaria el pago de las deudas tributarias y sanciones pendientes de cobro, como venía haciendo. </w:t>
      </w:r>
      <w:r w:rsidRPr="00827697">
        <w:rPr>
          <w:rFonts w:ascii="Verdana" w:hAnsi="Verdana" w:hint="cs"/>
          <w:b/>
          <w:iCs/>
          <w:sz w:val="18"/>
          <w:szCs w:val="18"/>
        </w:rPr>
        <w:t>Para pedir cuentas a los administradores, la autoridad fiscal debe aportar la carga de la prueba y demostrar su culpabilidad</w:t>
      </w:r>
      <w:r w:rsidRPr="00827697">
        <w:rPr>
          <w:rFonts w:ascii="Verdana" w:hAnsi="Verdana" w:hint="cs"/>
          <w:bCs/>
          <w:iCs/>
          <w:sz w:val="18"/>
          <w:szCs w:val="18"/>
        </w:rPr>
        <w:t>, blindando la presunción de inocencia hasta ese momento.</w:t>
      </w:r>
    </w:p>
    <w:p w14:paraId="121D0F00" w14:textId="77777777" w:rsidR="00827697" w:rsidRPr="00827697" w:rsidRDefault="00827697" w:rsidP="00827697">
      <w:pPr>
        <w:ind w:left="284"/>
        <w:jc w:val="both"/>
        <w:rPr>
          <w:rFonts w:ascii="Verdana" w:hAnsi="Verdana"/>
          <w:bCs/>
          <w:iCs/>
          <w:sz w:val="18"/>
          <w:szCs w:val="18"/>
        </w:rPr>
      </w:pPr>
    </w:p>
    <w:p w14:paraId="7F4B625E" w14:textId="2FBCCEBE" w:rsidR="00827697" w:rsidRDefault="00827697" w:rsidP="00827697">
      <w:pPr>
        <w:ind w:left="284"/>
        <w:jc w:val="both"/>
        <w:rPr>
          <w:rFonts w:ascii="Verdana" w:hAnsi="Verdana"/>
          <w:bCs/>
          <w:iCs/>
          <w:sz w:val="18"/>
          <w:szCs w:val="18"/>
        </w:rPr>
      </w:pPr>
      <w:r w:rsidRPr="00827697">
        <w:rPr>
          <w:rFonts w:ascii="Verdana" w:hAnsi="Verdana" w:hint="cs"/>
          <w:bCs/>
          <w:iCs/>
          <w:sz w:val="18"/>
          <w:szCs w:val="18"/>
        </w:rPr>
        <w:t xml:space="preserve">El caso de partida es el de las responsabilidades subsidiarias exigidas en 2014 al administrador de una sociedad mercantil que había cometido infracciones tributarias y que quedan ahora anuladas. Los magistrados concluyen, concretamente, </w:t>
      </w:r>
      <w:r w:rsidRPr="00827697">
        <w:rPr>
          <w:rFonts w:ascii="Verdana" w:hAnsi="Verdana" w:hint="cs"/>
          <w:b/>
          <w:iCs/>
          <w:sz w:val="18"/>
          <w:szCs w:val="18"/>
        </w:rPr>
        <w:t>que "no corresponde al administrador probar la inexistencia de culpabilidad, sino a la Administración acreditar la ausencia de diligencia del administrador en el cumplimiento de las obligaciones fiscales del deudor principal"</w:t>
      </w:r>
      <w:r w:rsidRPr="00827697">
        <w:rPr>
          <w:rFonts w:ascii="Verdana" w:hAnsi="Verdana" w:hint="cs"/>
          <w:bCs/>
          <w:iCs/>
          <w:sz w:val="18"/>
          <w:szCs w:val="18"/>
        </w:rPr>
        <w:t xml:space="preserve">. Es más, las dudas que en este ámbito pudieran suscitarse, deberán resolverse aplicando el principio </w:t>
      </w:r>
      <w:r w:rsidR="00011E2E">
        <w:rPr>
          <w:rFonts w:ascii="Verdana" w:hAnsi="Verdana"/>
          <w:bCs/>
          <w:iCs/>
          <w:sz w:val="18"/>
          <w:szCs w:val="18"/>
        </w:rPr>
        <w:t>“</w:t>
      </w:r>
      <w:r w:rsidRPr="00827697">
        <w:rPr>
          <w:rFonts w:ascii="Verdana" w:hAnsi="Verdana" w:hint="cs"/>
          <w:bCs/>
          <w:iCs/>
          <w:sz w:val="18"/>
          <w:szCs w:val="18"/>
        </w:rPr>
        <w:t>in dubio pro reo", reza el fallo, en referencia al célebre principio jurídico que establece que en caso de duda se resuelva a favor del reo.</w:t>
      </w:r>
    </w:p>
    <w:p w14:paraId="5E5F4686" w14:textId="77777777" w:rsidR="00E84C83" w:rsidRPr="00827697" w:rsidRDefault="00E84C83" w:rsidP="00827697">
      <w:pPr>
        <w:ind w:left="284"/>
        <w:jc w:val="both"/>
        <w:rPr>
          <w:rFonts w:ascii="Verdana" w:hAnsi="Verdana"/>
          <w:bCs/>
          <w:iCs/>
          <w:sz w:val="18"/>
          <w:szCs w:val="18"/>
        </w:rPr>
      </w:pPr>
    </w:p>
    <w:p w14:paraId="0A099D53" w14:textId="65D58A7C" w:rsidR="00827697" w:rsidRPr="00E84C83" w:rsidRDefault="00827697" w:rsidP="00827697">
      <w:pPr>
        <w:ind w:left="284"/>
        <w:jc w:val="both"/>
        <w:rPr>
          <w:rFonts w:ascii="Verdana" w:hAnsi="Verdana"/>
          <w:b/>
          <w:iCs/>
          <w:sz w:val="18"/>
          <w:szCs w:val="18"/>
        </w:rPr>
      </w:pPr>
      <w:r w:rsidRPr="00827697">
        <w:rPr>
          <w:rFonts w:ascii="Verdana" w:hAnsi="Verdana" w:hint="cs"/>
          <w:bCs/>
          <w:iCs/>
          <w:sz w:val="18"/>
          <w:szCs w:val="18"/>
        </w:rPr>
        <w:t xml:space="preserve">La sentencia, emitida el pasado </w:t>
      </w:r>
      <w:r w:rsidR="00E84C83">
        <w:rPr>
          <w:rFonts w:ascii="Verdana" w:hAnsi="Verdana"/>
          <w:bCs/>
          <w:iCs/>
          <w:sz w:val="18"/>
          <w:szCs w:val="18"/>
        </w:rPr>
        <w:t>día 20</w:t>
      </w:r>
      <w:r w:rsidRPr="00827697">
        <w:rPr>
          <w:rFonts w:ascii="Verdana" w:hAnsi="Verdana" w:hint="cs"/>
          <w:bCs/>
          <w:iCs/>
          <w:sz w:val="18"/>
          <w:szCs w:val="18"/>
        </w:rPr>
        <w:t xml:space="preserve"> por la Sección Segunda de la Sala Tercera del Tribunal Supremo, aclara que la responsabilidad subsidiaria de los administradores que recoge el artículo 43.1.a de la Ley General Tributaria </w:t>
      </w:r>
      <w:r w:rsidRPr="00827697">
        <w:rPr>
          <w:rFonts w:ascii="Verdana" w:hAnsi="Verdana" w:hint="cs"/>
          <w:b/>
          <w:iCs/>
          <w:sz w:val="18"/>
          <w:szCs w:val="18"/>
        </w:rPr>
        <w:t>tiene una naturaleza sancionadora, lo que conlleva una serie de derechos y garantía a tener en cuenta que protegen a los responsables.</w:t>
      </w:r>
    </w:p>
    <w:p w14:paraId="43B18702" w14:textId="77777777" w:rsidR="00827697" w:rsidRPr="00827697" w:rsidRDefault="00827697" w:rsidP="00827697">
      <w:pPr>
        <w:ind w:left="284"/>
        <w:jc w:val="both"/>
        <w:rPr>
          <w:rFonts w:ascii="Verdana" w:hAnsi="Verdana"/>
          <w:bCs/>
          <w:iCs/>
          <w:sz w:val="18"/>
          <w:szCs w:val="18"/>
        </w:rPr>
      </w:pPr>
    </w:p>
    <w:p w14:paraId="2DE51F4B" w14:textId="79540CE9" w:rsidR="00827697" w:rsidRDefault="00827697" w:rsidP="00827697">
      <w:pPr>
        <w:ind w:left="284"/>
        <w:jc w:val="both"/>
        <w:rPr>
          <w:rFonts w:ascii="Verdana" w:hAnsi="Verdana"/>
          <w:bCs/>
          <w:iCs/>
          <w:sz w:val="18"/>
          <w:szCs w:val="18"/>
        </w:rPr>
      </w:pPr>
      <w:r w:rsidRPr="00827697">
        <w:rPr>
          <w:rFonts w:ascii="Verdana" w:hAnsi="Verdana" w:hint="cs"/>
          <w:bCs/>
          <w:iCs/>
          <w:sz w:val="18"/>
          <w:szCs w:val="18"/>
        </w:rPr>
        <w:t xml:space="preserve">A partir de ahí, la primera conclusión del Supremo tras analizar su propia jurisprudencia previa y la doctrina del Tribunal Constitucional, es que </w:t>
      </w:r>
      <w:r w:rsidRPr="00827697">
        <w:rPr>
          <w:rFonts w:ascii="Verdana" w:hAnsi="Verdana" w:hint="cs"/>
          <w:b/>
          <w:iCs/>
          <w:sz w:val="18"/>
          <w:szCs w:val="18"/>
        </w:rPr>
        <w:t>la legislación prohíbe la responsabilidad objetiva del administrador</w:t>
      </w:r>
      <w:r w:rsidRPr="00827697">
        <w:rPr>
          <w:rFonts w:ascii="Verdana" w:hAnsi="Verdana" w:hint="cs"/>
          <w:bCs/>
          <w:iCs/>
          <w:sz w:val="18"/>
          <w:szCs w:val="18"/>
        </w:rPr>
        <w:t>, es decir, la exigencia de cuentas a los mismos atendiendo únicamente a su condición de administrador social, vulnerando el principio de presunción de inocencia. Por tanto, establecen los magistrados, no cabe basar la derivación de deuda o multas en la mera responsabilidad de los administradores pues como ocurre en aplicación de cualquier sanción, se ha de acreditar que concurre culpa en la conducta del sancionado.</w:t>
      </w:r>
    </w:p>
    <w:p w14:paraId="2F85443E" w14:textId="77777777" w:rsidR="00827697" w:rsidRPr="00827697" w:rsidRDefault="00827697" w:rsidP="00827697">
      <w:pPr>
        <w:ind w:left="284"/>
        <w:jc w:val="both"/>
        <w:rPr>
          <w:rFonts w:ascii="Verdana" w:hAnsi="Verdana"/>
          <w:bCs/>
          <w:iCs/>
          <w:sz w:val="18"/>
          <w:szCs w:val="18"/>
        </w:rPr>
      </w:pPr>
    </w:p>
    <w:p w14:paraId="49EE452E" w14:textId="1E616A01" w:rsidR="00827697" w:rsidRPr="00E84C83" w:rsidRDefault="00827697" w:rsidP="00827697">
      <w:pPr>
        <w:ind w:left="284"/>
        <w:jc w:val="both"/>
        <w:rPr>
          <w:rFonts w:ascii="Verdana" w:hAnsi="Verdana"/>
          <w:b/>
          <w:iCs/>
          <w:sz w:val="18"/>
          <w:szCs w:val="18"/>
        </w:rPr>
      </w:pPr>
      <w:r w:rsidRPr="00827697">
        <w:rPr>
          <w:rFonts w:ascii="Verdana" w:hAnsi="Verdana" w:hint="cs"/>
          <w:bCs/>
          <w:iCs/>
          <w:sz w:val="18"/>
          <w:szCs w:val="18"/>
        </w:rPr>
        <w:t xml:space="preserve">La aplicación de la responsabilidad subsidiaria recogida en la Ley General Tributaria requiere, apunta el </w:t>
      </w:r>
      <w:r w:rsidR="007B73FD">
        <w:rPr>
          <w:rFonts w:ascii="Verdana" w:hAnsi="Verdana"/>
          <w:bCs/>
          <w:iCs/>
          <w:sz w:val="18"/>
          <w:szCs w:val="18"/>
        </w:rPr>
        <w:t>T</w:t>
      </w:r>
      <w:r w:rsidRPr="00827697">
        <w:rPr>
          <w:rFonts w:ascii="Verdana" w:hAnsi="Verdana" w:hint="cs"/>
          <w:bCs/>
          <w:iCs/>
          <w:sz w:val="18"/>
          <w:szCs w:val="18"/>
        </w:rPr>
        <w:t xml:space="preserve">ribunal, de la presencia de varios requisitos simultáneamente: la existencia de infracciones tributarias cometidas por la sociedad, la condición de administrador del responsable de la compañía, </w:t>
      </w:r>
      <w:r w:rsidRPr="00827697">
        <w:rPr>
          <w:rFonts w:ascii="Verdana" w:hAnsi="Verdana" w:hint="cs"/>
          <w:b/>
          <w:iCs/>
          <w:sz w:val="18"/>
          <w:szCs w:val="18"/>
        </w:rPr>
        <w:t>y una conducta culpable de dicho responsable, que sea determinante de la comisión de las infracciones tributarias por la empresa.</w:t>
      </w:r>
    </w:p>
    <w:p w14:paraId="31E3815A" w14:textId="77777777" w:rsidR="00E84C83" w:rsidRPr="00827697" w:rsidRDefault="00E84C83" w:rsidP="00827697">
      <w:pPr>
        <w:ind w:left="284"/>
        <w:jc w:val="both"/>
        <w:rPr>
          <w:rFonts w:ascii="Verdana" w:hAnsi="Verdana"/>
          <w:bCs/>
          <w:iCs/>
          <w:sz w:val="18"/>
          <w:szCs w:val="18"/>
        </w:rPr>
      </w:pPr>
    </w:p>
    <w:p w14:paraId="54E0D3BF" w14:textId="7FE6340E" w:rsidR="00827697" w:rsidRDefault="00827697" w:rsidP="00E84C83">
      <w:pPr>
        <w:ind w:left="284"/>
        <w:jc w:val="both"/>
        <w:rPr>
          <w:rFonts w:ascii="Verdana" w:hAnsi="Verdana"/>
          <w:bCs/>
          <w:iCs/>
          <w:sz w:val="18"/>
          <w:szCs w:val="18"/>
        </w:rPr>
      </w:pPr>
      <w:r w:rsidRPr="00827697">
        <w:rPr>
          <w:rFonts w:ascii="Verdana" w:hAnsi="Verdana" w:hint="cs"/>
          <w:bCs/>
          <w:iCs/>
          <w:sz w:val="18"/>
          <w:szCs w:val="18"/>
        </w:rPr>
        <w:t xml:space="preserve">Para derivar la responsabilidad subsidiaria de estas infracciones tributarias, por tanto, no basta con que el administrador sea responsable de la sociedad, </w:t>
      </w:r>
      <w:r w:rsidRPr="007B73FD">
        <w:rPr>
          <w:rFonts w:ascii="Verdana" w:hAnsi="Verdana" w:hint="cs"/>
          <w:b/>
          <w:iCs/>
          <w:sz w:val="18"/>
          <w:szCs w:val="18"/>
        </w:rPr>
        <w:t>sino que se debe demostrar que ha incurrido en conductas irregulares recogidas en la ley</w:t>
      </w:r>
      <w:r w:rsidRPr="00827697">
        <w:rPr>
          <w:rFonts w:ascii="Verdana" w:hAnsi="Verdana" w:hint="cs"/>
          <w:bCs/>
          <w:iCs/>
          <w:sz w:val="18"/>
          <w:szCs w:val="18"/>
        </w:rPr>
        <w:t>.</w:t>
      </w:r>
    </w:p>
    <w:p w14:paraId="15C01071" w14:textId="77777777" w:rsidR="00827697" w:rsidRPr="00827697" w:rsidRDefault="00827697" w:rsidP="00827697">
      <w:pPr>
        <w:ind w:left="284"/>
        <w:jc w:val="both"/>
        <w:rPr>
          <w:rFonts w:ascii="Verdana" w:hAnsi="Verdana"/>
          <w:bCs/>
          <w:iCs/>
          <w:sz w:val="18"/>
          <w:szCs w:val="18"/>
        </w:rPr>
      </w:pPr>
    </w:p>
    <w:p w14:paraId="50281EA7" w14:textId="77777777" w:rsidR="00827697" w:rsidRDefault="00827697" w:rsidP="00827697">
      <w:pPr>
        <w:ind w:left="284"/>
        <w:jc w:val="both"/>
        <w:rPr>
          <w:rFonts w:ascii="Verdana" w:hAnsi="Verdana"/>
          <w:bCs/>
          <w:iCs/>
          <w:sz w:val="18"/>
          <w:szCs w:val="18"/>
        </w:rPr>
      </w:pPr>
      <w:r w:rsidRPr="00827697">
        <w:rPr>
          <w:rFonts w:ascii="Verdana" w:hAnsi="Verdana" w:hint="cs"/>
          <w:bCs/>
          <w:iCs/>
          <w:sz w:val="18"/>
          <w:szCs w:val="18"/>
        </w:rPr>
        <w:t xml:space="preserve">En segundo término, el Tribunal Supremo señala la existencia de otra garantía adicional: que la carga de la prueba del hecho irregular y la demostración de la culpabilidad del responsable corresponde a la Administración, no siendo posible la inversión de esa responsabilidad. </w:t>
      </w:r>
      <w:r w:rsidRPr="00827697">
        <w:rPr>
          <w:rFonts w:ascii="Verdana" w:hAnsi="Verdana" w:hint="cs"/>
          <w:b/>
          <w:iCs/>
          <w:sz w:val="18"/>
          <w:szCs w:val="18"/>
        </w:rPr>
        <w:t>Será la autoridad fiscal, prosigue, la que deberá probar la existencia de una acción u omisión imputable y culpable por el responsable subsidiario, sin perjuicio de que éste último, una vez probada su responsabilidad, pueda valerse de los medios de prueba que considere oportunos para acreditar la existencia de un hecho impeditivo o extintivo.</w:t>
      </w:r>
    </w:p>
    <w:p w14:paraId="2D78D517" w14:textId="77777777" w:rsidR="00827697" w:rsidRPr="00827697" w:rsidRDefault="00827697" w:rsidP="00827697">
      <w:pPr>
        <w:ind w:left="284"/>
        <w:jc w:val="both"/>
        <w:rPr>
          <w:rFonts w:ascii="Verdana" w:hAnsi="Verdana"/>
          <w:bCs/>
          <w:iCs/>
          <w:sz w:val="18"/>
          <w:szCs w:val="18"/>
        </w:rPr>
      </w:pPr>
    </w:p>
    <w:p w14:paraId="2E2CC576" w14:textId="77777777" w:rsidR="00827697" w:rsidRDefault="00827697" w:rsidP="00827697">
      <w:pPr>
        <w:ind w:left="284"/>
        <w:jc w:val="both"/>
        <w:rPr>
          <w:rFonts w:ascii="Verdana" w:hAnsi="Verdana"/>
          <w:bCs/>
          <w:iCs/>
          <w:sz w:val="18"/>
          <w:szCs w:val="18"/>
        </w:rPr>
      </w:pPr>
      <w:r w:rsidRPr="00827697">
        <w:rPr>
          <w:rFonts w:ascii="Verdana" w:hAnsi="Verdana" w:hint="cs"/>
          <w:bCs/>
          <w:iCs/>
          <w:sz w:val="18"/>
          <w:szCs w:val="18"/>
        </w:rPr>
        <w:t>"Será la Administración la que deberá concretar la conducta que determina la negligencia en su actuación del administrador, sin acudir para ello a fórmulas estereotipadas que funden la responsabilidad en su mera condición de administrador y en la referencia a una actitud pasiva", reza el fallo.</w:t>
      </w:r>
    </w:p>
    <w:p w14:paraId="2FBE64F5" w14:textId="77777777" w:rsidR="00827697" w:rsidRPr="00827697" w:rsidRDefault="00827697" w:rsidP="00827697">
      <w:pPr>
        <w:ind w:left="284"/>
        <w:jc w:val="both"/>
        <w:rPr>
          <w:rFonts w:ascii="Verdana" w:hAnsi="Verdana"/>
          <w:bCs/>
          <w:iCs/>
          <w:sz w:val="18"/>
          <w:szCs w:val="18"/>
        </w:rPr>
      </w:pPr>
    </w:p>
    <w:p w14:paraId="069FFCB6" w14:textId="77777777" w:rsidR="00827697" w:rsidRDefault="00827697" w:rsidP="00827697">
      <w:pPr>
        <w:ind w:left="284"/>
        <w:jc w:val="both"/>
        <w:rPr>
          <w:rFonts w:ascii="Verdana" w:hAnsi="Verdana"/>
          <w:bCs/>
          <w:iCs/>
          <w:sz w:val="18"/>
          <w:szCs w:val="18"/>
        </w:rPr>
      </w:pPr>
      <w:r w:rsidRPr="00827697">
        <w:rPr>
          <w:rFonts w:ascii="Verdana" w:hAnsi="Verdana" w:hint="cs"/>
          <w:b/>
          <w:iCs/>
          <w:sz w:val="18"/>
          <w:szCs w:val="18"/>
        </w:rPr>
        <w:t xml:space="preserve">La sentencia concluye que la derivación de responsabilidades adoptada "resulta contrario a la doctrina expuesta" al haberse "centrado únicamente en la condición de administrador del recurrente en la fecha en que se cometió la infracción", "sin acreditar una determinada conducta culpable, invirtiendo el principio de la carga de la prueba al exigir al declarado responsable" </w:t>
      </w:r>
      <w:r w:rsidRPr="00827697">
        <w:rPr>
          <w:rFonts w:ascii="Verdana" w:hAnsi="Verdana" w:hint="cs"/>
          <w:bCs/>
          <w:iCs/>
          <w:sz w:val="18"/>
          <w:szCs w:val="18"/>
        </w:rPr>
        <w:t>que demuestre su propia inocencia, vulnerando los principios judiciales. Los magistrados afean, además, "el escaso esfuerzo probatorio del que se ha valido la Administración para desvirtuar la presunción de inocencia del responsable subsidiario".</w:t>
      </w:r>
    </w:p>
    <w:p w14:paraId="7E8613A8" w14:textId="77777777" w:rsidR="00827697" w:rsidRPr="00827697" w:rsidRDefault="00827697" w:rsidP="00827697">
      <w:pPr>
        <w:ind w:left="284"/>
        <w:jc w:val="both"/>
        <w:rPr>
          <w:rFonts w:ascii="Verdana" w:hAnsi="Verdana"/>
          <w:bCs/>
          <w:iCs/>
          <w:sz w:val="18"/>
          <w:szCs w:val="18"/>
        </w:rPr>
      </w:pPr>
    </w:p>
    <w:p w14:paraId="7711F1E1" w14:textId="77777777" w:rsidR="00827697" w:rsidRDefault="00827697" w:rsidP="00E379E0">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D729F7" w:rsidRPr="00D729F7" w14:paraId="3A7269AD" w14:textId="77777777" w:rsidTr="00C320A8">
        <w:tc>
          <w:tcPr>
            <w:tcW w:w="180" w:type="dxa"/>
            <w:shd w:val="clear" w:color="auto" w:fill="FF6600"/>
          </w:tcPr>
          <w:p w14:paraId="080ACC56" w14:textId="77777777" w:rsidR="00D729F7" w:rsidRPr="00D729F7" w:rsidRDefault="00D729F7" w:rsidP="00C320A8">
            <w:pPr>
              <w:pStyle w:val="Textoindependiente"/>
              <w:rPr>
                <w:rFonts w:ascii="Verdana" w:hAnsi="Verdana"/>
                <w:color w:val="800000"/>
                <w:sz w:val="16"/>
                <w:szCs w:val="16"/>
              </w:rPr>
            </w:pPr>
            <w:bookmarkStart w:id="2" w:name="_Hlk198912939"/>
          </w:p>
        </w:tc>
        <w:tc>
          <w:tcPr>
            <w:tcW w:w="8460" w:type="dxa"/>
          </w:tcPr>
          <w:p w14:paraId="214DA2FC" w14:textId="40942AC2" w:rsidR="00D729F7" w:rsidRPr="00D729F7" w:rsidRDefault="00D729F7" w:rsidP="00C320A8">
            <w:pPr>
              <w:numPr>
                <w:ilvl w:val="0"/>
                <w:numId w:val="5"/>
              </w:numPr>
              <w:tabs>
                <w:tab w:val="clear" w:pos="720"/>
                <w:tab w:val="num" w:pos="317"/>
                <w:tab w:val="left" w:pos="360"/>
              </w:tabs>
              <w:ind w:left="317" w:hanging="283"/>
              <w:jc w:val="both"/>
              <w:rPr>
                <w:rFonts w:ascii="Verdana" w:hAnsi="Verdana"/>
                <w:b/>
                <w:bCs/>
                <w:color w:val="800000"/>
                <w:sz w:val="16"/>
                <w:szCs w:val="16"/>
              </w:rPr>
            </w:pPr>
            <w:r w:rsidRPr="00D729F7">
              <w:rPr>
                <w:rFonts w:ascii="Verdana" w:hAnsi="Verdana"/>
                <w:b/>
                <w:bCs/>
                <w:color w:val="800000"/>
                <w:sz w:val="18"/>
                <w:szCs w:val="18"/>
              </w:rPr>
              <w:t>LAS SOCIEDADES DE CAPITAL RIESGO. UN NUEVO CONFLICTO A LA VISTA CON LA INSPECCIÓN TRIBUTARIA</w:t>
            </w:r>
          </w:p>
        </w:tc>
      </w:tr>
      <w:bookmarkEnd w:id="2"/>
    </w:tbl>
    <w:p w14:paraId="107C159B" w14:textId="77777777" w:rsidR="00D729F7" w:rsidRDefault="00D729F7" w:rsidP="00E379E0">
      <w:pPr>
        <w:ind w:left="284"/>
        <w:jc w:val="both"/>
        <w:rPr>
          <w:rFonts w:ascii="Verdana" w:hAnsi="Verdana"/>
          <w:bCs/>
          <w:iCs/>
          <w:sz w:val="18"/>
          <w:szCs w:val="18"/>
        </w:rPr>
      </w:pPr>
    </w:p>
    <w:p w14:paraId="6D62ECC4" w14:textId="5CC1C97A" w:rsidR="00D729F7" w:rsidRDefault="00D729F7" w:rsidP="00821B21">
      <w:pPr>
        <w:ind w:left="284"/>
        <w:jc w:val="both"/>
        <w:rPr>
          <w:rFonts w:ascii="Verdana" w:hAnsi="Verdana"/>
          <w:bCs/>
          <w:iCs/>
          <w:sz w:val="18"/>
          <w:szCs w:val="18"/>
        </w:rPr>
      </w:pPr>
      <w:r w:rsidRPr="00D729F7">
        <w:rPr>
          <w:rFonts w:ascii="Verdana" w:hAnsi="Verdana"/>
          <w:bCs/>
          <w:iCs/>
          <w:sz w:val="18"/>
          <w:szCs w:val="18"/>
        </w:rPr>
        <w:t xml:space="preserve">Después de la cruzada del Gobierno contra las </w:t>
      </w:r>
      <w:r w:rsidR="005D1ECD" w:rsidRPr="00D729F7">
        <w:rPr>
          <w:rFonts w:ascii="Verdana" w:hAnsi="Verdana"/>
          <w:bCs/>
          <w:iCs/>
          <w:sz w:val="18"/>
          <w:szCs w:val="18"/>
        </w:rPr>
        <w:t>SICAVS</w:t>
      </w:r>
      <w:r w:rsidRPr="00D729F7">
        <w:rPr>
          <w:rFonts w:ascii="Verdana" w:hAnsi="Verdana"/>
          <w:bCs/>
          <w:iCs/>
          <w:sz w:val="18"/>
          <w:szCs w:val="18"/>
        </w:rPr>
        <w:t xml:space="preserve"> (Sociedades de Inversión de Capital Variable), </w:t>
      </w:r>
      <w:r w:rsidRPr="00821B21">
        <w:rPr>
          <w:rFonts w:ascii="Verdana" w:hAnsi="Verdana"/>
          <w:b/>
          <w:iCs/>
          <w:sz w:val="18"/>
          <w:szCs w:val="18"/>
        </w:rPr>
        <w:t>los grandes patrimonios</w:t>
      </w:r>
      <w:r w:rsidRPr="00D729F7">
        <w:rPr>
          <w:rFonts w:ascii="Verdana" w:hAnsi="Verdana"/>
          <w:bCs/>
          <w:iCs/>
          <w:sz w:val="18"/>
          <w:szCs w:val="18"/>
        </w:rPr>
        <w:t xml:space="preserve"> han abandonado estos vehículos para refugiarse fiscalmente en las sociedades de capital riesgo (SCR). Sin embargo, Hacienda empieza a cuestionar algunos puntos de estas figuras en inspecciones y comprobaciones. El Gobierno modificó el régimen de las </w:t>
      </w:r>
      <w:r w:rsidR="005D1ECD" w:rsidRPr="00D729F7">
        <w:rPr>
          <w:rFonts w:ascii="Verdana" w:hAnsi="Verdana"/>
          <w:bCs/>
          <w:iCs/>
          <w:sz w:val="18"/>
          <w:szCs w:val="18"/>
        </w:rPr>
        <w:t>SICAVS</w:t>
      </w:r>
      <w:r w:rsidRPr="00D729F7">
        <w:rPr>
          <w:rFonts w:ascii="Verdana" w:hAnsi="Verdana"/>
          <w:bCs/>
          <w:iCs/>
          <w:sz w:val="18"/>
          <w:szCs w:val="18"/>
        </w:rPr>
        <w:t xml:space="preserve"> para eliminar la ventaja fiscal cuando no hay, al menos, 100 accionistas con más de 2.500 euros invertidos cada uno —acabando con la figura de los </w:t>
      </w:r>
      <w:r w:rsidR="007B73FD">
        <w:rPr>
          <w:rFonts w:ascii="Verdana" w:hAnsi="Verdana"/>
          <w:bCs/>
          <w:iCs/>
          <w:sz w:val="18"/>
          <w:szCs w:val="18"/>
        </w:rPr>
        <w:t>“</w:t>
      </w:r>
      <w:r w:rsidRPr="00D729F7">
        <w:rPr>
          <w:rFonts w:ascii="Verdana" w:hAnsi="Verdana"/>
          <w:bCs/>
          <w:iCs/>
          <w:sz w:val="18"/>
          <w:szCs w:val="18"/>
        </w:rPr>
        <w:t>mariachis</w:t>
      </w:r>
      <w:r w:rsidR="007B73FD">
        <w:rPr>
          <w:rFonts w:ascii="Verdana" w:hAnsi="Verdana"/>
          <w:bCs/>
          <w:iCs/>
          <w:sz w:val="18"/>
          <w:szCs w:val="18"/>
        </w:rPr>
        <w:t>”</w:t>
      </w:r>
      <w:r w:rsidRPr="00D729F7">
        <w:rPr>
          <w:rFonts w:ascii="Verdana" w:hAnsi="Verdana"/>
          <w:bCs/>
          <w:iCs/>
          <w:sz w:val="18"/>
          <w:szCs w:val="18"/>
        </w:rPr>
        <w:t xml:space="preserve">—. Desde entonces, el grueso de las </w:t>
      </w:r>
      <w:r w:rsidR="005D1ECD" w:rsidRPr="00D729F7">
        <w:rPr>
          <w:rFonts w:ascii="Verdana" w:hAnsi="Verdana"/>
          <w:bCs/>
          <w:iCs/>
          <w:sz w:val="18"/>
          <w:szCs w:val="18"/>
        </w:rPr>
        <w:t>SICAVS</w:t>
      </w:r>
      <w:r w:rsidRPr="00D729F7">
        <w:rPr>
          <w:rFonts w:ascii="Verdana" w:hAnsi="Verdana"/>
          <w:bCs/>
          <w:iCs/>
          <w:sz w:val="18"/>
          <w:szCs w:val="18"/>
        </w:rPr>
        <w:t xml:space="preserve"> ha desaparecido y la nueva figura que gusta en banca privada es la de las SCR. Estas sociedades, reguladas por la Comisión Nacional de los Mercados de Valores (CNMV), </w:t>
      </w:r>
      <w:r w:rsidRPr="00821B21">
        <w:rPr>
          <w:rFonts w:ascii="Verdana" w:hAnsi="Verdana"/>
          <w:b/>
          <w:iCs/>
          <w:sz w:val="18"/>
          <w:szCs w:val="18"/>
        </w:rPr>
        <w:t>son instituciones de inversión cerradas destinadas a la inversión en alternativos, como el capital riesgo</w:t>
      </w:r>
      <w:r w:rsidRPr="00D729F7">
        <w:rPr>
          <w:rFonts w:ascii="Verdana" w:hAnsi="Verdana"/>
          <w:bCs/>
          <w:iCs/>
          <w:sz w:val="18"/>
          <w:szCs w:val="18"/>
        </w:rPr>
        <w:t xml:space="preserve">. El atractivo fiscal es que </w:t>
      </w:r>
      <w:r w:rsidRPr="00821B21">
        <w:rPr>
          <w:rFonts w:ascii="Verdana" w:hAnsi="Verdana"/>
          <w:b/>
          <w:iCs/>
          <w:sz w:val="18"/>
          <w:szCs w:val="18"/>
        </w:rPr>
        <w:t>tributa al 1 % el beneficio</w:t>
      </w:r>
      <w:r w:rsidRPr="00D729F7">
        <w:rPr>
          <w:rFonts w:ascii="Verdana" w:hAnsi="Verdana"/>
          <w:bCs/>
          <w:iCs/>
          <w:sz w:val="18"/>
          <w:szCs w:val="18"/>
        </w:rPr>
        <w:t xml:space="preserve"> y que, cumpliendo ciertos requisitos, la inversión se puede deducir en el Impuesto sobre el Patrimonio o en el reciente Impuesto Temporal de Solidaridad de las Grandes Fortunas. </w:t>
      </w:r>
    </w:p>
    <w:p w14:paraId="07B72F07" w14:textId="77777777" w:rsidR="00821B21" w:rsidRPr="00D729F7" w:rsidRDefault="00821B21" w:rsidP="00821B21">
      <w:pPr>
        <w:ind w:left="284"/>
        <w:jc w:val="both"/>
        <w:rPr>
          <w:rFonts w:ascii="Verdana" w:hAnsi="Verdana"/>
          <w:bCs/>
          <w:iCs/>
          <w:sz w:val="18"/>
          <w:szCs w:val="18"/>
        </w:rPr>
      </w:pPr>
    </w:p>
    <w:p w14:paraId="13D4F18E" w14:textId="77777777" w:rsidR="00821B21" w:rsidRDefault="00D729F7" w:rsidP="00D729F7">
      <w:pPr>
        <w:ind w:left="284"/>
        <w:jc w:val="both"/>
        <w:rPr>
          <w:rFonts w:ascii="Verdana" w:hAnsi="Verdana"/>
          <w:bCs/>
          <w:iCs/>
          <w:sz w:val="18"/>
          <w:szCs w:val="18"/>
        </w:rPr>
      </w:pPr>
      <w:r w:rsidRPr="00D729F7">
        <w:rPr>
          <w:rFonts w:ascii="Verdana" w:hAnsi="Verdana"/>
          <w:bCs/>
          <w:iCs/>
          <w:sz w:val="18"/>
          <w:szCs w:val="18"/>
        </w:rPr>
        <w:t xml:space="preserve">Así, tanto por el impulso de la oferta como por el atractivo fiscal, se ha disparado la creación de SCR. Ya hay 550 sociedades registradas en España, con un goteo constante de nuevos </w:t>
      </w:r>
      <w:r w:rsidR="00821B21" w:rsidRPr="00D729F7">
        <w:rPr>
          <w:rFonts w:ascii="Verdana" w:hAnsi="Verdana"/>
          <w:bCs/>
          <w:iCs/>
          <w:sz w:val="18"/>
          <w:szCs w:val="18"/>
        </w:rPr>
        <w:t>lanzamientos.</w:t>
      </w:r>
      <w:r w:rsidRPr="00D729F7">
        <w:rPr>
          <w:rFonts w:ascii="Verdana" w:hAnsi="Verdana"/>
          <w:bCs/>
          <w:iCs/>
          <w:sz w:val="18"/>
          <w:szCs w:val="18"/>
        </w:rPr>
        <w:t xml:space="preserve"> La inversión en estas sociedades se equipara fiscalmente a las empresas familiares </w:t>
      </w:r>
      <w:r w:rsidRPr="007813EF">
        <w:rPr>
          <w:rFonts w:ascii="Verdana" w:hAnsi="Verdana"/>
          <w:b/>
          <w:iCs/>
          <w:sz w:val="18"/>
          <w:szCs w:val="18"/>
        </w:rPr>
        <w:t>en términos de Patrimonio e Impuesto de Sucesiones y Donaciones</w:t>
      </w:r>
      <w:r w:rsidRPr="00D729F7">
        <w:rPr>
          <w:rFonts w:ascii="Verdana" w:hAnsi="Verdana"/>
          <w:bCs/>
          <w:iCs/>
          <w:sz w:val="18"/>
          <w:szCs w:val="18"/>
        </w:rPr>
        <w:t xml:space="preserve"> (ISD). </w:t>
      </w:r>
    </w:p>
    <w:p w14:paraId="1740B113" w14:textId="77777777" w:rsidR="00821B21" w:rsidRDefault="00821B21" w:rsidP="00D729F7">
      <w:pPr>
        <w:ind w:left="284"/>
        <w:jc w:val="both"/>
        <w:rPr>
          <w:rFonts w:ascii="Verdana" w:hAnsi="Verdana"/>
          <w:bCs/>
          <w:iCs/>
          <w:sz w:val="18"/>
          <w:szCs w:val="18"/>
        </w:rPr>
      </w:pPr>
    </w:p>
    <w:p w14:paraId="37F81377" w14:textId="4A48242E" w:rsidR="00821B21" w:rsidRDefault="00D729F7" w:rsidP="00D729F7">
      <w:pPr>
        <w:ind w:left="284"/>
        <w:jc w:val="both"/>
        <w:rPr>
          <w:rFonts w:ascii="Verdana" w:hAnsi="Verdana"/>
          <w:bCs/>
          <w:iCs/>
          <w:sz w:val="18"/>
          <w:szCs w:val="18"/>
        </w:rPr>
      </w:pPr>
      <w:r w:rsidRPr="00D729F7">
        <w:rPr>
          <w:rFonts w:ascii="Verdana" w:hAnsi="Verdana"/>
          <w:bCs/>
          <w:iCs/>
          <w:sz w:val="18"/>
          <w:szCs w:val="18"/>
        </w:rPr>
        <w:t xml:space="preserve">La inversión afectada es deducible en la base imponible siempre que supere el 60 % de los activos y que el inversor disponga de más del 5 % del </w:t>
      </w:r>
      <w:r w:rsidR="00821B21" w:rsidRPr="00D729F7">
        <w:rPr>
          <w:rFonts w:ascii="Verdana" w:hAnsi="Verdana"/>
          <w:bCs/>
          <w:iCs/>
          <w:sz w:val="18"/>
          <w:szCs w:val="18"/>
        </w:rPr>
        <w:t>capital.</w:t>
      </w:r>
      <w:r w:rsidRPr="00D729F7">
        <w:rPr>
          <w:rFonts w:ascii="Verdana" w:hAnsi="Verdana"/>
          <w:bCs/>
          <w:iCs/>
          <w:sz w:val="18"/>
          <w:szCs w:val="18"/>
        </w:rPr>
        <w:t xml:space="preserve"> Con la proliferación de estas figuras, que reducen la tributación de los grandes patrimonios, también se ha incrementado la vigilancia por parte de la Agencia Tributaria </w:t>
      </w:r>
      <w:r w:rsidR="00E820ED">
        <w:rPr>
          <w:rFonts w:ascii="Verdana" w:hAnsi="Verdana"/>
          <w:bCs/>
          <w:iCs/>
          <w:sz w:val="18"/>
          <w:szCs w:val="18"/>
        </w:rPr>
        <w:t>E</w:t>
      </w:r>
      <w:r w:rsidRPr="00D729F7">
        <w:rPr>
          <w:rFonts w:ascii="Verdana" w:hAnsi="Verdana"/>
          <w:bCs/>
          <w:iCs/>
          <w:sz w:val="18"/>
          <w:szCs w:val="18"/>
        </w:rPr>
        <w:t xml:space="preserve">statal (AEAT) y de algunas </w:t>
      </w:r>
      <w:r w:rsidR="00821B21" w:rsidRPr="00D729F7">
        <w:rPr>
          <w:rFonts w:ascii="Verdana" w:hAnsi="Verdana"/>
          <w:bCs/>
          <w:iCs/>
          <w:sz w:val="18"/>
          <w:szCs w:val="18"/>
        </w:rPr>
        <w:t>autonómicas</w:t>
      </w:r>
      <w:r w:rsidR="00821B21">
        <w:rPr>
          <w:rFonts w:ascii="Verdana" w:hAnsi="Verdana"/>
          <w:bCs/>
          <w:iCs/>
          <w:sz w:val="18"/>
          <w:szCs w:val="18"/>
        </w:rPr>
        <w:t>.</w:t>
      </w:r>
    </w:p>
    <w:p w14:paraId="48F43717" w14:textId="77777777" w:rsidR="00821B21" w:rsidRDefault="00821B21" w:rsidP="00D729F7">
      <w:pPr>
        <w:ind w:left="284"/>
        <w:jc w:val="both"/>
        <w:rPr>
          <w:rFonts w:ascii="Verdana" w:hAnsi="Verdana"/>
          <w:bCs/>
          <w:iCs/>
          <w:sz w:val="18"/>
          <w:szCs w:val="18"/>
        </w:rPr>
      </w:pPr>
    </w:p>
    <w:p w14:paraId="0CCB26CF" w14:textId="5AB76B20" w:rsidR="00D729F7" w:rsidRDefault="00D729F7" w:rsidP="00D729F7">
      <w:pPr>
        <w:ind w:left="284"/>
        <w:jc w:val="both"/>
        <w:rPr>
          <w:rFonts w:ascii="Verdana" w:hAnsi="Verdana"/>
          <w:bCs/>
          <w:iCs/>
          <w:sz w:val="18"/>
          <w:szCs w:val="18"/>
        </w:rPr>
      </w:pPr>
      <w:r w:rsidRPr="00D729F7">
        <w:rPr>
          <w:rFonts w:ascii="Verdana" w:hAnsi="Verdana"/>
          <w:bCs/>
          <w:iCs/>
          <w:sz w:val="18"/>
          <w:szCs w:val="18"/>
        </w:rPr>
        <w:t xml:space="preserve">Hay varias cuestiones que están disparando la incertidumbre, </w:t>
      </w:r>
      <w:r w:rsidRPr="00821B21">
        <w:rPr>
          <w:rFonts w:ascii="Verdana" w:hAnsi="Verdana"/>
          <w:b/>
          <w:iCs/>
          <w:sz w:val="18"/>
          <w:szCs w:val="18"/>
        </w:rPr>
        <w:t>desde una consulta vinculante en Cataluña hasta comprobaciones e inspecciones de Hacienda</w:t>
      </w:r>
      <w:r w:rsidRPr="00D729F7">
        <w:rPr>
          <w:rFonts w:ascii="Verdana" w:hAnsi="Verdana"/>
          <w:bCs/>
          <w:iCs/>
          <w:sz w:val="18"/>
          <w:szCs w:val="18"/>
        </w:rPr>
        <w:t xml:space="preserve">. </w:t>
      </w:r>
    </w:p>
    <w:p w14:paraId="77322B63" w14:textId="77777777" w:rsidR="00821B21" w:rsidRPr="00D729F7" w:rsidRDefault="00821B21" w:rsidP="00D729F7">
      <w:pPr>
        <w:ind w:left="284"/>
        <w:jc w:val="both"/>
        <w:rPr>
          <w:rFonts w:ascii="Verdana" w:hAnsi="Verdana"/>
          <w:bCs/>
          <w:iCs/>
          <w:sz w:val="18"/>
          <w:szCs w:val="18"/>
        </w:rPr>
      </w:pPr>
    </w:p>
    <w:p w14:paraId="4292D3B8" w14:textId="707DBACC" w:rsidR="00821B21" w:rsidRDefault="00D729F7" w:rsidP="00D729F7">
      <w:pPr>
        <w:ind w:left="284"/>
        <w:jc w:val="both"/>
        <w:rPr>
          <w:rFonts w:ascii="Verdana" w:hAnsi="Verdana"/>
          <w:bCs/>
          <w:iCs/>
          <w:sz w:val="18"/>
          <w:szCs w:val="18"/>
        </w:rPr>
      </w:pPr>
      <w:r w:rsidRPr="00D729F7">
        <w:rPr>
          <w:rFonts w:ascii="Verdana" w:hAnsi="Verdana"/>
          <w:bCs/>
          <w:iCs/>
          <w:sz w:val="18"/>
          <w:szCs w:val="18"/>
        </w:rPr>
        <w:t xml:space="preserve">La consulta referida es </w:t>
      </w:r>
      <w:r w:rsidRPr="00821B21">
        <w:rPr>
          <w:rFonts w:ascii="Verdana" w:hAnsi="Verdana"/>
          <w:b/>
          <w:iCs/>
          <w:sz w:val="18"/>
          <w:szCs w:val="18"/>
        </w:rPr>
        <w:t>la V85/23 del 25 de octubre de 2024</w:t>
      </w:r>
      <w:r w:rsidRPr="00D729F7">
        <w:rPr>
          <w:rFonts w:ascii="Verdana" w:hAnsi="Verdana"/>
          <w:bCs/>
          <w:iCs/>
          <w:sz w:val="18"/>
          <w:szCs w:val="18"/>
        </w:rPr>
        <w:t xml:space="preserve"> </w:t>
      </w:r>
      <w:r w:rsidR="00F65085" w:rsidRPr="00F65085">
        <w:rPr>
          <w:rFonts w:ascii="Verdana" w:hAnsi="Verdana"/>
          <w:b/>
          <w:iCs/>
          <w:sz w:val="18"/>
          <w:szCs w:val="18"/>
        </w:rPr>
        <w:t>de la Generalitat de Cataluña</w:t>
      </w:r>
      <w:r w:rsidR="00F65085">
        <w:rPr>
          <w:rFonts w:ascii="Verdana" w:hAnsi="Verdana"/>
          <w:bCs/>
          <w:iCs/>
          <w:sz w:val="18"/>
          <w:szCs w:val="18"/>
        </w:rPr>
        <w:t xml:space="preserve"> </w:t>
      </w:r>
      <w:r w:rsidRPr="00D729F7">
        <w:rPr>
          <w:rFonts w:ascii="Verdana" w:hAnsi="Verdana"/>
          <w:bCs/>
          <w:iCs/>
          <w:sz w:val="18"/>
          <w:szCs w:val="18"/>
        </w:rPr>
        <w:t xml:space="preserve">y que se está poniendo encima de la mesa en algunas comprobaciones. En la consulta, la Administración Tributaria catalana hace una interpretación sobre </w:t>
      </w:r>
      <w:r w:rsidR="00821B21" w:rsidRPr="00D729F7">
        <w:rPr>
          <w:rFonts w:ascii="Verdana" w:hAnsi="Verdana"/>
          <w:bCs/>
          <w:iCs/>
          <w:sz w:val="18"/>
          <w:szCs w:val="18"/>
        </w:rPr>
        <w:t>que,</w:t>
      </w:r>
      <w:r w:rsidRPr="00D729F7">
        <w:rPr>
          <w:rFonts w:ascii="Verdana" w:hAnsi="Verdana"/>
          <w:bCs/>
          <w:iCs/>
          <w:sz w:val="18"/>
          <w:szCs w:val="18"/>
        </w:rPr>
        <w:t xml:space="preserve"> en los tres primeros años de la sociedad, que es el periodo que la CNMV da para cumplir los requisitos, </w:t>
      </w:r>
      <w:r w:rsidRPr="00821B21">
        <w:rPr>
          <w:rFonts w:ascii="Verdana" w:hAnsi="Verdana"/>
          <w:b/>
          <w:iCs/>
          <w:sz w:val="18"/>
          <w:szCs w:val="18"/>
        </w:rPr>
        <w:t>no se puede contabilizar la inversión como una obligación legal y, con ello, no se computaría para la deducción</w:t>
      </w:r>
      <w:r w:rsidRPr="00D729F7">
        <w:rPr>
          <w:rFonts w:ascii="Verdana" w:hAnsi="Verdana"/>
          <w:bCs/>
          <w:iCs/>
          <w:sz w:val="18"/>
          <w:szCs w:val="18"/>
        </w:rPr>
        <w:t xml:space="preserve">. Es decir, no habría ventaja fiscal en los tres primeros años. Desde Cataluña se citó a consultas de la Dirección General de Tributos (DGT) que, de forma menos directa, han dejado esta puerta abierta. Las consultas de Tributos habían generado ciertas dudas, pero como no estaba clara la restricción para los tres primeros años, no se había tenido tan en cuenta hasta que Cataluña ha optado por consolidar la tesis y ha aparecido en inspecciones y comprobaciones en los últimos meses. La catalana, a partir de una pregunta sobre el ISD y para un tipo de vehículo luxemburgués (SICAV RAIF-SICAR), </w:t>
      </w:r>
      <w:r w:rsidRPr="00F65085">
        <w:rPr>
          <w:rFonts w:ascii="Verdana" w:hAnsi="Verdana"/>
          <w:b/>
          <w:iCs/>
          <w:sz w:val="18"/>
          <w:szCs w:val="18"/>
        </w:rPr>
        <w:t>ha hecho saltar las alarmas</w:t>
      </w:r>
      <w:r w:rsidRPr="00D729F7">
        <w:rPr>
          <w:rFonts w:ascii="Verdana" w:hAnsi="Verdana"/>
          <w:bCs/>
          <w:iCs/>
          <w:sz w:val="18"/>
          <w:szCs w:val="18"/>
        </w:rPr>
        <w:t>. Y ha empezado a provocar tensión en algunas inspecciones y comprobaciones.</w:t>
      </w:r>
    </w:p>
    <w:p w14:paraId="677D8C0E" w14:textId="77777777" w:rsidR="00821B21" w:rsidRDefault="00821B21" w:rsidP="00D729F7">
      <w:pPr>
        <w:ind w:left="284"/>
        <w:jc w:val="both"/>
        <w:rPr>
          <w:rFonts w:ascii="Verdana" w:hAnsi="Verdana"/>
          <w:bCs/>
          <w:iCs/>
          <w:sz w:val="18"/>
          <w:szCs w:val="18"/>
        </w:rPr>
      </w:pPr>
    </w:p>
    <w:p w14:paraId="16022DB5" w14:textId="239D6021" w:rsidR="00D729F7" w:rsidRDefault="00D729F7" w:rsidP="00D729F7">
      <w:pPr>
        <w:ind w:left="284"/>
        <w:jc w:val="both"/>
        <w:rPr>
          <w:rFonts w:ascii="Verdana" w:hAnsi="Verdana"/>
          <w:bCs/>
          <w:iCs/>
          <w:sz w:val="18"/>
          <w:szCs w:val="18"/>
        </w:rPr>
      </w:pPr>
      <w:r w:rsidRPr="00D729F7">
        <w:rPr>
          <w:rFonts w:ascii="Verdana" w:hAnsi="Verdana"/>
          <w:bCs/>
          <w:iCs/>
          <w:sz w:val="18"/>
          <w:szCs w:val="18"/>
        </w:rPr>
        <w:t xml:space="preserve">También el hecho de que </w:t>
      </w:r>
      <w:r w:rsidRPr="00821B21">
        <w:rPr>
          <w:rFonts w:ascii="Verdana" w:hAnsi="Verdana"/>
          <w:b/>
          <w:iCs/>
          <w:sz w:val="18"/>
          <w:szCs w:val="18"/>
        </w:rPr>
        <w:t>se esté cuestionando la delegación de la gestión, como es habitual y como quiere la CNMV, por considerar que, si eso sucede, podría no haber los medios materiales y humanos que exige el régimen de la empresa familiar</w:t>
      </w:r>
      <w:r w:rsidRPr="00D729F7">
        <w:rPr>
          <w:rFonts w:ascii="Verdana" w:hAnsi="Verdana"/>
          <w:bCs/>
          <w:iCs/>
          <w:sz w:val="18"/>
          <w:szCs w:val="18"/>
        </w:rPr>
        <w:t xml:space="preserve">. </w:t>
      </w:r>
      <w:r w:rsidRPr="00821B21">
        <w:rPr>
          <w:rFonts w:ascii="Verdana" w:hAnsi="Verdana"/>
          <w:b/>
          <w:iCs/>
          <w:sz w:val="18"/>
          <w:szCs w:val="18"/>
        </w:rPr>
        <w:t>Es decir, la CNMV quiere que la gestión de las sociedades de inversión registradas sea profesional, por parte de una gestora especializada. Mientras que Hacienda cuestiona que eso implique que el inversor no está implicado en la gestión y podría no tener derecho al incentivo fiscal</w:t>
      </w:r>
      <w:r w:rsidRPr="00D729F7">
        <w:rPr>
          <w:rFonts w:ascii="Verdana" w:hAnsi="Verdana"/>
          <w:bCs/>
          <w:iCs/>
          <w:sz w:val="18"/>
          <w:szCs w:val="18"/>
        </w:rPr>
        <w:t>.</w:t>
      </w:r>
    </w:p>
    <w:p w14:paraId="11E898B0" w14:textId="77777777" w:rsidR="00821B21" w:rsidRPr="00D729F7" w:rsidRDefault="00821B21" w:rsidP="00D729F7">
      <w:pPr>
        <w:ind w:left="284"/>
        <w:jc w:val="both"/>
        <w:rPr>
          <w:rFonts w:ascii="Verdana" w:hAnsi="Verdana"/>
          <w:bCs/>
          <w:iCs/>
          <w:sz w:val="18"/>
          <w:szCs w:val="18"/>
        </w:rPr>
      </w:pPr>
    </w:p>
    <w:p w14:paraId="2B550A25" w14:textId="2065DF86" w:rsidR="00821B21" w:rsidRDefault="00D729F7" w:rsidP="00D729F7">
      <w:pPr>
        <w:ind w:left="284"/>
        <w:jc w:val="both"/>
        <w:rPr>
          <w:rFonts w:ascii="Verdana" w:hAnsi="Verdana"/>
          <w:bCs/>
          <w:iCs/>
          <w:sz w:val="18"/>
          <w:szCs w:val="18"/>
        </w:rPr>
      </w:pPr>
      <w:r w:rsidRPr="00D729F7">
        <w:rPr>
          <w:rFonts w:ascii="Verdana" w:hAnsi="Verdana"/>
          <w:bCs/>
          <w:iCs/>
          <w:sz w:val="18"/>
          <w:szCs w:val="18"/>
        </w:rPr>
        <w:t>En determinadas comunidades autónomas, por ejemplo, Cataluña y Aragón, está siendo objeto de inspección, dentro de la aplicación de los incentivos a la empresa familiar, la figura de la SCR</w:t>
      </w:r>
      <w:r w:rsidR="00D814F9">
        <w:rPr>
          <w:rFonts w:ascii="Verdana" w:hAnsi="Verdana"/>
          <w:bCs/>
          <w:iCs/>
          <w:sz w:val="18"/>
          <w:szCs w:val="18"/>
        </w:rPr>
        <w:t xml:space="preserve">. </w:t>
      </w:r>
      <w:r w:rsidRPr="00D729F7">
        <w:rPr>
          <w:rFonts w:ascii="Verdana" w:hAnsi="Verdana"/>
          <w:bCs/>
          <w:iCs/>
          <w:sz w:val="18"/>
          <w:szCs w:val="18"/>
        </w:rPr>
        <w:t xml:space="preserve">Los aspectos más conflictivos y en revisión son, entre otros: delegación de la gestión a una entidad gestora y la consideración, en este contexto, de que la SCR disponga de medios materiales y humanos para dirigir y gestionar la participación, así como la consideración de los valores incluidos en el coeficiente obligatorio de inversión como valores afectos al cumplimiento de una obligación legal o reglamentaria durante el periodo de tres años de incumplimiento temporal que permite el artículo 17 de la Ley 22/2014. </w:t>
      </w:r>
      <w:r w:rsidRPr="00821B21">
        <w:rPr>
          <w:rFonts w:ascii="Verdana" w:hAnsi="Verdana"/>
          <w:b/>
          <w:iCs/>
          <w:sz w:val="18"/>
          <w:szCs w:val="18"/>
        </w:rPr>
        <w:t>Las actuaciones de comprobación llevadas a cabo en Cataluña o las resoluciones de la DGT han generado dudas a algunos operadores</w:t>
      </w:r>
      <w:r w:rsidRPr="00D729F7">
        <w:rPr>
          <w:rFonts w:ascii="Verdana" w:hAnsi="Verdana"/>
          <w:bCs/>
          <w:iCs/>
          <w:sz w:val="18"/>
          <w:szCs w:val="18"/>
        </w:rPr>
        <w:t xml:space="preserve">, </w:t>
      </w:r>
    </w:p>
    <w:p w14:paraId="6C2B1205" w14:textId="77777777" w:rsidR="00821B21" w:rsidRDefault="00821B21" w:rsidP="00D729F7">
      <w:pPr>
        <w:ind w:left="284"/>
        <w:jc w:val="both"/>
        <w:rPr>
          <w:rFonts w:ascii="Verdana" w:hAnsi="Verdana"/>
          <w:bCs/>
          <w:iCs/>
          <w:sz w:val="18"/>
          <w:szCs w:val="18"/>
        </w:rPr>
      </w:pPr>
    </w:p>
    <w:p w14:paraId="0CFDB1CE" w14:textId="77777777" w:rsidR="00821B21" w:rsidRDefault="00D729F7" w:rsidP="00D729F7">
      <w:pPr>
        <w:ind w:left="284"/>
        <w:jc w:val="both"/>
        <w:rPr>
          <w:rFonts w:ascii="Verdana" w:hAnsi="Verdana"/>
          <w:bCs/>
          <w:iCs/>
          <w:sz w:val="18"/>
          <w:szCs w:val="18"/>
        </w:rPr>
      </w:pPr>
      <w:r w:rsidRPr="00821B21">
        <w:rPr>
          <w:rFonts w:ascii="Verdana" w:hAnsi="Verdana"/>
          <w:b/>
          <w:iCs/>
          <w:sz w:val="18"/>
          <w:szCs w:val="18"/>
        </w:rPr>
        <w:t>La DGT ha manifestado que, durante el plazo de tres años que tiene la SCR para cumplir con su coeficiente obligatorio de inversión, no es posible considerar que dichos valores se poseen para dar cumplimiento a una obligación legal, lo que los deja fuera del alcance de la exención del Impuesto sobre el Patrimonio</w:t>
      </w:r>
      <w:r w:rsidRPr="00D729F7">
        <w:rPr>
          <w:rFonts w:ascii="Verdana" w:hAnsi="Verdana"/>
          <w:bCs/>
          <w:iCs/>
          <w:sz w:val="18"/>
          <w:szCs w:val="18"/>
        </w:rPr>
        <w:t>.</w:t>
      </w:r>
    </w:p>
    <w:p w14:paraId="4B067C25" w14:textId="77777777" w:rsidR="00821B21" w:rsidRDefault="00821B21" w:rsidP="00D729F7">
      <w:pPr>
        <w:ind w:left="284"/>
        <w:jc w:val="both"/>
        <w:rPr>
          <w:rFonts w:ascii="Verdana" w:hAnsi="Verdana"/>
          <w:bCs/>
          <w:iCs/>
          <w:sz w:val="18"/>
          <w:szCs w:val="18"/>
        </w:rPr>
      </w:pPr>
    </w:p>
    <w:p w14:paraId="6A24B44E" w14:textId="621FA08D" w:rsidR="00D729F7" w:rsidRPr="00D729F7" w:rsidRDefault="00D729F7" w:rsidP="00821B21">
      <w:pPr>
        <w:ind w:left="284"/>
        <w:jc w:val="both"/>
        <w:rPr>
          <w:rFonts w:ascii="Verdana" w:hAnsi="Verdana"/>
          <w:bCs/>
          <w:iCs/>
          <w:sz w:val="18"/>
          <w:szCs w:val="18"/>
        </w:rPr>
      </w:pPr>
      <w:r w:rsidRPr="00D729F7">
        <w:rPr>
          <w:rFonts w:ascii="Verdana" w:hAnsi="Verdana"/>
          <w:bCs/>
          <w:iCs/>
          <w:sz w:val="18"/>
          <w:szCs w:val="18"/>
        </w:rPr>
        <w:t xml:space="preserve">Tributos exige que la SCR </w:t>
      </w:r>
      <w:r w:rsidRPr="00D54C70">
        <w:rPr>
          <w:rFonts w:ascii="Verdana" w:hAnsi="Verdana"/>
          <w:b/>
          <w:iCs/>
          <w:sz w:val="18"/>
          <w:szCs w:val="18"/>
        </w:rPr>
        <w:t>mantenga una estructura organizativa adecuada para gestionar las participaciones</w:t>
      </w:r>
      <w:r w:rsidRPr="00D729F7">
        <w:rPr>
          <w:rFonts w:ascii="Verdana" w:hAnsi="Verdana"/>
          <w:bCs/>
          <w:iCs/>
          <w:sz w:val="18"/>
          <w:szCs w:val="18"/>
        </w:rPr>
        <w:t xml:space="preserve">, como, por ejemplo, un consejo de administración que realice las funciones que legalmente le corresponda. </w:t>
      </w:r>
    </w:p>
    <w:p w14:paraId="4AAE2EB4" w14:textId="77777777" w:rsidR="00D729F7" w:rsidRDefault="00D729F7" w:rsidP="00E379E0">
      <w:pPr>
        <w:ind w:left="284"/>
        <w:jc w:val="both"/>
        <w:rPr>
          <w:rFonts w:ascii="Verdana" w:hAnsi="Verdana"/>
          <w:bCs/>
          <w:iCs/>
          <w:sz w:val="18"/>
          <w:szCs w:val="18"/>
        </w:rPr>
      </w:pPr>
    </w:p>
    <w:p w14:paraId="380004B2" w14:textId="77777777" w:rsidR="00D729F7" w:rsidRDefault="00D729F7" w:rsidP="00E379E0">
      <w:pPr>
        <w:ind w:left="284"/>
        <w:jc w:val="both"/>
        <w:rPr>
          <w:rFonts w:ascii="Verdana" w:hAnsi="Verdana"/>
          <w:bCs/>
          <w:iCs/>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653EF" w:rsidRPr="00751139" w14:paraId="4FCAFAFE" w14:textId="77777777" w:rsidTr="003B1F4C">
        <w:tc>
          <w:tcPr>
            <w:tcW w:w="180" w:type="dxa"/>
            <w:shd w:val="clear" w:color="auto" w:fill="FF6600"/>
          </w:tcPr>
          <w:p w14:paraId="2008A273" w14:textId="77777777" w:rsidR="00E653EF" w:rsidRPr="00751139" w:rsidRDefault="00E653EF" w:rsidP="003B1F4C">
            <w:pPr>
              <w:pStyle w:val="Textoindependiente"/>
              <w:rPr>
                <w:rFonts w:ascii="Verdana" w:hAnsi="Verdana"/>
                <w:color w:val="800000"/>
                <w:sz w:val="16"/>
                <w:szCs w:val="16"/>
              </w:rPr>
            </w:pPr>
            <w:bookmarkStart w:id="3" w:name="_Hlk198398936"/>
          </w:p>
        </w:tc>
        <w:tc>
          <w:tcPr>
            <w:tcW w:w="8460" w:type="dxa"/>
          </w:tcPr>
          <w:p w14:paraId="064CEA73" w14:textId="25953C6E" w:rsidR="00E653EF" w:rsidRPr="00751139" w:rsidRDefault="00751139" w:rsidP="003B1F4C">
            <w:pPr>
              <w:numPr>
                <w:ilvl w:val="0"/>
                <w:numId w:val="5"/>
              </w:numPr>
              <w:tabs>
                <w:tab w:val="clear" w:pos="720"/>
                <w:tab w:val="num" w:pos="317"/>
                <w:tab w:val="left" w:pos="360"/>
              </w:tabs>
              <w:ind w:left="317" w:hanging="283"/>
              <w:jc w:val="both"/>
              <w:rPr>
                <w:rFonts w:ascii="Verdana" w:hAnsi="Verdana"/>
                <w:b/>
                <w:bCs/>
                <w:color w:val="800000"/>
                <w:sz w:val="16"/>
                <w:szCs w:val="16"/>
              </w:rPr>
            </w:pPr>
            <w:r w:rsidRPr="00751139">
              <w:rPr>
                <w:rFonts w:ascii="Verdana" w:hAnsi="Verdana"/>
                <w:b/>
                <w:bCs/>
                <w:color w:val="800000"/>
                <w:sz w:val="18"/>
                <w:szCs w:val="18"/>
              </w:rPr>
              <w:t>REDUCCIÓN PARA 2024 DE LOS ÍNDICES DE RENDIMIENTO NETO APLICABLES EN EL MÉTODO DE ESTIMACIÓN OBJETIVA DEL IRPF PARA LAS ACTIVIDADES AGRÍCOLAS Y GANADERAS AFECTADAS POR DIVERSAS CIRCUNSTANCIAS EXCEPCIONALES</w:t>
            </w:r>
          </w:p>
        </w:tc>
      </w:tr>
      <w:bookmarkEnd w:id="3"/>
    </w:tbl>
    <w:p w14:paraId="2E8615B2" w14:textId="77777777" w:rsidR="00E653EF" w:rsidRPr="00E379E0" w:rsidRDefault="00E653EF" w:rsidP="00E379E0">
      <w:pPr>
        <w:ind w:left="284"/>
        <w:jc w:val="both"/>
        <w:rPr>
          <w:rFonts w:ascii="Verdana" w:hAnsi="Verdana"/>
          <w:bCs/>
          <w:iCs/>
          <w:sz w:val="18"/>
          <w:szCs w:val="18"/>
        </w:rPr>
      </w:pPr>
    </w:p>
    <w:p w14:paraId="17D0EBB5" w14:textId="74A0DCC1" w:rsidR="006F4EB3" w:rsidRDefault="006F4EB3" w:rsidP="006F4EB3">
      <w:pPr>
        <w:ind w:left="284"/>
        <w:jc w:val="both"/>
        <w:rPr>
          <w:rFonts w:ascii="Verdana" w:hAnsi="Verdana"/>
          <w:bCs/>
          <w:iCs/>
          <w:sz w:val="18"/>
          <w:szCs w:val="18"/>
        </w:rPr>
      </w:pPr>
      <w:r w:rsidRPr="006F4EB3">
        <w:rPr>
          <w:rFonts w:ascii="Verdana" w:hAnsi="Verdana"/>
          <w:bCs/>
          <w:iCs/>
          <w:sz w:val="18"/>
          <w:szCs w:val="18"/>
        </w:rPr>
        <w:t>En el BOE </w:t>
      </w:r>
      <w:r>
        <w:rPr>
          <w:rFonts w:ascii="Verdana" w:hAnsi="Verdana"/>
          <w:bCs/>
          <w:iCs/>
          <w:sz w:val="18"/>
          <w:szCs w:val="18"/>
        </w:rPr>
        <w:t>del día</w:t>
      </w:r>
      <w:r w:rsidRPr="006F4EB3">
        <w:rPr>
          <w:rFonts w:ascii="Verdana" w:hAnsi="Verdana"/>
          <w:bCs/>
          <w:iCs/>
          <w:sz w:val="18"/>
          <w:szCs w:val="18"/>
        </w:rPr>
        <w:t xml:space="preserve"> 30 de abril de 2025, se ha publicado </w:t>
      </w:r>
      <w:r w:rsidR="00751139" w:rsidRPr="006F4EB3">
        <w:rPr>
          <w:rFonts w:ascii="Verdana" w:hAnsi="Verdana"/>
          <w:bCs/>
          <w:iCs/>
          <w:sz w:val="18"/>
          <w:szCs w:val="18"/>
        </w:rPr>
        <w:t>la Orden</w:t>
      </w:r>
      <w:r>
        <w:rPr>
          <w:rFonts w:ascii="Verdana" w:hAnsi="Verdana"/>
          <w:bCs/>
          <w:iCs/>
          <w:sz w:val="18"/>
          <w:szCs w:val="18"/>
        </w:rPr>
        <w:t xml:space="preserve"> HAC/408/2025</w:t>
      </w:r>
      <w:hyperlink r:id="rId8" w:tgtFrame="_blank" w:history="1">
        <w:r w:rsidRPr="005D1ECD">
          <w:rPr>
            <w:rFonts w:ascii="Verdana" w:hAnsi="Verdana"/>
            <w:bCs/>
            <w:iCs/>
            <w:sz w:val="18"/>
            <w:szCs w:val="18"/>
          </w:rPr>
          <w:t>, de 28 de abril</w:t>
        </w:r>
      </w:hyperlink>
      <w:r w:rsidRPr="006F4EB3">
        <w:rPr>
          <w:rFonts w:ascii="Verdana" w:hAnsi="Verdana"/>
          <w:bCs/>
          <w:iCs/>
          <w:sz w:val="18"/>
          <w:szCs w:val="18"/>
        </w:rPr>
        <w:t>, por la que se modifican para el período impositivo 2024 los índices de rendimiento neto aplicables en el método de estimación objetiva del Impuesto sobre la Renta de las Personas Físicas para las actividades agrícolas y ganaderas afectadas por diversas circunstancias excepcionales.</w:t>
      </w:r>
    </w:p>
    <w:p w14:paraId="06ED7280" w14:textId="77777777" w:rsidR="006F4EB3" w:rsidRPr="006F4EB3" w:rsidRDefault="006F4EB3" w:rsidP="006F4EB3">
      <w:pPr>
        <w:ind w:left="284"/>
        <w:jc w:val="both"/>
        <w:rPr>
          <w:rFonts w:ascii="Verdana" w:hAnsi="Verdana"/>
          <w:bCs/>
          <w:iCs/>
          <w:sz w:val="18"/>
          <w:szCs w:val="18"/>
        </w:rPr>
      </w:pPr>
    </w:p>
    <w:p w14:paraId="44EF41BD" w14:textId="77777777" w:rsidR="006F4EB3" w:rsidRPr="006F4EB3" w:rsidRDefault="006F4EB3" w:rsidP="006F4EB3">
      <w:pPr>
        <w:ind w:left="284"/>
        <w:jc w:val="both"/>
        <w:rPr>
          <w:rFonts w:ascii="Verdana" w:hAnsi="Verdana"/>
          <w:bCs/>
          <w:iCs/>
          <w:sz w:val="18"/>
          <w:szCs w:val="18"/>
        </w:rPr>
      </w:pPr>
      <w:r w:rsidRPr="006F4EB3">
        <w:rPr>
          <w:rFonts w:ascii="Verdana" w:hAnsi="Verdana"/>
          <w:bCs/>
          <w:iCs/>
          <w:sz w:val="18"/>
          <w:szCs w:val="18"/>
        </w:rPr>
        <w:t>Estas reducciones han venido motivadas por el informe del Ministerio de Agricultura, Pesca y Alimentación en el que se pone de manifiesto que durante 2024 se han producido circunstancias excepcionales en el desarrollo de actividades agrícolas y ganaderas que aconsejan hacer uso de la autorización contenida en el citado artículo 37.4.1.º del Reglamento del Impuesto sobre la Renta de las Personas Físicas. De esta forma se aprueba la reducción de los índices de rendimiento neto aplicables en 2024 por las actividades agrícolas y ganaderas afectadas por circunstancias excepcionales, las cuales se localizan en determinadas zonas geográficas (las reducciones se engloban en un anexo, en el cual las mismas se agrupan por Comunidades Autónomas, Provincias, ámbitos territoriales y actividades).</w:t>
      </w:r>
    </w:p>
    <w:p w14:paraId="647ACF61" w14:textId="77777777" w:rsidR="00154154" w:rsidRDefault="00154154" w:rsidP="00FF5E3B">
      <w:pPr>
        <w:ind w:left="284"/>
        <w:jc w:val="both"/>
        <w:rPr>
          <w:rFonts w:ascii="Verdana" w:hAnsi="Verdana"/>
          <w:b/>
          <w:bCs/>
          <w:color w:val="800000"/>
          <w:sz w:val="20"/>
          <w:szCs w:val="20"/>
        </w:rPr>
      </w:pPr>
    </w:p>
    <w:p w14:paraId="08780676" w14:textId="77777777" w:rsidR="00154154" w:rsidRDefault="00154154" w:rsidP="00FF5E3B">
      <w:pPr>
        <w:ind w:left="284"/>
        <w:jc w:val="both"/>
        <w:rPr>
          <w:rFonts w:ascii="Verdana" w:hAnsi="Verdana"/>
          <w:b/>
          <w:bCs/>
          <w:color w:val="800000"/>
          <w:sz w:val="20"/>
          <w:szCs w:val="20"/>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154154" w:rsidRPr="00154154" w14:paraId="1B8B20DF" w14:textId="77777777" w:rsidTr="003B1F4C">
        <w:tc>
          <w:tcPr>
            <w:tcW w:w="180" w:type="dxa"/>
            <w:shd w:val="clear" w:color="auto" w:fill="FF6600"/>
          </w:tcPr>
          <w:p w14:paraId="1D0494FE" w14:textId="77777777" w:rsidR="00154154" w:rsidRPr="00154154" w:rsidRDefault="00154154" w:rsidP="003B1F4C">
            <w:pPr>
              <w:pStyle w:val="Textoindependiente"/>
              <w:rPr>
                <w:rFonts w:ascii="Verdana" w:hAnsi="Verdana"/>
                <w:color w:val="800000"/>
                <w:sz w:val="16"/>
                <w:szCs w:val="16"/>
              </w:rPr>
            </w:pPr>
          </w:p>
        </w:tc>
        <w:tc>
          <w:tcPr>
            <w:tcW w:w="8460" w:type="dxa"/>
          </w:tcPr>
          <w:p w14:paraId="53D488A6" w14:textId="79EDB6E9" w:rsidR="00154154" w:rsidRPr="00154154" w:rsidRDefault="00154154" w:rsidP="00E820ED">
            <w:pPr>
              <w:pStyle w:val="Prrafodelista"/>
              <w:numPr>
                <w:ilvl w:val="0"/>
                <w:numId w:val="33"/>
              </w:numPr>
              <w:ind w:left="384"/>
              <w:jc w:val="both"/>
              <w:rPr>
                <w:rFonts w:ascii="Verdana" w:hAnsi="Verdana"/>
                <w:b/>
                <w:bCs/>
                <w:color w:val="800000"/>
                <w:sz w:val="18"/>
                <w:szCs w:val="18"/>
              </w:rPr>
            </w:pPr>
            <w:r w:rsidRPr="00154154">
              <w:rPr>
                <w:rFonts w:ascii="Verdana" w:hAnsi="Verdana"/>
                <w:b/>
                <w:bCs/>
                <w:color w:val="800000"/>
                <w:sz w:val="18"/>
                <w:szCs w:val="18"/>
              </w:rPr>
              <w:t>LAS HOJAS DE CÁLCULO, LAS BASES DE DATOS Y LOS PROCESADORES DE TEXTO PUEDEN CONSIDERARSE SISTEMAS INFORMÁTICOS DE FACTURACIÓN ESTANDO SUJETAS AL REGLAMENTO VERI*FACTU</w:t>
            </w:r>
          </w:p>
        </w:tc>
      </w:tr>
    </w:tbl>
    <w:p w14:paraId="013E5775" w14:textId="77777777" w:rsidR="00154154" w:rsidRDefault="00154154" w:rsidP="00FF5E3B">
      <w:pPr>
        <w:ind w:left="284"/>
        <w:jc w:val="both"/>
        <w:rPr>
          <w:rFonts w:ascii="Verdana" w:hAnsi="Verdana"/>
          <w:b/>
          <w:bCs/>
          <w:color w:val="800000"/>
          <w:sz w:val="20"/>
          <w:szCs w:val="20"/>
        </w:rPr>
      </w:pPr>
    </w:p>
    <w:p w14:paraId="2956A1E4" w14:textId="126D7C0A" w:rsidR="00154154" w:rsidRDefault="00154154" w:rsidP="00154154">
      <w:pPr>
        <w:ind w:left="284"/>
        <w:jc w:val="both"/>
        <w:rPr>
          <w:rFonts w:ascii="Verdana" w:hAnsi="Verdana"/>
          <w:bCs/>
          <w:iCs/>
          <w:sz w:val="18"/>
          <w:szCs w:val="18"/>
        </w:rPr>
      </w:pPr>
      <w:r>
        <w:rPr>
          <w:rFonts w:ascii="Verdana" w:hAnsi="Verdana"/>
          <w:bCs/>
          <w:iCs/>
          <w:sz w:val="18"/>
          <w:szCs w:val="18"/>
        </w:rPr>
        <w:t xml:space="preserve">En la consulta vinculante V0073/2025, de 3 de febrero de 2025, formula la consulta un contribuyente que </w:t>
      </w:r>
      <w:r w:rsidRPr="00154154">
        <w:rPr>
          <w:rFonts w:ascii="Verdana" w:hAnsi="Verdana"/>
          <w:bCs/>
          <w:iCs/>
          <w:sz w:val="18"/>
          <w:szCs w:val="18"/>
        </w:rPr>
        <w:t>emite facturas en PDF mediante procesadores de texto, hojas de cálculo o bases de datos.</w:t>
      </w:r>
    </w:p>
    <w:p w14:paraId="44C7D8A4" w14:textId="77777777" w:rsidR="00154154" w:rsidRPr="00154154" w:rsidRDefault="00154154" w:rsidP="00154154">
      <w:pPr>
        <w:ind w:left="284"/>
        <w:jc w:val="both"/>
        <w:rPr>
          <w:rFonts w:ascii="Verdana" w:hAnsi="Verdana"/>
          <w:bCs/>
          <w:iCs/>
          <w:sz w:val="18"/>
          <w:szCs w:val="18"/>
        </w:rPr>
      </w:pPr>
    </w:p>
    <w:p w14:paraId="7B8D7AFF" w14:textId="77777777" w:rsidR="00154154" w:rsidRDefault="00154154" w:rsidP="00154154">
      <w:pPr>
        <w:ind w:left="284"/>
        <w:jc w:val="both"/>
        <w:rPr>
          <w:rFonts w:ascii="Verdana" w:hAnsi="Verdana"/>
          <w:bCs/>
          <w:iCs/>
          <w:sz w:val="18"/>
          <w:szCs w:val="18"/>
        </w:rPr>
      </w:pPr>
      <w:r w:rsidRPr="00154154">
        <w:rPr>
          <w:rFonts w:ascii="Verdana" w:hAnsi="Verdana"/>
          <w:bCs/>
          <w:iCs/>
          <w:sz w:val="18"/>
          <w:szCs w:val="18"/>
        </w:rPr>
        <w:t>En principio, si no empleara un sistema informático de facturación (como ocurre con facturas manuscritas), no estaría obligada a cumplir con el Real Decreto 1007/2023, Reglamento Veri*factu.</w:t>
      </w:r>
    </w:p>
    <w:p w14:paraId="5F55D86A" w14:textId="77777777" w:rsidR="00154154" w:rsidRPr="00154154" w:rsidRDefault="00154154" w:rsidP="00154154">
      <w:pPr>
        <w:ind w:left="284"/>
        <w:jc w:val="both"/>
        <w:rPr>
          <w:rFonts w:ascii="Verdana" w:hAnsi="Verdana"/>
          <w:bCs/>
          <w:iCs/>
          <w:sz w:val="18"/>
          <w:szCs w:val="18"/>
        </w:rPr>
      </w:pPr>
    </w:p>
    <w:p w14:paraId="7DB47A4D" w14:textId="77777777" w:rsidR="00154154" w:rsidRPr="00154154" w:rsidRDefault="00154154" w:rsidP="00154154">
      <w:pPr>
        <w:ind w:left="284"/>
        <w:jc w:val="both"/>
        <w:rPr>
          <w:rFonts w:ascii="Verdana" w:hAnsi="Verdana"/>
          <w:bCs/>
          <w:iCs/>
          <w:sz w:val="18"/>
          <w:szCs w:val="18"/>
        </w:rPr>
      </w:pPr>
      <w:r w:rsidRPr="00154154">
        <w:rPr>
          <w:rFonts w:ascii="Verdana" w:hAnsi="Verdana"/>
          <w:bCs/>
          <w:iCs/>
          <w:sz w:val="18"/>
          <w:szCs w:val="18"/>
        </w:rPr>
        <w:t>Sin embargo, las hojas de cálculo y bases de datos pueden considerarse sistemas informáticos de facturación, ya que permiten procesar y conservar información de forma automatizada. Por tanto, podrían estar sujetas al nuevo Reglamento.</w:t>
      </w:r>
    </w:p>
    <w:p w14:paraId="0FC4CAF2" w14:textId="77777777" w:rsidR="00154154" w:rsidRDefault="00154154" w:rsidP="00154154">
      <w:pPr>
        <w:ind w:left="284"/>
        <w:jc w:val="both"/>
        <w:rPr>
          <w:rFonts w:ascii="Verdana" w:hAnsi="Verdana"/>
          <w:bCs/>
          <w:iCs/>
          <w:sz w:val="18"/>
          <w:szCs w:val="18"/>
        </w:rPr>
      </w:pPr>
      <w:r w:rsidRPr="00154154">
        <w:rPr>
          <w:rFonts w:ascii="Verdana" w:hAnsi="Verdana"/>
          <w:bCs/>
          <w:iCs/>
          <w:sz w:val="18"/>
          <w:szCs w:val="18"/>
        </w:rPr>
        <w:t>Aplicación del Real Decreto 1007/2023:</w:t>
      </w:r>
    </w:p>
    <w:p w14:paraId="1DC0CFF1" w14:textId="77777777" w:rsidR="00154154" w:rsidRPr="00154154" w:rsidRDefault="00154154" w:rsidP="00154154">
      <w:pPr>
        <w:ind w:left="284"/>
        <w:jc w:val="both"/>
        <w:rPr>
          <w:rFonts w:ascii="Verdana" w:hAnsi="Verdana"/>
          <w:bCs/>
          <w:iCs/>
          <w:sz w:val="18"/>
          <w:szCs w:val="18"/>
        </w:rPr>
      </w:pPr>
    </w:p>
    <w:p w14:paraId="0BAA59D8" w14:textId="77777777" w:rsidR="00154154" w:rsidRPr="00154154" w:rsidRDefault="00154154" w:rsidP="00154154">
      <w:pPr>
        <w:numPr>
          <w:ilvl w:val="0"/>
          <w:numId w:val="29"/>
        </w:numPr>
        <w:jc w:val="both"/>
        <w:rPr>
          <w:rFonts w:ascii="Verdana" w:hAnsi="Verdana"/>
          <w:bCs/>
          <w:iCs/>
          <w:sz w:val="18"/>
          <w:szCs w:val="18"/>
        </w:rPr>
      </w:pPr>
      <w:r w:rsidRPr="00154154">
        <w:rPr>
          <w:rFonts w:ascii="Verdana" w:hAnsi="Verdana"/>
          <w:bCs/>
          <w:iCs/>
          <w:sz w:val="18"/>
          <w:szCs w:val="18"/>
        </w:rPr>
        <w:t>Este Reglamento regula los requisitos técnicos de los sistemas de facturación para garantizar integridad, trazabilidad y conservación de los datos, conforme a la Ley General Tributaria.</w:t>
      </w:r>
    </w:p>
    <w:p w14:paraId="2145623A" w14:textId="77777777" w:rsidR="00154154" w:rsidRPr="00154154" w:rsidRDefault="00154154" w:rsidP="00154154">
      <w:pPr>
        <w:numPr>
          <w:ilvl w:val="0"/>
          <w:numId w:val="29"/>
        </w:numPr>
        <w:jc w:val="both"/>
        <w:rPr>
          <w:rFonts w:ascii="Verdana" w:hAnsi="Verdana"/>
          <w:bCs/>
          <w:iCs/>
          <w:sz w:val="18"/>
          <w:szCs w:val="18"/>
        </w:rPr>
      </w:pPr>
      <w:r w:rsidRPr="00154154">
        <w:rPr>
          <w:rFonts w:ascii="Verdana" w:hAnsi="Verdana"/>
          <w:bCs/>
          <w:iCs/>
          <w:sz w:val="18"/>
          <w:szCs w:val="18"/>
        </w:rPr>
        <w:t>Es aplicable a contribuyentes del Impuesto sobre Sociedades, IRPF con actividad económica, Impuesto sobre la Renta de no Residentes con EP y entidades en régimen de atribución de rentas que desarrollen actividades económicas.</w:t>
      </w:r>
    </w:p>
    <w:p w14:paraId="7DD60BBB" w14:textId="77777777" w:rsidR="00154154" w:rsidRPr="00154154" w:rsidRDefault="00154154" w:rsidP="00154154">
      <w:pPr>
        <w:numPr>
          <w:ilvl w:val="0"/>
          <w:numId w:val="29"/>
        </w:numPr>
        <w:jc w:val="both"/>
        <w:rPr>
          <w:rFonts w:ascii="Verdana" w:hAnsi="Verdana"/>
          <w:bCs/>
          <w:iCs/>
          <w:sz w:val="18"/>
          <w:szCs w:val="18"/>
        </w:rPr>
      </w:pPr>
      <w:r w:rsidRPr="00154154">
        <w:rPr>
          <w:rFonts w:ascii="Verdana" w:hAnsi="Verdana"/>
          <w:bCs/>
          <w:iCs/>
          <w:sz w:val="18"/>
          <w:szCs w:val="18"/>
        </w:rPr>
        <w:t>Se establece que los sistemas de facturación deben garantizar el cumplimiento de la normativa sobre protección de datos (RGPD y LOPDGDD).</w:t>
      </w:r>
    </w:p>
    <w:p w14:paraId="64EDA535" w14:textId="77777777" w:rsidR="00154154" w:rsidRDefault="00154154" w:rsidP="00154154">
      <w:pPr>
        <w:ind w:left="284"/>
        <w:jc w:val="both"/>
        <w:rPr>
          <w:rFonts w:ascii="Verdana" w:hAnsi="Verdana"/>
          <w:bCs/>
          <w:iCs/>
          <w:sz w:val="18"/>
          <w:szCs w:val="18"/>
        </w:rPr>
      </w:pPr>
    </w:p>
    <w:p w14:paraId="178CFBC6" w14:textId="08F61E1B" w:rsidR="00154154" w:rsidRPr="00154154" w:rsidRDefault="00154154" w:rsidP="00154154">
      <w:pPr>
        <w:ind w:left="284"/>
        <w:jc w:val="both"/>
        <w:rPr>
          <w:rFonts w:ascii="Verdana" w:hAnsi="Verdana"/>
          <w:bCs/>
          <w:iCs/>
          <w:sz w:val="18"/>
          <w:szCs w:val="18"/>
        </w:rPr>
      </w:pPr>
      <w:r w:rsidRPr="00154154">
        <w:rPr>
          <w:rFonts w:ascii="Verdana" w:hAnsi="Verdana"/>
          <w:bCs/>
          <w:iCs/>
          <w:sz w:val="18"/>
          <w:szCs w:val="18"/>
        </w:rPr>
        <w:t>Opciones disponibles para cumplir el Reglamento:</w:t>
      </w:r>
    </w:p>
    <w:p w14:paraId="16A391B5" w14:textId="77777777" w:rsidR="00154154" w:rsidRPr="00154154" w:rsidRDefault="00154154" w:rsidP="00154154">
      <w:pPr>
        <w:numPr>
          <w:ilvl w:val="0"/>
          <w:numId w:val="30"/>
        </w:numPr>
        <w:jc w:val="both"/>
        <w:rPr>
          <w:rFonts w:ascii="Verdana" w:hAnsi="Verdana"/>
          <w:bCs/>
          <w:iCs/>
          <w:sz w:val="18"/>
          <w:szCs w:val="18"/>
        </w:rPr>
      </w:pPr>
      <w:r w:rsidRPr="00154154">
        <w:rPr>
          <w:rFonts w:ascii="Verdana" w:hAnsi="Verdana"/>
          <w:bCs/>
          <w:iCs/>
          <w:sz w:val="18"/>
          <w:szCs w:val="18"/>
        </w:rPr>
        <w:t>Los contribuyentes podrán optar entre:</w:t>
      </w:r>
    </w:p>
    <w:p w14:paraId="1C1977C4" w14:textId="77777777" w:rsidR="00154154" w:rsidRPr="00154154" w:rsidRDefault="00154154" w:rsidP="005D1ECD">
      <w:pPr>
        <w:numPr>
          <w:ilvl w:val="1"/>
          <w:numId w:val="30"/>
        </w:numPr>
        <w:tabs>
          <w:tab w:val="clear" w:pos="1440"/>
          <w:tab w:val="num" w:pos="993"/>
        </w:tabs>
        <w:ind w:left="993" w:hanging="284"/>
        <w:jc w:val="both"/>
        <w:rPr>
          <w:rFonts w:ascii="Verdana" w:hAnsi="Verdana"/>
          <w:bCs/>
          <w:iCs/>
          <w:sz w:val="18"/>
          <w:szCs w:val="18"/>
        </w:rPr>
      </w:pPr>
      <w:r w:rsidRPr="00154154">
        <w:rPr>
          <w:rFonts w:ascii="Verdana" w:hAnsi="Verdana"/>
          <w:bCs/>
          <w:iCs/>
          <w:sz w:val="18"/>
          <w:szCs w:val="18"/>
        </w:rPr>
        <w:t>Un sistema informático propio que cumpla con los requisitos técnicos del reglamento.</w:t>
      </w:r>
    </w:p>
    <w:p w14:paraId="181457B9" w14:textId="246F460C" w:rsidR="00154154" w:rsidRPr="00154154" w:rsidRDefault="00154154" w:rsidP="005143F1">
      <w:pPr>
        <w:numPr>
          <w:ilvl w:val="1"/>
          <w:numId w:val="30"/>
        </w:numPr>
        <w:tabs>
          <w:tab w:val="clear" w:pos="1440"/>
          <w:tab w:val="num" w:pos="993"/>
        </w:tabs>
        <w:ind w:left="993" w:hanging="284"/>
        <w:jc w:val="both"/>
        <w:rPr>
          <w:rFonts w:ascii="Verdana" w:hAnsi="Verdana"/>
          <w:bCs/>
          <w:iCs/>
          <w:sz w:val="18"/>
          <w:szCs w:val="18"/>
        </w:rPr>
      </w:pPr>
      <w:r w:rsidRPr="00154154">
        <w:rPr>
          <w:rFonts w:ascii="Verdana" w:hAnsi="Verdana"/>
          <w:bCs/>
          <w:iCs/>
          <w:sz w:val="18"/>
          <w:szCs w:val="18"/>
        </w:rPr>
        <w:t>La aplicación informática que ofrecerá la Agencia Tributaria</w:t>
      </w:r>
      <w:r w:rsidR="005143F1">
        <w:rPr>
          <w:rFonts w:ascii="Verdana" w:hAnsi="Verdana"/>
          <w:bCs/>
          <w:iCs/>
          <w:sz w:val="18"/>
          <w:szCs w:val="18"/>
        </w:rPr>
        <w:t>, con limitaciones al número de facturas anuales</w:t>
      </w:r>
      <w:r w:rsidRPr="00154154">
        <w:rPr>
          <w:rFonts w:ascii="Verdana" w:hAnsi="Verdana"/>
          <w:bCs/>
          <w:iCs/>
          <w:sz w:val="18"/>
          <w:szCs w:val="18"/>
        </w:rPr>
        <w:t>.</w:t>
      </w:r>
    </w:p>
    <w:p w14:paraId="6498024B" w14:textId="77B428E7" w:rsidR="007C207F" w:rsidRPr="00154154" w:rsidRDefault="007C207F" w:rsidP="00FF5E3B">
      <w:pPr>
        <w:ind w:left="284"/>
        <w:jc w:val="both"/>
        <w:rPr>
          <w:rFonts w:ascii="Verdana" w:hAnsi="Verdana"/>
          <w:bCs/>
          <w:iCs/>
          <w:sz w:val="18"/>
          <w:szCs w:val="18"/>
        </w:rPr>
      </w:pPr>
      <w:r w:rsidRPr="00154154">
        <w:rPr>
          <w:rFonts w:ascii="Verdana" w:hAnsi="Verdana"/>
          <w:bCs/>
          <w:iCs/>
          <w:sz w:val="18"/>
          <w:szCs w:val="18"/>
        </w:rPr>
        <w:br w:type="page"/>
      </w:r>
      <w:r w:rsidR="001E3571">
        <w:rPr>
          <w:rFonts w:ascii="Verdana" w:hAnsi="Verdana"/>
          <w:bCs/>
          <w:iCs/>
          <w:sz w:val="18"/>
          <w:szCs w:val="18"/>
        </w:rPr>
        <w:t xml:space="preserve"> </w:t>
      </w:r>
    </w:p>
    <w:p w14:paraId="4191C38F" w14:textId="392ED41D" w:rsidR="002F1978" w:rsidRDefault="00B242D8" w:rsidP="00BA35C4">
      <w:pPr>
        <w:jc w:val="both"/>
        <w:rPr>
          <w:rFonts w:ascii="Verdana" w:hAnsi="Verdana"/>
          <w:b/>
          <w:bCs/>
          <w:color w:val="800000"/>
          <w:sz w:val="20"/>
          <w:szCs w:val="20"/>
        </w:rPr>
      </w:pPr>
      <w:r w:rsidRPr="005636F2">
        <w:rPr>
          <w:rFonts w:ascii="Verdana" w:hAnsi="Verdana"/>
          <w:b/>
          <w:bCs/>
          <w:color w:val="800000"/>
          <w:sz w:val="20"/>
          <w:szCs w:val="20"/>
        </w:rPr>
        <w:t xml:space="preserve">DISPOSICIONES PUBLICADAS DURANTE </w:t>
      </w:r>
      <w:r w:rsidR="0017178D">
        <w:rPr>
          <w:rFonts w:ascii="Verdana" w:hAnsi="Verdana"/>
          <w:b/>
          <w:bCs/>
          <w:color w:val="800000"/>
          <w:sz w:val="20"/>
          <w:szCs w:val="20"/>
        </w:rPr>
        <w:t xml:space="preserve">EL MES DE </w:t>
      </w:r>
      <w:r w:rsidR="002F1978" w:rsidRPr="005636F2">
        <w:rPr>
          <w:rFonts w:ascii="Verdana" w:hAnsi="Verdana"/>
          <w:b/>
          <w:bCs/>
          <w:color w:val="800000"/>
          <w:sz w:val="20"/>
          <w:szCs w:val="20"/>
        </w:rPr>
        <w:t xml:space="preserve">MAYO DE </w:t>
      </w:r>
      <w:r w:rsidR="004B5A68">
        <w:rPr>
          <w:rFonts w:ascii="Verdana" w:hAnsi="Verdana"/>
          <w:b/>
          <w:bCs/>
          <w:color w:val="800000"/>
          <w:sz w:val="20"/>
          <w:szCs w:val="20"/>
        </w:rPr>
        <w:t>202</w:t>
      </w:r>
      <w:r w:rsidR="00565833">
        <w:rPr>
          <w:rFonts w:ascii="Verdana" w:hAnsi="Verdana"/>
          <w:b/>
          <w:bCs/>
          <w:color w:val="800000"/>
          <w:sz w:val="20"/>
          <w:szCs w:val="20"/>
        </w:rPr>
        <w:t>5</w:t>
      </w:r>
    </w:p>
    <w:p w14:paraId="22ACEB70" w14:textId="77777777" w:rsidR="00565833" w:rsidRPr="005636F2" w:rsidRDefault="00565833" w:rsidP="00BA35C4">
      <w:pPr>
        <w:jc w:val="both"/>
        <w:rPr>
          <w:rFonts w:ascii="Verdana" w:hAnsi="Verdana"/>
          <w:sz w:val="18"/>
          <w:szCs w:val="18"/>
        </w:rPr>
      </w:pPr>
    </w:p>
    <w:p w14:paraId="150FA2AB" w14:textId="77777777" w:rsidR="00CA1256" w:rsidRPr="00D43630" w:rsidRDefault="00CA1256" w:rsidP="00CA1256">
      <w:pPr>
        <w:pStyle w:val="Sangradetextonormal"/>
        <w:ind w:left="0"/>
        <w:rPr>
          <w:rFonts w:ascii="Verdana" w:hAnsi="Verdana"/>
          <w:b/>
          <w:bCs/>
          <w:color w:val="800000"/>
          <w:sz w:val="18"/>
          <w:szCs w:val="18"/>
        </w:rPr>
      </w:pPr>
      <w:r w:rsidRPr="00D43630">
        <w:rPr>
          <w:rFonts w:ascii="Verdana" w:hAnsi="Verdana"/>
          <w:b/>
          <w:bCs/>
          <w:color w:val="800000"/>
          <w:sz w:val="18"/>
          <w:szCs w:val="18"/>
        </w:rPr>
        <w:t>Impuesto sobre la Renta de las Personas Físicas</w:t>
      </w:r>
    </w:p>
    <w:p w14:paraId="78800BFC" w14:textId="13E02B6D" w:rsidR="00CA1256" w:rsidRDefault="00CA1256" w:rsidP="00CA1256">
      <w:pPr>
        <w:pStyle w:val="Sangradetextonormal"/>
        <w:ind w:left="0"/>
        <w:rPr>
          <w:rFonts w:ascii="Verdana" w:hAnsi="Verdana"/>
          <w:iCs/>
          <w:sz w:val="18"/>
          <w:szCs w:val="18"/>
        </w:rPr>
      </w:pPr>
      <w:r w:rsidRPr="00CA1256">
        <w:rPr>
          <w:rFonts w:ascii="Verdana" w:hAnsi="Verdana"/>
          <w:iCs/>
          <w:sz w:val="18"/>
          <w:szCs w:val="18"/>
        </w:rPr>
        <w:t>Orden HAC/408/2025, de 28 de abril, por la que se modifican para el período impositivo 2024 los índices de rendimiento neto aplicables en el método de estimación objetiva del Impuesto sobre la Renta de las Personas Físicas para las actividades agrícolas y ganaderas afectadas por diversas circunstancias excepcionales.</w:t>
      </w:r>
    </w:p>
    <w:p w14:paraId="492DB6EB" w14:textId="5F1EDD68" w:rsidR="00D43630" w:rsidRPr="00D43630" w:rsidRDefault="00D43630" w:rsidP="00CA1256">
      <w:pPr>
        <w:pStyle w:val="Sangradetextonormal"/>
        <w:ind w:left="0"/>
        <w:rPr>
          <w:rFonts w:ascii="Verdana" w:hAnsi="Verdana"/>
          <w:i/>
          <w:sz w:val="18"/>
          <w:szCs w:val="18"/>
        </w:rPr>
      </w:pPr>
      <w:r w:rsidRPr="00D43630">
        <w:rPr>
          <w:rFonts w:ascii="Verdana" w:hAnsi="Verdana"/>
          <w:i/>
          <w:sz w:val="18"/>
          <w:szCs w:val="18"/>
        </w:rPr>
        <w:t xml:space="preserve">Ministerio de Hacienda. </w:t>
      </w:r>
      <w:bookmarkStart w:id="4" w:name="_Hlk198915503"/>
      <w:r w:rsidRPr="00D43630">
        <w:rPr>
          <w:rFonts w:ascii="Verdana" w:hAnsi="Verdana"/>
          <w:i/>
          <w:sz w:val="18"/>
          <w:szCs w:val="18"/>
        </w:rPr>
        <w:t>B.O.E. núm.104 de 30 de abril de 2025.</w:t>
      </w:r>
      <w:bookmarkEnd w:id="4"/>
    </w:p>
    <w:p w14:paraId="0C6AEE7E" w14:textId="77777777" w:rsidR="00D43630" w:rsidRDefault="00D43630" w:rsidP="00CA1256">
      <w:pPr>
        <w:pStyle w:val="Sangradetextonormal"/>
        <w:ind w:left="0"/>
        <w:rPr>
          <w:rFonts w:ascii="Verdana" w:hAnsi="Verdana"/>
          <w:iCs/>
          <w:sz w:val="18"/>
          <w:szCs w:val="18"/>
        </w:rPr>
      </w:pPr>
    </w:p>
    <w:p w14:paraId="2FE9BE70" w14:textId="77777777" w:rsidR="00EC339D" w:rsidRDefault="00EC339D" w:rsidP="004B3321">
      <w:pPr>
        <w:jc w:val="both"/>
        <w:rPr>
          <w:rFonts w:ascii="Verdana" w:hAnsi="Verdana"/>
          <w:i/>
          <w:sz w:val="18"/>
          <w:szCs w:val="18"/>
        </w:rPr>
      </w:pPr>
    </w:p>
    <w:p w14:paraId="5EDEA33A" w14:textId="7EBA39C9" w:rsidR="00BA187A" w:rsidRDefault="00BA187A" w:rsidP="00540C9B">
      <w:pPr>
        <w:pStyle w:val="Sangradetextonormal"/>
        <w:ind w:left="0"/>
        <w:rPr>
          <w:rFonts w:ascii="Verdana" w:hAnsi="Verdana"/>
          <w:b/>
          <w:bCs/>
          <w:color w:val="800000"/>
          <w:sz w:val="20"/>
          <w:szCs w:val="20"/>
        </w:rPr>
      </w:pPr>
      <w:r w:rsidRPr="002D0B04">
        <w:rPr>
          <w:rFonts w:ascii="Verdana" w:hAnsi="Verdana"/>
          <w:b/>
          <w:bCs/>
          <w:color w:val="800000"/>
          <w:sz w:val="20"/>
          <w:szCs w:val="20"/>
        </w:rPr>
        <w:t>COMUNIDADES AUTÓNOMAS Y FORALES</w:t>
      </w:r>
    </w:p>
    <w:p w14:paraId="4EEFDD9E" w14:textId="77777777" w:rsidR="00EC339D" w:rsidRPr="002D0B04" w:rsidRDefault="00EC339D" w:rsidP="00540C9B">
      <w:pPr>
        <w:pStyle w:val="Sangradetextonormal"/>
        <w:ind w:left="0"/>
        <w:rPr>
          <w:rFonts w:ascii="Verdana" w:hAnsi="Verdana"/>
          <w:b/>
          <w:bCs/>
          <w:color w:val="800000"/>
          <w:sz w:val="20"/>
          <w:szCs w:val="20"/>
        </w:rPr>
      </w:pPr>
    </w:p>
    <w:p w14:paraId="1BA152DB" w14:textId="4DFF8A2C" w:rsidR="00EC339D" w:rsidRPr="00EC339D" w:rsidRDefault="00EC339D" w:rsidP="00EC339D">
      <w:pPr>
        <w:pStyle w:val="Sangradetextonormal"/>
        <w:ind w:hanging="180"/>
        <w:rPr>
          <w:rFonts w:ascii="Verdana" w:hAnsi="Verdana"/>
          <w:b/>
          <w:bCs/>
          <w:color w:val="800000"/>
          <w:sz w:val="18"/>
          <w:szCs w:val="18"/>
        </w:rPr>
      </w:pPr>
      <w:r>
        <w:rPr>
          <w:rFonts w:ascii="Verdana" w:hAnsi="Verdana"/>
          <w:b/>
          <w:bCs/>
          <w:color w:val="800000"/>
          <w:sz w:val="18"/>
          <w:szCs w:val="18"/>
        </w:rPr>
        <w:t>C</w:t>
      </w:r>
      <w:r w:rsidRPr="00EC339D">
        <w:rPr>
          <w:rFonts w:ascii="Verdana" w:hAnsi="Verdana"/>
          <w:b/>
          <w:bCs/>
          <w:color w:val="800000"/>
          <w:sz w:val="18"/>
          <w:szCs w:val="18"/>
        </w:rPr>
        <w:t>OMUNIDAD AUTÓNOMA DE CASTILLA-LA MANCHA</w:t>
      </w:r>
    </w:p>
    <w:p w14:paraId="16F46045" w14:textId="77777777" w:rsidR="00EC339D" w:rsidRPr="00EC339D" w:rsidRDefault="00EC339D" w:rsidP="00EC339D">
      <w:pPr>
        <w:pStyle w:val="Sangradetextonormal"/>
        <w:ind w:hanging="180"/>
        <w:rPr>
          <w:rFonts w:ascii="Verdana" w:hAnsi="Verdana"/>
          <w:b/>
          <w:bCs/>
          <w:color w:val="800000"/>
          <w:sz w:val="18"/>
          <w:szCs w:val="18"/>
        </w:rPr>
      </w:pPr>
      <w:r w:rsidRPr="00EC339D">
        <w:rPr>
          <w:rFonts w:ascii="Verdana" w:hAnsi="Verdana"/>
          <w:b/>
          <w:bCs/>
          <w:color w:val="800000"/>
          <w:sz w:val="18"/>
          <w:szCs w:val="18"/>
        </w:rPr>
        <w:t>Presupuestos</w:t>
      </w:r>
    </w:p>
    <w:p w14:paraId="45CDA17A" w14:textId="3F1AF71E" w:rsidR="008F11DB" w:rsidRPr="00EC339D" w:rsidRDefault="00EC339D" w:rsidP="00EC339D">
      <w:pPr>
        <w:pStyle w:val="Sangradetextonormal"/>
        <w:ind w:left="0" w:hanging="180"/>
        <w:rPr>
          <w:rFonts w:ascii="Verdana" w:hAnsi="Verdana"/>
          <w:iCs/>
          <w:sz w:val="18"/>
          <w:szCs w:val="18"/>
        </w:rPr>
      </w:pPr>
      <w:r w:rsidRPr="00EC339D">
        <w:rPr>
          <w:rFonts w:ascii="Verdana" w:hAnsi="Verdana"/>
          <w:iCs/>
          <w:sz w:val="18"/>
          <w:szCs w:val="18"/>
        </w:rPr>
        <w:t xml:space="preserve">   Ley 6/2024, de 20 de diciembre, de Presupuestos Generales de la Junta de Comunidades de Castilla-La Mancha para 2025.</w:t>
      </w:r>
    </w:p>
    <w:p w14:paraId="0B759253" w14:textId="40240687" w:rsidR="00EC339D" w:rsidRDefault="00EC339D" w:rsidP="00EC339D">
      <w:pPr>
        <w:pStyle w:val="Sangradetextonormal"/>
        <w:ind w:left="0"/>
        <w:rPr>
          <w:rFonts w:ascii="Verdana" w:hAnsi="Verdana"/>
          <w:i/>
          <w:sz w:val="18"/>
          <w:szCs w:val="18"/>
        </w:rPr>
      </w:pPr>
      <w:r w:rsidRPr="00D43630">
        <w:rPr>
          <w:rFonts w:ascii="Verdana" w:hAnsi="Verdana"/>
          <w:i/>
          <w:sz w:val="18"/>
          <w:szCs w:val="18"/>
        </w:rPr>
        <w:t>B.O.E. núm.1</w:t>
      </w:r>
      <w:r>
        <w:rPr>
          <w:rFonts w:ascii="Verdana" w:hAnsi="Verdana"/>
          <w:i/>
          <w:sz w:val="18"/>
          <w:szCs w:val="18"/>
        </w:rPr>
        <w:t xml:space="preserve">24 </w:t>
      </w:r>
      <w:r w:rsidRPr="00D43630">
        <w:rPr>
          <w:rFonts w:ascii="Verdana" w:hAnsi="Verdana"/>
          <w:i/>
          <w:sz w:val="18"/>
          <w:szCs w:val="18"/>
        </w:rPr>
        <w:t xml:space="preserve">de </w:t>
      </w:r>
      <w:r>
        <w:rPr>
          <w:rFonts w:ascii="Verdana" w:hAnsi="Verdana"/>
          <w:i/>
          <w:sz w:val="18"/>
          <w:szCs w:val="18"/>
        </w:rPr>
        <w:t>23</w:t>
      </w:r>
      <w:r w:rsidRPr="00D43630">
        <w:rPr>
          <w:rFonts w:ascii="Verdana" w:hAnsi="Verdana"/>
          <w:i/>
          <w:sz w:val="18"/>
          <w:szCs w:val="18"/>
        </w:rPr>
        <w:t xml:space="preserve"> de</w:t>
      </w:r>
      <w:r>
        <w:rPr>
          <w:rFonts w:ascii="Verdana" w:hAnsi="Verdana"/>
          <w:i/>
          <w:sz w:val="18"/>
          <w:szCs w:val="18"/>
        </w:rPr>
        <w:t xml:space="preserve"> mayo</w:t>
      </w:r>
      <w:r w:rsidRPr="00D43630">
        <w:rPr>
          <w:rFonts w:ascii="Verdana" w:hAnsi="Verdana"/>
          <w:i/>
          <w:sz w:val="18"/>
          <w:szCs w:val="18"/>
        </w:rPr>
        <w:t xml:space="preserve"> de 2025.</w:t>
      </w:r>
    </w:p>
    <w:p w14:paraId="4013801D" w14:textId="77777777" w:rsidR="00EC339D" w:rsidRDefault="00EC339D" w:rsidP="00540C9B">
      <w:pPr>
        <w:pStyle w:val="Sangradetextonormal"/>
        <w:ind w:left="0"/>
        <w:rPr>
          <w:rFonts w:ascii="Verdana" w:hAnsi="Verdana"/>
          <w:b/>
          <w:bCs/>
          <w:color w:val="800000"/>
          <w:sz w:val="18"/>
          <w:szCs w:val="18"/>
        </w:rPr>
      </w:pPr>
    </w:p>
    <w:p w14:paraId="0CC7F037" w14:textId="77777777" w:rsidR="00EC339D" w:rsidRDefault="00EC339D" w:rsidP="00540C9B">
      <w:pPr>
        <w:pStyle w:val="Sangradetextonormal"/>
        <w:ind w:left="0"/>
        <w:rPr>
          <w:rFonts w:ascii="Verdana" w:hAnsi="Verdana"/>
          <w:b/>
          <w:bCs/>
          <w:color w:val="800000"/>
          <w:sz w:val="18"/>
          <w:szCs w:val="18"/>
        </w:rPr>
      </w:pPr>
    </w:p>
    <w:p w14:paraId="3F076E9B" w14:textId="2C2DEAF9" w:rsidR="00DC3063" w:rsidRPr="00865267" w:rsidRDefault="00DC3063" w:rsidP="00DC3063">
      <w:pPr>
        <w:pStyle w:val="Sangradetextonormal"/>
        <w:ind w:left="0"/>
        <w:rPr>
          <w:rFonts w:ascii="Verdana" w:hAnsi="Verdana"/>
          <w:b/>
          <w:bCs/>
          <w:color w:val="800000"/>
          <w:sz w:val="18"/>
          <w:szCs w:val="18"/>
        </w:rPr>
      </w:pPr>
      <w:r w:rsidRPr="00865267">
        <w:rPr>
          <w:rFonts w:ascii="Verdana" w:hAnsi="Verdana"/>
          <w:b/>
          <w:bCs/>
          <w:color w:val="800000"/>
          <w:sz w:val="18"/>
          <w:szCs w:val="18"/>
        </w:rPr>
        <w:t xml:space="preserve">COMUNIDAD </w:t>
      </w:r>
      <w:r w:rsidR="00865267" w:rsidRPr="00865267">
        <w:rPr>
          <w:rFonts w:ascii="Verdana" w:hAnsi="Verdana"/>
          <w:b/>
          <w:bCs/>
          <w:color w:val="800000"/>
          <w:sz w:val="18"/>
          <w:szCs w:val="18"/>
        </w:rPr>
        <w:t>FORAL DE NAVARRA</w:t>
      </w:r>
    </w:p>
    <w:p w14:paraId="0F8C26F7" w14:textId="77777777" w:rsidR="00865267" w:rsidRPr="00865267" w:rsidRDefault="00865267" w:rsidP="00865267">
      <w:pPr>
        <w:pStyle w:val="Sangradetextonormal"/>
        <w:ind w:left="0"/>
        <w:rPr>
          <w:rFonts w:ascii="Verdana" w:hAnsi="Verdana"/>
          <w:b/>
          <w:bCs/>
          <w:color w:val="800000"/>
          <w:sz w:val="18"/>
          <w:szCs w:val="18"/>
        </w:rPr>
      </w:pPr>
      <w:r w:rsidRPr="00865267">
        <w:rPr>
          <w:rFonts w:ascii="Verdana" w:hAnsi="Verdana"/>
          <w:b/>
          <w:bCs/>
          <w:color w:val="800000"/>
          <w:sz w:val="18"/>
          <w:szCs w:val="18"/>
        </w:rPr>
        <w:t>Impuestos</w:t>
      </w:r>
    </w:p>
    <w:p w14:paraId="0EBF7D1E" w14:textId="77777777" w:rsidR="00865267" w:rsidRPr="00865267" w:rsidRDefault="00865267" w:rsidP="00865267">
      <w:pPr>
        <w:pStyle w:val="Sangradetextonormal"/>
        <w:ind w:left="0"/>
        <w:rPr>
          <w:rFonts w:ascii="Verdana" w:hAnsi="Verdana"/>
          <w:iCs/>
          <w:sz w:val="18"/>
          <w:szCs w:val="18"/>
        </w:rPr>
      </w:pPr>
      <w:r w:rsidRPr="00865267">
        <w:rPr>
          <w:rFonts w:ascii="Verdana" w:hAnsi="Verdana"/>
          <w:iCs/>
          <w:sz w:val="18"/>
          <w:szCs w:val="18"/>
        </w:rPr>
        <w:t>Decreto Foral Legislativo 1/2025, de 2 de abril, de armonización tributaria, por el que se modifica el Impuesto sobre el Valor Añadido.</w:t>
      </w:r>
    </w:p>
    <w:p w14:paraId="2E947C79" w14:textId="77777777" w:rsidR="00EC339D" w:rsidRDefault="00865267" w:rsidP="007511E7">
      <w:pPr>
        <w:pStyle w:val="Sangradetextonormal"/>
        <w:ind w:left="0"/>
        <w:rPr>
          <w:rFonts w:ascii="Verdana" w:hAnsi="Verdana"/>
          <w:i/>
          <w:sz w:val="18"/>
          <w:szCs w:val="18"/>
        </w:rPr>
      </w:pPr>
      <w:bookmarkStart w:id="5" w:name="_Hlk198915668"/>
      <w:r w:rsidRPr="00D43630">
        <w:rPr>
          <w:rFonts w:ascii="Verdana" w:hAnsi="Verdana"/>
          <w:i/>
          <w:sz w:val="18"/>
          <w:szCs w:val="18"/>
        </w:rPr>
        <w:t>B.O.E. núm.1</w:t>
      </w:r>
      <w:r>
        <w:rPr>
          <w:rFonts w:ascii="Verdana" w:hAnsi="Verdana"/>
          <w:i/>
          <w:sz w:val="18"/>
          <w:szCs w:val="18"/>
        </w:rPr>
        <w:t xml:space="preserve">23 </w:t>
      </w:r>
      <w:r w:rsidRPr="00D43630">
        <w:rPr>
          <w:rFonts w:ascii="Verdana" w:hAnsi="Verdana"/>
          <w:i/>
          <w:sz w:val="18"/>
          <w:szCs w:val="18"/>
        </w:rPr>
        <w:t xml:space="preserve">de </w:t>
      </w:r>
      <w:r>
        <w:rPr>
          <w:rFonts w:ascii="Verdana" w:hAnsi="Verdana"/>
          <w:i/>
          <w:sz w:val="18"/>
          <w:szCs w:val="18"/>
        </w:rPr>
        <w:t>22</w:t>
      </w:r>
      <w:r w:rsidRPr="00D43630">
        <w:rPr>
          <w:rFonts w:ascii="Verdana" w:hAnsi="Verdana"/>
          <w:i/>
          <w:sz w:val="18"/>
          <w:szCs w:val="18"/>
        </w:rPr>
        <w:t xml:space="preserve"> de</w:t>
      </w:r>
      <w:r>
        <w:rPr>
          <w:rFonts w:ascii="Verdana" w:hAnsi="Verdana"/>
          <w:i/>
          <w:sz w:val="18"/>
          <w:szCs w:val="18"/>
        </w:rPr>
        <w:t xml:space="preserve"> </w:t>
      </w:r>
      <w:r w:rsidR="00EC339D">
        <w:rPr>
          <w:rFonts w:ascii="Verdana" w:hAnsi="Verdana"/>
          <w:i/>
          <w:sz w:val="18"/>
          <w:szCs w:val="18"/>
        </w:rPr>
        <w:t>mayo</w:t>
      </w:r>
      <w:r w:rsidRPr="00D43630">
        <w:rPr>
          <w:rFonts w:ascii="Verdana" w:hAnsi="Verdana"/>
          <w:i/>
          <w:sz w:val="18"/>
          <w:szCs w:val="18"/>
        </w:rPr>
        <w:t xml:space="preserve"> de 2025.</w:t>
      </w:r>
    </w:p>
    <w:bookmarkEnd w:id="5"/>
    <w:p w14:paraId="42E744C4" w14:textId="77777777" w:rsidR="00EC339D" w:rsidRDefault="00EC339D" w:rsidP="007511E7">
      <w:pPr>
        <w:pStyle w:val="Sangradetextonormal"/>
        <w:ind w:left="0"/>
        <w:rPr>
          <w:rFonts w:ascii="Verdana" w:hAnsi="Verdana"/>
          <w:i/>
          <w:sz w:val="18"/>
          <w:szCs w:val="18"/>
        </w:rPr>
      </w:pPr>
    </w:p>
    <w:p w14:paraId="66E6D286" w14:textId="1177FB10" w:rsidR="006735D8" w:rsidRPr="007511E7" w:rsidRDefault="006735D8" w:rsidP="007511E7">
      <w:pPr>
        <w:pStyle w:val="Sangradetextonormal"/>
        <w:ind w:left="0"/>
        <w:rPr>
          <w:rFonts w:ascii="Verdana" w:hAnsi="Verdana"/>
          <w:iCs/>
          <w:sz w:val="18"/>
          <w:szCs w:val="18"/>
        </w:rPr>
      </w:pPr>
      <w:r w:rsidRPr="007511E7">
        <w:rPr>
          <w:rFonts w:ascii="Verdana" w:hAnsi="Verdana"/>
          <w:iCs/>
          <w:sz w:val="18"/>
          <w:szCs w:val="18"/>
        </w:rPr>
        <w:br w:type="page"/>
      </w:r>
    </w:p>
    <w:p w14:paraId="597E6909" w14:textId="0BDFC08B" w:rsidR="002F1978" w:rsidRPr="008E729A" w:rsidRDefault="002F1978" w:rsidP="003B1A31">
      <w:pPr>
        <w:tabs>
          <w:tab w:val="left" w:pos="5739"/>
        </w:tabs>
        <w:jc w:val="both"/>
        <w:rPr>
          <w:rFonts w:ascii="Verdana" w:hAnsi="Verdana"/>
          <w:b/>
          <w:bCs/>
          <w:color w:val="800000"/>
          <w:sz w:val="22"/>
          <w:szCs w:val="22"/>
        </w:rPr>
      </w:pPr>
      <w:r w:rsidRPr="008E729A">
        <w:rPr>
          <w:rFonts w:ascii="Verdana" w:hAnsi="Verdana"/>
          <w:b/>
          <w:bCs/>
          <w:color w:val="800000"/>
          <w:sz w:val="22"/>
          <w:szCs w:val="22"/>
        </w:rPr>
        <w:t xml:space="preserve">CALENDARIO FISCAL PARA EL MES DE JUNIO DE </w:t>
      </w:r>
      <w:r w:rsidR="006B0EC9">
        <w:rPr>
          <w:rFonts w:ascii="Verdana" w:hAnsi="Verdana"/>
          <w:b/>
          <w:bCs/>
          <w:color w:val="800000"/>
          <w:sz w:val="22"/>
          <w:szCs w:val="22"/>
        </w:rPr>
        <w:t>202</w:t>
      </w:r>
      <w:r w:rsidR="00E50E84">
        <w:rPr>
          <w:rFonts w:ascii="Verdana" w:hAnsi="Verdana"/>
          <w:b/>
          <w:bCs/>
          <w:color w:val="800000"/>
          <w:sz w:val="22"/>
          <w:szCs w:val="22"/>
        </w:rPr>
        <w:t>5</w:t>
      </w:r>
    </w:p>
    <w:p w14:paraId="619056E8" w14:textId="77777777" w:rsidR="002F1978" w:rsidRPr="008E729A" w:rsidRDefault="002F1978">
      <w:pPr>
        <w:jc w:val="both"/>
        <w:rPr>
          <w:rFonts w:ascii="Verdana" w:hAnsi="Verdana"/>
          <w:sz w:val="18"/>
          <w:szCs w:val="18"/>
        </w:rPr>
      </w:pPr>
    </w:p>
    <w:p w14:paraId="63C68DD8"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2 de junio y desde el 2 de junio al 30 de junio</w:t>
      </w:r>
    </w:p>
    <w:p w14:paraId="4599F713" w14:textId="77777777" w:rsidR="00865267" w:rsidRPr="00F12D53" w:rsidRDefault="00865267" w:rsidP="00F12D53">
      <w:pPr>
        <w:pStyle w:val="Sangradetextonormal"/>
        <w:ind w:left="0"/>
        <w:rPr>
          <w:rFonts w:ascii="Verdana" w:hAnsi="Verdana"/>
          <w:b/>
          <w:bCs/>
          <w:color w:val="800000"/>
          <w:sz w:val="18"/>
          <w:szCs w:val="18"/>
        </w:rPr>
      </w:pPr>
    </w:p>
    <w:p w14:paraId="533C9007" w14:textId="2B826CF0"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2 de junio</w:t>
      </w:r>
    </w:p>
    <w:p w14:paraId="556E4059"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Impuestos Medioambientales</w:t>
      </w:r>
    </w:p>
    <w:p w14:paraId="01A76E14" w14:textId="77777777" w:rsidR="00D43630" w:rsidRPr="00D43630" w:rsidRDefault="00D43630" w:rsidP="00D43630">
      <w:pPr>
        <w:numPr>
          <w:ilvl w:val="0"/>
          <w:numId w:val="10"/>
        </w:numPr>
        <w:jc w:val="both"/>
        <w:rPr>
          <w:rFonts w:ascii="Verdana" w:hAnsi="Verdana"/>
          <w:sz w:val="18"/>
          <w:szCs w:val="18"/>
        </w:rPr>
      </w:pPr>
      <w:r w:rsidRPr="00D43630">
        <w:rPr>
          <w:rFonts w:ascii="Verdana" w:hAnsi="Verdana"/>
          <w:sz w:val="18"/>
          <w:szCs w:val="18"/>
        </w:rPr>
        <w:t>Abril 2025. Impuesto especial sobre los envases de plástico no reutilizables. Presentación contabilidad y libro registro de existencias</w:t>
      </w:r>
    </w:p>
    <w:p w14:paraId="0F369D48" w14:textId="77777777" w:rsidR="00D43630" w:rsidRPr="00D43630" w:rsidRDefault="00D43630" w:rsidP="00D43630">
      <w:pPr>
        <w:jc w:val="both"/>
        <w:rPr>
          <w:rFonts w:ascii="Verdana" w:hAnsi="Verdana"/>
          <w:sz w:val="18"/>
          <w:szCs w:val="18"/>
        </w:rPr>
      </w:pPr>
      <w:r w:rsidRPr="00D43630">
        <w:rPr>
          <w:rFonts w:ascii="Verdana" w:hAnsi="Verdana"/>
          <w:sz w:val="18"/>
          <w:szCs w:val="18"/>
        </w:rPr>
        <w:t>Declaración informativa anual de cuentas financieras en el ámbito de la asistencia mutua</w:t>
      </w:r>
    </w:p>
    <w:p w14:paraId="3D3C867C" w14:textId="77777777" w:rsidR="00D43630" w:rsidRDefault="00D43630" w:rsidP="00D43630">
      <w:pPr>
        <w:numPr>
          <w:ilvl w:val="0"/>
          <w:numId w:val="11"/>
        </w:numPr>
        <w:jc w:val="both"/>
        <w:rPr>
          <w:rFonts w:ascii="Verdana" w:hAnsi="Verdana"/>
          <w:sz w:val="18"/>
          <w:szCs w:val="18"/>
        </w:rPr>
      </w:pPr>
      <w:r w:rsidRPr="00D43630">
        <w:rPr>
          <w:rFonts w:ascii="Verdana" w:hAnsi="Verdana"/>
          <w:sz w:val="18"/>
          <w:szCs w:val="18"/>
        </w:rPr>
        <w:t>Año 2024: 289</w:t>
      </w:r>
    </w:p>
    <w:p w14:paraId="5E563029" w14:textId="77777777" w:rsidR="00865267" w:rsidRPr="00D43630" w:rsidRDefault="00865267" w:rsidP="00865267">
      <w:pPr>
        <w:ind w:left="720"/>
        <w:jc w:val="both"/>
        <w:rPr>
          <w:rFonts w:ascii="Verdana" w:hAnsi="Verdana"/>
          <w:sz w:val="18"/>
          <w:szCs w:val="18"/>
        </w:rPr>
      </w:pPr>
    </w:p>
    <w:p w14:paraId="56001248"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Declaración informativa anual de cuentas financieras de determinadas personas estadounidenses (FATCA)</w:t>
      </w:r>
    </w:p>
    <w:p w14:paraId="5BCA4466" w14:textId="77777777" w:rsidR="00D43630" w:rsidRPr="00D43630" w:rsidRDefault="00D43630" w:rsidP="00D43630">
      <w:pPr>
        <w:numPr>
          <w:ilvl w:val="0"/>
          <w:numId w:val="12"/>
        </w:numPr>
        <w:jc w:val="both"/>
        <w:rPr>
          <w:rFonts w:ascii="Verdana" w:hAnsi="Verdana"/>
          <w:sz w:val="18"/>
          <w:szCs w:val="18"/>
        </w:rPr>
      </w:pPr>
      <w:r w:rsidRPr="00D43630">
        <w:rPr>
          <w:rFonts w:ascii="Verdana" w:hAnsi="Verdana"/>
          <w:sz w:val="18"/>
          <w:szCs w:val="18"/>
        </w:rPr>
        <w:t>Año 2024: 290</w:t>
      </w:r>
    </w:p>
    <w:p w14:paraId="272A6194" w14:textId="77777777" w:rsidR="00D143A7" w:rsidRDefault="00D143A7" w:rsidP="00D43630">
      <w:pPr>
        <w:jc w:val="both"/>
        <w:rPr>
          <w:rFonts w:ascii="Verdana" w:hAnsi="Verdana"/>
          <w:b/>
          <w:bCs/>
          <w:color w:val="984806" w:themeColor="accent6" w:themeShade="80"/>
          <w:sz w:val="18"/>
          <w:szCs w:val="18"/>
        </w:rPr>
      </w:pPr>
    </w:p>
    <w:p w14:paraId="79AEDAA3" w14:textId="2C467CB1"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Desde el 2 de junio al 30 de junio</w:t>
      </w:r>
    </w:p>
    <w:p w14:paraId="44069A66" w14:textId="77777777" w:rsidR="00D43630" w:rsidRPr="00D43630" w:rsidRDefault="00D43630" w:rsidP="00D43630">
      <w:pPr>
        <w:jc w:val="both"/>
        <w:rPr>
          <w:rFonts w:ascii="Verdana" w:hAnsi="Verdana"/>
          <w:sz w:val="18"/>
          <w:szCs w:val="18"/>
        </w:rPr>
      </w:pPr>
      <w:r w:rsidRPr="00D43630">
        <w:rPr>
          <w:rFonts w:ascii="Verdana" w:hAnsi="Verdana"/>
          <w:sz w:val="18"/>
          <w:szCs w:val="18"/>
        </w:rPr>
        <w:t>Presentación en las oficinas de la Agencia Tributaria de la declaración de Renta 2024</w:t>
      </w:r>
    </w:p>
    <w:p w14:paraId="7962FDE9" w14:textId="77777777" w:rsidR="00B707A2" w:rsidRDefault="00B707A2">
      <w:pPr>
        <w:jc w:val="both"/>
        <w:rPr>
          <w:rFonts w:ascii="Verdana" w:hAnsi="Verdana"/>
          <w:sz w:val="18"/>
          <w:szCs w:val="18"/>
        </w:rPr>
      </w:pPr>
    </w:p>
    <w:p w14:paraId="5B5FFF89"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12 de junio</w:t>
      </w:r>
    </w:p>
    <w:p w14:paraId="0CDB21D6" w14:textId="77777777" w:rsidR="00D43630" w:rsidRPr="00D43630" w:rsidRDefault="00D43630" w:rsidP="00D43630">
      <w:pPr>
        <w:jc w:val="both"/>
        <w:rPr>
          <w:rFonts w:ascii="Verdana" w:hAnsi="Verdana"/>
          <w:sz w:val="18"/>
          <w:szCs w:val="18"/>
        </w:rPr>
      </w:pPr>
      <w:r w:rsidRPr="00D43630">
        <w:rPr>
          <w:rFonts w:ascii="Verdana" w:hAnsi="Verdana"/>
          <w:sz w:val="18"/>
          <w:szCs w:val="18"/>
        </w:rPr>
        <w:t>INTRASTAT - Estadística Comercio Intracomunitario</w:t>
      </w:r>
    </w:p>
    <w:p w14:paraId="4DADB3E8" w14:textId="77777777" w:rsidR="00D43630" w:rsidRPr="00D43630" w:rsidRDefault="00D43630" w:rsidP="00D43630">
      <w:pPr>
        <w:numPr>
          <w:ilvl w:val="0"/>
          <w:numId w:val="13"/>
        </w:numPr>
        <w:jc w:val="both"/>
        <w:rPr>
          <w:rFonts w:ascii="Verdana" w:hAnsi="Verdana"/>
          <w:sz w:val="18"/>
          <w:szCs w:val="18"/>
        </w:rPr>
      </w:pPr>
      <w:r w:rsidRPr="00D43630">
        <w:rPr>
          <w:rFonts w:ascii="Verdana" w:hAnsi="Verdana"/>
          <w:sz w:val="18"/>
          <w:szCs w:val="18"/>
        </w:rPr>
        <w:t>Mayo 2025. Obligados a suministrar información estadística</w:t>
      </w:r>
    </w:p>
    <w:p w14:paraId="1556967A" w14:textId="77777777" w:rsidR="00D43630" w:rsidRDefault="00D43630">
      <w:pPr>
        <w:jc w:val="both"/>
        <w:rPr>
          <w:rFonts w:ascii="Verdana" w:hAnsi="Verdana"/>
          <w:sz w:val="18"/>
          <w:szCs w:val="18"/>
        </w:rPr>
      </w:pPr>
    </w:p>
    <w:p w14:paraId="72238423"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20 de junio</w:t>
      </w:r>
    </w:p>
    <w:p w14:paraId="579118EA"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Renta y Sociedades</w:t>
      </w:r>
    </w:p>
    <w:p w14:paraId="7475BFEB" w14:textId="77777777" w:rsidR="00D43630" w:rsidRPr="00D43630" w:rsidRDefault="00D43630" w:rsidP="00D43630">
      <w:pPr>
        <w:jc w:val="both"/>
        <w:rPr>
          <w:rFonts w:ascii="Verdana" w:hAnsi="Verdana"/>
          <w:sz w:val="18"/>
          <w:szCs w:val="18"/>
        </w:rPr>
      </w:pPr>
      <w:r w:rsidRPr="00D43630">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64507E53" w14:textId="77777777" w:rsidR="00D43630" w:rsidRPr="00D43630" w:rsidRDefault="00D43630" w:rsidP="00D43630">
      <w:pPr>
        <w:numPr>
          <w:ilvl w:val="0"/>
          <w:numId w:val="14"/>
        </w:numPr>
        <w:jc w:val="both"/>
        <w:rPr>
          <w:rFonts w:ascii="Verdana" w:hAnsi="Verdana"/>
          <w:sz w:val="18"/>
          <w:szCs w:val="18"/>
        </w:rPr>
      </w:pPr>
      <w:r w:rsidRPr="00D43630">
        <w:rPr>
          <w:rFonts w:ascii="Verdana" w:hAnsi="Verdana"/>
          <w:sz w:val="18"/>
          <w:szCs w:val="18"/>
        </w:rPr>
        <w:t>Mayo 2025. Grandes empresas: 111, 115, 117, 123, 124, 126, 128, 216, 230</w:t>
      </w:r>
    </w:p>
    <w:p w14:paraId="7F0B1BFA" w14:textId="77777777" w:rsidR="00D43630" w:rsidRPr="00D43630" w:rsidRDefault="00D43630" w:rsidP="00D43630">
      <w:pPr>
        <w:jc w:val="both"/>
        <w:rPr>
          <w:rFonts w:ascii="Verdana" w:hAnsi="Verdana"/>
          <w:sz w:val="18"/>
          <w:szCs w:val="18"/>
        </w:rPr>
      </w:pPr>
      <w:r w:rsidRPr="00D43630">
        <w:rPr>
          <w:rFonts w:ascii="Verdana" w:hAnsi="Verdana"/>
          <w:sz w:val="18"/>
          <w:szCs w:val="18"/>
        </w:rPr>
        <w:t>IVA</w:t>
      </w:r>
    </w:p>
    <w:p w14:paraId="683D4040" w14:textId="77777777" w:rsidR="00D43630" w:rsidRPr="00D43630" w:rsidRDefault="00D43630" w:rsidP="00D43630">
      <w:pPr>
        <w:numPr>
          <w:ilvl w:val="0"/>
          <w:numId w:val="15"/>
        </w:numPr>
        <w:jc w:val="both"/>
        <w:rPr>
          <w:rFonts w:ascii="Verdana" w:hAnsi="Verdana"/>
          <w:sz w:val="18"/>
          <w:szCs w:val="18"/>
        </w:rPr>
      </w:pPr>
      <w:r w:rsidRPr="00D43630">
        <w:rPr>
          <w:rFonts w:ascii="Verdana" w:hAnsi="Verdana"/>
          <w:sz w:val="18"/>
          <w:szCs w:val="18"/>
        </w:rPr>
        <w:t>Mayo 2025. Declaración recapitulativa de operaciones intracomunitarias: 349</w:t>
      </w:r>
    </w:p>
    <w:p w14:paraId="10D6CFF6" w14:textId="77777777" w:rsidR="00D43630" w:rsidRPr="00D43630" w:rsidRDefault="00D43630" w:rsidP="00D43630">
      <w:pPr>
        <w:numPr>
          <w:ilvl w:val="0"/>
          <w:numId w:val="15"/>
        </w:numPr>
        <w:jc w:val="both"/>
        <w:rPr>
          <w:rFonts w:ascii="Verdana" w:hAnsi="Verdana"/>
          <w:sz w:val="18"/>
          <w:szCs w:val="18"/>
        </w:rPr>
      </w:pPr>
      <w:r w:rsidRPr="00D43630">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1BF4DBBF"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 sobre las Primas de Seguros</w:t>
      </w:r>
    </w:p>
    <w:p w14:paraId="1B9EFDE3" w14:textId="77777777" w:rsidR="00D43630" w:rsidRPr="00D43630" w:rsidRDefault="00D43630" w:rsidP="00D43630">
      <w:pPr>
        <w:numPr>
          <w:ilvl w:val="0"/>
          <w:numId w:val="16"/>
        </w:numPr>
        <w:jc w:val="both"/>
        <w:rPr>
          <w:rFonts w:ascii="Verdana" w:hAnsi="Verdana"/>
          <w:sz w:val="18"/>
          <w:szCs w:val="18"/>
        </w:rPr>
      </w:pPr>
      <w:r w:rsidRPr="00D43630">
        <w:rPr>
          <w:rFonts w:ascii="Verdana" w:hAnsi="Verdana"/>
          <w:sz w:val="18"/>
          <w:szCs w:val="18"/>
        </w:rPr>
        <w:t>Mayo 2025: 430</w:t>
      </w:r>
    </w:p>
    <w:p w14:paraId="3D7EBC97"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Impuestos Especiales de Fabricación</w:t>
      </w:r>
    </w:p>
    <w:p w14:paraId="4215BF80" w14:textId="77777777" w:rsidR="00D43630" w:rsidRPr="00D43630" w:rsidRDefault="00D43630" w:rsidP="00D43630">
      <w:pPr>
        <w:numPr>
          <w:ilvl w:val="0"/>
          <w:numId w:val="17"/>
        </w:numPr>
        <w:jc w:val="both"/>
        <w:rPr>
          <w:rFonts w:ascii="Verdana" w:hAnsi="Verdana"/>
          <w:sz w:val="18"/>
          <w:szCs w:val="18"/>
        </w:rPr>
      </w:pPr>
      <w:r w:rsidRPr="00D43630">
        <w:rPr>
          <w:rFonts w:ascii="Verdana" w:hAnsi="Verdana"/>
          <w:sz w:val="18"/>
          <w:szCs w:val="18"/>
        </w:rPr>
        <w:t>Marzo 2025. Grandes empresas: 561, 562, 563</w:t>
      </w:r>
    </w:p>
    <w:p w14:paraId="576078C0" w14:textId="77777777" w:rsidR="00D43630" w:rsidRPr="00D43630" w:rsidRDefault="00D43630" w:rsidP="00D43630">
      <w:pPr>
        <w:numPr>
          <w:ilvl w:val="0"/>
          <w:numId w:val="17"/>
        </w:numPr>
        <w:jc w:val="both"/>
        <w:rPr>
          <w:rFonts w:ascii="Verdana" w:hAnsi="Verdana"/>
          <w:sz w:val="18"/>
          <w:szCs w:val="18"/>
        </w:rPr>
      </w:pPr>
      <w:r w:rsidRPr="00D43630">
        <w:rPr>
          <w:rFonts w:ascii="Verdana" w:hAnsi="Verdana"/>
          <w:sz w:val="18"/>
          <w:szCs w:val="18"/>
        </w:rPr>
        <w:t>Mayo 2025: 548, 566, 581</w:t>
      </w:r>
    </w:p>
    <w:p w14:paraId="2B054321" w14:textId="77777777" w:rsidR="00D43630" w:rsidRPr="00D43630" w:rsidRDefault="00D43630" w:rsidP="00D43630">
      <w:pPr>
        <w:numPr>
          <w:ilvl w:val="0"/>
          <w:numId w:val="17"/>
        </w:numPr>
        <w:jc w:val="both"/>
        <w:rPr>
          <w:rFonts w:ascii="Verdana" w:hAnsi="Verdana"/>
          <w:sz w:val="18"/>
          <w:szCs w:val="18"/>
        </w:rPr>
      </w:pPr>
      <w:r w:rsidRPr="00D43630">
        <w:rPr>
          <w:rFonts w:ascii="Verdana" w:hAnsi="Verdana"/>
          <w:sz w:val="18"/>
          <w:szCs w:val="18"/>
        </w:rPr>
        <w:t>Mayo 2025: 573 (Autoliquidación), A24 (Solicitud de devolución)</w:t>
      </w:r>
    </w:p>
    <w:p w14:paraId="03ED199D" w14:textId="77777777" w:rsidR="00D43630" w:rsidRPr="00D43630" w:rsidRDefault="00D43630" w:rsidP="00D43630">
      <w:pPr>
        <w:numPr>
          <w:ilvl w:val="0"/>
          <w:numId w:val="17"/>
        </w:numPr>
        <w:jc w:val="both"/>
        <w:rPr>
          <w:rFonts w:ascii="Verdana" w:hAnsi="Verdana"/>
          <w:sz w:val="18"/>
          <w:szCs w:val="18"/>
        </w:rPr>
      </w:pPr>
      <w:r w:rsidRPr="00D43630">
        <w:rPr>
          <w:rFonts w:ascii="Verdana" w:hAnsi="Verdana"/>
          <w:sz w:val="18"/>
          <w:szCs w:val="18"/>
        </w:rPr>
        <w:t>Declaración de operaciones por los destinatarios registrados y representantes fiscales: 510</w:t>
      </w:r>
    </w:p>
    <w:p w14:paraId="39FC6098"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 Especial sobre la Electricidad</w:t>
      </w:r>
    </w:p>
    <w:p w14:paraId="221288C7" w14:textId="77777777" w:rsidR="00D43630" w:rsidRPr="00D43630" w:rsidRDefault="00D43630" w:rsidP="00D43630">
      <w:pPr>
        <w:numPr>
          <w:ilvl w:val="0"/>
          <w:numId w:val="18"/>
        </w:numPr>
        <w:jc w:val="both"/>
        <w:rPr>
          <w:rFonts w:ascii="Verdana" w:hAnsi="Verdana"/>
          <w:sz w:val="18"/>
          <w:szCs w:val="18"/>
        </w:rPr>
      </w:pPr>
      <w:r w:rsidRPr="00D43630">
        <w:rPr>
          <w:rFonts w:ascii="Verdana" w:hAnsi="Verdana"/>
          <w:sz w:val="18"/>
          <w:szCs w:val="18"/>
        </w:rPr>
        <w:t>Mayo 2025. Grandes empresas: 560</w:t>
      </w:r>
    </w:p>
    <w:p w14:paraId="3C1600CD"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Impuestos Medioambientales</w:t>
      </w:r>
    </w:p>
    <w:p w14:paraId="33298F64" w14:textId="77777777" w:rsidR="00D43630" w:rsidRPr="00D43630" w:rsidRDefault="00D43630" w:rsidP="00D43630">
      <w:pPr>
        <w:numPr>
          <w:ilvl w:val="0"/>
          <w:numId w:val="19"/>
        </w:numPr>
        <w:jc w:val="both"/>
        <w:rPr>
          <w:rFonts w:ascii="Verdana" w:hAnsi="Verdana"/>
          <w:sz w:val="18"/>
          <w:szCs w:val="18"/>
        </w:rPr>
      </w:pPr>
      <w:r w:rsidRPr="00D43630">
        <w:rPr>
          <w:rFonts w:ascii="Verdana" w:hAnsi="Verdana"/>
          <w:sz w:val="18"/>
          <w:szCs w:val="18"/>
        </w:rPr>
        <w:t>Mayo 2025. Impuesto especial sobre los envases de plástico no reutilizables. Autoliquidación: 592</w:t>
      </w:r>
    </w:p>
    <w:p w14:paraId="5C6EBDC7" w14:textId="77777777" w:rsidR="00D43630" w:rsidRPr="00D43630" w:rsidRDefault="00D43630" w:rsidP="00D43630">
      <w:pPr>
        <w:numPr>
          <w:ilvl w:val="0"/>
          <w:numId w:val="20"/>
        </w:numPr>
        <w:jc w:val="both"/>
        <w:rPr>
          <w:rFonts w:ascii="Verdana" w:hAnsi="Verdana"/>
          <w:sz w:val="18"/>
          <w:szCs w:val="18"/>
        </w:rPr>
      </w:pPr>
      <w:r w:rsidRPr="00D43630">
        <w:rPr>
          <w:rFonts w:ascii="Verdana" w:hAnsi="Verdana"/>
          <w:sz w:val="18"/>
          <w:szCs w:val="18"/>
        </w:rPr>
        <w:t>Año 2025. Impuesto sobre la producción de combustible nuclear gastado y residuos radiactivos resultantes de la generación de energía nucleoeléctrica. Primer pago fraccionado: 584</w:t>
      </w:r>
    </w:p>
    <w:p w14:paraId="1F735BF4" w14:textId="77777777" w:rsidR="00D43630" w:rsidRPr="00F12D53" w:rsidRDefault="00D43630"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 sobre las Transacciones Financieras</w:t>
      </w:r>
    </w:p>
    <w:p w14:paraId="279B5F42" w14:textId="77777777" w:rsidR="00D43630" w:rsidRPr="00D43630" w:rsidRDefault="00D43630" w:rsidP="00D43630">
      <w:pPr>
        <w:numPr>
          <w:ilvl w:val="0"/>
          <w:numId w:val="21"/>
        </w:numPr>
        <w:jc w:val="both"/>
        <w:rPr>
          <w:rFonts w:ascii="Verdana" w:hAnsi="Verdana"/>
          <w:sz w:val="18"/>
          <w:szCs w:val="18"/>
        </w:rPr>
      </w:pPr>
      <w:r w:rsidRPr="00D43630">
        <w:rPr>
          <w:rFonts w:ascii="Verdana" w:hAnsi="Verdana"/>
          <w:sz w:val="18"/>
          <w:szCs w:val="18"/>
        </w:rPr>
        <w:t>Mayo 2024: 604</w:t>
      </w:r>
    </w:p>
    <w:p w14:paraId="1C1B6087" w14:textId="77777777" w:rsidR="00D43630" w:rsidRDefault="00D43630">
      <w:pPr>
        <w:jc w:val="both"/>
        <w:rPr>
          <w:rFonts w:ascii="Verdana" w:hAnsi="Verdana"/>
          <w:sz w:val="18"/>
          <w:szCs w:val="18"/>
        </w:rPr>
      </w:pPr>
    </w:p>
    <w:p w14:paraId="44B78906"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25 de junio</w:t>
      </w:r>
    </w:p>
    <w:p w14:paraId="501079EE"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Renta y Patrimonio</w:t>
      </w:r>
    </w:p>
    <w:p w14:paraId="232275A1" w14:textId="77777777" w:rsidR="005E04DC" w:rsidRPr="005E04DC" w:rsidRDefault="005E04DC" w:rsidP="005E04DC">
      <w:pPr>
        <w:numPr>
          <w:ilvl w:val="0"/>
          <w:numId w:val="22"/>
        </w:numPr>
        <w:jc w:val="both"/>
        <w:rPr>
          <w:rFonts w:ascii="Verdana" w:hAnsi="Verdana"/>
          <w:sz w:val="18"/>
          <w:szCs w:val="18"/>
        </w:rPr>
      </w:pPr>
      <w:r w:rsidRPr="005E04DC">
        <w:rPr>
          <w:rFonts w:ascii="Verdana" w:hAnsi="Verdana"/>
          <w:sz w:val="18"/>
          <w:szCs w:val="18"/>
        </w:rPr>
        <w:t>Declaración anual Renta y Patrimonio 2024 con resultado a ingresar con domiciliación en cuenta: D-100, D-714</w:t>
      </w:r>
    </w:p>
    <w:p w14:paraId="20F0F408" w14:textId="77777777" w:rsidR="005E04DC" w:rsidRDefault="005E04DC">
      <w:pPr>
        <w:jc w:val="both"/>
        <w:rPr>
          <w:rFonts w:ascii="Verdana" w:hAnsi="Verdana"/>
          <w:sz w:val="18"/>
          <w:szCs w:val="18"/>
        </w:rPr>
      </w:pPr>
    </w:p>
    <w:p w14:paraId="5728DD01" w14:textId="77777777" w:rsidR="00865267" w:rsidRDefault="00865267">
      <w:pPr>
        <w:jc w:val="both"/>
        <w:rPr>
          <w:rFonts w:ascii="Verdana" w:hAnsi="Verdana"/>
          <w:sz w:val="18"/>
          <w:szCs w:val="18"/>
        </w:rPr>
      </w:pPr>
    </w:p>
    <w:p w14:paraId="4FCD3D70"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Hasta el 30 de junio</w:t>
      </w:r>
    </w:p>
    <w:p w14:paraId="0FBAC8FB"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Renta y Patrimonio</w:t>
      </w:r>
    </w:p>
    <w:p w14:paraId="0BBD101E" w14:textId="77777777" w:rsidR="005E04DC" w:rsidRPr="005E04DC" w:rsidRDefault="005E04DC" w:rsidP="005E04DC">
      <w:pPr>
        <w:numPr>
          <w:ilvl w:val="0"/>
          <w:numId w:val="23"/>
        </w:numPr>
        <w:jc w:val="both"/>
        <w:rPr>
          <w:rFonts w:ascii="Verdana" w:hAnsi="Verdana"/>
          <w:sz w:val="18"/>
          <w:szCs w:val="18"/>
        </w:rPr>
      </w:pPr>
      <w:r w:rsidRPr="005E04DC">
        <w:rPr>
          <w:rFonts w:ascii="Verdana" w:hAnsi="Verdana"/>
          <w:sz w:val="18"/>
          <w:szCs w:val="18"/>
        </w:rPr>
        <w:t>Declaración anual Renta y Patrimonio 2024 con resultado a devolver, renuncia a la devolución, negativo y a ingresar sin domiciliación del primer plazo: D-100, D-714</w:t>
      </w:r>
    </w:p>
    <w:p w14:paraId="6F1FF496" w14:textId="77777777" w:rsidR="005E04DC" w:rsidRPr="005E04DC" w:rsidRDefault="005E04DC" w:rsidP="005E04DC">
      <w:pPr>
        <w:numPr>
          <w:ilvl w:val="0"/>
          <w:numId w:val="23"/>
        </w:numPr>
        <w:jc w:val="both"/>
        <w:rPr>
          <w:rFonts w:ascii="Verdana" w:hAnsi="Verdana"/>
          <w:sz w:val="18"/>
          <w:szCs w:val="18"/>
        </w:rPr>
      </w:pPr>
      <w:r w:rsidRPr="005E04DC">
        <w:rPr>
          <w:rFonts w:ascii="Verdana" w:hAnsi="Verdana"/>
          <w:sz w:val="18"/>
          <w:szCs w:val="18"/>
        </w:rPr>
        <w:t>Declaración anual de Renta del régimen especial de tributación para trabajadores, profesionales, emprendedores e inversores desplazados a territorio español 2024: 151</w:t>
      </w:r>
    </w:p>
    <w:p w14:paraId="37F70658"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IVA</w:t>
      </w:r>
    </w:p>
    <w:p w14:paraId="1ABB2E85"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Mayo 2025: Autoliquidación: 303</w:t>
      </w:r>
    </w:p>
    <w:p w14:paraId="19F461E9"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Mayo 2025: Grupo de entidades, m</w:t>
      </w:r>
      <w:bookmarkStart w:id="6" w:name="_GoBack"/>
      <w:bookmarkEnd w:id="6"/>
      <w:r w:rsidRPr="005E04DC">
        <w:rPr>
          <w:rFonts w:ascii="Verdana" w:hAnsi="Verdana"/>
          <w:sz w:val="18"/>
          <w:szCs w:val="18"/>
        </w:rPr>
        <w:t>odelo individual: 322</w:t>
      </w:r>
    </w:p>
    <w:p w14:paraId="4F5CE6F5"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Mayo 2025: Grupo de entidades, modelo agregado: 353</w:t>
      </w:r>
    </w:p>
    <w:p w14:paraId="3A153180"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Mayo 2025. Ventanilla única - Régimen de importación: 369</w:t>
      </w:r>
    </w:p>
    <w:p w14:paraId="5A18D5F0"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Mayo 2025. Operaciones asimiladas a las importaciones: 380</w:t>
      </w:r>
    </w:p>
    <w:p w14:paraId="05D43B3F" w14:textId="77777777" w:rsidR="005E04DC" w:rsidRPr="005E04DC" w:rsidRDefault="005E04DC" w:rsidP="005E04DC">
      <w:pPr>
        <w:numPr>
          <w:ilvl w:val="0"/>
          <w:numId w:val="24"/>
        </w:numPr>
        <w:jc w:val="both"/>
        <w:rPr>
          <w:rFonts w:ascii="Verdana" w:hAnsi="Verdana"/>
          <w:sz w:val="18"/>
          <w:szCs w:val="18"/>
        </w:rPr>
      </w:pPr>
      <w:r w:rsidRPr="005E04DC">
        <w:rPr>
          <w:rFonts w:ascii="Verdana" w:hAnsi="Verdana"/>
          <w:sz w:val="18"/>
          <w:szCs w:val="18"/>
        </w:rPr>
        <w:t>Cuarto trimestre 2024: solicitud de reembolso de las cuotas tributarias soportadas relativas a la Organización del Tratado del Atlántico Norte, a los Cuarteles Generales Internacionales de dicha Organización y a los Estados parte en dicho Tratado: 364</w:t>
      </w:r>
    </w:p>
    <w:p w14:paraId="39F1984F" w14:textId="77777777" w:rsidR="005E04DC" w:rsidRDefault="005E04DC" w:rsidP="005E04DC">
      <w:pPr>
        <w:numPr>
          <w:ilvl w:val="0"/>
          <w:numId w:val="24"/>
        </w:numPr>
        <w:jc w:val="both"/>
        <w:rPr>
          <w:rFonts w:ascii="Verdana" w:hAnsi="Verdana"/>
          <w:sz w:val="18"/>
          <w:szCs w:val="18"/>
        </w:rPr>
      </w:pPr>
      <w:r w:rsidRPr="005E04DC">
        <w:rPr>
          <w:rFonts w:ascii="Verdana" w:hAnsi="Verdana"/>
          <w:sz w:val="18"/>
          <w:szCs w:val="18"/>
        </w:rPr>
        <w:t>Cuarto trimestre 2024: solicitud de reembolso de las cuotas tributarias soportadas por las fuerzas armadas de los Estados miembros de la UE: 381</w:t>
      </w:r>
    </w:p>
    <w:p w14:paraId="74660DF8" w14:textId="77777777" w:rsidR="00865267" w:rsidRPr="005E04DC" w:rsidRDefault="00865267" w:rsidP="00865267">
      <w:pPr>
        <w:ind w:left="720"/>
        <w:jc w:val="both"/>
        <w:rPr>
          <w:rFonts w:ascii="Verdana" w:hAnsi="Verdana"/>
          <w:sz w:val="18"/>
          <w:szCs w:val="18"/>
        </w:rPr>
      </w:pPr>
    </w:p>
    <w:p w14:paraId="046CDFED"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Impuestos Medioambientales</w:t>
      </w:r>
    </w:p>
    <w:p w14:paraId="5FD736AD" w14:textId="77777777" w:rsidR="005E04DC" w:rsidRDefault="005E04DC" w:rsidP="005E04DC">
      <w:pPr>
        <w:numPr>
          <w:ilvl w:val="0"/>
          <w:numId w:val="25"/>
        </w:numPr>
        <w:jc w:val="both"/>
        <w:rPr>
          <w:rFonts w:ascii="Verdana" w:hAnsi="Verdana"/>
          <w:sz w:val="18"/>
          <w:szCs w:val="18"/>
        </w:rPr>
      </w:pPr>
      <w:r w:rsidRPr="005E04DC">
        <w:rPr>
          <w:rFonts w:ascii="Verdana" w:hAnsi="Verdana"/>
          <w:sz w:val="18"/>
          <w:szCs w:val="18"/>
        </w:rPr>
        <w:t>Mayo 2025. Impuesto especial sobre los envases de plástico no reutilizables. Presentación contabilidad y libro registro de existencias</w:t>
      </w:r>
    </w:p>
    <w:p w14:paraId="70629B82" w14:textId="77777777" w:rsidR="00865267" w:rsidRPr="005E04DC" w:rsidRDefault="00865267" w:rsidP="00865267">
      <w:pPr>
        <w:ind w:left="720"/>
        <w:jc w:val="both"/>
        <w:rPr>
          <w:rFonts w:ascii="Verdana" w:hAnsi="Verdana"/>
          <w:sz w:val="18"/>
          <w:szCs w:val="18"/>
        </w:rPr>
      </w:pPr>
    </w:p>
    <w:p w14:paraId="5E5971CC"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Declaración informativa anual de ayudas recibidas en el marco del régimen económico y fiscal de Canarias y otras ayudas de estado por contribuyentes del Impuesto sobre la Renta de las Personas Físicas o el Impuesto sobre la Renta de no Residentes sin establecimiento permanente</w:t>
      </w:r>
    </w:p>
    <w:p w14:paraId="286F8EFB" w14:textId="77777777" w:rsidR="005E04DC" w:rsidRDefault="005E04DC" w:rsidP="005E04DC">
      <w:pPr>
        <w:numPr>
          <w:ilvl w:val="0"/>
          <w:numId w:val="26"/>
        </w:numPr>
        <w:jc w:val="both"/>
        <w:rPr>
          <w:rFonts w:ascii="Verdana" w:hAnsi="Verdana"/>
          <w:sz w:val="18"/>
          <w:szCs w:val="18"/>
        </w:rPr>
      </w:pPr>
      <w:r w:rsidRPr="005E04DC">
        <w:rPr>
          <w:rFonts w:ascii="Verdana" w:hAnsi="Verdana"/>
          <w:sz w:val="18"/>
          <w:szCs w:val="18"/>
        </w:rPr>
        <w:t>Año 2024: 282</w:t>
      </w:r>
    </w:p>
    <w:p w14:paraId="4DE6089E" w14:textId="77777777" w:rsidR="00865267" w:rsidRPr="005E04DC" w:rsidRDefault="00865267" w:rsidP="00865267">
      <w:pPr>
        <w:ind w:left="720"/>
        <w:jc w:val="both"/>
        <w:rPr>
          <w:rFonts w:ascii="Verdana" w:hAnsi="Verdana"/>
          <w:sz w:val="18"/>
          <w:szCs w:val="18"/>
        </w:rPr>
      </w:pPr>
    </w:p>
    <w:p w14:paraId="5ACCEDED" w14:textId="77777777" w:rsidR="005E04DC" w:rsidRPr="00F12D53" w:rsidRDefault="005E04DC" w:rsidP="00F12D53">
      <w:pPr>
        <w:pStyle w:val="Sangradetextonormal"/>
        <w:ind w:left="0"/>
        <w:rPr>
          <w:rFonts w:ascii="Verdana" w:hAnsi="Verdana"/>
          <w:b/>
          <w:bCs/>
          <w:color w:val="800000"/>
          <w:sz w:val="18"/>
          <w:szCs w:val="18"/>
        </w:rPr>
      </w:pPr>
      <w:r w:rsidRPr="00F12D53">
        <w:rPr>
          <w:rFonts w:ascii="Verdana" w:hAnsi="Verdana"/>
          <w:b/>
          <w:bCs/>
          <w:color w:val="800000"/>
          <w:sz w:val="18"/>
          <w:szCs w:val="18"/>
        </w:rPr>
        <w:t>Declaración informativa anual de ayudas recibidas en el marco del Régimen fiscal especial de las Illes Balears por contribuyentes del Impuesto sobre la Renta de las Personas Físicas o el Impuesto sobre la Renta de no Residentes sin establecimiento permanente</w:t>
      </w:r>
    </w:p>
    <w:p w14:paraId="02D08687" w14:textId="77777777" w:rsidR="005E04DC" w:rsidRPr="005E04DC" w:rsidRDefault="005E04DC" w:rsidP="005E04DC">
      <w:pPr>
        <w:numPr>
          <w:ilvl w:val="0"/>
          <w:numId w:val="27"/>
        </w:numPr>
        <w:jc w:val="both"/>
        <w:rPr>
          <w:rFonts w:ascii="Verdana" w:hAnsi="Verdana"/>
          <w:sz w:val="18"/>
          <w:szCs w:val="18"/>
        </w:rPr>
      </w:pPr>
      <w:r w:rsidRPr="005E04DC">
        <w:rPr>
          <w:rFonts w:ascii="Verdana" w:hAnsi="Verdana"/>
          <w:sz w:val="18"/>
          <w:szCs w:val="18"/>
        </w:rPr>
        <w:t>Año 2024: 283</w:t>
      </w:r>
    </w:p>
    <w:p w14:paraId="11DACABC" w14:textId="77777777" w:rsidR="005E04DC" w:rsidRDefault="005E04DC">
      <w:pPr>
        <w:jc w:val="both"/>
        <w:rPr>
          <w:rFonts w:ascii="Verdana" w:hAnsi="Verdana"/>
          <w:sz w:val="18"/>
          <w:szCs w:val="18"/>
        </w:rPr>
      </w:pPr>
    </w:p>
    <w:p w14:paraId="4AE1B28B" w14:textId="77777777" w:rsidR="00865267" w:rsidRDefault="00865267">
      <w:pPr>
        <w:jc w:val="both"/>
        <w:rPr>
          <w:rFonts w:ascii="Verdana" w:hAnsi="Verdana"/>
          <w:sz w:val="18"/>
          <w:szCs w:val="18"/>
        </w:rPr>
      </w:pPr>
    </w:p>
    <w:p w14:paraId="2D78878E" w14:textId="77777777" w:rsidR="00865267" w:rsidRPr="008E729A" w:rsidRDefault="00865267">
      <w:pPr>
        <w:jc w:val="both"/>
        <w:rPr>
          <w:rFonts w:ascii="Verdana" w:hAnsi="Verdana"/>
          <w:sz w:val="18"/>
          <w:szCs w:val="18"/>
        </w:rPr>
      </w:pPr>
    </w:p>
    <w:sectPr w:rsidR="00865267" w:rsidRPr="008E729A" w:rsidSect="00827697">
      <w:footerReference w:type="even" r:id="rId9"/>
      <w:pgSz w:w="11906" w:h="16838"/>
      <w:pgMar w:top="1985" w:right="1701"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113DE1" w14:textId="77777777" w:rsidR="00017586" w:rsidRDefault="00017586">
      <w:r>
        <w:separator/>
      </w:r>
    </w:p>
  </w:endnote>
  <w:endnote w:type="continuationSeparator" w:id="0">
    <w:p w14:paraId="4D6AE55A" w14:textId="77777777" w:rsidR="00017586" w:rsidRDefault="0001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D442C" w14:textId="77777777" w:rsidR="00D40788" w:rsidRDefault="00D4078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9D011D" w14:textId="77777777" w:rsidR="00D40788" w:rsidRDefault="00D4078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10938" w14:textId="77777777" w:rsidR="00017586" w:rsidRDefault="00017586">
      <w:r>
        <w:separator/>
      </w:r>
    </w:p>
  </w:footnote>
  <w:footnote w:type="continuationSeparator" w:id="0">
    <w:p w14:paraId="635A22EF" w14:textId="77777777" w:rsidR="00017586" w:rsidRDefault="000175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E0016E"/>
    <w:multiLevelType w:val="multilevel"/>
    <w:tmpl w:val="0F76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B7E44"/>
    <w:multiLevelType w:val="multilevel"/>
    <w:tmpl w:val="548CE182"/>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806" w:hanging="44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886A39"/>
    <w:multiLevelType w:val="multilevel"/>
    <w:tmpl w:val="BE86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A5711"/>
    <w:multiLevelType w:val="multilevel"/>
    <w:tmpl w:val="C14A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522CF"/>
    <w:multiLevelType w:val="multilevel"/>
    <w:tmpl w:val="29DE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956B21"/>
    <w:multiLevelType w:val="multilevel"/>
    <w:tmpl w:val="58EA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B5CC7"/>
    <w:multiLevelType w:val="multilevel"/>
    <w:tmpl w:val="F9D27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6001E0"/>
    <w:multiLevelType w:val="hybridMultilevel"/>
    <w:tmpl w:val="51605128"/>
    <w:lvl w:ilvl="0" w:tplc="D76E2F42">
      <w:start w:val="7"/>
      <w:numFmt w:val="decimal"/>
      <w:lvlText w:val="%1."/>
      <w:lvlJc w:val="left"/>
      <w:pPr>
        <w:ind w:left="100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66B4ED2"/>
    <w:multiLevelType w:val="multilevel"/>
    <w:tmpl w:val="3DD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0E0302"/>
    <w:multiLevelType w:val="hybridMultilevel"/>
    <w:tmpl w:val="1D48D0B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21991AD1"/>
    <w:multiLevelType w:val="multilevel"/>
    <w:tmpl w:val="DE02A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640C15"/>
    <w:multiLevelType w:val="hybridMultilevel"/>
    <w:tmpl w:val="C0109F06"/>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27440B59"/>
    <w:multiLevelType w:val="hybridMultilevel"/>
    <w:tmpl w:val="AB0219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F493E4C"/>
    <w:multiLevelType w:val="multilevel"/>
    <w:tmpl w:val="7A38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B5893"/>
    <w:multiLevelType w:val="multilevel"/>
    <w:tmpl w:val="93AA7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A53124"/>
    <w:multiLevelType w:val="multilevel"/>
    <w:tmpl w:val="F38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07BBD"/>
    <w:multiLevelType w:val="multilevel"/>
    <w:tmpl w:val="CC4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FC6033"/>
    <w:multiLevelType w:val="multilevel"/>
    <w:tmpl w:val="A60E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3844BE"/>
    <w:multiLevelType w:val="multilevel"/>
    <w:tmpl w:val="D99C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13DC1"/>
    <w:multiLevelType w:val="multilevel"/>
    <w:tmpl w:val="9CF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9F1F1F"/>
    <w:multiLevelType w:val="multilevel"/>
    <w:tmpl w:val="2288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02792B"/>
    <w:multiLevelType w:val="hybridMultilevel"/>
    <w:tmpl w:val="7F72B5B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47F004BA"/>
    <w:multiLevelType w:val="multilevel"/>
    <w:tmpl w:val="E03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A53B8B"/>
    <w:multiLevelType w:val="hybridMultilevel"/>
    <w:tmpl w:val="F8380648"/>
    <w:lvl w:ilvl="0" w:tplc="3954D4B2">
      <w:start w:val="1"/>
      <w:numFmt w:val="bullet"/>
      <w:lvlText w:val=""/>
      <w:lvlJc w:val="left"/>
      <w:pPr>
        <w:ind w:left="1080" w:hanging="360"/>
      </w:pPr>
      <w:rPr>
        <w:rFonts w:ascii="Symbol" w:hAnsi="Symbol"/>
      </w:rPr>
    </w:lvl>
    <w:lvl w:ilvl="1" w:tplc="5A7E15D6">
      <w:start w:val="1"/>
      <w:numFmt w:val="bullet"/>
      <w:lvlText w:val=""/>
      <w:lvlJc w:val="left"/>
      <w:pPr>
        <w:ind w:left="1080" w:hanging="360"/>
      </w:pPr>
      <w:rPr>
        <w:rFonts w:ascii="Symbol" w:hAnsi="Symbol"/>
      </w:rPr>
    </w:lvl>
    <w:lvl w:ilvl="2" w:tplc="17AC8DD0">
      <w:start w:val="1"/>
      <w:numFmt w:val="bullet"/>
      <w:lvlText w:val=""/>
      <w:lvlJc w:val="left"/>
      <w:pPr>
        <w:ind w:left="1080" w:hanging="360"/>
      </w:pPr>
      <w:rPr>
        <w:rFonts w:ascii="Symbol" w:hAnsi="Symbol"/>
      </w:rPr>
    </w:lvl>
    <w:lvl w:ilvl="3" w:tplc="06380692">
      <w:start w:val="1"/>
      <w:numFmt w:val="bullet"/>
      <w:lvlText w:val=""/>
      <w:lvlJc w:val="left"/>
      <w:pPr>
        <w:ind w:left="1080" w:hanging="360"/>
      </w:pPr>
      <w:rPr>
        <w:rFonts w:ascii="Symbol" w:hAnsi="Symbol"/>
      </w:rPr>
    </w:lvl>
    <w:lvl w:ilvl="4" w:tplc="837EDC8C">
      <w:start w:val="1"/>
      <w:numFmt w:val="bullet"/>
      <w:lvlText w:val=""/>
      <w:lvlJc w:val="left"/>
      <w:pPr>
        <w:ind w:left="1080" w:hanging="360"/>
      </w:pPr>
      <w:rPr>
        <w:rFonts w:ascii="Symbol" w:hAnsi="Symbol"/>
      </w:rPr>
    </w:lvl>
    <w:lvl w:ilvl="5" w:tplc="9A205948">
      <w:start w:val="1"/>
      <w:numFmt w:val="bullet"/>
      <w:lvlText w:val=""/>
      <w:lvlJc w:val="left"/>
      <w:pPr>
        <w:ind w:left="1080" w:hanging="360"/>
      </w:pPr>
      <w:rPr>
        <w:rFonts w:ascii="Symbol" w:hAnsi="Symbol"/>
      </w:rPr>
    </w:lvl>
    <w:lvl w:ilvl="6" w:tplc="9AE25952">
      <w:start w:val="1"/>
      <w:numFmt w:val="bullet"/>
      <w:lvlText w:val=""/>
      <w:lvlJc w:val="left"/>
      <w:pPr>
        <w:ind w:left="1080" w:hanging="360"/>
      </w:pPr>
      <w:rPr>
        <w:rFonts w:ascii="Symbol" w:hAnsi="Symbol"/>
      </w:rPr>
    </w:lvl>
    <w:lvl w:ilvl="7" w:tplc="FEE8CABA">
      <w:start w:val="1"/>
      <w:numFmt w:val="bullet"/>
      <w:lvlText w:val=""/>
      <w:lvlJc w:val="left"/>
      <w:pPr>
        <w:ind w:left="1080" w:hanging="360"/>
      </w:pPr>
      <w:rPr>
        <w:rFonts w:ascii="Symbol" w:hAnsi="Symbol"/>
      </w:rPr>
    </w:lvl>
    <w:lvl w:ilvl="8" w:tplc="FBD6E738">
      <w:start w:val="1"/>
      <w:numFmt w:val="bullet"/>
      <w:lvlText w:val=""/>
      <w:lvlJc w:val="left"/>
      <w:pPr>
        <w:ind w:left="1080" w:hanging="360"/>
      </w:pPr>
      <w:rPr>
        <w:rFonts w:ascii="Symbol" w:hAnsi="Symbol"/>
      </w:rPr>
    </w:lvl>
  </w:abstractNum>
  <w:abstractNum w:abstractNumId="25">
    <w:nsid w:val="5FC30924"/>
    <w:multiLevelType w:val="multilevel"/>
    <w:tmpl w:val="B42C8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A40103"/>
    <w:multiLevelType w:val="hybridMultilevel"/>
    <w:tmpl w:val="01B02552"/>
    <w:lvl w:ilvl="0" w:tplc="FFFFFFFF">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66977583"/>
    <w:multiLevelType w:val="hybridMultilevel"/>
    <w:tmpl w:val="FEA0DAF8"/>
    <w:lvl w:ilvl="0" w:tplc="FFFFFFFF">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8863C00"/>
    <w:multiLevelType w:val="multilevel"/>
    <w:tmpl w:val="F4E2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D14DB9"/>
    <w:multiLevelType w:val="multilevel"/>
    <w:tmpl w:val="CD6E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BD72B6B"/>
    <w:multiLevelType w:val="multilevel"/>
    <w:tmpl w:val="EAC2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vlJc w:val="left"/>
        <w:pPr>
          <w:ind w:left="72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vlJc w:val="left"/>
        <w:pPr>
          <w:ind w:left="720" w:hanging="360"/>
        </w:pPr>
        <w:rPr>
          <w:rFonts w:ascii="Symbol" w:hAnsi="Symbol" w:hint="default"/>
        </w:rPr>
      </w:lvl>
    </w:lvlOverride>
  </w:num>
  <w:num w:numId="4">
    <w:abstractNumId w:val="13"/>
  </w:num>
  <w:num w:numId="5">
    <w:abstractNumId w:val="2"/>
  </w:num>
  <w:num w:numId="6">
    <w:abstractNumId w:val="26"/>
  </w:num>
  <w:num w:numId="7">
    <w:abstractNumId w:val="27"/>
  </w:num>
  <w:num w:numId="8">
    <w:abstractNumId w:val="10"/>
  </w:num>
  <w:num w:numId="9">
    <w:abstractNumId w:val="24"/>
  </w:num>
  <w:num w:numId="10">
    <w:abstractNumId w:val="21"/>
  </w:num>
  <w:num w:numId="11">
    <w:abstractNumId w:val="16"/>
  </w:num>
  <w:num w:numId="12">
    <w:abstractNumId w:val="14"/>
  </w:num>
  <w:num w:numId="13">
    <w:abstractNumId w:val="9"/>
  </w:num>
  <w:num w:numId="14">
    <w:abstractNumId w:val="4"/>
  </w:num>
  <w:num w:numId="15">
    <w:abstractNumId w:val="25"/>
  </w:num>
  <w:num w:numId="16">
    <w:abstractNumId w:val="1"/>
  </w:num>
  <w:num w:numId="17">
    <w:abstractNumId w:val="18"/>
  </w:num>
  <w:num w:numId="18">
    <w:abstractNumId w:val="30"/>
  </w:num>
  <w:num w:numId="19">
    <w:abstractNumId w:val="5"/>
  </w:num>
  <w:num w:numId="20">
    <w:abstractNumId w:val="29"/>
  </w:num>
  <w:num w:numId="21">
    <w:abstractNumId w:val="15"/>
  </w:num>
  <w:num w:numId="22">
    <w:abstractNumId w:val="17"/>
  </w:num>
  <w:num w:numId="23">
    <w:abstractNumId w:val="3"/>
  </w:num>
  <w:num w:numId="24">
    <w:abstractNumId w:val="11"/>
  </w:num>
  <w:num w:numId="25">
    <w:abstractNumId w:val="28"/>
  </w:num>
  <w:num w:numId="26">
    <w:abstractNumId w:val="20"/>
  </w:num>
  <w:num w:numId="27">
    <w:abstractNumId w:val="23"/>
  </w:num>
  <w:num w:numId="28">
    <w:abstractNumId w:val="12"/>
  </w:num>
  <w:num w:numId="29">
    <w:abstractNumId w:val="6"/>
  </w:num>
  <w:num w:numId="30">
    <w:abstractNumId w:val="7"/>
  </w:num>
  <w:num w:numId="31">
    <w:abstractNumId w:val="2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8E3"/>
    <w:rsid w:val="0000166E"/>
    <w:rsid w:val="00003943"/>
    <w:rsid w:val="0000470D"/>
    <w:rsid w:val="0000542D"/>
    <w:rsid w:val="00005D34"/>
    <w:rsid w:val="00007AF5"/>
    <w:rsid w:val="00007EBE"/>
    <w:rsid w:val="00011811"/>
    <w:rsid w:val="00011E2E"/>
    <w:rsid w:val="00012CC0"/>
    <w:rsid w:val="00012E08"/>
    <w:rsid w:val="00016230"/>
    <w:rsid w:val="00016DF3"/>
    <w:rsid w:val="00017586"/>
    <w:rsid w:val="0001799A"/>
    <w:rsid w:val="00020A09"/>
    <w:rsid w:val="00020DD5"/>
    <w:rsid w:val="00025DFE"/>
    <w:rsid w:val="0002627B"/>
    <w:rsid w:val="00031538"/>
    <w:rsid w:val="00031F07"/>
    <w:rsid w:val="00032F88"/>
    <w:rsid w:val="00034328"/>
    <w:rsid w:val="00037C48"/>
    <w:rsid w:val="000415D4"/>
    <w:rsid w:val="0004249F"/>
    <w:rsid w:val="00045430"/>
    <w:rsid w:val="00046AF4"/>
    <w:rsid w:val="0004728E"/>
    <w:rsid w:val="00047A73"/>
    <w:rsid w:val="00050AC4"/>
    <w:rsid w:val="00051647"/>
    <w:rsid w:val="00052B3F"/>
    <w:rsid w:val="00055129"/>
    <w:rsid w:val="00060447"/>
    <w:rsid w:val="00063445"/>
    <w:rsid w:val="00065A98"/>
    <w:rsid w:val="0007096D"/>
    <w:rsid w:val="00073212"/>
    <w:rsid w:val="000765E2"/>
    <w:rsid w:val="0007685D"/>
    <w:rsid w:val="000773DB"/>
    <w:rsid w:val="00077F5F"/>
    <w:rsid w:val="0008025B"/>
    <w:rsid w:val="00081E00"/>
    <w:rsid w:val="00085DC1"/>
    <w:rsid w:val="0009273A"/>
    <w:rsid w:val="00093427"/>
    <w:rsid w:val="00093819"/>
    <w:rsid w:val="000944FA"/>
    <w:rsid w:val="0009593E"/>
    <w:rsid w:val="000A182A"/>
    <w:rsid w:val="000A1BF3"/>
    <w:rsid w:val="000A40C0"/>
    <w:rsid w:val="000A6009"/>
    <w:rsid w:val="000A6BA2"/>
    <w:rsid w:val="000B0318"/>
    <w:rsid w:val="000B18D4"/>
    <w:rsid w:val="000B22B3"/>
    <w:rsid w:val="000B3E99"/>
    <w:rsid w:val="000B4491"/>
    <w:rsid w:val="000C254D"/>
    <w:rsid w:val="000C4292"/>
    <w:rsid w:val="000C4321"/>
    <w:rsid w:val="000C433E"/>
    <w:rsid w:val="000C5415"/>
    <w:rsid w:val="000D166C"/>
    <w:rsid w:val="000D4A02"/>
    <w:rsid w:val="000E0484"/>
    <w:rsid w:val="000E0E17"/>
    <w:rsid w:val="000E1F29"/>
    <w:rsid w:val="000E3CA0"/>
    <w:rsid w:val="000E53F0"/>
    <w:rsid w:val="000E6539"/>
    <w:rsid w:val="000F0D29"/>
    <w:rsid w:val="000F1664"/>
    <w:rsid w:val="000F289B"/>
    <w:rsid w:val="000F2922"/>
    <w:rsid w:val="000F2BA9"/>
    <w:rsid w:val="000F3CB4"/>
    <w:rsid w:val="000F600B"/>
    <w:rsid w:val="000F7FDA"/>
    <w:rsid w:val="0010232C"/>
    <w:rsid w:val="00102F8E"/>
    <w:rsid w:val="0010442A"/>
    <w:rsid w:val="001118C9"/>
    <w:rsid w:val="00112280"/>
    <w:rsid w:val="0011469C"/>
    <w:rsid w:val="00115E3C"/>
    <w:rsid w:val="00116B6C"/>
    <w:rsid w:val="00116C07"/>
    <w:rsid w:val="00116E1C"/>
    <w:rsid w:val="001175BD"/>
    <w:rsid w:val="001306D7"/>
    <w:rsid w:val="0013250E"/>
    <w:rsid w:val="00132646"/>
    <w:rsid w:val="00132F76"/>
    <w:rsid w:val="00133303"/>
    <w:rsid w:val="00141587"/>
    <w:rsid w:val="00141ADA"/>
    <w:rsid w:val="00142433"/>
    <w:rsid w:val="00145908"/>
    <w:rsid w:val="00151D99"/>
    <w:rsid w:val="0015262E"/>
    <w:rsid w:val="00153B5E"/>
    <w:rsid w:val="00154154"/>
    <w:rsid w:val="00156CBE"/>
    <w:rsid w:val="00160025"/>
    <w:rsid w:val="00163A99"/>
    <w:rsid w:val="00165B0E"/>
    <w:rsid w:val="0017178D"/>
    <w:rsid w:val="00171980"/>
    <w:rsid w:val="00171A93"/>
    <w:rsid w:val="001748D0"/>
    <w:rsid w:val="00176FBB"/>
    <w:rsid w:val="00181FBD"/>
    <w:rsid w:val="001826D2"/>
    <w:rsid w:val="00185AE5"/>
    <w:rsid w:val="00187B3B"/>
    <w:rsid w:val="00196A5D"/>
    <w:rsid w:val="001A11EE"/>
    <w:rsid w:val="001A2549"/>
    <w:rsid w:val="001A3CC4"/>
    <w:rsid w:val="001A4BCA"/>
    <w:rsid w:val="001A68C1"/>
    <w:rsid w:val="001B01B4"/>
    <w:rsid w:val="001B4308"/>
    <w:rsid w:val="001B4853"/>
    <w:rsid w:val="001B6206"/>
    <w:rsid w:val="001B6218"/>
    <w:rsid w:val="001B7148"/>
    <w:rsid w:val="001B77EC"/>
    <w:rsid w:val="001B78EE"/>
    <w:rsid w:val="001C4F40"/>
    <w:rsid w:val="001D1F9E"/>
    <w:rsid w:val="001D3BC8"/>
    <w:rsid w:val="001D55B3"/>
    <w:rsid w:val="001D7F82"/>
    <w:rsid w:val="001E3571"/>
    <w:rsid w:val="001E3865"/>
    <w:rsid w:val="001E4676"/>
    <w:rsid w:val="001E6925"/>
    <w:rsid w:val="001E6E83"/>
    <w:rsid w:val="001F55C7"/>
    <w:rsid w:val="001F6996"/>
    <w:rsid w:val="002010E4"/>
    <w:rsid w:val="00204663"/>
    <w:rsid w:val="002061D4"/>
    <w:rsid w:val="0020775C"/>
    <w:rsid w:val="0021377D"/>
    <w:rsid w:val="002143C6"/>
    <w:rsid w:val="002144EF"/>
    <w:rsid w:val="002245FC"/>
    <w:rsid w:val="002260F9"/>
    <w:rsid w:val="002267DE"/>
    <w:rsid w:val="0022712B"/>
    <w:rsid w:val="00227688"/>
    <w:rsid w:val="00230A86"/>
    <w:rsid w:val="00233887"/>
    <w:rsid w:val="00237EBF"/>
    <w:rsid w:val="002404B7"/>
    <w:rsid w:val="00241285"/>
    <w:rsid w:val="00243FEF"/>
    <w:rsid w:val="0024420A"/>
    <w:rsid w:val="0024571F"/>
    <w:rsid w:val="0024755F"/>
    <w:rsid w:val="00256861"/>
    <w:rsid w:val="00266D33"/>
    <w:rsid w:val="002766C1"/>
    <w:rsid w:val="00276888"/>
    <w:rsid w:val="002801DB"/>
    <w:rsid w:val="00280ECD"/>
    <w:rsid w:val="00283649"/>
    <w:rsid w:val="00284655"/>
    <w:rsid w:val="002872C6"/>
    <w:rsid w:val="00291732"/>
    <w:rsid w:val="0029196D"/>
    <w:rsid w:val="00291ACE"/>
    <w:rsid w:val="00292A21"/>
    <w:rsid w:val="00293315"/>
    <w:rsid w:val="002933D7"/>
    <w:rsid w:val="00294A21"/>
    <w:rsid w:val="0029513A"/>
    <w:rsid w:val="00295471"/>
    <w:rsid w:val="00296812"/>
    <w:rsid w:val="0029732F"/>
    <w:rsid w:val="00297B8E"/>
    <w:rsid w:val="002A2004"/>
    <w:rsid w:val="002A4E55"/>
    <w:rsid w:val="002A57FE"/>
    <w:rsid w:val="002A6454"/>
    <w:rsid w:val="002B0D00"/>
    <w:rsid w:val="002B3309"/>
    <w:rsid w:val="002B44A4"/>
    <w:rsid w:val="002C13F8"/>
    <w:rsid w:val="002C4499"/>
    <w:rsid w:val="002C4777"/>
    <w:rsid w:val="002C754F"/>
    <w:rsid w:val="002D0035"/>
    <w:rsid w:val="002D0B04"/>
    <w:rsid w:val="002D1893"/>
    <w:rsid w:val="002D360B"/>
    <w:rsid w:val="002D5620"/>
    <w:rsid w:val="002D72A8"/>
    <w:rsid w:val="002E487D"/>
    <w:rsid w:val="002E5E89"/>
    <w:rsid w:val="002F0A05"/>
    <w:rsid w:val="002F16AA"/>
    <w:rsid w:val="002F1978"/>
    <w:rsid w:val="002F259F"/>
    <w:rsid w:val="002F4001"/>
    <w:rsid w:val="002F621E"/>
    <w:rsid w:val="002F7096"/>
    <w:rsid w:val="003006EF"/>
    <w:rsid w:val="003012DB"/>
    <w:rsid w:val="00302348"/>
    <w:rsid w:val="00304990"/>
    <w:rsid w:val="0030632B"/>
    <w:rsid w:val="00307302"/>
    <w:rsid w:val="00313498"/>
    <w:rsid w:val="00314293"/>
    <w:rsid w:val="00316269"/>
    <w:rsid w:val="00316C19"/>
    <w:rsid w:val="0032570B"/>
    <w:rsid w:val="00326323"/>
    <w:rsid w:val="00331CD3"/>
    <w:rsid w:val="0033495C"/>
    <w:rsid w:val="00337933"/>
    <w:rsid w:val="00340F52"/>
    <w:rsid w:val="00343CA3"/>
    <w:rsid w:val="00344563"/>
    <w:rsid w:val="00346A0D"/>
    <w:rsid w:val="00350885"/>
    <w:rsid w:val="003511C2"/>
    <w:rsid w:val="00352BCE"/>
    <w:rsid w:val="00352DF5"/>
    <w:rsid w:val="00353A51"/>
    <w:rsid w:val="0035681C"/>
    <w:rsid w:val="003667F9"/>
    <w:rsid w:val="003726A3"/>
    <w:rsid w:val="003755D2"/>
    <w:rsid w:val="00380F27"/>
    <w:rsid w:val="00381AEE"/>
    <w:rsid w:val="003830E3"/>
    <w:rsid w:val="00383576"/>
    <w:rsid w:val="00383B1B"/>
    <w:rsid w:val="003845D6"/>
    <w:rsid w:val="00393196"/>
    <w:rsid w:val="00397E16"/>
    <w:rsid w:val="003A340F"/>
    <w:rsid w:val="003A4CBB"/>
    <w:rsid w:val="003A5C78"/>
    <w:rsid w:val="003A7CC4"/>
    <w:rsid w:val="003B1A31"/>
    <w:rsid w:val="003B34E2"/>
    <w:rsid w:val="003B435F"/>
    <w:rsid w:val="003B4DC1"/>
    <w:rsid w:val="003B5190"/>
    <w:rsid w:val="003B5871"/>
    <w:rsid w:val="003B6664"/>
    <w:rsid w:val="003B6BAB"/>
    <w:rsid w:val="003C18BA"/>
    <w:rsid w:val="003C2071"/>
    <w:rsid w:val="003C2079"/>
    <w:rsid w:val="003C28DB"/>
    <w:rsid w:val="003C4AE8"/>
    <w:rsid w:val="003C5F3F"/>
    <w:rsid w:val="003D1737"/>
    <w:rsid w:val="003D3CCC"/>
    <w:rsid w:val="003D4A64"/>
    <w:rsid w:val="003E08B4"/>
    <w:rsid w:val="003E1BE6"/>
    <w:rsid w:val="003E3936"/>
    <w:rsid w:val="003E40FC"/>
    <w:rsid w:val="003E50B3"/>
    <w:rsid w:val="003E5C74"/>
    <w:rsid w:val="003F0D55"/>
    <w:rsid w:val="003F13C3"/>
    <w:rsid w:val="003F1C6F"/>
    <w:rsid w:val="003F3AC8"/>
    <w:rsid w:val="003F4C16"/>
    <w:rsid w:val="003F4ED9"/>
    <w:rsid w:val="003F62B2"/>
    <w:rsid w:val="00401376"/>
    <w:rsid w:val="00403F5C"/>
    <w:rsid w:val="0040421A"/>
    <w:rsid w:val="0040496E"/>
    <w:rsid w:val="0040569A"/>
    <w:rsid w:val="00407E08"/>
    <w:rsid w:val="0041038C"/>
    <w:rsid w:val="004115B6"/>
    <w:rsid w:val="00412E98"/>
    <w:rsid w:val="00413727"/>
    <w:rsid w:val="00413DDB"/>
    <w:rsid w:val="004159D3"/>
    <w:rsid w:val="00416020"/>
    <w:rsid w:val="004162CC"/>
    <w:rsid w:val="00417A31"/>
    <w:rsid w:val="00421FBE"/>
    <w:rsid w:val="0042489F"/>
    <w:rsid w:val="00433DCF"/>
    <w:rsid w:val="00435708"/>
    <w:rsid w:val="00435B20"/>
    <w:rsid w:val="00435C81"/>
    <w:rsid w:val="00437827"/>
    <w:rsid w:val="004400C3"/>
    <w:rsid w:val="00444495"/>
    <w:rsid w:val="00444702"/>
    <w:rsid w:val="00447300"/>
    <w:rsid w:val="00451818"/>
    <w:rsid w:val="00453BD0"/>
    <w:rsid w:val="00454D09"/>
    <w:rsid w:val="00455194"/>
    <w:rsid w:val="004551F7"/>
    <w:rsid w:val="00455716"/>
    <w:rsid w:val="0046193A"/>
    <w:rsid w:val="004625EA"/>
    <w:rsid w:val="0046366F"/>
    <w:rsid w:val="00465C8E"/>
    <w:rsid w:val="00465DBA"/>
    <w:rsid w:val="00466E95"/>
    <w:rsid w:val="00467AA5"/>
    <w:rsid w:val="00470788"/>
    <w:rsid w:val="00472A48"/>
    <w:rsid w:val="0047536F"/>
    <w:rsid w:val="00475520"/>
    <w:rsid w:val="004779BC"/>
    <w:rsid w:val="00483CCC"/>
    <w:rsid w:val="004847C7"/>
    <w:rsid w:val="00486AE2"/>
    <w:rsid w:val="004901E1"/>
    <w:rsid w:val="004910D5"/>
    <w:rsid w:val="004920A4"/>
    <w:rsid w:val="00493718"/>
    <w:rsid w:val="00493817"/>
    <w:rsid w:val="004959F1"/>
    <w:rsid w:val="0049739A"/>
    <w:rsid w:val="00497E85"/>
    <w:rsid w:val="004A171C"/>
    <w:rsid w:val="004A76B9"/>
    <w:rsid w:val="004A7BE2"/>
    <w:rsid w:val="004B3321"/>
    <w:rsid w:val="004B36AD"/>
    <w:rsid w:val="004B43E7"/>
    <w:rsid w:val="004B4DC9"/>
    <w:rsid w:val="004B5A68"/>
    <w:rsid w:val="004C3437"/>
    <w:rsid w:val="004C3F45"/>
    <w:rsid w:val="004C4364"/>
    <w:rsid w:val="004C4F32"/>
    <w:rsid w:val="004C6EBC"/>
    <w:rsid w:val="004D1CFC"/>
    <w:rsid w:val="004D5982"/>
    <w:rsid w:val="004D6286"/>
    <w:rsid w:val="004E0DCB"/>
    <w:rsid w:val="004E178E"/>
    <w:rsid w:val="004E32AE"/>
    <w:rsid w:val="004E4D0D"/>
    <w:rsid w:val="004E583F"/>
    <w:rsid w:val="004E58E6"/>
    <w:rsid w:val="004E6D89"/>
    <w:rsid w:val="004F1B8E"/>
    <w:rsid w:val="004F3A4D"/>
    <w:rsid w:val="004F5C7B"/>
    <w:rsid w:val="004F7A67"/>
    <w:rsid w:val="0050262B"/>
    <w:rsid w:val="00507B08"/>
    <w:rsid w:val="0051030C"/>
    <w:rsid w:val="00510D22"/>
    <w:rsid w:val="005137CB"/>
    <w:rsid w:val="00513AB3"/>
    <w:rsid w:val="00513CA6"/>
    <w:rsid w:val="005140A4"/>
    <w:rsid w:val="005143F1"/>
    <w:rsid w:val="005148F8"/>
    <w:rsid w:val="00521943"/>
    <w:rsid w:val="00525D50"/>
    <w:rsid w:val="00527904"/>
    <w:rsid w:val="005338BD"/>
    <w:rsid w:val="00540C9B"/>
    <w:rsid w:val="00542C77"/>
    <w:rsid w:val="00543CD5"/>
    <w:rsid w:val="00546542"/>
    <w:rsid w:val="005479B9"/>
    <w:rsid w:val="005511AE"/>
    <w:rsid w:val="00551BBE"/>
    <w:rsid w:val="00555F77"/>
    <w:rsid w:val="00556D39"/>
    <w:rsid w:val="005636F2"/>
    <w:rsid w:val="00565833"/>
    <w:rsid w:val="005658BC"/>
    <w:rsid w:val="00566B5D"/>
    <w:rsid w:val="005723AB"/>
    <w:rsid w:val="00573514"/>
    <w:rsid w:val="00573DE2"/>
    <w:rsid w:val="005745A4"/>
    <w:rsid w:val="00575C4D"/>
    <w:rsid w:val="005767BB"/>
    <w:rsid w:val="00580C2E"/>
    <w:rsid w:val="00580C48"/>
    <w:rsid w:val="00583AC6"/>
    <w:rsid w:val="005849BB"/>
    <w:rsid w:val="0058543A"/>
    <w:rsid w:val="005866C4"/>
    <w:rsid w:val="0058718E"/>
    <w:rsid w:val="00587643"/>
    <w:rsid w:val="0058776B"/>
    <w:rsid w:val="00590938"/>
    <w:rsid w:val="00590B68"/>
    <w:rsid w:val="00594D23"/>
    <w:rsid w:val="00596224"/>
    <w:rsid w:val="005A056E"/>
    <w:rsid w:val="005A0FB3"/>
    <w:rsid w:val="005A13F3"/>
    <w:rsid w:val="005A288E"/>
    <w:rsid w:val="005A2DB0"/>
    <w:rsid w:val="005A3F45"/>
    <w:rsid w:val="005A5DD3"/>
    <w:rsid w:val="005A618E"/>
    <w:rsid w:val="005A6A2F"/>
    <w:rsid w:val="005B29BE"/>
    <w:rsid w:val="005B372D"/>
    <w:rsid w:val="005B43C8"/>
    <w:rsid w:val="005B6F9D"/>
    <w:rsid w:val="005B7BFC"/>
    <w:rsid w:val="005C3FD4"/>
    <w:rsid w:val="005C421B"/>
    <w:rsid w:val="005C6010"/>
    <w:rsid w:val="005D027F"/>
    <w:rsid w:val="005D03D8"/>
    <w:rsid w:val="005D1ECD"/>
    <w:rsid w:val="005D4088"/>
    <w:rsid w:val="005D48D7"/>
    <w:rsid w:val="005D51A3"/>
    <w:rsid w:val="005D5B70"/>
    <w:rsid w:val="005D6DF3"/>
    <w:rsid w:val="005E04DC"/>
    <w:rsid w:val="005E172E"/>
    <w:rsid w:val="005E1E27"/>
    <w:rsid w:val="005E1E90"/>
    <w:rsid w:val="005E3E14"/>
    <w:rsid w:val="005E50CA"/>
    <w:rsid w:val="005E66C6"/>
    <w:rsid w:val="005F0929"/>
    <w:rsid w:val="005F11AF"/>
    <w:rsid w:val="005F1570"/>
    <w:rsid w:val="005F2E02"/>
    <w:rsid w:val="005F746F"/>
    <w:rsid w:val="005F76A3"/>
    <w:rsid w:val="0060020B"/>
    <w:rsid w:val="006016BC"/>
    <w:rsid w:val="00602E9D"/>
    <w:rsid w:val="00603846"/>
    <w:rsid w:val="00604D1C"/>
    <w:rsid w:val="0060688D"/>
    <w:rsid w:val="0060751D"/>
    <w:rsid w:val="00610F81"/>
    <w:rsid w:val="006118DB"/>
    <w:rsid w:val="0062009D"/>
    <w:rsid w:val="006249F7"/>
    <w:rsid w:val="00624D90"/>
    <w:rsid w:val="00625D57"/>
    <w:rsid w:val="006261E3"/>
    <w:rsid w:val="00630DB0"/>
    <w:rsid w:val="006322E8"/>
    <w:rsid w:val="00637779"/>
    <w:rsid w:val="0064043C"/>
    <w:rsid w:val="00643EEE"/>
    <w:rsid w:val="00644108"/>
    <w:rsid w:val="006449BE"/>
    <w:rsid w:val="006459B5"/>
    <w:rsid w:val="00650159"/>
    <w:rsid w:val="00651F2B"/>
    <w:rsid w:val="00652B8B"/>
    <w:rsid w:val="006533C6"/>
    <w:rsid w:val="00654301"/>
    <w:rsid w:val="00654B40"/>
    <w:rsid w:val="00655AFB"/>
    <w:rsid w:val="00660CC7"/>
    <w:rsid w:val="00660CE9"/>
    <w:rsid w:val="00660D0C"/>
    <w:rsid w:val="006629F3"/>
    <w:rsid w:val="00662E50"/>
    <w:rsid w:val="00666FC1"/>
    <w:rsid w:val="0067198E"/>
    <w:rsid w:val="00673016"/>
    <w:rsid w:val="006735D8"/>
    <w:rsid w:val="00673E66"/>
    <w:rsid w:val="0067646E"/>
    <w:rsid w:val="00676E4F"/>
    <w:rsid w:val="00677A74"/>
    <w:rsid w:val="00680C20"/>
    <w:rsid w:val="00681CD2"/>
    <w:rsid w:val="00685779"/>
    <w:rsid w:val="00686EBD"/>
    <w:rsid w:val="006A08F0"/>
    <w:rsid w:val="006A13FA"/>
    <w:rsid w:val="006A1BC3"/>
    <w:rsid w:val="006A527A"/>
    <w:rsid w:val="006A7F2D"/>
    <w:rsid w:val="006B0599"/>
    <w:rsid w:val="006B0E2B"/>
    <w:rsid w:val="006B0EC9"/>
    <w:rsid w:val="006B1316"/>
    <w:rsid w:val="006B1EC1"/>
    <w:rsid w:val="006B26DF"/>
    <w:rsid w:val="006B3118"/>
    <w:rsid w:val="006B42C6"/>
    <w:rsid w:val="006B48E3"/>
    <w:rsid w:val="006B640F"/>
    <w:rsid w:val="006C3A89"/>
    <w:rsid w:val="006C642A"/>
    <w:rsid w:val="006D08C1"/>
    <w:rsid w:val="006E04EE"/>
    <w:rsid w:val="006E0A3D"/>
    <w:rsid w:val="006E0BC2"/>
    <w:rsid w:val="006E437A"/>
    <w:rsid w:val="006E5559"/>
    <w:rsid w:val="006E6B03"/>
    <w:rsid w:val="006F20ED"/>
    <w:rsid w:val="006F2BFE"/>
    <w:rsid w:val="006F44A8"/>
    <w:rsid w:val="006F4827"/>
    <w:rsid w:val="006F4EB3"/>
    <w:rsid w:val="006F62E5"/>
    <w:rsid w:val="00700ECB"/>
    <w:rsid w:val="00701B99"/>
    <w:rsid w:val="00702BF0"/>
    <w:rsid w:val="007045B4"/>
    <w:rsid w:val="0070494D"/>
    <w:rsid w:val="007061D5"/>
    <w:rsid w:val="0070650E"/>
    <w:rsid w:val="00710334"/>
    <w:rsid w:val="00713A13"/>
    <w:rsid w:val="00714D6A"/>
    <w:rsid w:val="007215EC"/>
    <w:rsid w:val="0072229D"/>
    <w:rsid w:val="00723CAB"/>
    <w:rsid w:val="00724636"/>
    <w:rsid w:val="00724E4F"/>
    <w:rsid w:val="0072655D"/>
    <w:rsid w:val="00727324"/>
    <w:rsid w:val="00732608"/>
    <w:rsid w:val="00732BDE"/>
    <w:rsid w:val="00735DF0"/>
    <w:rsid w:val="0074480D"/>
    <w:rsid w:val="00744F54"/>
    <w:rsid w:val="00751139"/>
    <w:rsid w:val="0075119B"/>
    <w:rsid w:val="007511E7"/>
    <w:rsid w:val="00752AED"/>
    <w:rsid w:val="00754549"/>
    <w:rsid w:val="0075711C"/>
    <w:rsid w:val="00757152"/>
    <w:rsid w:val="0076180A"/>
    <w:rsid w:val="00762248"/>
    <w:rsid w:val="00763036"/>
    <w:rsid w:val="0076309B"/>
    <w:rsid w:val="007632E7"/>
    <w:rsid w:val="00763754"/>
    <w:rsid w:val="00765BE0"/>
    <w:rsid w:val="007710E6"/>
    <w:rsid w:val="0077279F"/>
    <w:rsid w:val="00772CD4"/>
    <w:rsid w:val="00773B87"/>
    <w:rsid w:val="00774273"/>
    <w:rsid w:val="00774F28"/>
    <w:rsid w:val="00776DC6"/>
    <w:rsid w:val="00780131"/>
    <w:rsid w:val="007813EF"/>
    <w:rsid w:val="00781A9A"/>
    <w:rsid w:val="007828C0"/>
    <w:rsid w:val="0078307F"/>
    <w:rsid w:val="00785F1F"/>
    <w:rsid w:val="00787F52"/>
    <w:rsid w:val="00790591"/>
    <w:rsid w:val="007924C9"/>
    <w:rsid w:val="007936DF"/>
    <w:rsid w:val="00794078"/>
    <w:rsid w:val="0079436C"/>
    <w:rsid w:val="00794ACF"/>
    <w:rsid w:val="00794EE1"/>
    <w:rsid w:val="0079754F"/>
    <w:rsid w:val="007A0B62"/>
    <w:rsid w:val="007A103C"/>
    <w:rsid w:val="007A22D8"/>
    <w:rsid w:val="007A3A13"/>
    <w:rsid w:val="007A5E52"/>
    <w:rsid w:val="007B1EFE"/>
    <w:rsid w:val="007B2EF1"/>
    <w:rsid w:val="007B5C3C"/>
    <w:rsid w:val="007B669A"/>
    <w:rsid w:val="007B73FD"/>
    <w:rsid w:val="007B7AA9"/>
    <w:rsid w:val="007C0611"/>
    <w:rsid w:val="007C0DA5"/>
    <w:rsid w:val="007C207F"/>
    <w:rsid w:val="007C4646"/>
    <w:rsid w:val="007C5203"/>
    <w:rsid w:val="007C53CC"/>
    <w:rsid w:val="007C564D"/>
    <w:rsid w:val="007C6562"/>
    <w:rsid w:val="007C6D93"/>
    <w:rsid w:val="007D0656"/>
    <w:rsid w:val="007D2E59"/>
    <w:rsid w:val="007D451D"/>
    <w:rsid w:val="007D4BEC"/>
    <w:rsid w:val="007D5059"/>
    <w:rsid w:val="007D5330"/>
    <w:rsid w:val="007D65DA"/>
    <w:rsid w:val="007D7915"/>
    <w:rsid w:val="007E1AB7"/>
    <w:rsid w:val="007E2AB4"/>
    <w:rsid w:val="007E45FA"/>
    <w:rsid w:val="007E6E17"/>
    <w:rsid w:val="007E6ECC"/>
    <w:rsid w:val="007F04A0"/>
    <w:rsid w:val="007F3BF9"/>
    <w:rsid w:val="007F6784"/>
    <w:rsid w:val="007F7A50"/>
    <w:rsid w:val="00800441"/>
    <w:rsid w:val="008008F7"/>
    <w:rsid w:val="00801A05"/>
    <w:rsid w:val="0080221D"/>
    <w:rsid w:val="00803508"/>
    <w:rsid w:val="008036AB"/>
    <w:rsid w:val="00803D35"/>
    <w:rsid w:val="00803D80"/>
    <w:rsid w:val="0081052C"/>
    <w:rsid w:val="00813314"/>
    <w:rsid w:val="00813DF7"/>
    <w:rsid w:val="008168E9"/>
    <w:rsid w:val="0082181A"/>
    <w:rsid w:val="00821B21"/>
    <w:rsid w:val="00822383"/>
    <w:rsid w:val="00822419"/>
    <w:rsid w:val="00822BB6"/>
    <w:rsid w:val="00823040"/>
    <w:rsid w:val="008231DC"/>
    <w:rsid w:val="00823D95"/>
    <w:rsid w:val="00824054"/>
    <w:rsid w:val="0082409C"/>
    <w:rsid w:val="00826BB0"/>
    <w:rsid w:val="00827697"/>
    <w:rsid w:val="008322E2"/>
    <w:rsid w:val="00832990"/>
    <w:rsid w:val="00832A2A"/>
    <w:rsid w:val="00832FC8"/>
    <w:rsid w:val="008366E2"/>
    <w:rsid w:val="00840301"/>
    <w:rsid w:val="00840581"/>
    <w:rsid w:val="008409F9"/>
    <w:rsid w:val="00846B9D"/>
    <w:rsid w:val="00847F94"/>
    <w:rsid w:val="008547F2"/>
    <w:rsid w:val="00856F7B"/>
    <w:rsid w:val="008609FD"/>
    <w:rsid w:val="00860B3D"/>
    <w:rsid w:val="008622EF"/>
    <w:rsid w:val="0086275C"/>
    <w:rsid w:val="00862B04"/>
    <w:rsid w:val="0086322A"/>
    <w:rsid w:val="00865267"/>
    <w:rsid w:val="00865C3A"/>
    <w:rsid w:val="00867C86"/>
    <w:rsid w:val="0087093E"/>
    <w:rsid w:val="008710B8"/>
    <w:rsid w:val="00871CFB"/>
    <w:rsid w:val="00871DD7"/>
    <w:rsid w:val="00874756"/>
    <w:rsid w:val="00875F62"/>
    <w:rsid w:val="00876DA5"/>
    <w:rsid w:val="00877056"/>
    <w:rsid w:val="008772DC"/>
    <w:rsid w:val="00877427"/>
    <w:rsid w:val="00887AFB"/>
    <w:rsid w:val="008901A6"/>
    <w:rsid w:val="008A0100"/>
    <w:rsid w:val="008A2616"/>
    <w:rsid w:val="008B268D"/>
    <w:rsid w:val="008B2DE9"/>
    <w:rsid w:val="008B640E"/>
    <w:rsid w:val="008B7512"/>
    <w:rsid w:val="008B7FA7"/>
    <w:rsid w:val="008C134A"/>
    <w:rsid w:val="008C28CA"/>
    <w:rsid w:val="008C3265"/>
    <w:rsid w:val="008D01A2"/>
    <w:rsid w:val="008D02D1"/>
    <w:rsid w:val="008D12E7"/>
    <w:rsid w:val="008D3F36"/>
    <w:rsid w:val="008D6E88"/>
    <w:rsid w:val="008E01A9"/>
    <w:rsid w:val="008E1688"/>
    <w:rsid w:val="008E69BC"/>
    <w:rsid w:val="008E6D66"/>
    <w:rsid w:val="008E729A"/>
    <w:rsid w:val="008F0895"/>
    <w:rsid w:val="008F11DB"/>
    <w:rsid w:val="008F23C9"/>
    <w:rsid w:val="008F50AB"/>
    <w:rsid w:val="008F7976"/>
    <w:rsid w:val="00902E6A"/>
    <w:rsid w:val="00904972"/>
    <w:rsid w:val="00904B2E"/>
    <w:rsid w:val="00911750"/>
    <w:rsid w:val="00912F55"/>
    <w:rsid w:val="00913F8C"/>
    <w:rsid w:val="009148C7"/>
    <w:rsid w:val="0091532D"/>
    <w:rsid w:val="00920B32"/>
    <w:rsid w:val="0092137F"/>
    <w:rsid w:val="009232D4"/>
    <w:rsid w:val="00924CB8"/>
    <w:rsid w:val="00926679"/>
    <w:rsid w:val="009266BE"/>
    <w:rsid w:val="00927C55"/>
    <w:rsid w:val="0093000A"/>
    <w:rsid w:val="009344C4"/>
    <w:rsid w:val="00934E07"/>
    <w:rsid w:val="00936F2E"/>
    <w:rsid w:val="00943A11"/>
    <w:rsid w:val="00943B77"/>
    <w:rsid w:val="00944562"/>
    <w:rsid w:val="00944C58"/>
    <w:rsid w:val="009538EE"/>
    <w:rsid w:val="00953CF1"/>
    <w:rsid w:val="00960BD3"/>
    <w:rsid w:val="00960C3B"/>
    <w:rsid w:val="00961A95"/>
    <w:rsid w:val="00961FF2"/>
    <w:rsid w:val="009628E8"/>
    <w:rsid w:val="00962F55"/>
    <w:rsid w:val="00964534"/>
    <w:rsid w:val="00966BFA"/>
    <w:rsid w:val="00967DE6"/>
    <w:rsid w:val="00970781"/>
    <w:rsid w:val="0097232F"/>
    <w:rsid w:val="00974303"/>
    <w:rsid w:val="009753D9"/>
    <w:rsid w:val="00982064"/>
    <w:rsid w:val="009820F1"/>
    <w:rsid w:val="009823D6"/>
    <w:rsid w:val="00982CED"/>
    <w:rsid w:val="00983A29"/>
    <w:rsid w:val="00986E65"/>
    <w:rsid w:val="00987F8E"/>
    <w:rsid w:val="00990B4A"/>
    <w:rsid w:val="0099150A"/>
    <w:rsid w:val="00991CA6"/>
    <w:rsid w:val="00992ED8"/>
    <w:rsid w:val="00996E6D"/>
    <w:rsid w:val="009A5A49"/>
    <w:rsid w:val="009A6EE9"/>
    <w:rsid w:val="009A78F3"/>
    <w:rsid w:val="009B1547"/>
    <w:rsid w:val="009B4884"/>
    <w:rsid w:val="009B5591"/>
    <w:rsid w:val="009B75B2"/>
    <w:rsid w:val="009C09A0"/>
    <w:rsid w:val="009C40A4"/>
    <w:rsid w:val="009C47AC"/>
    <w:rsid w:val="009D0A3A"/>
    <w:rsid w:val="009D14D5"/>
    <w:rsid w:val="009D312D"/>
    <w:rsid w:val="009D4600"/>
    <w:rsid w:val="009D6B69"/>
    <w:rsid w:val="009D7C12"/>
    <w:rsid w:val="009D7C90"/>
    <w:rsid w:val="009E2616"/>
    <w:rsid w:val="009E2D83"/>
    <w:rsid w:val="009E37A5"/>
    <w:rsid w:val="009E48AE"/>
    <w:rsid w:val="009F1E7D"/>
    <w:rsid w:val="009F34EF"/>
    <w:rsid w:val="009F3AE4"/>
    <w:rsid w:val="009F4CBE"/>
    <w:rsid w:val="009F70D5"/>
    <w:rsid w:val="00A013E1"/>
    <w:rsid w:val="00A0178C"/>
    <w:rsid w:val="00A051A3"/>
    <w:rsid w:val="00A07F30"/>
    <w:rsid w:val="00A10277"/>
    <w:rsid w:val="00A104AA"/>
    <w:rsid w:val="00A10B90"/>
    <w:rsid w:val="00A10BF5"/>
    <w:rsid w:val="00A14593"/>
    <w:rsid w:val="00A14D12"/>
    <w:rsid w:val="00A1533F"/>
    <w:rsid w:val="00A21B21"/>
    <w:rsid w:val="00A32648"/>
    <w:rsid w:val="00A33074"/>
    <w:rsid w:val="00A40C84"/>
    <w:rsid w:val="00A42708"/>
    <w:rsid w:val="00A455C3"/>
    <w:rsid w:val="00A46A03"/>
    <w:rsid w:val="00A46D4A"/>
    <w:rsid w:val="00A47EFD"/>
    <w:rsid w:val="00A522AC"/>
    <w:rsid w:val="00A532E5"/>
    <w:rsid w:val="00A53468"/>
    <w:rsid w:val="00A5468F"/>
    <w:rsid w:val="00A60B70"/>
    <w:rsid w:val="00A60B84"/>
    <w:rsid w:val="00A613AB"/>
    <w:rsid w:val="00A62B77"/>
    <w:rsid w:val="00A63B4C"/>
    <w:rsid w:val="00A64337"/>
    <w:rsid w:val="00A649F3"/>
    <w:rsid w:val="00A64EBD"/>
    <w:rsid w:val="00A70205"/>
    <w:rsid w:val="00A72E44"/>
    <w:rsid w:val="00A73A90"/>
    <w:rsid w:val="00A75093"/>
    <w:rsid w:val="00A81DE6"/>
    <w:rsid w:val="00A829A0"/>
    <w:rsid w:val="00A839A1"/>
    <w:rsid w:val="00A86AAD"/>
    <w:rsid w:val="00A86AE0"/>
    <w:rsid w:val="00A87327"/>
    <w:rsid w:val="00A9018B"/>
    <w:rsid w:val="00A90318"/>
    <w:rsid w:val="00A91EE4"/>
    <w:rsid w:val="00A9293E"/>
    <w:rsid w:val="00A93579"/>
    <w:rsid w:val="00A96D4D"/>
    <w:rsid w:val="00A97C6B"/>
    <w:rsid w:val="00AA1307"/>
    <w:rsid w:val="00AA158F"/>
    <w:rsid w:val="00AA1A6F"/>
    <w:rsid w:val="00AA244F"/>
    <w:rsid w:val="00AA3B06"/>
    <w:rsid w:val="00AA45A5"/>
    <w:rsid w:val="00AA699C"/>
    <w:rsid w:val="00AB3003"/>
    <w:rsid w:val="00AB3038"/>
    <w:rsid w:val="00AB4154"/>
    <w:rsid w:val="00AB55F3"/>
    <w:rsid w:val="00AC139E"/>
    <w:rsid w:val="00AC3A1D"/>
    <w:rsid w:val="00AC49A6"/>
    <w:rsid w:val="00AD035E"/>
    <w:rsid w:val="00AD068D"/>
    <w:rsid w:val="00AD1223"/>
    <w:rsid w:val="00AD1246"/>
    <w:rsid w:val="00AD1F85"/>
    <w:rsid w:val="00AD2A34"/>
    <w:rsid w:val="00AD5248"/>
    <w:rsid w:val="00AD5914"/>
    <w:rsid w:val="00AD5A72"/>
    <w:rsid w:val="00AD6204"/>
    <w:rsid w:val="00AD6336"/>
    <w:rsid w:val="00AD637A"/>
    <w:rsid w:val="00AD71B3"/>
    <w:rsid w:val="00AE008B"/>
    <w:rsid w:val="00AE6C6D"/>
    <w:rsid w:val="00AE77C0"/>
    <w:rsid w:val="00AF3CE2"/>
    <w:rsid w:val="00AF42EB"/>
    <w:rsid w:val="00B05363"/>
    <w:rsid w:val="00B06E9E"/>
    <w:rsid w:val="00B23084"/>
    <w:rsid w:val="00B242D8"/>
    <w:rsid w:val="00B2475E"/>
    <w:rsid w:val="00B26666"/>
    <w:rsid w:val="00B27231"/>
    <w:rsid w:val="00B31EBB"/>
    <w:rsid w:val="00B3263A"/>
    <w:rsid w:val="00B32F51"/>
    <w:rsid w:val="00B35DCA"/>
    <w:rsid w:val="00B362F3"/>
    <w:rsid w:val="00B40BC0"/>
    <w:rsid w:val="00B4109D"/>
    <w:rsid w:val="00B43B35"/>
    <w:rsid w:val="00B43E34"/>
    <w:rsid w:val="00B4508E"/>
    <w:rsid w:val="00B470AA"/>
    <w:rsid w:val="00B51F11"/>
    <w:rsid w:val="00B52394"/>
    <w:rsid w:val="00B524E9"/>
    <w:rsid w:val="00B526BC"/>
    <w:rsid w:val="00B55DD7"/>
    <w:rsid w:val="00B5615B"/>
    <w:rsid w:val="00B56993"/>
    <w:rsid w:val="00B6012F"/>
    <w:rsid w:val="00B6187B"/>
    <w:rsid w:val="00B62122"/>
    <w:rsid w:val="00B63C77"/>
    <w:rsid w:val="00B67F30"/>
    <w:rsid w:val="00B707A2"/>
    <w:rsid w:val="00B71448"/>
    <w:rsid w:val="00B72513"/>
    <w:rsid w:val="00B76042"/>
    <w:rsid w:val="00B801A8"/>
    <w:rsid w:val="00B80337"/>
    <w:rsid w:val="00B828CE"/>
    <w:rsid w:val="00B83642"/>
    <w:rsid w:val="00B8466D"/>
    <w:rsid w:val="00B87460"/>
    <w:rsid w:val="00B879B2"/>
    <w:rsid w:val="00B901B5"/>
    <w:rsid w:val="00B90886"/>
    <w:rsid w:val="00B90E3E"/>
    <w:rsid w:val="00B93B14"/>
    <w:rsid w:val="00B96BBA"/>
    <w:rsid w:val="00B96D0B"/>
    <w:rsid w:val="00BA187A"/>
    <w:rsid w:val="00BA207F"/>
    <w:rsid w:val="00BA35C4"/>
    <w:rsid w:val="00BA3602"/>
    <w:rsid w:val="00BA68AA"/>
    <w:rsid w:val="00BA6A83"/>
    <w:rsid w:val="00BA6CCF"/>
    <w:rsid w:val="00BA741D"/>
    <w:rsid w:val="00BB03ED"/>
    <w:rsid w:val="00BB166B"/>
    <w:rsid w:val="00BB2D04"/>
    <w:rsid w:val="00BB2DF6"/>
    <w:rsid w:val="00BB33BD"/>
    <w:rsid w:val="00BB4166"/>
    <w:rsid w:val="00BB4221"/>
    <w:rsid w:val="00BB4840"/>
    <w:rsid w:val="00BB6D6A"/>
    <w:rsid w:val="00BB70E2"/>
    <w:rsid w:val="00BC14A0"/>
    <w:rsid w:val="00BC20F1"/>
    <w:rsid w:val="00BC36E0"/>
    <w:rsid w:val="00BC4B04"/>
    <w:rsid w:val="00BC6FC9"/>
    <w:rsid w:val="00BD1495"/>
    <w:rsid w:val="00BD233D"/>
    <w:rsid w:val="00BD76AC"/>
    <w:rsid w:val="00BD7752"/>
    <w:rsid w:val="00BD7D66"/>
    <w:rsid w:val="00BE08FE"/>
    <w:rsid w:val="00BE1374"/>
    <w:rsid w:val="00BE69DE"/>
    <w:rsid w:val="00BE72BB"/>
    <w:rsid w:val="00BF1193"/>
    <w:rsid w:val="00BF5FF7"/>
    <w:rsid w:val="00BF6682"/>
    <w:rsid w:val="00BF747A"/>
    <w:rsid w:val="00C001FA"/>
    <w:rsid w:val="00C00FE2"/>
    <w:rsid w:val="00C01534"/>
    <w:rsid w:val="00C053FC"/>
    <w:rsid w:val="00C0559E"/>
    <w:rsid w:val="00C07D74"/>
    <w:rsid w:val="00C14BC9"/>
    <w:rsid w:val="00C22C39"/>
    <w:rsid w:val="00C2321C"/>
    <w:rsid w:val="00C313F5"/>
    <w:rsid w:val="00C31E25"/>
    <w:rsid w:val="00C32B65"/>
    <w:rsid w:val="00C34628"/>
    <w:rsid w:val="00C378A6"/>
    <w:rsid w:val="00C429AC"/>
    <w:rsid w:val="00C42DD7"/>
    <w:rsid w:val="00C44212"/>
    <w:rsid w:val="00C44FE1"/>
    <w:rsid w:val="00C47493"/>
    <w:rsid w:val="00C47B47"/>
    <w:rsid w:val="00C50BBB"/>
    <w:rsid w:val="00C61036"/>
    <w:rsid w:val="00C63C30"/>
    <w:rsid w:val="00C6494C"/>
    <w:rsid w:val="00C6726F"/>
    <w:rsid w:val="00C703ED"/>
    <w:rsid w:val="00C726FA"/>
    <w:rsid w:val="00C7351A"/>
    <w:rsid w:val="00C74658"/>
    <w:rsid w:val="00C811AE"/>
    <w:rsid w:val="00C8199B"/>
    <w:rsid w:val="00C81DD4"/>
    <w:rsid w:val="00C8379B"/>
    <w:rsid w:val="00C8742F"/>
    <w:rsid w:val="00C953AA"/>
    <w:rsid w:val="00C9746B"/>
    <w:rsid w:val="00CA05AC"/>
    <w:rsid w:val="00CA0F28"/>
    <w:rsid w:val="00CA1256"/>
    <w:rsid w:val="00CA1754"/>
    <w:rsid w:val="00CA1D1C"/>
    <w:rsid w:val="00CA2F1E"/>
    <w:rsid w:val="00CA5436"/>
    <w:rsid w:val="00CA5DFD"/>
    <w:rsid w:val="00CB0FB8"/>
    <w:rsid w:val="00CB1356"/>
    <w:rsid w:val="00CB3639"/>
    <w:rsid w:val="00CB4DDB"/>
    <w:rsid w:val="00CB63CF"/>
    <w:rsid w:val="00CB72DF"/>
    <w:rsid w:val="00CC48A1"/>
    <w:rsid w:val="00CC58C7"/>
    <w:rsid w:val="00CC5E86"/>
    <w:rsid w:val="00CC6017"/>
    <w:rsid w:val="00CC70F5"/>
    <w:rsid w:val="00CC7F02"/>
    <w:rsid w:val="00CD553B"/>
    <w:rsid w:val="00CD55F0"/>
    <w:rsid w:val="00CD75BE"/>
    <w:rsid w:val="00CD7850"/>
    <w:rsid w:val="00CE10E1"/>
    <w:rsid w:val="00CE1739"/>
    <w:rsid w:val="00CE18E9"/>
    <w:rsid w:val="00CE4EFE"/>
    <w:rsid w:val="00CE602D"/>
    <w:rsid w:val="00CE7C8A"/>
    <w:rsid w:val="00CF02F3"/>
    <w:rsid w:val="00CF0739"/>
    <w:rsid w:val="00CF26C7"/>
    <w:rsid w:val="00CF2E40"/>
    <w:rsid w:val="00CF6B03"/>
    <w:rsid w:val="00CF7806"/>
    <w:rsid w:val="00D00590"/>
    <w:rsid w:val="00D00F07"/>
    <w:rsid w:val="00D0206B"/>
    <w:rsid w:val="00D02162"/>
    <w:rsid w:val="00D035BB"/>
    <w:rsid w:val="00D077EA"/>
    <w:rsid w:val="00D13671"/>
    <w:rsid w:val="00D13DD3"/>
    <w:rsid w:val="00D13FD0"/>
    <w:rsid w:val="00D14112"/>
    <w:rsid w:val="00D143A7"/>
    <w:rsid w:val="00D15DAC"/>
    <w:rsid w:val="00D16179"/>
    <w:rsid w:val="00D165F6"/>
    <w:rsid w:val="00D203AC"/>
    <w:rsid w:val="00D20DC2"/>
    <w:rsid w:val="00D227D3"/>
    <w:rsid w:val="00D24813"/>
    <w:rsid w:val="00D25134"/>
    <w:rsid w:val="00D25944"/>
    <w:rsid w:val="00D32D9C"/>
    <w:rsid w:val="00D344AE"/>
    <w:rsid w:val="00D370AD"/>
    <w:rsid w:val="00D37B9F"/>
    <w:rsid w:val="00D4049C"/>
    <w:rsid w:val="00D40788"/>
    <w:rsid w:val="00D4169D"/>
    <w:rsid w:val="00D418E8"/>
    <w:rsid w:val="00D426BE"/>
    <w:rsid w:val="00D42D31"/>
    <w:rsid w:val="00D43630"/>
    <w:rsid w:val="00D43FCF"/>
    <w:rsid w:val="00D44A4B"/>
    <w:rsid w:val="00D44B97"/>
    <w:rsid w:val="00D45556"/>
    <w:rsid w:val="00D4562D"/>
    <w:rsid w:val="00D5061F"/>
    <w:rsid w:val="00D536C8"/>
    <w:rsid w:val="00D54C70"/>
    <w:rsid w:val="00D5724E"/>
    <w:rsid w:val="00D57575"/>
    <w:rsid w:val="00D665C2"/>
    <w:rsid w:val="00D67B6C"/>
    <w:rsid w:val="00D7176A"/>
    <w:rsid w:val="00D71FF5"/>
    <w:rsid w:val="00D72555"/>
    <w:rsid w:val="00D729F7"/>
    <w:rsid w:val="00D738B4"/>
    <w:rsid w:val="00D7497A"/>
    <w:rsid w:val="00D778E8"/>
    <w:rsid w:val="00D80567"/>
    <w:rsid w:val="00D809C0"/>
    <w:rsid w:val="00D814F9"/>
    <w:rsid w:val="00D85C50"/>
    <w:rsid w:val="00D85E80"/>
    <w:rsid w:val="00D86408"/>
    <w:rsid w:val="00D87B74"/>
    <w:rsid w:val="00D938ED"/>
    <w:rsid w:val="00D93C02"/>
    <w:rsid w:val="00D95983"/>
    <w:rsid w:val="00D9652C"/>
    <w:rsid w:val="00D968D1"/>
    <w:rsid w:val="00DA25A7"/>
    <w:rsid w:val="00DA66C5"/>
    <w:rsid w:val="00DB38A8"/>
    <w:rsid w:val="00DB410A"/>
    <w:rsid w:val="00DB6C3A"/>
    <w:rsid w:val="00DC050E"/>
    <w:rsid w:val="00DC3063"/>
    <w:rsid w:val="00DC35DA"/>
    <w:rsid w:val="00DC62F2"/>
    <w:rsid w:val="00DC711E"/>
    <w:rsid w:val="00DC7312"/>
    <w:rsid w:val="00DD0D02"/>
    <w:rsid w:val="00DD2143"/>
    <w:rsid w:val="00DD3F9E"/>
    <w:rsid w:val="00DD532E"/>
    <w:rsid w:val="00DD737E"/>
    <w:rsid w:val="00DE0030"/>
    <w:rsid w:val="00DE0C6F"/>
    <w:rsid w:val="00DE19E0"/>
    <w:rsid w:val="00DE2D8F"/>
    <w:rsid w:val="00DF0AD7"/>
    <w:rsid w:val="00DF2E8E"/>
    <w:rsid w:val="00DF37F2"/>
    <w:rsid w:val="00DF40E4"/>
    <w:rsid w:val="00DF524A"/>
    <w:rsid w:val="00E00C51"/>
    <w:rsid w:val="00E00D47"/>
    <w:rsid w:val="00E01763"/>
    <w:rsid w:val="00E0229F"/>
    <w:rsid w:val="00E03CEE"/>
    <w:rsid w:val="00E05DF1"/>
    <w:rsid w:val="00E07615"/>
    <w:rsid w:val="00E07E80"/>
    <w:rsid w:val="00E1341A"/>
    <w:rsid w:val="00E138DA"/>
    <w:rsid w:val="00E144DF"/>
    <w:rsid w:val="00E17790"/>
    <w:rsid w:val="00E21F86"/>
    <w:rsid w:val="00E225E8"/>
    <w:rsid w:val="00E2495E"/>
    <w:rsid w:val="00E271B0"/>
    <w:rsid w:val="00E3000B"/>
    <w:rsid w:val="00E34B4E"/>
    <w:rsid w:val="00E35918"/>
    <w:rsid w:val="00E36477"/>
    <w:rsid w:val="00E379E0"/>
    <w:rsid w:val="00E37B50"/>
    <w:rsid w:val="00E37D76"/>
    <w:rsid w:val="00E4180C"/>
    <w:rsid w:val="00E41F4D"/>
    <w:rsid w:val="00E428E6"/>
    <w:rsid w:val="00E428FD"/>
    <w:rsid w:val="00E43675"/>
    <w:rsid w:val="00E45F09"/>
    <w:rsid w:val="00E50E84"/>
    <w:rsid w:val="00E512F3"/>
    <w:rsid w:val="00E516A5"/>
    <w:rsid w:val="00E52745"/>
    <w:rsid w:val="00E61559"/>
    <w:rsid w:val="00E6390B"/>
    <w:rsid w:val="00E63F22"/>
    <w:rsid w:val="00E653EF"/>
    <w:rsid w:val="00E655F4"/>
    <w:rsid w:val="00E701BA"/>
    <w:rsid w:val="00E72D5D"/>
    <w:rsid w:val="00E74E50"/>
    <w:rsid w:val="00E74F88"/>
    <w:rsid w:val="00E770E6"/>
    <w:rsid w:val="00E8016F"/>
    <w:rsid w:val="00E820ED"/>
    <w:rsid w:val="00E84C83"/>
    <w:rsid w:val="00E91214"/>
    <w:rsid w:val="00E92881"/>
    <w:rsid w:val="00E93636"/>
    <w:rsid w:val="00EA7401"/>
    <w:rsid w:val="00EB0580"/>
    <w:rsid w:val="00EB453A"/>
    <w:rsid w:val="00EB5736"/>
    <w:rsid w:val="00EB5B71"/>
    <w:rsid w:val="00EC2438"/>
    <w:rsid w:val="00EC339D"/>
    <w:rsid w:val="00EC6803"/>
    <w:rsid w:val="00EC6A33"/>
    <w:rsid w:val="00ED0760"/>
    <w:rsid w:val="00ED1C9D"/>
    <w:rsid w:val="00ED4ABC"/>
    <w:rsid w:val="00ED5A35"/>
    <w:rsid w:val="00ED5BDF"/>
    <w:rsid w:val="00ED5FA0"/>
    <w:rsid w:val="00ED728A"/>
    <w:rsid w:val="00ED74FD"/>
    <w:rsid w:val="00EE1051"/>
    <w:rsid w:val="00EE3396"/>
    <w:rsid w:val="00EE346B"/>
    <w:rsid w:val="00EE4CF1"/>
    <w:rsid w:val="00EE5BB5"/>
    <w:rsid w:val="00EE661B"/>
    <w:rsid w:val="00EF1170"/>
    <w:rsid w:val="00EF28F8"/>
    <w:rsid w:val="00EF2D7E"/>
    <w:rsid w:val="00EF5C22"/>
    <w:rsid w:val="00F00B7D"/>
    <w:rsid w:val="00F031CB"/>
    <w:rsid w:val="00F034FF"/>
    <w:rsid w:val="00F04D0D"/>
    <w:rsid w:val="00F04FA5"/>
    <w:rsid w:val="00F06CB6"/>
    <w:rsid w:val="00F10E44"/>
    <w:rsid w:val="00F12D53"/>
    <w:rsid w:val="00F12D89"/>
    <w:rsid w:val="00F15506"/>
    <w:rsid w:val="00F164F7"/>
    <w:rsid w:val="00F20AAB"/>
    <w:rsid w:val="00F21D48"/>
    <w:rsid w:val="00F25519"/>
    <w:rsid w:val="00F273E0"/>
    <w:rsid w:val="00F340AF"/>
    <w:rsid w:val="00F416FE"/>
    <w:rsid w:val="00F467F4"/>
    <w:rsid w:val="00F47497"/>
    <w:rsid w:val="00F47AA2"/>
    <w:rsid w:val="00F512C5"/>
    <w:rsid w:val="00F53265"/>
    <w:rsid w:val="00F541E2"/>
    <w:rsid w:val="00F5498A"/>
    <w:rsid w:val="00F55A4D"/>
    <w:rsid w:val="00F618D9"/>
    <w:rsid w:val="00F6231A"/>
    <w:rsid w:val="00F65085"/>
    <w:rsid w:val="00F66193"/>
    <w:rsid w:val="00F675A9"/>
    <w:rsid w:val="00F700DD"/>
    <w:rsid w:val="00F7486D"/>
    <w:rsid w:val="00F74E3F"/>
    <w:rsid w:val="00F77548"/>
    <w:rsid w:val="00F808E2"/>
    <w:rsid w:val="00F831B6"/>
    <w:rsid w:val="00F86410"/>
    <w:rsid w:val="00F8798F"/>
    <w:rsid w:val="00F90BF6"/>
    <w:rsid w:val="00F90FF6"/>
    <w:rsid w:val="00F920DC"/>
    <w:rsid w:val="00F93EAC"/>
    <w:rsid w:val="00F941D4"/>
    <w:rsid w:val="00F9478D"/>
    <w:rsid w:val="00FA1816"/>
    <w:rsid w:val="00FA1C29"/>
    <w:rsid w:val="00FA386D"/>
    <w:rsid w:val="00FA4C3D"/>
    <w:rsid w:val="00FA6752"/>
    <w:rsid w:val="00FA70BE"/>
    <w:rsid w:val="00FB1755"/>
    <w:rsid w:val="00FB1BDD"/>
    <w:rsid w:val="00FB20B5"/>
    <w:rsid w:val="00FB26AC"/>
    <w:rsid w:val="00FB2D53"/>
    <w:rsid w:val="00FB34CD"/>
    <w:rsid w:val="00FC099F"/>
    <w:rsid w:val="00FC0D41"/>
    <w:rsid w:val="00FC21FD"/>
    <w:rsid w:val="00FC2E9D"/>
    <w:rsid w:val="00FC6BF3"/>
    <w:rsid w:val="00FC7381"/>
    <w:rsid w:val="00FC7498"/>
    <w:rsid w:val="00FC7BDE"/>
    <w:rsid w:val="00FD2A4D"/>
    <w:rsid w:val="00FD440E"/>
    <w:rsid w:val="00FD4D07"/>
    <w:rsid w:val="00FD6495"/>
    <w:rsid w:val="00FD6F0B"/>
    <w:rsid w:val="00FD73D1"/>
    <w:rsid w:val="00FE656B"/>
    <w:rsid w:val="00FE7F47"/>
    <w:rsid w:val="00FE7FC7"/>
    <w:rsid w:val="00FF03F8"/>
    <w:rsid w:val="00FF2486"/>
    <w:rsid w:val="00FF24C5"/>
    <w:rsid w:val="00FF2EA3"/>
    <w:rsid w:val="00FF394B"/>
    <w:rsid w:val="00FF3FB8"/>
    <w:rsid w:val="00FF5E3B"/>
    <w:rsid w:val="00FF6AB6"/>
    <w:rsid w:val="00FF7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E11D2"/>
  <w15:docId w15:val="{AC70D518-9C8C-4D4F-B6C3-907CB18E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600"/>
    <w:rPr>
      <w:sz w:val="24"/>
      <w:szCs w:val="24"/>
    </w:rPr>
  </w:style>
  <w:style w:type="paragraph" w:styleId="Ttulo1">
    <w:name w:val="heading 1"/>
    <w:basedOn w:val="Normal"/>
    <w:next w:val="Normal"/>
    <w:qFormat/>
    <w:pPr>
      <w:keepNext/>
      <w:outlineLvl w:val="0"/>
    </w:pPr>
    <w:rPr>
      <w:b/>
      <w:bCs/>
      <w:sz w:val="28"/>
      <w:szCs w:val="28"/>
    </w:rPr>
  </w:style>
  <w:style w:type="paragraph" w:styleId="Ttulo2">
    <w:name w:val="heading 2"/>
    <w:basedOn w:val="Normal"/>
    <w:next w:val="Normal"/>
    <w:qFormat/>
    <w:pPr>
      <w:keepNext/>
      <w:pBdr>
        <w:top w:val="single" w:sz="4" w:space="1" w:color="auto"/>
        <w:left w:val="single" w:sz="4" w:space="4" w:color="auto"/>
        <w:bottom w:val="single" w:sz="4" w:space="1" w:color="auto"/>
        <w:right w:val="single" w:sz="4" w:space="4" w:color="auto"/>
      </w:pBdr>
      <w:jc w:val="both"/>
      <w:outlineLvl w:val="1"/>
    </w:pPr>
    <w:rPr>
      <w:b/>
      <w:bCs/>
      <w:sz w:val="28"/>
    </w:rPr>
  </w:style>
  <w:style w:type="paragraph" w:styleId="Ttulo3">
    <w:name w:val="heading 3"/>
    <w:basedOn w:val="Normal"/>
    <w:next w:val="Normal"/>
    <w:qFormat/>
    <w:pPr>
      <w:keepNext/>
      <w:outlineLvl w:val="2"/>
    </w:pPr>
    <w:rPr>
      <w:u w:val="single"/>
    </w:rPr>
  </w:style>
  <w:style w:type="paragraph" w:styleId="Ttulo4">
    <w:name w:val="heading 4"/>
    <w:basedOn w:val="Normal"/>
    <w:next w:val="Normal"/>
    <w:qFormat/>
    <w:pPr>
      <w:keepNext/>
      <w:jc w:val="both"/>
      <w:outlineLvl w:val="3"/>
    </w:pPr>
    <w:rPr>
      <w:u w:val="single"/>
    </w:rPr>
  </w:style>
  <w:style w:type="paragraph" w:styleId="Ttulo5">
    <w:name w:val="heading 5"/>
    <w:basedOn w:val="Normal"/>
    <w:next w:val="Normal"/>
    <w:qFormat/>
    <w:pPr>
      <w:keepNext/>
      <w:jc w:val="both"/>
      <w:outlineLvl w:val="4"/>
    </w:pPr>
    <w:rPr>
      <w:b/>
      <w:bCs/>
    </w:rPr>
  </w:style>
  <w:style w:type="paragraph" w:styleId="Ttulo6">
    <w:name w:val="heading 6"/>
    <w:basedOn w:val="Normal"/>
    <w:next w:val="Normal"/>
    <w:qFormat/>
    <w:pPr>
      <w:keepNext/>
      <w:jc w:val="both"/>
      <w:outlineLvl w:val="5"/>
    </w:pPr>
    <w:rPr>
      <w:b/>
      <w:bCs/>
      <w:sz w:val="22"/>
      <w:szCs w:val="22"/>
      <w:lang w:val="es-ES_tradnl"/>
    </w:rPr>
  </w:style>
  <w:style w:type="paragraph" w:styleId="Ttulo7">
    <w:name w:val="heading 7"/>
    <w:basedOn w:val="Normal"/>
    <w:next w:val="Normal"/>
    <w:qFormat/>
    <w:pPr>
      <w:keepNext/>
      <w:pBdr>
        <w:top w:val="single" w:sz="6" w:space="1" w:color="auto"/>
        <w:left w:val="single" w:sz="6" w:space="1" w:color="auto"/>
        <w:bottom w:val="single" w:sz="6" w:space="1" w:color="auto"/>
        <w:right w:val="single" w:sz="6" w:space="1" w:color="auto"/>
      </w:pBdr>
      <w:jc w:val="both"/>
      <w:outlineLvl w:val="6"/>
    </w:pPr>
    <w:rPr>
      <w:b/>
      <w:bCs/>
      <w:sz w:val="22"/>
      <w:szCs w:val="22"/>
      <w:lang w:val="es-ES_tradnl"/>
    </w:rPr>
  </w:style>
  <w:style w:type="paragraph" w:styleId="Ttulo8">
    <w:name w:val="heading 8"/>
    <w:basedOn w:val="Normal"/>
    <w:next w:val="Normal"/>
    <w:qFormat/>
    <w:pPr>
      <w:keepNext/>
      <w:jc w:val="both"/>
      <w:outlineLvl w:val="7"/>
    </w:pPr>
    <w:rPr>
      <w:b/>
      <w:bCs/>
      <w:color w:val="800000"/>
      <w:sz w:val="22"/>
      <w:szCs w:val="22"/>
      <w:lang w:val="es-ES_tradnl"/>
    </w:rPr>
  </w:style>
  <w:style w:type="paragraph" w:styleId="Ttulo9">
    <w:name w:val="heading 9"/>
    <w:basedOn w:val="Normal"/>
    <w:next w:val="Normal"/>
    <w:qFormat/>
    <w:pPr>
      <w:keepNext/>
      <w:pBdr>
        <w:top w:val="single" w:sz="6" w:space="1" w:color="auto"/>
        <w:left w:val="single" w:sz="6" w:space="1" w:color="auto"/>
        <w:bottom w:val="single" w:sz="6" w:space="1" w:color="auto"/>
        <w:right w:val="single" w:sz="6" w:space="1" w:color="auto"/>
      </w:pBdr>
      <w:shd w:val="pct5" w:color="auto" w:fill="auto"/>
      <w:autoSpaceDE w:val="0"/>
      <w:autoSpaceDN w:val="0"/>
      <w:jc w:val="center"/>
      <w:outlineLvl w:val="8"/>
    </w:pPr>
    <w:rPr>
      <w:b/>
      <w:b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bCs/>
    </w:rPr>
  </w:style>
  <w:style w:type="paragraph" w:styleId="Textoindependiente2">
    <w:name w:val="Body Text 2"/>
    <w:basedOn w:val="Normal"/>
    <w:pPr>
      <w:pBdr>
        <w:top w:val="single" w:sz="4" w:space="1" w:color="auto"/>
        <w:left w:val="single" w:sz="4" w:space="4" w:color="auto"/>
        <w:bottom w:val="single" w:sz="4" w:space="1" w:color="auto"/>
        <w:right w:val="single" w:sz="4" w:space="4" w:color="auto"/>
      </w:pBdr>
      <w:jc w:val="both"/>
    </w:pPr>
    <w:rPr>
      <w:b/>
      <w:bCs/>
      <w:sz w:val="28"/>
    </w:rPr>
  </w:style>
  <w:style w:type="paragraph" w:styleId="Textoindependiente3">
    <w:name w:val="Body Text 3"/>
    <w:basedOn w:val="Normal"/>
    <w:pPr>
      <w:jc w:val="both"/>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link w:val="SangradetextonormalCar"/>
    <w:pPr>
      <w:ind w:left="180"/>
      <w:jc w:val="both"/>
    </w:pPr>
  </w:style>
  <w:style w:type="paragraph" w:styleId="Sangra2detindependiente">
    <w:name w:val="Body Text Indent 2"/>
    <w:basedOn w:val="Normal"/>
    <w:pPr>
      <w:ind w:left="360"/>
      <w:jc w:val="both"/>
    </w:pPr>
    <w:rPr>
      <w:szCs w:val="22"/>
    </w:rPr>
  </w:style>
  <w:style w:type="paragraph" w:styleId="Sangra3detindependiente">
    <w:name w:val="Body Text Indent 3"/>
    <w:basedOn w:val="Normal"/>
    <w:pPr>
      <w:ind w:left="708"/>
      <w:jc w:val="both"/>
    </w:pPr>
    <w:rPr>
      <w:szCs w:val="22"/>
    </w:rPr>
  </w:style>
  <w:style w:type="character" w:styleId="Textoennegrita">
    <w:name w:val="Strong"/>
    <w:uiPriority w:val="22"/>
    <w:qFormat/>
    <w:rPr>
      <w:b/>
      <w:bCs/>
    </w:rPr>
  </w:style>
  <w:style w:type="character" w:styleId="nfasis">
    <w:name w:val="Emphasis"/>
    <w:qFormat/>
    <w:rPr>
      <w:i/>
      <w:iCs/>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customStyle="1" w:styleId="textoinfo21">
    <w:name w:val="textoinfo21"/>
    <w:rPr>
      <w:rFonts w:ascii="Verdana" w:hAnsi="Verdana" w:hint="default"/>
      <w:vanish w:val="0"/>
      <w:webHidden w:val="0"/>
      <w:color w:val="656565"/>
      <w:sz w:val="16"/>
      <w:szCs w:val="16"/>
      <w:specVanish w:val="0"/>
    </w:rPr>
  </w:style>
  <w:style w:type="paragraph" w:styleId="NormalWeb">
    <w:name w:val="Normal (Web)"/>
    <w:basedOn w:val="Normal"/>
    <w:uiPriority w:val="99"/>
    <w:pPr>
      <w:spacing w:before="100" w:beforeAutospacing="1" w:after="100" w:afterAutospacing="1"/>
      <w:jc w:val="both"/>
    </w:pPr>
    <w:rPr>
      <w:rFonts w:ascii="Verdana" w:eastAsia="Arial Unicode MS" w:hAnsi="Verdana" w:cs="Arial Unicode MS"/>
      <w:sz w:val="16"/>
      <w:szCs w:val="16"/>
    </w:rPr>
  </w:style>
  <w:style w:type="character" w:styleId="Hipervnculo">
    <w:name w:val="Hyperlink"/>
    <w:rPr>
      <w:strike w:val="0"/>
      <w:dstrike w:val="0"/>
      <w:color w:val="4C6F99"/>
      <w:u w:val="none"/>
      <w:effect w:val="none"/>
    </w:rP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sz w:val="20"/>
      <w:szCs w:val="20"/>
    </w:rPr>
  </w:style>
  <w:style w:type="character" w:customStyle="1" w:styleId="PiedepginaCar">
    <w:name w:val="Pie de página Car"/>
    <w:link w:val="Piedepgina"/>
    <w:uiPriority w:val="99"/>
    <w:rsid w:val="00832A2A"/>
    <w:rPr>
      <w:sz w:val="24"/>
      <w:szCs w:val="24"/>
    </w:rPr>
  </w:style>
  <w:style w:type="paragraph" w:customStyle="1" w:styleId="contenido">
    <w:name w:val="contenido"/>
    <w:basedOn w:val="Normal"/>
    <w:rsid w:val="00A47EFD"/>
    <w:pPr>
      <w:spacing w:before="45" w:after="45" w:line="330" w:lineRule="atLeast"/>
      <w:jc w:val="both"/>
    </w:pPr>
    <w:rPr>
      <w:color w:val="000000"/>
      <w:sz w:val="17"/>
      <w:szCs w:val="17"/>
    </w:rPr>
  </w:style>
  <w:style w:type="character" w:styleId="Ttulodellibro">
    <w:name w:val="Book Title"/>
    <w:uiPriority w:val="33"/>
    <w:qFormat/>
    <w:rsid w:val="00FE7FC7"/>
    <w:rPr>
      <w:b/>
      <w:bCs/>
      <w:smallCaps/>
      <w:spacing w:val="5"/>
    </w:rPr>
  </w:style>
  <w:style w:type="character" w:customStyle="1" w:styleId="TextoindependienteCar">
    <w:name w:val="Texto independiente Car"/>
    <w:link w:val="Textoindependiente"/>
    <w:rsid w:val="00077F5F"/>
    <w:rPr>
      <w:b/>
      <w:bCs/>
      <w:sz w:val="24"/>
      <w:szCs w:val="24"/>
    </w:rPr>
  </w:style>
  <w:style w:type="paragraph" w:styleId="Prrafodelista">
    <w:name w:val="List Paragraph"/>
    <w:basedOn w:val="Normal"/>
    <w:uiPriority w:val="34"/>
    <w:qFormat/>
    <w:rsid w:val="007D2E59"/>
    <w:pPr>
      <w:ind w:left="708"/>
    </w:pPr>
  </w:style>
  <w:style w:type="character" w:customStyle="1" w:styleId="apple-converted-space">
    <w:name w:val="apple-converted-space"/>
    <w:rsid w:val="009E48AE"/>
  </w:style>
  <w:style w:type="character" w:customStyle="1" w:styleId="txtbold">
    <w:name w:val="txtbold"/>
    <w:rsid w:val="009E48AE"/>
  </w:style>
  <w:style w:type="table" w:styleId="Tablaconcuadrcula">
    <w:name w:val="Table Grid"/>
    <w:basedOn w:val="Tablanormal"/>
    <w:rsid w:val="00350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ngradetextonormalCar">
    <w:name w:val="Sangría de texto normal Car"/>
    <w:link w:val="Sangradetextonormal"/>
    <w:rsid w:val="00D418E8"/>
    <w:rPr>
      <w:sz w:val="24"/>
      <w:szCs w:val="24"/>
    </w:rPr>
  </w:style>
  <w:style w:type="character" w:customStyle="1" w:styleId="UnresolvedMention">
    <w:name w:val="Unresolved Mention"/>
    <w:basedOn w:val="Fuentedeprrafopredeter"/>
    <w:uiPriority w:val="99"/>
    <w:semiHidden/>
    <w:unhideWhenUsed/>
    <w:rsid w:val="00D227D3"/>
    <w:rPr>
      <w:color w:val="605E5C"/>
      <w:shd w:val="clear" w:color="auto" w:fill="E1DFDD"/>
    </w:rPr>
  </w:style>
  <w:style w:type="paragraph" w:styleId="Revisin">
    <w:name w:val="Revision"/>
    <w:hidden/>
    <w:uiPriority w:val="99"/>
    <w:semiHidden/>
    <w:rsid w:val="00E74E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820">
      <w:bodyDiv w:val="1"/>
      <w:marLeft w:val="0"/>
      <w:marRight w:val="0"/>
      <w:marTop w:val="0"/>
      <w:marBottom w:val="0"/>
      <w:divBdr>
        <w:top w:val="none" w:sz="0" w:space="0" w:color="auto"/>
        <w:left w:val="none" w:sz="0" w:space="0" w:color="auto"/>
        <w:bottom w:val="none" w:sz="0" w:space="0" w:color="auto"/>
        <w:right w:val="none" w:sz="0" w:space="0" w:color="auto"/>
      </w:divBdr>
    </w:div>
    <w:div w:id="66080301">
      <w:bodyDiv w:val="1"/>
      <w:marLeft w:val="0"/>
      <w:marRight w:val="0"/>
      <w:marTop w:val="0"/>
      <w:marBottom w:val="0"/>
      <w:divBdr>
        <w:top w:val="none" w:sz="0" w:space="0" w:color="auto"/>
        <w:left w:val="none" w:sz="0" w:space="0" w:color="auto"/>
        <w:bottom w:val="none" w:sz="0" w:space="0" w:color="auto"/>
        <w:right w:val="none" w:sz="0" w:space="0" w:color="auto"/>
      </w:divBdr>
    </w:div>
    <w:div w:id="74324923">
      <w:bodyDiv w:val="1"/>
      <w:marLeft w:val="0"/>
      <w:marRight w:val="0"/>
      <w:marTop w:val="0"/>
      <w:marBottom w:val="0"/>
      <w:divBdr>
        <w:top w:val="single" w:sz="2" w:space="0" w:color="CC3640"/>
        <w:left w:val="none" w:sz="0" w:space="0" w:color="auto"/>
        <w:bottom w:val="none" w:sz="0" w:space="0" w:color="auto"/>
        <w:right w:val="none" w:sz="0" w:space="0" w:color="auto"/>
      </w:divBdr>
      <w:divsChild>
        <w:div w:id="1715303632">
          <w:marLeft w:val="0"/>
          <w:marRight w:val="0"/>
          <w:marTop w:val="0"/>
          <w:marBottom w:val="0"/>
          <w:divBdr>
            <w:top w:val="single" w:sz="2" w:space="0" w:color="FF0000"/>
            <w:left w:val="single" w:sz="2" w:space="0" w:color="FF0000"/>
            <w:bottom w:val="single" w:sz="2" w:space="0" w:color="FF0000"/>
            <w:right w:val="single" w:sz="2" w:space="0" w:color="FF0000"/>
          </w:divBdr>
          <w:divsChild>
            <w:div w:id="1841040371">
              <w:marLeft w:val="0"/>
              <w:marRight w:val="0"/>
              <w:marTop w:val="0"/>
              <w:marBottom w:val="0"/>
              <w:divBdr>
                <w:top w:val="none" w:sz="0" w:space="0" w:color="auto"/>
                <w:left w:val="single" w:sz="6" w:space="0" w:color="DDDDDD"/>
                <w:bottom w:val="none" w:sz="0" w:space="0" w:color="auto"/>
                <w:right w:val="none" w:sz="0" w:space="0" w:color="auto"/>
              </w:divBdr>
              <w:divsChild>
                <w:div w:id="814680154">
                  <w:marLeft w:val="0"/>
                  <w:marRight w:val="0"/>
                  <w:marTop w:val="0"/>
                  <w:marBottom w:val="0"/>
                  <w:divBdr>
                    <w:top w:val="single" w:sz="2" w:space="0" w:color="008000"/>
                    <w:left w:val="single" w:sz="2" w:space="0" w:color="008000"/>
                    <w:bottom w:val="single" w:sz="2" w:space="0" w:color="008000"/>
                    <w:right w:val="single" w:sz="2" w:space="0" w:color="008000"/>
                  </w:divBdr>
                  <w:divsChild>
                    <w:div w:id="882792879">
                      <w:marLeft w:val="0"/>
                      <w:marRight w:val="0"/>
                      <w:marTop w:val="0"/>
                      <w:marBottom w:val="0"/>
                      <w:divBdr>
                        <w:top w:val="none" w:sz="0" w:space="0" w:color="auto"/>
                        <w:left w:val="none" w:sz="0" w:space="0" w:color="auto"/>
                        <w:bottom w:val="none" w:sz="0" w:space="0" w:color="auto"/>
                        <w:right w:val="none" w:sz="0" w:space="0" w:color="auto"/>
                      </w:divBdr>
                      <w:divsChild>
                        <w:div w:id="1932079239">
                          <w:marLeft w:val="0"/>
                          <w:marRight w:val="0"/>
                          <w:marTop w:val="0"/>
                          <w:marBottom w:val="0"/>
                          <w:divBdr>
                            <w:top w:val="none" w:sz="0" w:space="0" w:color="auto"/>
                            <w:left w:val="none" w:sz="0" w:space="0" w:color="auto"/>
                            <w:bottom w:val="none" w:sz="0" w:space="0" w:color="auto"/>
                            <w:right w:val="none" w:sz="0" w:space="0" w:color="auto"/>
                          </w:divBdr>
                          <w:divsChild>
                            <w:div w:id="80439569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38571540">
      <w:bodyDiv w:val="1"/>
      <w:marLeft w:val="0"/>
      <w:marRight w:val="0"/>
      <w:marTop w:val="0"/>
      <w:marBottom w:val="0"/>
      <w:divBdr>
        <w:top w:val="single" w:sz="2" w:space="0" w:color="CC3640"/>
        <w:left w:val="none" w:sz="0" w:space="0" w:color="auto"/>
        <w:bottom w:val="none" w:sz="0" w:space="0" w:color="auto"/>
        <w:right w:val="none" w:sz="0" w:space="0" w:color="auto"/>
      </w:divBdr>
      <w:divsChild>
        <w:div w:id="1840193442">
          <w:marLeft w:val="0"/>
          <w:marRight w:val="0"/>
          <w:marTop w:val="0"/>
          <w:marBottom w:val="0"/>
          <w:divBdr>
            <w:top w:val="single" w:sz="2" w:space="0" w:color="FF0000"/>
            <w:left w:val="single" w:sz="2" w:space="0" w:color="FF0000"/>
            <w:bottom w:val="single" w:sz="2" w:space="0" w:color="FF0000"/>
            <w:right w:val="single" w:sz="2" w:space="0" w:color="FF0000"/>
          </w:divBdr>
          <w:divsChild>
            <w:div w:id="1327442386">
              <w:marLeft w:val="0"/>
              <w:marRight w:val="0"/>
              <w:marTop w:val="0"/>
              <w:marBottom w:val="0"/>
              <w:divBdr>
                <w:top w:val="none" w:sz="0" w:space="0" w:color="auto"/>
                <w:left w:val="single" w:sz="6" w:space="0" w:color="DDDDDD"/>
                <w:bottom w:val="none" w:sz="0" w:space="0" w:color="auto"/>
                <w:right w:val="none" w:sz="0" w:space="0" w:color="auto"/>
              </w:divBdr>
              <w:divsChild>
                <w:div w:id="384331365">
                  <w:marLeft w:val="0"/>
                  <w:marRight w:val="0"/>
                  <w:marTop w:val="0"/>
                  <w:marBottom w:val="0"/>
                  <w:divBdr>
                    <w:top w:val="single" w:sz="2" w:space="0" w:color="008000"/>
                    <w:left w:val="single" w:sz="2" w:space="0" w:color="008000"/>
                    <w:bottom w:val="single" w:sz="2" w:space="0" w:color="008000"/>
                    <w:right w:val="single" w:sz="2" w:space="0" w:color="008000"/>
                  </w:divBdr>
                  <w:divsChild>
                    <w:div w:id="10299839">
                      <w:marLeft w:val="0"/>
                      <w:marRight w:val="0"/>
                      <w:marTop w:val="0"/>
                      <w:marBottom w:val="0"/>
                      <w:divBdr>
                        <w:top w:val="none" w:sz="0" w:space="0" w:color="auto"/>
                        <w:left w:val="none" w:sz="0" w:space="0" w:color="auto"/>
                        <w:bottom w:val="none" w:sz="0" w:space="0" w:color="auto"/>
                        <w:right w:val="none" w:sz="0" w:space="0" w:color="auto"/>
                      </w:divBdr>
                      <w:divsChild>
                        <w:div w:id="850990228">
                          <w:marLeft w:val="0"/>
                          <w:marRight w:val="0"/>
                          <w:marTop w:val="0"/>
                          <w:marBottom w:val="0"/>
                          <w:divBdr>
                            <w:top w:val="none" w:sz="0" w:space="0" w:color="auto"/>
                            <w:left w:val="none" w:sz="0" w:space="0" w:color="auto"/>
                            <w:bottom w:val="none" w:sz="0" w:space="0" w:color="auto"/>
                            <w:right w:val="none" w:sz="0" w:space="0" w:color="auto"/>
                          </w:divBdr>
                          <w:divsChild>
                            <w:div w:id="23810087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0779415">
      <w:bodyDiv w:val="1"/>
      <w:marLeft w:val="0"/>
      <w:marRight w:val="0"/>
      <w:marTop w:val="0"/>
      <w:marBottom w:val="0"/>
      <w:divBdr>
        <w:top w:val="none" w:sz="0" w:space="0" w:color="auto"/>
        <w:left w:val="none" w:sz="0" w:space="0" w:color="auto"/>
        <w:bottom w:val="none" w:sz="0" w:space="0" w:color="auto"/>
        <w:right w:val="none" w:sz="0" w:space="0" w:color="auto"/>
      </w:divBdr>
    </w:div>
    <w:div w:id="173154688">
      <w:bodyDiv w:val="1"/>
      <w:marLeft w:val="0"/>
      <w:marRight w:val="0"/>
      <w:marTop w:val="0"/>
      <w:marBottom w:val="0"/>
      <w:divBdr>
        <w:top w:val="single" w:sz="2" w:space="0" w:color="CC3640"/>
        <w:left w:val="none" w:sz="0" w:space="0" w:color="auto"/>
        <w:bottom w:val="none" w:sz="0" w:space="0" w:color="auto"/>
        <w:right w:val="none" w:sz="0" w:space="0" w:color="auto"/>
      </w:divBdr>
      <w:divsChild>
        <w:div w:id="167065441">
          <w:marLeft w:val="0"/>
          <w:marRight w:val="0"/>
          <w:marTop w:val="0"/>
          <w:marBottom w:val="0"/>
          <w:divBdr>
            <w:top w:val="single" w:sz="2" w:space="0" w:color="FF0000"/>
            <w:left w:val="single" w:sz="2" w:space="0" w:color="FF0000"/>
            <w:bottom w:val="single" w:sz="2" w:space="0" w:color="FF0000"/>
            <w:right w:val="single" w:sz="2" w:space="0" w:color="FF0000"/>
          </w:divBdr>
          <w:divsChild>
            <w:div w:id="2031714053">
              <w:marLeft w:val="0"/>
              <w:marRight w:val="0"/>
              <w:marTop w:val="0"/>
              <w:marBottom w:val="0"/>
              <w:divBdr>
                <w:top w:val="none" w:sz="0" w:space="0" w:color="auto"/>
                <w:left w:val="single" w:sz="6" w:space="0" w:color="DDDDDD"/>
                <w:bottom w:val="none" w:sz="0" w:space="0" w:color="auto"/>
                <w:right w:val="none" w:sz="0" w:space="0" w:color="auto"/>
              </w:divBdr>
              <w:divsChild>
                <w:div w:id="343677980">
                  <w:marLeft w:val="0"/>
                  <w:marRight w:val="0"/>
                  <w:marTop w:val="0"/>
                  <w:marBottom w:val="0"/>
                  <w:divBdr>
                    <w:top w:val="single" w:sz="2" w:space="0" w:color="008000"/>
                    <w:left w:val="single" w:sz="2" w:space="0" w:color="008000"/>
                    <w:bottom w:val="single" w:sz="2" w:space="0" w:color="008000"/>
                    <w:right w:val="single" w:sz="2" w:space="0" w:color="008000"/>
                  </w:divBdr>
                  <w:divsChild>
                    <w:div w:id="747265942">
                      <w:marLeft w:val="0"/>
                      <w:marRight w:val="0"/>
                      <w:marTop w:val="0"/>
                      <w:marBottom w:val="0"/>
                      <w:divBdr>
                        <w:top w:val="none" w:sz="0" w:space="0" w:color="auto"/>
                        <w:left w:val="none" w:sz="0" w:space="0" w:color="auto"/>
                        <w:bottom w:val="none" w:sz="0" w:space="0" w:color="auto"/>
                        <w:right w:val="none" w:sz="0" w:space="0" w:color="auto"/>
                      </w:divBdr>
                      <w:divsChild>
                        <w:div w:id="187181243">
                          <w:marLeft w:val="0"/>
                          <w:marRight w:val="0"/>
                          <w:marTop w:val="0"/>
                          <w:marBottom w:val="0"/>
                          <w:divBdr>
                            <w:top w:val="none" w:sz="0" w:space="0" w:color="auto"/>
                            <w:left w:val="none" w:sz="0" w:space="0" w:color="auto"/>
                            <w:bottom w:val="none" w:sz="0" w:space="0" w:color="auto"/>
                            <w:right w:val="none" w:sz="0" w:space="0" w:color="auto"/>
                          </w:divBdr>
                          <w:divsChild>
                            <w:div w:id="12078356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95260128">
      <w:bodyDiv w:val="1"/>
      <w:marLeft w:val="0"/>
      <w:marRight w:val="0"/>
      <w:marTop w:val="0"/>
      <w:marBottom w:val="0"/>
      <w:divBdr>
        <w:top w:val="none" w:sz="0" w:space="0" w:color="auto"/>
        <w:left w:val="none" w:sz="0" w:space="0" w:color="auto"/>
        <w:bottom w:val="none" w:sz="0" w:space="0" w:color="auto"/>
        <w:right w:val="none" w:sz="0" w:space="0" w:color="auto"/>
      </w:divBdr>
    </w:div>
    <w:div w:id="347215523">
      <w:bodyDiv w:val="1"/>
      <w:marLeft w:val="0"/>
      <w:marRight w:val="0"/>
      <w:marTop w:val="0"/>
      <w:marBottom w:val="0"/>
      <w:divBdr>
        <w:top w:val="none" w:sz="0" w:space="0" w:color="auto"/>
        <w:left w:val="none" w:sz="0" w:space="0" w:color="auto"/>
        <w:bottom w:val="none" w:sz="0" w:space="0" w:color="auto"/>
        <w:right w:val="none" w:sz="0" w:space="0" w:color="auto"/>
      </w:divBdr>
    </w:div>
    <w:div w:id="365299893">
      <w:bodyDiv w:val="1"/>
      <w:marLeft w:val="0"/>
      <w:marRight w:val="0"/>
      <w:marTop w:val="0"/>
      <w:marBottom w:val="0"/>
      <w:divBdr>
        <w:top w:val="none" w:sz="0" w:space="0" w:color="auto"/>
        <w:left w:val="none" w:sz="0" w:space="0" w:color="auto"/>
        <w:bottom w:val="none" w:sz="0" w:space="0" w:color="auto"/>
        <w:right w:val="none" w:sz="0" w:space="0" w:color="auto"/>
      </w:divBdr>
    </w:div>
    <w:div w:id="401217432">
      <w:bodyDiv w:val="1"/>
      <w:marLeft w:val="0"/>
      <w:marRight w:val="0"/>
      <w:marTop w:val="0"/>
      <w:marBottom w:val="0"/>
      <w:divBdr>
        <w:top w:val="single" w:sz="2" w:space="0" w:color="CC3640"/>
        <w:left w:val="none" w:sz="0" w:space="0" w:color="auto"/>
        <w:bottom w:val="none" w:sz="0" w:space="0" w:color="auto"/>
        <w:right w:val="none" w:sz="0" w:space="0" w:color="auto"/>
      </w:divBdr>
      <w:divsChild>
        <w:div w:id="1481848916">
          <w:marLeft w:val="0"/>
          <w:marRight w:val="0"/>
          <w:marTop w:val="0"/>
          <w:marBottom w:val="0"/>
          <w:divBdr>
            <w:top w:val="single" w:sz="2" w:space="0" w:color="FF0000"/>
            <w:left w:val="single" w:sz="2" w:space="0" w:color="FF0000"/>
            <w:bottom w:val="single" w:sz="2" w:space="0" w:color="FF0000"/>
            <w:right w:val="single" w:sz="2" w:space="0" w:color="FF0000"/>
          </w:divBdr>
          <w:divsChild>
            <w:div w:id="888538368">
              <w:marLeft w:val="0"/>
              <w:marRight w:val="0"/>
              <w:marTop w:val="0"/>
              <w:marBottom w:val="0"/>
              <w:divBdr>
                <w:top w:val="none" w:sz="0" w:space="0" w:color="auto"/>
                <w:left w:val="single" w:sz="6" w:space="0" w:color="DDDDDD"/>
                <w:bottom w:val="none" w:sz="0" w:space="0" w:color="auto"/>
                <w:right w:val="none" w:sz="0" w:space="0" w:color="auto"/>
              </w:divBdr>
              <w:divsChild>
                <w:div w:id="613172717">
                  <w:marLeft w:val="0"/>
                  <w:marRight w:val="0"/>
                  <w:marTop w:val="0"/>
                  <w:marBottom w:val="0"/>
                  <w:divBdr>
                    <w:top w:val="single" w:sz="2" w:space="0" w:color="008000"/>
                    <w:left w:val="single" w:sz="2" w:space="0" w:color="008000"/>
                    <w:bottom w:val="single" w:sz="2" w:space="0" w:color="008000"/>
                    <w:right w:val="single" w:sz="2" w:space="0" w:color="008000"/>
                  </w:divBdr>
                  <w:divsChild>
                    <w:div w:id="1049458147">
                      <w:marLeft w:val="0"/>
                      <w:marRight w:val="0"/>
                      <w:marTop w:val="0"/>
                      <w:marBottom w:val="0"/>
                      <w:divBdr>
                        <w:top w:val="none" w:sz="0" w:space="0" w:color="auto"/>
                        <w:left w:val="none" w:sz="0" w:space="0" w:color="auto"/>
                        <w:bottom w:val="none" w:sz="0" w:space="0" w:color="auto"/>
                        <w:right w:val="none" w:sz="0" w:space="0" w:color="auto"/>
                      </w:divBdr>
                      <w:divsChild>
                        <w:div w:id="1780298123">
                          <w:marLeft w:val="0"/>
                          <w:marRight w:val="0"/>
                          <w:marTop w:val="0"/>
                          <w:marBottom w:val="0"/>
                          <w:divBdr>
                            <w:top w:val="none" w:sz="0" w:space="0" w:color="auto"/>
                            <w:left w:val="none" w:sz="0" w:space="0" w:color="auto"/>
                            <w:bottom w:val="none" w:sz="0" w:space="0" w:color="auto"/>
                            <w:right w:val="none" w:sz="0" w:space="0" w:color="auto"/>
                          </w:divBdr>
                          <w:divsChild>
                            <w:div w:id="51002827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61846692">
      <w:bodyDiv w:val="1"/>
      <w:marLeft w:val="0"/>
      <w:marRight w:val="0"/>
      <w:marTop w:val="0"/>
      <w:marBottom w:val="0"/>
      <w:divBdr>
        <w:top w:val="single" w:sz="2" w:space="0" w:color="CC3640"/>
        <w:left w:val="none" w:sz="0" w:space="0" w:color="auto"/>
        <w:bottom w:val="none" w:sz="0" w:space="0" w:color="auto"/>
        <w:right w:val="none" w:sz="0" w:space="0" w:color="auto"/>
      </w:divBdr>
      <w:divsChild>
        <w:div w:id="1892886488">
          <w:marLeft w:val="0"/>
          <w:marRight w:val="0"/>
          <w:marTop w:val="0"/>
          <w:marBottom w:val="0"/>
          <w:divBdr>
            <w:top w:val="single" w:sz="2" w:space="0" w:color="FF0000"/>
            <w:left w:val="single" w:sz="2" w:space="0" w:color="FF0000"/>
            <w:bottom w:val="single" w:sz="2" w:space="0" w:color="FF0000"/>
            <w:right w:val="single" w:sz="2" w:space="0" w:color="FF0000"/>
          </w:divBdr>
          <w:divsChild>
            <w:div w:id="709231662">
              <w:marLeft w:val="0"/>
              <w:marRight w:val="0"/>
              <w:marTop w:val="0"/>
              <w:marBottom w:val="0"/>
              <w:divBdr>
                <w:top w:val="none" w:sz="0" w:space="0" w:color="auto"/>
                <w:left w:val="single" w:sz="6" w:space="0" w:color="DDDDDD"/>
                <w:bottom w:val="none" w:sz="0" w:space="0" w:color="auto"/>
                <w:right w:val="none" w:sz="0" w:space="0" w:color="auto"/>
              </w:divBdr>
              <w:divsChild>
                <w:div w:id="996491807">
                  <w:marLeft w:val="0"/>
                  <w:marRight w:val="0"/>
                  <w:marTop w:val="0"/>
                  <w:marBottom w:val="0"/>
                  <w:divBdr>
                    <w:top w:val="single" w:sz="2" w:space="0" w:color="008000"/>
                    <w:left w:val="single" w:sz="2" w:space="0" w:color="008000"/>
                    <w:bottom w:val="single" w:sz="2" w:space="0" w:color="008000"/>
                    <w:right w:val="single" w:sz="2" w:space="0" w:color="008000"/>
                  </w:divBdr>
                  <w:divsChild>
                    <w:div w:id="1975796822">
                      <w:marLeft w:val="0"/>
                      <w:marRight w:val="0"/>
                      <w:marTop w:val="0"/>
                      <w:marBottom w:val="0"/>
                      <w:divBdr>
                        <w:top w:val="none" w:sz="0" w:space="0" w:color="auto"/>
                        <w:left w:val="none" w:sz="0" w:space="0" w:color="auto"/>
                        <w:bottom w:val="none" w:sz="0" w:space="0" w:color="auto"/>
                        <w:right w:val="none" w:sz="0" w:space="0" w:color="auto"/>
                      </w:divBdr>
                      <w:divsChild>
                        <w:div w:id="1117915153">
                          <w:marLeft w:val="0"/>
                          <w:marRight w:val="0"/>
                          <w:marTop w:val="0"/>
                          <w:marBottom w:val="0"/>
                          <w:divBdr>
                            <w:top w:val="none" w:sz="0" w:space="0" w:color="auto"/>
                            <w:left w:val="none" w:sz="0" w:space="0" w:color="auto"/>
                            <w:bottom w:val="none" w:sz="0" w:space="0" w:color="auto"/>
                            <w:right w:val="none" w:sz="0" w:space="0" w:color="auto"/>
                          </w:divBdr>
                          <w:divsChild>
                            <w:div w:id="49677494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3634529">
      <w:bodyDiv w:val="1"/>
      <w:marLeft w:val="0"/>
      <w:marRight w:val="0"/>
      <w:marTop w:val="0"/>
      <w:marBottom w:val="0"/>
      <w:divBdr>
        <w:top w:val="none" w:sz="0" w:space="0" w:color="auto"/>
        <w:left w:val="none" w:sz="0" w:space="0" w:color="auto"/>
        <w:bottom w:val="none" w:sz="0" w:space="0" w:color="auto"/>
        <w:right w:val="none" w:sz="0" w:space="0" w:color="auto"/>
      </w:divBdr>
    </w:div>
    <w:div w:id="564800397">
      <w:bodyDiv w:val="1"/>
      <w:marLeft w:val="0"/>
      <w:marRight w:val="0"/>
      <w:marTop w:val="0"/>
      <w:marBottom w:val="0"/>
      <w:divBdr>
        <w:top w:val="single" w:sz="2" w:space="0" w:color="CC3640"/>
        <w:left w:val="none" w:sz="0" w:space="0" w:color="auto"/>
        <w:bottom w:val="none" w:sz="0" w:space="0" w:color="auto"/>
        <w:right w:val="none" w:sz="0" w:space="0" w:color="auto"/>
      </w:divBdr>
      <w:divsChild>
        <w:div w:id="1080639780">
          <w:marLeft w:val="0"/>
          <w:marRight w:val="0"/>
          <w:marTop w:val="0"/>
          <w:marBottom w:val="0"/>
          <w:divBdr>
            <w:top w:val="single" w:sz="2" w:space="0" w:color="FF0000"/>
            <w:left w:val="single" w:sz="2" w:space="0" w:color="FF0000"/>
            <w:bottom w:val="single" w:sz="2" w:space="0" w:color="FF0000"/>
            <w:right w:val="single" w:sz="2" w:space="0" w:color="FF0000"/>
          </w:divBdr>
          <w:divsChild>
            <w:div w:id="416443104">
              <w:marLeft w:val="0"/>
              <w:marRight w:val="0"/>
              <w:marTop w:val="0"/>
              <w:marBottom w:val="0"/>
              <w:divBdr>
                <w:top w:val="none" w:sz="0" w:space="0" w:color="auto"/>
                <w:left w:val="single" w:sz="6" w:space="0" w:color="DDDDDD"/>
                <w:bottom w:val="none" w:sz="0" w:space="0" w:color="auto"/>
                <w:right w:val="none" w:sz="0" w:space="0" w:color="auto"/>
              </w:divBdr>
              <w:divsChild>
                <w:div w:id="2143189068">
                  <w:marLeft w:val="0"/>
                  <w:marRight w:val="0"/>
                  <w:marTop w:val="0"/>
                  <w:marBottom w:val="0"/>
                  <w:divBdr>
                    <w:top w:val="single" w:sz="2" w:space="0" w:color="008000"/>
                    <w:left w:val="single" w:sz="2" w:space="0" w:color="008000"/>
                    <w:bottom w:val="single" w:sz="2" w:space="0" w:color="008000"/>
                    <w:right w:val="single" w:sz="2" w:space="0" w:color="008000"/>
                  </w:divBdr>
                  <w:divsChild>
                    <w:div w:id="221982973">
                      <w:marLeft w:val="0"/>
                      <w:marRight w:val="0"/>
                      <w:marTop w:val="0"/>
                      <w:marBottom w:val="0"/>
                      <w:divBdr>
                        <w:top w:val="none" w:sz="0" w:space="0" w:color="auto"/>
                        <w:left w:val="none" w:sz="0" w:space="0" w:color="auto"/>
                        <w:bottom w:val="none" w:sz="0" w:space="0" w:color="auto"/>
                        <w:right w:val="none" w:sz="0" w:space="0" w:color="auto"/>
                      </w:divBdr>
                      <w:divsChild>
                        <w:div w:id="481384538">
                          <w:marLeft w:val="0"/>
                          <w:marRight w:val="0"/>
                          <w:marTop w:val="0"/>
                          <w:marBottom w:val="0"/>
                          <w:divBdr>
                            <w:top w:val="none" w:sz="0" w:space="0" w:color="auto"/>
                            <w:left w:val="none" w:sz="0" w:space="0" w:color="auto"/>
                            <w:bottom w:val="none" w:sz="0" w:space="0" w:color="auto"/>
                            <w:right w:val="none" w:sz="0" w:space="0" w:color="auto"/>
                          </w:divBdr>
                          <w:divsChild>
                            <w:div w:id="475796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74514597">
      <w:bodyDiv w:val="1"/>
      <w:marLeft w:val="0"/>
      <w:marRight w:val="0"/>
      <w:marTop w:val="0"/>
      <w:marBottom w:val="0"/>
      <w:divBdr>
        <w:top w:val="none" w:sz="0" w:space="0" w:color="auto"/>
        <w:left w:val="none" w:sz="0" w:space="0" w:color="auto"/>
        <w:bottom w:val="none" w:sz="0" w:space="0" w:color="auto"/>
        <w:right w:val="none" w:sz="0" w:space="0" w:color="auto"/>
      </w:divBdr>
    </w:div>
    <w:div w:id="578633909">
      <w:bodyDiv w:val="1"/>
      <w:marLeft w:val="0"/>
      <w:marRight w:val="0"/>
      <w:marTop w:val="0"/>
      <w:marBottom w:val="0"/>
      <w:divBdr>
        <w:top w:val="none" w:sz="0" w:space="0" w:color="auto"/>
        <w:left w:val="none" w:sz="0" w:space="0" w:color="auto"/>
        <w:bottom w:val="none" w:sz="0" w:space="0" w:color="auto"/>
        <w:right w:val="none" w:sz="0" w:space="0" w:color="auto"/>
      </w:divBdr>
    </w:div>
    <w:div w:id="650018175">
      <w:bodyDiv w:val="1"/>
      <w:marLeft w:val="0"/>
      <w:marRight w:val="0"/>
      <w:marTop w:val="0"/>
      <w:marBottom w:val="0"/>
      <w:divBdr>
        <w:top w:val="single" w:sz="2" w:space="0" w:color="CC3640"/>
        <w:left w:val="none" w:sz="0" w:space="0" w:color="auto"/>
        <w:bottom w:val="none" w:sz="0" w:space="0" w:color="auto"/>
        <w:right w:val="none" w:sz="0" w:space="0" w:color="auto"/>
      </w:divBdr>
      <w:divsChild>
        <w:div w:id="770202685">
          <w:marLeft w:val="0"/>
          <w:marRight w:val="0"/>
          <w:marTop w:val="0"/>
          <w:marBottom w:val="0"/>
          <w:divBdr>
            <w:top w:val="single" w:sz="2" w:space="0" w:color="FF0000"/>
            <w:left w:val="single" w:sz="2" w:space="0" w:color="FF0000"/>
            <w:bottom w:val="single" w:sz="2" w:space="0" w:color="FF0000"/>
            <w:right w:val="single" w:sz="2" w:space="0" w:color="FF0000"/>
          </w:divBdr>
          <w:divsChild>
            <w:div w:id="853376400">
              <w:marLeft w:val="0"/>
              <w:marRight w:val="0"/>
              <w:marTop w:val="0"/>
              <w:marBottom w:val="0"/>
              <w:divBdr>
                <w:top w:val="none" w:sz="0" w:space="0" w:color="auto"/>
                <w:left w:val="single" w:sz="6" w:space="0" w:color="DDDDDD"/>
                <w:bottom w:val="none" w:sz="0" w:space="0" w:color="auto"/>
                <w:right w:val="none" w:sz="0" w:space="0" w:color="auto"/>
              </w:divBdr>
              <w:divsChild>
                <w:div w:id="1850674415">
                  <w:marLeft w:val="0"/>
                  <w:marRight w:val="0"/>
                  <w:marTop w:val="0"/>
                  <w:marBottom w:val="0"/>
                  <w:divBdr>
                    <w:top w:val="single" w:sz="2" w:space="0" w:color="008000"/>
                    <w:left w:val="single" w:sz="2" w:space="0" w:color="008000"/>
                    <w:bottom w:val="single" w:sz="2" w:space="0" w:color="008000"/>
                    <w:right w:val="single" w:sz="2" w:space="0" w:color="008000"/>
                  </w:divBdr>
                  <w:divsChild>
                    <w:div w:id="464936025">
                      <w:marLeft w:val="0"/>
                      <w:marRight w:val="0"/>
                      <w:marTop w:val="0"/>
                      <w:marBottom w:val="0"/>
                      <w:divBdr>
                        <w:top w:val="none" w:sz="0" w:space="0" w:color="auto"/>
                        <w:left w:val="none" w:sz="0" w:space="0" w:color="auto"/>
                        <w:bottom w:val="none" w:sz="0" w:space="0" w:color="auto"/>
                        <w:right w:val="none" w:sz="0" w:space="0" w:color="auto"/>
                      </w:divBdr>
                      <w:divsChild>
                        <w:div w:id="1048141741">
                          <w:marLeft w:val="0"/>
                          <w:marRight w:val="0"/>
                          <w:marTop w:val="0"/>
                          <w:marBottom w:val="0"/>
                          <w:divBdr>
                            <w:top w:val="none" w:sz="0" w:space="0" w:color="auto"/>
                            <w:left w:val="none" w:sz="0" w:space="0" w:color="auto"/>
                            <w:bottom w:val="none" w:sz="0" w:space="0" w:color="auto"/>
                            <w:right w:val="none" w:sz="0" w:space="0" w:color="auto"/>
                          </w:divBdr>
                          <w:divsChild>
                            <w:div w:id="117711726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59966802">
      <w:bodyDiv w:val="1"/>
      <w:marLeft w:val="0"/>
      <w:marRight w:val="0"/>
      <w:marTop w:val="0"/>
      <w:marBottom w:val="0"/>
      <w:divBdr>
        <w:top w:val="none" w:sz="0" w:space="0" w:color="auto"/>
        <w:left w:val="none" w:sz="0" w:space="0" w:color="auto"/>
        <w:bottom w:val="none" w:sz="0" w:space="0" w:color="auto"/>
        <w:right w:val="none" w:sz="0" w:space="0" w:color="auto"/>
      </w:divBdr>
    </w:div>
    <w:div w:id="679698688">
      <w:bodyDiv w:val="1"/>
      <w:marLeft w:val="0"/>
      <w:marRight w:val="0"/>
      <w:marTop w:val="0"/>
      <w:marBottom w:val="0"/>
      <w:divBdr>
        <w:top w:val="none" w:sz="0" w:space="0" w:color="auto"/>
        <w:left w:val="none" w:sz="0" w:space="0" w:color="auto"/>
        <w:bottom w:val="none" w:sz="0" w:space="0" w:color="auto"/>
        <w:right w:val="none" w:sz="0" w:space="0" w:color="auto"/>
      </w:divBdr>
    </w:div>
    <w:div w:id="681123864">
      <w:bodyDiv w:val="1"/>
      <w:marLeft w:val="0"/>
      <w:marRight w:val="0"/>
      <w:marTop w:val="0"/>
      <w:marBottom w:val="0"/>
      <w:divBdr>
        <w:top w:val="none" w:sz="0" w:space="0" w:color="auto"/>
        <w:left w:val="none" w:sz="0" w:space="0" w:color="auto"/>
        <w:bottom w:val="none" w:sz="0" w:space="0" w:color="auto"/>
        <w:right w:val="none" w:sz="0" w:space="0" w:color="auto"/>
      </w:divBdr>
    </w:div>
    <w:div w:id="683752581">
      <w:bodyDiv w:val="1"/>
      <w:marLeft w:val="0"/>
      <w:marRight w:val="0"/>
      <w:marTop w:val="0"/>
      <w:marBottom w:val="0"/>
      <w:divBdr>
        <w:top w:val="none" w:sz="0" w:space="0" w:color="auto"/>
        <w:left w:val="none" w:sz="0" w:space="0" w:color="auto"/>
        <w:bottom w:val="none" w:sz="0" w:space="0" w:color="auto"/>
        <w:right w:val="none" w:sz="0" w:space="0" w:color="auto"/>
      </w:divBdr>
    </w:div>
    <w:div w:id="689330816">
      <w:bodyDiv w:val="1"/>
      <w:marLeft w:val="0"/>
      <w:marRight w:val="0"/>
      <w:marTop w:val="0"/>
      <w:marBottom w:val="0"/>
      <w:divBdr>
        <w:top w:val="none" w:sz="0" w:space="0" w:color="auto"/>
        <w:left w:val="none" w:sz="0" w:space="0" w:color="auto"/>
        <w:bottom w:val="none" w:sz="0" w:space="0" w:color="auto"/>
        <w:right w:val="none" w:sz="0" w:space="0" w:color="auto"/>
      </w:divBdr>
    </w:div>
    <w:div w:id="724908893">
      <w:bodyDiv w:val="1"/>
      <w:marLeft w:val="0"/>
      <w:marRight w:val="0"/>
      <w:marTop w:val="0"/>
      <w:marBottom w:val="0"/>
      <w:divBdr>
        <w:top w:val="none" w:sz="0" w:space="0" w:color="auto"/>
        <w:left w:val="none" w:sz="0" w:space="0" w:color="auto"/>
        <w:bottom w:val="none" w:sz="0" w:space="0" w:color="auto"/>
        <w:right w:val="none" w:sz="0" w:space="0" w:color="auto"/>
      </w:divBdr>
    </w:div>
    <w:div w:id="754283142">
      <w:bodyDiv w:val="1"/>
      <w:marLeft w:val="0"/>
      <w:marRight w:val="0"/>
      <w:marTop w:val="0"/>
      <w:marBottom w:val="0"/>
      <w:divBdr>
        <w:top w:val="none" w:sz="0" w:space="0" w:color="auto"/>
        <w:left w:val="none" w:sz="0" w:space="0" w:color="auto"/>
        <w:bottom w:val="none" w:sz="0" w:space="0" w:color="auto"/>
        <w:right w:val="none" w:sz="0" w:space="0" w:color="auto"/>
      </w:divBdr>
    </w:div>
    <w:div w:id="791171608">
      <w:bodyDiv w:val="1"/>
      <w:marLeft w:val="0"/>
      <w:marRight w:val="0"/>
      <w:marTop w:val="0"/>
      <w:marBottom w:val="0"/>
      <w:divBdr>
        <w:top w:val="none" w:sz="0" w:space="0" w:color="auto"/>
        <w:left w:val="none" w:sz="0" w:space="0" w:color="auto"/>
        <w:bottom w:val="none" w:sz="0" w:space="0" w:color="auto"/>
        <w:right w:val="none" w:sz="0" w:space="0" w:color="auto"/>
      </w:divBdr>
    </w:div>
    <w:div w:id="865143770">
      <w:bodyDiv w:val="1"/>
      <w:marLeft w:val="0"/>
      <w:marRight w:val="0"/>
      <w:marTop w:val="0"/>
      <w:marBottom w:val="0"/>
      <w:divBdr>
        <w:top w:val="none" w:sz="0" w:space="0" w:color="auto"/>
        <w:left w:val="none" w:sz="0" w:space="0" w:color="auto"/>
        <w:bottom w:val="none" w:sz="0" w:space="0" w:color="auto"/>
        <w:right w:val="none" w:sz="0" w:space="0" w:color="auto"/>
      </w:divBdr>
    </w:div>
    <w:div w:id="867179539">
      <w:bodyDiv w:val="1"/>
      <w:marLeft w:val="0"/>
      <w:marRight w:val="0"/>
      <w:marTop w:val="0"/>
      <w:marBottom w:val="0"/>
      <w:divBdr>
        <w:top w:val="single" w:sz="2" w:space="0" w:color="CC3640"/>
        <w:left w:val="none" w:sz="0" w:space="0" w:color="auto"/>
        <w:bottom w:val="none" w:sz="0" w:space="0" w:color="auto"/>
        <w:right w:val="none" w:sz="0" w:space="0" w:color="auto"/>
      </w:divBdr>
      <w:divsChild>
        <w:div w:id="55321117">
          <w:marLeft w:val="0"/>
          <w:marRight w:val="0"/>
          <w:marTop w:val="0"/>
          <w:marBottom w:val="0"/>
          <w:divBdr>
            <w:top w:val="single" w:sz="2" w:space="0" w:color="FF0000"/>
            <w:left w:val="single" w:sz="2" w:space="0" w:color="FF0000"/>
            <w:bottom w:val="single" w:sz="2" w:space="0" w:color="FF0000"/>
            <w:right w:val="single" w:sz="2" w:space="0" w:color="FF0000"/>
          </w:divBdr>
          <w:divsChild>
            <w:div w:id="903492498">
              <w:marLeft w:val="0"/>
              <w:marRight w:val="0"/>
              <w:marTop w:val="0"/>
              <w:marBottom w:val="0"/>
              <w:divBdr>
                <w:top w:val="none" w:sz="0" w:space="0" w:color="auto"/>
                <w:left w:val="single" w:sz="6" w:space="0" w:color="DDDDDD"/>
                <w:bottom w:val="none" w:sz="0" w:space="0" w:color="auto"/>
                <w:right w:val="none" w:sz="0" w:space="0" w:color="auto"/>
              </w:divBdr>
              <w:divsChild>
                <w:div w:id="1174077932">
                  <w:marLeft w:val="0"/>
                  <w:marRight w:val="0"/>
                  <w:marTop w:val="0"/>
                  <w:marBottom w:val="0"/>
                  <w:divBdr>
                    <w:top w:val="single" w:sz="2" w:space="0" w:color="008000"/>
                    <w:left w:val="single" w:sz="2" w:space="0" w:color="008000"/>
                    <w:bottom w:val="single" w:sz="2" w:space="0" w:color="008000"/>
                    <w:right w:val="single" w:sz="2" w:space="0" w:color="008000"/>
                  </w:divBdr>
                  <w:divsChild>
                    <w:div w:id="1555387910">
                      <w:marLeft w:val="0"/>
                      <w:marRight w:val="0"/>
                      <w:marTop w:val="0"/>
                      <w:marBottom w:val="0"/>
                      <w:divBdr>
                        <w:top w:val="none" w:sz="0" w:space="0" w:color="auto"/>
                        <w:left w:val="none" w:sz="0" w:space="0" w:color="auto"/>
                        <w:bottom w:val="none" w:sz="0" w:space="0" w:color="auto"/>
                        <w:right w:val="none" w:sz="0" w:space="0" w:color="auto"/>
                      </w:divBdr>
                      <w:divsChild>
                        <w:div w:id="1396247345">
                          <w:marLeft w:val="0"/>
                          <w:marRight w:val="0"/>
                          <w:marTop w:val="0"/>
                          <w:marBottom w:val="0"/>
                          <w:divBdr>
                            <w:top w:val="none" w:sz="0" w:space="0" w:color="auto"/>
                            <w:left w:val="none" w:sz="0" w:space="0" w:color="auto"/>
                            <w:bottom w:val="none" w:sz="0" w:space="0" w:color="auto"/>
                            <w:right w:val="none" w:sz="0" w:space="0" w:color="auto"/>
                          </w:divBdr>
                          <w:divsChild>
                            <w:div w:id="146932398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41112682">
      <w:bodyDiv w:val="1"/>
      <w:marLeft w:val="0"/>
      <w:marRight w:val="0"/>
      <w:marTop w:val="0"/>
      <w:marBottom w:val="0"/>
      <w:divBdr>
        <w:top w:val="none" w:sz="0" w:space="0" w:color="auto"/>
        <w:left w:val="none" w:sz="0" w:space="0" w:color="auto"/>
        <w:bottom w:val="none" w:sz="0" w:space="0" w:color="auto"/>
        <w:right w:val="none" w:sz="0" w:space="0" w:color="auto"/>
      </w:divBdr>
    </w:div>
    <w:div w:id="955869856">
      <w:bodyDiv w:val="1"/>
      <w:marLeft w:val="0"/>
      <w:marRight w:val="0"/>
      <w:marTop w:val="0"/>
      <w:marBottom w:val="0"/>
      <w:divBdr>
        <w:top w:val="single" w:sz="2" w:space="0" w:color="CC3640"/>
        <w:left w:val="none" w:sz="0" w:space="0" w:color="auto"/>
        <w:bottom w:val="none" w:sz="0" w:space="0" w:color="auto"/>
        <w:right w:val="none" w:sz="0" w:space="0" w:color="auto"/>
      </w:divBdr>
      <w:divsChild>
        <w:div w:id="1783498747">
          <w:marLeft w:val="0"/>
          <w:marRight w:val="0"/>
          <w:marTop w:val="0"/>
          <w:marBottom w:val="0"/>
          <w:divBdr>
            <w:top w:val="single" w:sz="2" w:space="0" w:color="FF0000"/>
            <w:left w:val="single" w:sz="2" w:space="0" w:color="FF0000"/>
            <w:bottom w:val="single" w:sz="2" w:space="0" w:color="FF0000"/>
            <w:right w:val="single" w:sz="2" w:space="0" w:color="FF0000"/>
          </w:divBdr>
          <w:divsChild>
            <w:div w:id="435564523">
              <w:marLeft w:val="0"/>
              <w:marRight w:val="0"/>
              <w:marTop w:val="0"/>
              <w:marBottom w:val="0"/>
              <w:divBdr>
                <w:top w:val="none" w:sz="0" w:space="0" w:color="auto"/>
                <w:left w:val="single" w:sz="6" w:space="0" w:color="DDDDDD"/>
                <w:bottom w:val="none" w:sz="0" w:space="0" w:color="auto"/>
                <w:right w:val="none" w:sz="0" w:space="0" w:color="auto"/>
              </w:divBdr>
              <w:divsChild>
                <w:div w:id="2081561966">
                  <w:marLeft w:val="0"/>
                  <w:marRight w:val="0"/>
                  <w:marTop w:val="0"/>
                  <w:marBottom w:val="0"/>
                  <w:divBdr>
                    <w:top w:val="single" w:sz="2" w:space="0" w:color="008000"/>
                    <w:left w:val="single" w:sz="2" w:space="0" w:color="008000"/>
                    <w:bottom w:val="single" w:sz="2" w:space="0" w:color="008000"/>
                    <w:right w:val="single" w:sz="2" w:space="0" w:color="008000"/>
                  </w:divBdr>
                  <w:divsChild>
                    <w:div w:id="1963730800">
                      <w:marLeft w:val="0"/>
                      <w:marRight w:val="0"/>
                      <w:marTop w:val="0"/>
                      <w:marBottom w:val="0"/>
                      <w:divBdr>
                        <w:top w:val="none" w:sz="0" w:space="0" w:color="auto"/>
                        <w:left w:val="none" w:sz="0" w:space="0" w:color="auto"/>
                        <w:bottom w:val="none" w:sz="0" w:space="0" w:color="auto"/>
                        <w:right w:val="none" w:sz="0" w:space="0" w:color="auto"/>
                      </w:divBdr>
                      <w:divsChild>
                        <w:div w:id="1328285439">
                          <w:marLeft w:val="0"/>
                          <w:marRight w:val="0"/>
                          <w:marTop w:val="0"/>
                          <w:marBottom w:val="0"/>
                          <w:divBdr>
                            <w:top w:val="none" w:sz="0" w:space="0" w:color="auto"/>
                            <w:left w:val="none" w:sz="0" w:space="0" w:color="auto"/>
                            <w:bottom w:val="none" w:sz="0" w:space="0" w:color="auto"/>
                            <w:right w:val="none" w:sz="0" w:space="0" w:color="auto"/>
                          </w:divBdr>
                          <w:divsChild>
                            <w:div w:id="7635023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986470883">
      <w:bodyDiv w:val="1"/>
      <w:marLeft w:val="0"/>
      <w:marRight w:val="0"/>
      <w:marTop w:val="0"/>
      <w:marBottom w:val="0"/>
      <w:divBdr>
        <w:top w:val="none" w:sz="0" w:space="0" w:color="auto"/>
        <w:left w:val="none" w:sz="0" w:space="0" w:color="auto"/>
        <w:bottom w:val="none" w:sz="0" w:space="0" w:color="auto"/>
        <w:right w:val="none" w:sz="0" w:space="0" w:color="auto"/>
      </w:divBdr>
    </w:div>
    <w:div w:id="1016423511">
      <w:bodyDiv w:val="1"/>
      <w:marLeft w:val="0"/>
      <w:marRight w:val="0"/>
      <w:marTop w:val="0"/>
      <w:marBottom w:val="0"/>
      <w:divBdr>
        <w:top w:val="none" w:sz="0" w:space="0" w:color="auto"/>
        <w:left w:val="none" w:sz="0" w:space="0" w:color="auto"/>
        <w:bottom w:val="none" w:sz="0" w:space="0" w:color="auto"/>
        <w:right w:val="none" w:sz="0" w:space="0" w:color="auto"/>
      </w:divBdr>
    </w:div>
    <w:div w:id="1029987061">
      <w:bodyDiv w:val="1"/>
      <w:marLeft w:val="0"/>
      <w:marRight w:val="0"/>
      <w:marTop w:val="0"/>
      <w:marBottom w:val="0"/>
      <w:divBdr>
        <w:top w:val="none" w:sz="0" w:space="0" w:color="auto"/>
        <w:left w:val="none" w:sz="0" w:space="0" w:color="auto"/>
        <w:bottom w:val="none" w:sz="0" w:space="0" w:color="auto"/>
        <w:right w:val="none" w:sz="0" w:space="0" w:color="auto"/>
      </w:divBdr>
    </w:div>
    <w:div w:id="1036007605">
      <w:bodyDiv w:val="1"/>
      <w:marLeft w:val="0"/>
      <w:marRight w:val="0"/>
      <w:marTop w:val="0"/>
      <w:marBottom w:val="0"/>
      <w:divBdr>
        <w:top w:val="none" w:sz="0" w:space="0" w:color="auto"/>
        <w:left w:val="none" w:sz="0" w:space="0" w:color="auto"/>
        <w:bottom w:val="none" w:sz="0" w:space="0" w:color="auto"/>
        <w:right w:val="none" w:sz="0" w:space="0" w:color="auto"/>
      </w:divBdr>
    </w:div>
    <w:div w:id="1059213224">
      <w:bodyDiv w:val="1"/>
      <w:marLeft w:val="0"/>
      <w:marRight w:val="0"/>
      <w:marTop w:val="0"/>
      <w:marBottom w:val="0"/>
      <w:divBdr>
        <w:top w:val="single" w:sz="2" w:space="0" w:color="CC3640"/>
        <w:left w:val="none" w:sz="0" w:space="0" w:color="auto"/>
        <w:bottom w:val="none" w:sz="0" w:space="0" w:color="auto"/>
        <w:right w:val="none" w:sz="0" w:space="0" w:color="auto"/>
      </w:divBdr>
      <w:divsChild>
        <w:div w:id="582181172">
          <w:marLeft w:val="0"/>
          <w:marRight w:val="0"/>
          <w:marTop w:val="0"/>
          <w:marBottom w:val="0"/>
          <w:divBdr>
            <w:top w:val="single" w:sz="2" w:space="0" w:color="FF0000"/>
            <w:left w:val="single" w:sz="2" w:space="0" w:color="FF0000"/>
            <w:bottom w:val="single" w:sz="2" w:space="0" w:color="FF0000"/>
            <w:right w:val="single" w:sz="2" w:space="0" w:color="FF0000"/>
          </w:divBdr>
          <w:divsChild>
            <w:div w:id="214703904">
              <w:marLeft w:val="0"/>
              <w:marRight w:val="0"/>
              <w:marTop w:val="0"/>
              <w:marBottom w:val="0"/>
              <w:divBdr>
                <w:top w:val="none" w:sz="0" w:space="0" w:color="auto"/>
                <w:left w:val="single" w:sz="6" w:space="0" w:color="DDDDDD"/>
                <w:bottom w:val="none" w:sz="0" w:space="0" w:color="auto"/>
                <w:right w:val="none" w:sz="0" w:space="0" w:color="auto"/>
              </w:divBdr>
              <w:divsChild>
                <w:div w:id="1479108786">
                  <w:marLeft w:val="0"/>
                  <w:marRight w:val="0"/>
                  <w:marTop w:val="0"/>
                  <w:marBottom w:val="0"/>
                  <w:divBdr>
                    <w:top w:val="single" w:sz="2" w:space="0" w:color="008000"/>
                    <w:left w:val="single" w:sz="2" w:space="0" w:color="008000"/>
                    <w:bottom w:val="single" w:sz="2" w:space="0" w:color="008000"/>
                    <w:right w:val="single" w:sz="2" w:space="0" w:color="008000"/>
                  </w:divBdr>
                  <w:divsChild>
                    <w:div w:id="407769165">
                      <w:marLeft w:val="0"/>
                      <w:marRight w:val="0"/>
                      <w:marTop w:val="0"/>
                      <w:marBottom w:val="0"/>
                      <w:divBdr>
                        <w:top w:val="none" w:sz="0" w:space="0" w:color="auto"/>
                        <w:left w:val="none" w:sz="0" w:space="0" w:color="auto"/>
                        <w:bottom w:val="none" w:sz="0" w:space="0" w:color="auto"/>
                        <w:right w:val="none" w:sz="0" w:space="0" w:color="auto"/>
                      </w:divBdr>
                      <w:divsChild>
                        <w:div w:id="332344530">
                          <w:marLeft w:val="0"/>
                          <w:marRight w:val="0"/>
                          <w:marTop w:val="0"/>
                          <w:marBottom w:val="0"/>
                          <w:divBdr>
                            <w:top w:val="none" w:sz="0" w:space="0" w:color="auto"/>
                            <w:left w:val="none" w:sz="0" w:space="0" w:color="auto"/>
                            <w:bottom w:val="none" w:sz="0" w:space="0" w:color="auto"/>
                            <w:right w:val="none" w:sz="0" w:space="0" w:color="auto"/>
                          </w:divBdr>
                          <w:divsChild>
                            <w:div w:id="12505004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097335089">
      <w:bodyDiv w:val="1"/>
      <w:marLeft w:val="0"/>
      <w:marRight w:val="0"/>
      <w:marTop w:val="0"/>
      <w:marBottom w:val="0"/>
      <w:divBdr>
        <w:top w:val="single" w:sz="2" w:space="0" w:color="CC3640"/>
        <w:left w:val="none" w:sz="0" w:space="0" w:color="auto"/>
        <w:bottom w:val="none" w:sz="0" w:space="0" w:color="auto"/>
        <w:right w:val="none" w:sz="0" w:space="0" w:color="auto"/>
      </w:divBdr>
      <w:divsChild>
        <w:div w:id="1656646658">
          <w:marLeft w:val="0"/>
          <w:marRight w:val="0"/>
          <w:marTop w:val="0"/>
          <w:marBottom w:val="0"/>
          <w:divBdr>
            <w:top w:val="single" w:sz="2" w:space="0" w:color="FF0000"/>
            <w:left w:val="single" w:sz="2" w:space="0" w:color="FF0000"/>
            <w:bottom w:val="single" w:sz="2" w:space="0" w:color="FF0000"/>
            <w:right w:val="single" w:sz="2" w:space="0" w:color="FF0000"/>
          </w:divBdr>
          <w:divsChild>
            <w:div w:id="1795555804">
              <w:marLeft w:val="0"/>
              <w:marRight w:val="0"/>
              <w:marTop w:val="0"/>
              <w:marBottom w:val="0"/>
              <w:divBdr>
                <w:top w:val="none" w:sz="0" w:space="0" w:color="auto"/>
                <w:left w:val="single" w:sz="6" w:space="0" w:color="DDDDDD"/>
                <w:bottom w:val="none" w:sz="0" w:space="0" w:color="auto"/>
                <w:right w:val="none" w:sz="0" w:space="0" w:color="auto"/>
              </w:divBdr>
              <w:divsChild>
                <w:div w:id="2003922157">
                  <w:marLeft w:val="0"/>
                  <w:marRight w:val="0"/>
                  <w:marTop w:val="0"/>
                  <w:marBottom w:val="0"/>
                  <w:divBdr>
                    <w:top w:val="single" w:sz="2" w:space="0" w:color="008000"/>
                    <w:left w:val="single" w:sz="2" w:space="0" w:color="008000"/>
                    <w:bottom w:val="single" w:sz="2" w:space="0" w:color="008000"/>
                    <w:right w:val="single" w:sz="2" w:space="0" w:color="008000"/>
                  </w:divBdr>
                  <w:divsChild>
                    <w:div w:id="969434743">
                      <w:marLeft w:val="0"/>
                      <w:marRight w:val="0"/>
                      <w:marTop w:val="0"/>
                      <w:marBottom w:val="0"/>
                      <w:divBdr>
                        <w:top w:val="none" w:sz="0" w:space="0" w:color="auto"/>
                        <w:left w:val="none" w:sz="0" w:space="0" w:color="auto"/>
                        <w:bottom w:val="none" w:sz="0" w:space="0" w:color="auto"/>
                        <w:right w:val="none" w:sz="0" w:space="0" w:color="auto"/>
                      </w:divBdr>
                      <w:divsChild>
                        <w:div w:id="694773809">
                          <w:marLeft w:val="0"/>
                          <w:marRight w:val="0"/>
                          <w:marTop w:val="0"/>
                          <w:marBottom w:val="0"/>
                          <w:divBdr>
                            <w:top w:val="none" w:sz="0" w:space="0" w:color="auto"/>
                            <w:left w:val="none" w:sz="0" w:space="0" w:color="auto"/>
                            <w:bottom w:val="none" w:sz="0" w:space="0" w:color="auto"/>
                            <w:right w:val="none" w:sz="0" w:space="0" w:color="auto"/>
                          </w:divBdr>
                          <w:divsChild>
                            <w:div w:id="10095738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29978862">
      <w:bodyDiv w:val="1"/>
      <w:marLeft w:val="0"/>
      <w:marRight w:val="0"/>
      <w:marTop w:val="0"/>
      <w:marBottom w:val="0"/>
      <w:divBdr>
        <w:top w:val="none" w:sz="0" w:space="0" w:color="auto"/>
        <w:left w:val="none" w:sz="0" w:space="0" w:color="auto"/>
        <w:bottom w:val="none" w:sz="0" w:space="0" w:color="auto"/>
        <w:right w:val="none" w:sz="0" w:space="0" w:color="auto"/>
      </w:divBdr>
    </w:div>
    <w:div w:id="1139959198">
      <w:bodyDiv w:val="1"/>
      <w:marLeft w:val="0"/>
      <w:marRight w:val="0"/>
      <w:marTop w:val="0"/>
      <w:marBottom w:val="0"/>
      <w:divBdr>
        <w:top w:val="none" w:sz="0" w:space="0" w:color="auto"/>
        <w:left w:val="none" w:sz="0" w:space="0" w:color="auto"/>
        <w:bottom w:val="none" w:sz="0" w:space="0" w:color="auto"/>
        <w:right w:val="none" w:sz="0" w:space="0" w:color="auto"/>
      </w:divBdr>
    </w:div>
    <w:div w:id="1158225747">
      <w:bodyDiv w:val="1"/>
      <w:marLeft w:val="0"/>
      <w:marRight w:val="0"/>
      <w:marTop w:val="0"/>
      <w:marBottom w:val="0"/>
      <w:divBdr>
        <w:top w:val="single" w:sz="2" w:space="0" w:color="CC3640"/>
        <w:left w:val="none" w:sz="0" w:space="0" w:color="auto"/>
        <w:bottom w:val="none" w:sz="0" w:space="0" w:color="auto"/>
        <w:right w:val="none" w:sz="0" w:space="0" w:color="auto"/>
      </w:divBdr>
      <w:divsChild>
        <w:div w:id="426195937">
          <w:marLeft w:val="0"/>
          <w:marRight w:val="0"/>
          <w:marTop w:val="0"/>
          <w:marBottom w:val="0"/>
          <w:divBdr>
            <w:top w:val="single" w:sz="2" w:space="0" w:color="FF0000"/>
            <w:left w:val="single" w:sz="2" w:space="0" w:color="FF0000"/>
            <w:bottom w:val="single" w:sz="2" w:space="0" w:color="FF0000"/>
            <w:right w:val="single" w:sz="2" w:space="0" w:color="FF0000"/>
          </w:divBdr>
          <w:divsChild>
            <w:div w:id="1218320530">
              <w:marLeft w:val="0"/>
              <w:marRight w:val="0"/>
              <w:marTop w:val="0"/>
              <w:marBottom w:val="0"/>
              <w:divBdr>
                <w:top w:val="none" w:sz="0" w:space="0" w:color="auto"/>
                <w:left w:val="single" w:sz="6" w:space="0" w:color="DDDDDD"/>
                <w:bottom w:val="none" w:sz="0" w:space="0" w:color="auto"/>
                <w:right w:val="none" w:sz="0" w:space="0" w:color="auto"/>
              </w:divBdr>
              <w:divsChild>
                <w:div w:id="712576139">
                  <w:marLeft w:val="0"/>
                  <w:marRight w:val="0"/>
                  <w:marTop w:val="0"/>
                  <w:marBottom w:val="0"/>
                  <w:divBdr>
                    <w:top w:val="single" w:sz="2" w:space="0" w:color="008000"/>
                    <w:left w:val="single" w:sz="2" w:space="0" w:color="008000"/>
                    <w:bottom w:val="single" w:sz="2" w:space="0" w:color="008000"/>
                    <w:right w:val="single" w:sz="2" w:space="0" w:color="008000"/>
                  </w:divBdr>
                  <w:divsChild>
                    <w:div w:id="1035933872">
                      <w:marLeft w:val="0"/>
                      <w:marRight w:val="0"/>
                      <w:marTop w:val="0"/>
                      <w:marBottom w:val="0"/>
                      <w:divBdr>
                        <w:top w:val="none" w:sz="0" w:space="0" w:color="auto"/>
                        <w:left w:val="none" w:sz="0" w:space="0" w:color="auto"/>
                        <w:bottom w:val="none" w:sz="0" w:space="0" w:color="auto"/>
                        <w:right w:val="none" w:sz="0" w:space="0" w:color="auto"/>
                      </w:divBdr>
                      <w:divsChild>
                        <w:div w:id="1986934983">
                          <w:marLeft w:val="0"/>
                          <w:marRight w:val="0"/>
                          <w:marTop w:val="0"/>
                          <w:marBottom w:val="0"/>
                          <w:divBdr>
                            <w:top w:val="none" w:sz="0" w:space="0" w:color="auto"/>
                            <w:left w:val="none" w:sz="0" w:space="0" w:color="auto"/>
                            <w:bottom w:val="none" w:sz="0" w:space="0" w:color="auto"/>
                            <w:right w:val="none" w:sz="0" w:space="0" w:color="auto"/>
                          </w:divBdr>
                          <w:divsChild>
                            <w:div w:id="46435162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23178817">
      <w:bodyDiv w:val="1"/>
      <w:marLeft w:val="0"/>
      <w:marRight w:val="0"/>
      <w:marTop w:val="0"/>
      <w:marBottom w:val="0"/>
      <w:divBdr>
        <w:top w:val="single" w:sz="2" w:space="0" w:color="CC3640"/>
        <w:left w:val="none" w:sz="0" w:space="0" w:color="auto"/>
        <w:bottom w:val="none" w:sz="0" w:space="0" w:color="auto"/>
        <w:right w:val="none" w:sz="0" w:space="0" w:color="auto"/>
      </w:divBdr>
      <w:divsChild>
        <w:div w:id="1382748533">
          <w:marLeft w:val="0"/>
          <w:marRight w:val="0"/>
          <w:marTop w:val="0"/>
          <w:marBottom w:val="0"/>
          <w:divBdr>
            <w:top w:val="single" w:sz="2" w:space="0" w:color="FF0000"/>
            <w:left w:val="single" w:sz="2" w:space="0" w:color="FF0000"/>
            <w:bottom w:val="single" w:sz="2" w:space="0" w:color="FF0000"/>
            <w:right w:val="single" w:sz="2" w:space="0" w:color="FF0000"/>
          </w:divBdr>
          <w:divsChild>
            <w:div w:id="914247281">
              <w:marLeft w:val="0"/>
              <w:marRight w:val="0"/>
              <w:marTop w:val="0"/>
              <w:marBottom w:val="0"/>
              <w:divBdr>
                <w:top w:val="none" w:sz="0" w:space="0" w:color="auto"/>
                <w:left w:val="single" w:sz="6" w:space="0" w:color="DDDDDD"/>
                <w:bottom w:val="none" w:sz="0" w:space="0" w:color="auto"/>
                <w:right w:val="none" w:sz="0" w:space="0" w:color="auto"/>
              </w:divBdr>
              <w:divsChild>
                <w:div w:id="362245563">
                  <w:marLeft w:val="0"/>
                  <w:marRight w:val="0"/>
                  <w:marTop w:val="0"/>
                  <w:marBottom w:val="0"/>
                  <w:divBdr>
                    <w:top w:val="single" w:sz="2" w:space="0" w:color="008000"/>
                    <w:left w:val="single" w:sz="2" w:space="0" w:color="008000"/>
                    <w:bottom w:val="single" w:sz="2" w:space="0" w:color="008000"/>
                    <w:right w:val="single" w:sz="2" w:space="0" w:color="008000"/>
                  </w:divBdr>
                  <w:divsChild>
                    <w:div w:id="20515074">
                      <w:marLeft w:val="0"/>
                      <w:marRight w:val="0"/>
                      <w:marTop w:val="0"/>
                      <w:marBottom w:val="0"/>
                      <w:divBdr>
                        <w:top w:val="none" w:sz="0" w:space="0" w:color="auto"/>
                        <w:left w:val="none" w:sz="0" w:space="0" w:color="auto"/>
                        <w:bottom w:val="none" w:sz="0" w:space="0" w:color="auto"/>
                        <w:right w:val="none" w:sz="0" w:space="0" w:color="auto"/>
                      </w:divBdr>
                      <w:divsChild>
                        <w:div w:id="1249004566">
                          <w:marLeft w:val="0"/>
                          <w:marRight w:val="0"/>
                          <w:marTop w:val="0"/>
                          <w:marBottom w:val="0"/>
                          <w:divBdr>
                            <w:top w:val="none" w:sz="0" w:space="0" w:color="auto"/>
                            <w:left w:val="none" w:sz="0" w:space="0" w:color="auto"/>
                            <w:bottom w:val="none" w:sz="0" w:space="0" w:color="auto"/>
                            <w:right w:val="none" w:sz="0" w:space="0" w:color="auto"/>
                          </w:divBdr>
                          <w:divsChild>
                            <w:div w:id="204605583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43684821">
      <w:bodyDiv w:val="1"/>
      <w:marLeft w:val="0"/>
      <w:marRight w:val="0"/>
      <w:marTop w:val="0"/>
      <w:marBottom w:val="0"/>
      <w:divBdr>
        <w:top w:val="none" w:sz="0" w:space="0" w:color="auto"/>
        <w:left w:val="none" w:sz="0" w:space="0" w:color="auto"/>
        <w:bottom w:val="none" w:sz="0" w:space="0" w:color="auto"/>
        <w:right w:val="none" w:sz="0" w:space="0" w:color="auto"/>
      </w:divBdr>
    </w:div>
    <w:div w:id="1277298465">
      <w:bodyDiv w:val="1"/>
      <w:marLeft w:val="0"/>
      <w:marRight w:val="0"/>
      <w:marTop w:val="0"/>
      <w:marBottom w:val="0"/>
      <w:divBdr>
        <w:top w:val="single" w:sz="2" w:space="0" w:color="CC3640"/>
        <w:left w:val="none" w:sz="0" w:space="0" w:color="auto"/>
        <w:bottom w:val="none" w:sz="0" w:space="0" w:color="auto"/>
        <w:right w:val="none" w:sz="0" w:space="0" w:color="auto"/>
      </w:divBdr>
      <w:divsChild>
        <w:div w:id="293492067">
          <w:marLeft w:val="0"/>
          <w:marRight w:val="0"/>
          <w:marTop w:val="0"/>
          <w:marBottom w:val="0"/>
          <w:divBdr>
            <w:top w:val="single" w:sz="2" w:space="0" w:color="FF0000"/>
            <w:left w:val="single" w:sz="2" w:space="0" w:color="FF0000"/>
            <w:bottom w:val="single" w:sz="2" w:space="0" w:color="FF0000"/>
            <w:right w:val="single" w:sz="2" w:space="0" w:color="FF0000"/>
          </w:divBdr>
          <w:divsChild>
            <w:div w:id="1598709947">
              <w:marLeft w:val="0"/>
              <w:marRight w:val="0"/>
              <w:marTop w:val="0"/>
              <w:marBottom w:val="0"/>
              <w:divBdr>
                <w:top w:val="none" w:sz="0" w:space="0" w:color="auto"/>
                <w:left w:val="single" w:sz="6" w:space="0" w:color="DDDDDD"/>
                <w:bottom w:val="none" w:sz="0" w:space="0" w:color="auto"/>
                <w:right w:val="none" w:sz="0" w:space="0" w:color="auto"/>
              </w:divBdr>
              <w:divsChild>
                <w:div w:id="1919636141">
                  <w:marLeft w:val="0"/>
                  <w:marRight w:val="0"/>
                  <w:marTop w:val="0"/>
                  <w:marBottom w:val="0"/>
                  <w:divBdr>
                    <w:top w:val="single" w:sz="2" w:space="0" w:color="008000"/>
                    <w:left w:val="single" w:sz="2" w:space="0" w:color="008000"/>
                    <w:bottom w:val="single" w:sz="2" w:space="0" w:color="008000"/>
                    <w:right w:val="single" w:sz="2" w:space="0" w:color="008000"/>
                  </w:divBdr>
                  <w:divsChild>
                    <w:div w:id="721174762">
                      <w:marLeft w:val="0"/>
                      <w:marRight w:val="0"/>
                      <w:marTop w:val="0"/>
                      <w:marBottom w:val="0"/>
                      <w:divBdr>
                        <w:top w:val="none" w:sz="0" w:space="0" w:color="auto"/>
                        <w:left w:val="none" w:sz="0" w:space="0" w:color="auto"/>
                        <w:bottom w:val="none" w:sz="0" w:space="0" w:color="auto"/>
                        <w:right w:val="none" w:sz="0" w:space="0" w:color="auto"/>
                      </w:divBdr>
                      <w:divsChild>
                        <w:div w:id="776604464">
                          <w:marLeft w:val="0"/>
                          <w:marRight w:val="0"/>
                          <w:marTop w:val="0"/>
                          <w:marBottom w:val="0"/>
                          <w:divBdr>
                            <w:top w:val="none" w:sz="0" w:space="0" w:color="auto"/>
                            <w:left w:val="none" w:sz="0" w:space="0" w:color="auto"/>
                            <w:bottom w:val="none" w:sz="0" w:space="0" w:color="auto"/>
                            <w:right w:val="none" w:sz="0" w:space="0" w:color="auto"/>
                          </w:divBdr>
                          <w:divsChild>
                            <w:div w:id="17574835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290942340">
      <w:bodyDiv w:val="1"/>
      <w:marLeft w:val="0"/>
      <w:marRight w:val="0"/>
      <w:marTop w:val="0"/>
      <w:marBottom w:val="0"/>
      <w:divBdr>
        <w:top w:val="none" w:sz="0" w:space="0" w:color="auto"/>
        <w:left w:val="none" w:sz="0" w:space="0" w:color="auto"/>
        <w:bottom w:val="none" w:sz="0" w:space="0" w:color="auto"/>
        <w:right w:val="none" w:sz="0" w:space="0" w:color="auto"/>
      </w:divBdr>
    </w:div>
    <w:div w:id="1293174382">
      <w:bodyDiv w:val="1"/>
      <w:marLeft w:val="0"/>
      <w:marRight w:val="0"/>
      <w:marTop w:val="0"/>
      <w:marBottom w:val="0"/>
      <w:divBdr>
        <w:top w:val="none" w:sz="0" w:space="0" w:color="auto"/>
        <w:left w:val="none" w:sz="0" w:space="0" w:color="auto"/>
        <w:bottom w:val="none" w:sz="0" w:space="0" w:color="auto"/>
        <w:right w:val="none" w:sz="0" w:space="0" w:color="auto"/>
      </w:divBdr>
    </w:div>
    <w:div w:id="1335037620">
      <w:bodyDiv w:val="1"/>
      <w:marLeft w:val="0"/>
      <w:marRight w:val="0"/>
      <w:marTop w:val="0"/>
      <w:marBottom w:val="0"/>
      <w:divBdr>
        <w:top w:val="none" w:sz="0" w:space="0" w:color="auto"/>
        <w:left w:val="none" w:sz="0" w:space="0" w:color="auto"/>
        <w:bottom w:val="none" w:sz="0" w:space="0" w:color="auto"/>
        <w:right w:val="none" w:sz="0" w:space="0" w:color="auto"/>
      </w:divBdr>
    </w:div>
    <w:div w:id="1335570535">
      <w:bodyDiv w:val="1"/>
      <w:marLeft w:val="0"/>
      <w:marRight w:val="0"/>
      <w:marTop w:val="0"/>
      <w:marBottom w:val="0"/>
      <w:divBdr>
        <w:top w:val="none" w:sz="0" w:space="0" w:color="auto"/>
        <w:left w:val="none" w:sz="0" w:space="0" w:color="auto"/>
        <w:bottom w:val="none" w:sz="0" w:space="0" w:color="auto"/>
        <w:right w:val="none" w:sz="0" w:space="0" w:color="auto"/>
      </w:divBdr>
    </w:div>
    <w:div w:id="1347630021">
      <w:bodyDiv w:val="1"/>
      <w:marLeft w:val="0"/>
      <w:marRight w:val="0"/>
      <w:marTop w:val="0"/>
      <w:marBottom w:val="0"/>
      <w:divBdr>
        <w:top w:val="none" w:sz="0" w:space="0" w:color="auto"/>
        <w:left w:val="none" w:sz="0" w:space="0" w:color="auto"/>
        <w:bottom w:val="none" w:sz="0" w:space="0" w:color="auto"/>
        <w:right w:val="none" w:sz="0" w:space="0" w:color="auto"/>
      </w:divBdr>
    </w:div>
    <w:div w:id="1359425561">
      <w:bodyDiv w:val="1"/>
      <w:marLeft w:val="0"/>
      <w:marRight w:val="0"/>
      <w:marTop w:val="0"/>
      <w:marBottom w:val="0"/>
      <w:divBdr>
        <w:top w:val="none" w:sz="0" w:space="0" w:color="auto"/>
        <w:left w:val="none" w:sz="0" w:space="0" w:color="auto"/>
        <w:bottom w:val="none" w:sz="0" w:space="0" w:color="auto"/>
        <w:right w:val="none" w:sz="0" w:space="0" w:color="auto"/>
      </w:divBdr>
    </w:div>
    <w:div w:id="1397431453">
      <w:bodyDiv w:val="1"/>
      <w:marLeft w:val="0"/>
      <w:marRight w:val="0"/>
      <w:marTop w:val="0"/>
      <w:marBottom w:val="0"/>
      <w:divBdr>
        <w:top w:val="none" w:sz="0" w:space="0" w:color="auto"/>
        <w:left w:val="none" w:sz="0" w:space="0" w:color="auto"/>
        <w:bottom w:val="none" w:sz="0" w:space="0" w:color="auto"/>
        <w:right w:val="none" w:sz="0" w:space="0" w:color="auto"/>
      </w:divBdr>
    </w:div>
    <w:div w:id="1403216558">
      <w:bodyDiv w:val="1"/>
      <w:marLeft w:val="0"/>
      <w:marRight w:val="0"/>
      <w:marTop w:val="0"/>
      <w:marBottom w:val="0"/>
      <w:divBdr>
        <w:top w:val="none" w:sz="0" w:space="0" w:color="auto"/>
        <w:left w:val="none" w:sz="0" w:space="0" w:color="auto"/>
        <w:bottom w:val="none" w:sz="0" w:space="0" w:color="auto"/>
        <w:right w:val="none" w:sz="0" w:space="0" w:color="auto"/>
      </w:divBdr>
    </w:div>
    <w:div w:id="1453209987">
      <w:bodyDiv w:val="1"/>
      <w:marLeft w:val="0"/>
      <w:marRight w:val="0"/>
      <w:marTop w:val="0"/>
      <w:marBottom w:val="0"/>
      <w:divBdr>
        <w:top w:val="none" w:sz="0" w:space="0" w:color="auto"/>
        <w:left w:val="none" w:sz="0" w:space="0" w:color="auto"/>
        <w:bottom w:val="none" w:sz="0" w:space="0" w:color="auto"/>
        <w:right w:val="none" w:sz="0" w:space="0" w:color="auto"/>
      </w:divBdr>
      <w:divsChild>
        <w:div w:id="1031492797">
          <w:marLeft w:val="0"/>
          <w:marRight w:val="0"/>
          <w:marTop w:val="120"/>
          <w:marBottom w:val="120"/>
          <w:divBdr>
            <w:top w:val="none" w:sz="0" w:space="0" w:color="auto"/>
            <w:left w:val="none" w:sz="0" w:space="0" w:color="auto"/>
            <w:bottom w:val="none" w:sz="0" w:space="0" w:color="auto"/>
            <w:right w:val="none" w:sz="0" w:space="0" w:color="auto"/>
          </w:divBdr>
        </w:div>
      </w:divsChild>
    </w:div>
    <w:div w:id="1457717573">
      <w:bodyDiv w:val="1"/>
      <w:marLeft w:val="0"/>
      <w:marRight w:val="0"/>
      <w:marTop w:val="0"/>
      <w:marBottom w:val="0"/>
      <w:divBdr>
        <w:top w:val="none" w:sz="0" w:space="0" w:color="auto"/>
        <w:left w:val="none" w:sz="0" w:space="0" w:color="auto"/>
        <w:bottom w:val="none" w:sz="0" w:space="0" w:color="auto"/>
        <w:right w:val="none" w:sz="0" w:space="0" w:color="auto"/>
      </w:divBdr>
    </w:div>
    <w:div w:id="1469517578">
      <w:bodyDiv w:val="1"/>
      <w:marLeft w:val="0"/>
      <w:marRight w:val="0"/>
      <w:marTop w:val="0"/>
      <w:marBottom w:val="0"/>
      <w:divBdr>
        <w:top w:val="none" w:sz="0" w:space="0" w:color="auto"/>
        <w:left w:val="none" w:sz="0" w:space="0" w:color="auto"/>
        <w:bottom w:val="none" w:sz="0" w:space="0" w:color="auto"/>
        <w:right w:val="none" w:sz="0" w:space="0" w:color="auto"/>
      </w:divBdr>
    </w:div>
    <w:div w:id="1480612843">
      <w:bodyDiv w:val="1"/>
      <w:marLeft w:val="0"/>
      <w:marRight w:val="0"/>
      <w:marTop w:val="0"/>
      <w:marBottom w:val="0"/>
      <w:divBdr>
        <w:top w:val="none" w:sz="0" w:space="0" w:color="auto"/>
        <w:left w:val="none" w:sz="0" w:space="0" w:color="auto"/>
        <w:bottom w:val="none" w:sz="0" w:space="0" w:color="auto"/>
        <w:right w:val="none" w:sz="0" w:space="0" w:color="auto"/>
      </w:divBdr>
    </w:div>
    <w:div w:id="1499225961">
      <w:bodyDiv w:val="1"/>
      <w:marLeft w:val="0"/>
      <w:marRight w:val="0"/>
      <w:marTop w:val="0"/>
      <w:marBottom w:val="0"/>
      <w:divBdr>
        <w:top w:val="single" w:sz="2" w:space="0" w:color="CC3640"/>
        <w:left w:val="none" w:sz="0" w:space="0" w:color="auto"/>
        <w:bottom w:val="none" w:sz="0" w:space="0" w:color="auto"/>
        <w:right w:val="none" w:sz="0" w:space="0" w:color="auto"/>
      </w:divBdr>
      <w:divsChild>
        <w:div w:id="515270729">
          <w:marLeft w:val="0"/>
          <w:marRight w:val="0"/>
          <w:marTop w:val="0"/>
          <w:marBottom w:val="0"/>
          <w:divBdr>
            <w:top w:val="single" w:sz="2" w:space="0" w:color="FF0000"/>
            <w:left w:val="single" w:sz="2" w:space="0" w:color="FF0000"/>
            <w:bottom w:val="single" w:sz="2" w:space="0" w:color="FF0000"/>
            <w:right w:val="single" w:sz="2" w:space="0" w:color="FF0000"/>
          </w:divBdr>
          <w:divsChild>
            <w:div w:id="942690991">
              <w:marLeft w:val="0"/>
              <w:marRight w:val="0"/>
              <w:marTop w:val="0"/>
              <w:marBottom w:val="0"/>
              <w:divBdr>
                <w:top w:val="none" w:sz="0" w:space="0" w:color="auto"/>
                <w:left w:val="single" w:sz="6" w:space="0" w:color="DDDDDD"/>
                <w:bottom w:val="none" w:sz="0" w:space="0" w:color="auto"/>
                <w:right w:val="none" w:sz="0" w:space="0" w:color="auto"/>
              </w:divBdr>
              <w:divsChild>
                <w:div w:id="1581328895">
                  <w:marLeft w:val="0"/>
                  <w:marRight w:val="0"/>
                  <w:marTop w:val="0"/>
                  <w:marBottom w:val="0"/>
                  <w:divBdr>
                    <w:top w:val="single" w:sz="2" w:space="0" w:color="008000"/>
                    <w:left w:val="single" w:sz="2" w:space="0" w:color="008000"/>
                    <w:bottom w:val="single" w:sz="2" w:space="0" w:color="008000"/>
                    <w:right w:val="single" w:sz="2" w:space="0" w:color="008000"/>
                  </w:divBdr>
                  <w:divsChild>
                    <w:div w:id="1165314759">
                      <w:marLeft w:val="0"/>
                      <w:marRight w:val="0"/>
                      <w:marTop w:val="0"/>
                      <w:marBottom w:val="0"/>
                      <w:divBdr>
                        <w:top w:val="none" w:sz="0" w:space="0" w:color="auto"/>
                        <w:left w:val="none" w:sz="0" w:space="0" w:color="auto"/>
                        <w:bottom w:val="none" w:sz="0" w:space="0" w:color="auto"/>
                        <w:right w:val="none" w:sz="0" w:space="0" w:color="auto"/>
                      </w:divBdr>
                      <w:divsChild>
                        <w:div w:id="1681659223">
                          <w:marLeft w:val="0"/>
                          <w:marRight w:val="0"/>
                          <w:marTop w:val="0"/>
                          <w:marBottom w:val="0"/>
                          <w:divBdr>
                            <w:top w:val="none" w:sz="0" w:space="0" w:color="auto"/>
                            <w:left w:val="none" w:sz="0" w:space="0" w:color="auto"/>
                            <w:bottom w:val="none" w:sz="0" w:space="0" w:color="auto"/>
                            <w:right w:val="none" w:sz="0" w:space="0" w:color="auto"/>
                          </w:divBdr>
                          <w:divsChild>
                            <w:div w:id="207712346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29676757">
      <w:bodyDiv w:val="1"/>
      <w:marLeft w:val="0"/>
      <w:marRight w:val="0"/>
      <w:marTop w:val="0"/>
      <w:marBottom w:val="0"/>
      <w:divBdr>
        <w:top w:val="none" w:sz="0" w:space="0" w:color="auto"/>
        <w:left w:val="none" w:sz="0" w:space="0" w:color="auto"/>
        <w:bottom w:val="none" w:sz="0" w:space="0" w:color="auto"/>
        <w:right w:val="none" w:sz="0" w:space="0" w:color="auto"/>
      </w:divBdr>
    </w:div>
    <w:div w:id="1537694618">
      <w:bodyDiv w:val="1"/>
      <w:marLeft w:val="0"/>
      <w:marRight w:val="0"/>
      <w:marTop w:val="0"/>
      <w:marBottom w:val="0"/>
      <w:divBdr>
        <w:top w:val="none" w:sz="0" w:space="0" w:color="auto"/>
        <w:left w:val="none" w:sz="0" w:space="0" w:color="auto"/>
        <w:bottom w:val="none" w:sz="0" w:space="0" w:color="auto"/>
        <w:right w:val="none" w:sz="0" w:space="0" w:color="auto"/>
      </w:divBdr>
    </w:div>
    <w:div w:id="1551769145">
      <w:bodyDiv w:val="1"/>
      <w:marLeft w:val="0"/>
      <w:marRight w:val="0"/>
      <w:marTop w:val="0"/>
      <w:marBottom w:val="0"/>
      <w:divBdr>
        <w:top w:val="single" w:sz="2" w:space="0" w:color="CC3640"/>
        <w:left w:val="none" w:sz="0" w:space="0" w:color="auto"/>
        <w:bottom w:val="none" w:sz="0" w:space="0" w:color="auto"/>
        <w:right w:val="none" w:sz="0" w:space="0" w:color="auto"/>
      </w:divBdr>
      <w:divsChild>
        <w:div w:id="2092003755">
          <w:marLeft w:val="0"/>
          <w:marRight w:val="0"/>
          <w:marTop w:val="0"/>
          <w:marBottom w:val="0"/>
          <w:divBdr>
            <w:top w:val="single" w:sz="2" w:space="0" w:color="FF0000"/>
            <w:left w:val="single" w:sz="2" w:space="0" w:color="FF0000"/>
            <w:bottom w:val="single" w:sz="2" w:space="0" w:color="FF0000"/>
            <w:right w:val="single" w:sz="2" w:space="0" w:color="FF0000"/>
          </w:divBdr>
          <w:divsChild>
            <w:div w:id="1184708345">
              <w:marLeft w:val="0"/>
              <w:marRight w:val="0"/>
              <w:marTop w:val="0"/>
              <w:marBottom w:val="0"/>
              <w:divBdr>
                <w:top w:val="none" w:sz="0" w:space="0" w:color="auto"/>
                <w:left w:val="single" w:sz="6" w:space="0" w:color="DDDDDD"/>
                <w:bottom w:val="none" w:sz="0" w:space="0" w:color="auto"/>
                <w:right w:val="none" w:sz="0" w:space="0" w:color="auto"/>
              </w:divBdr>
              <w:divsChild>
                <w:div w:id="853032926">
                  <w:marLeft w:val="0"/>
                  <w:marRight w:val="0"/>
                  <w:marTop w:val="0"/>
                  <w:marBottom w:val="0"/>
                  <w:divBdr>
                    <w:top w:val="single" w:sz="2" w:space="0" w:color="008000"/>
                    <w:left w:val="single" w:sz="2" w:space="0" w:color="008000"/>
                    <w:bottom w:val="single" w:sz="2" w:space="0" w:color="008000"/>
                    <w:right w:val="single" w:sz="2" w:space="0" w:color="008000"/>
                  </w:divBdr>
                  <w:divsChild>
                    <w:div w:id="1906991736">
                      <w:marLeft w:val="0"/>
                      <w:marRight w:val="0"/>
                      <w:marTop w:val="0"/>
                      <w:marBottom w:val="0"/>
                      <w:divBdr>
                        <w:top w:val="none" w:sz="0" w:space="0" w:color="auto"/>
                        <w:left w:val="none" w:sz="0" w:space="0" w:color="auto"/>
                        <w:bottom w:val="none" w:sz="0" w:space="0" w:color="auto"/>
                        <w:right w:val="none" w:sz="0" w:space="0" w:color="auto"/>
                      </w:divBdr>
                      <w:divsChild>
                        <w:div w:id="1395933014">
                          <w:marLeft w:val="0"/>
                          <w:marRight w:val="0"/>
                          <w:marTop w:val="0"/>
                          <w:marBottom w:val="0"/>
                          <w:divBdr>
                            <w:top w:val="none" w:sz="0" w:space="0" w:color="auto"/>
                            <w:left w:val="none" w:sz="0" w:space="0" w:color="auto"/>
                            <w:bottom w:val="none" w:sz="0" w:space="0" w:color="auto"/>
                            <w:right w:val="none" w:sz="0" w:space="0" w:color="auto"/>
                          </w:divBdr>
                          <w:divsChild>
                            <w:div w:id="907065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59781924">
      <w:bodyDiv w:val="1"/>
      <w:marLeft w:val="0"/>
      <w:marRight w:val="0"/>
      <w:marTop w:val="0"/>
      <w:marBottom w:val="0"/>
      <w:divBdr>
        <w:top w:val="none" w:sz="0" w:space="0" w:color="auto"/>
        <w:left w:val="none" w:sz="0" w:space="0" w:color="auto"/>
        <w:bottom w:val="none" w:sz="0" w:space="0" w:color="auto"/>
        <w:right w:val="none" w:sz="0" w:space="0" w:color="auto"/>
      </w:divBdr>
    </w:div>
    <w:div w:id="1581715734">
      <w:bodyDiv w:val="1"/>
      <w:marLeft w:val="0"/>
      <w:marRight w:val="0"/>
      <w:marTop w:val="0"/>
      <w:marBottom w:val="0"/>
      <w:divBdr>
        <w:top w:val="single" w:sz="2" w:space="0" w:color="CC3640"/>
        <w:left w:val="none" w:sz="0" w:space="0" w:color="auto"/>
        <w:bottom w:val="none" w:sz="0" w:space="0" w:color="auto"/>
        <w:right w:val="none" w:sz="0" w:space="0" w:color="auto"/>
      </w:divBdr>
      <w:divsChild>
        <w:div w:id="2011832431">
          <w:marLeft w:val="0"/>
          <w:marRight w:val="0"/>
          <w:marTop w:val="0"/>
          <w:marBottom w:val="0"/>
          <w:divBdr>
            <w:top w:val="single" w:sz="2" w:space="0" w:color="FF0000"/>
            <w:left w:val="single" w:sz="2" w:space="0" w:color="FF0000"/>
            <w:bottom w:val="single" w:sz="2" w:space="0" w:color="FF0000"/>
            <w:right w:val="single" w:sz="2" w:space="0" w:color="FF0000"/>
          </w:divBdr>
          <w:divsChild>
            <w:div w:id="1010329587">
              <w:marLeft w:val="0"/>
              <w:marRight w:val="0"/>
              <w:marTop w:val="0"/>
              <w:marBottom w:val="0"/>
              <w:divBdr>
                <w:top w:val="none" w:sz="0" w:space="0" w:color="auto"/>
                <w:left w:val="single" w:sz="6" w:space="0" w:color="DDDDDD"/>
                <w:bottom w:val="none" w:sz="0" w:space="0" w:color="auto"/>
                <w:right w:val="none" w:sz="0" w:space="0" w:color="auto"/>
              </w:divBdr>
              <w:divsChild>
                <w:div w:id="527372474">
                  <w:marLeft w:val="0"/>
                  <w:marRight w:val="0"/>
                  <w:marTop w:val="0"/>
                  <w:marBottom w:val="0"/>
                  <w:divBdr>
                    <w:top w:val="single" w:sz="2" w:space="0" w:color="008000"/>
                    <w:left w:val="single" w:sz="2" w:space="0" w:color="008000"/>
                    <w:bottom w:val="single" w:sz="2" w:space="0" w:color="008000"/>
                    <w:right w:val="single" w:sz="2" w:space="0" w:color="008000"/>
                  </w:divBdr>
                  <w:divsChild>
                    <w:div w:id="1154956246">
                      <w:marLeft w:val="0"/>
                      <w:marRight w:val="0"/>
                      <w:marTop w:val="0"/>
                      <w:marBottom w:val="0"/>
                      <w:divBdr>
                        <w:top w:val="none" w:sz="0" w:space="0" w:color="auto"/>
                        <w:left w:val="none" w:sz="0" w:space="0" w:color="auto"/>
                        <w:bottom w:val="none" w:sz="0" w:space="0" w:color="auto"/>
                        <w:right w:val="none" w:sz="0" w:space="0" w:color="auto"/>
                      </w:divBdr>
                      <w:divsChild>
                        <w:div w:id="1136994699">
                          <w:marLeft w:val="0"/>
                          <w:marRight w:val="0"/>
                          <w:marTop w:val="0"/>
                          <w:marBottom w:val="0"/>
                          <w:divBdr>
                            <w:top w:val="none" w:sz="0" w:space="0" w:color="auto"/>
                            <w:left w:val="none" w:sz="0" w:space="0" w:color="auto"/>
                            <w:bottom w:val="none" w:sz="0" w:space="0" w:color="auto"/>
                            <w:right w:val="none" w:sz="0" w:space="0" w:color="auto"/>
                          </w:divBdr>
                          <w:divsChild>
                            <w:div w:id="185869460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25055086">
      <w:bodyDiv w:val="1"/>
      <w:marLeft w:val="0"/>
      <w:marRight w:val="0"/>
      <w:marTop w:val="0"/>
      <w:marBottom w:val="0"/>
      <w:divBdr>
        <w:top w:val="none" w:sz="0" w:space="0" w:color="auto"/>
        <w:left w:val="none" w:sz="0" w:space="0" w:color="auto"/>
        <w:bottom w:val="none" w:sz="0" w:space="0" w:color="auto"/>
        <w:right w:val="none" w:sz="0" w:space="0" w:color="auto"/>
      </w:divBdr>
    </w:div>
    <w:div w:id="1730692927">
      <w:bodyDiv w:val="1"/>
      <w:marLeft w:val="0"/>
      <w:marRight w:val="0"/>
      <w:marTop w:val="0"/>
      <w:marBottom w:val="0"/>
      <w:divBdr>
        <w:top w:val="single" w:sz="2" w:space="0" w:color="CC3640"/>
        <w:left w:val="none" w:sz="0" w:space="0" w:color="auto"/>
        <w:bottom w:val="none" w:sz="0" w:space="0" w:color="auto"/>
        <w:right w:val="none" w:sz="0" w:space="0" w:color="auto"/>
      </w:divBdr>
      <w:divsChild>
        <w:div w:id="587033563">
          <w:marLeft w:val="0"/>
          <w:marRight w:val="0"/>
          <w:marTop w:val="0"/>
          <w:marBottom w:val="0"/>
          <w:divBdr>
            <w:top w:val="single" w:sz="2" w:space="0" w:color="FF0000"/>
            <w:left w:val="single" w:sz="2" w:space="0" w:color="FF0000"/>
            <w:bottom w:val="single" w:sz="2" w:space="0" w:color="FF0000"/>
            <w:right w:val="single" w:sz="2" w:space="0" w:color="FF0000"/>
          </w:divBdr>
          <w:divsChild>
            <w:div w:id="2011369637">
              <w:marLeft w:val="0"/>
              <w:marRight w:val="0"/>
              <w:marTop w:val="0"/>
              <w:marBottom w:val="0"/>
              <w:divBdr>
                <w:top w:val="none" w:sz="0" w:space="0" w:color="auto"/>
                <w:left w:val="single" w:sz="6" w:space="0" w:color="DDDDDD"/>
                <w:bottom w:val="none" w:sz="0" w:space="0" w:color="auto"/>
                <w:right w:val="none" w:sz="0" w:space="0" w:color="auto"/>
              </w:divBdr>
              <w:divsChild>
                <w:div w:id="358313458">
                  <w:marLeft w:val="0"/>
                  <w:marRight w:val="0"/>
                  <w:marTop w:val="0"/>
                  <w:marBottom w:val="0"/>
                  <w:divBdr>
                    <w:top w:val="single" w:sz="2" w:space="0" w:color="008000"/>
                    <w:left w:val="single" w:sz="2" w:space="0" w:color="008000"/>
                    <w:bottom w:val="single" w:sz="2" w:space="0" w:color="008000"/>
                    <w:right w:val="single" w:sz="2" w:space="0" w:color="008000"/>
                  </w:divBdr>
                  <w:divsChild>
                    <w:div w:id="1858157960">
                      <w:marLeft w:val="0"/>
                      <w:marRight w:val="0"/>
                      <w:marTop w:val="0"/>
                      <w:marBottom w:val="0"/>
                      <w:divBdr>
                        <w:top w:val="none" w:sz="0" w:space="0" w:color="auto"/>
                        <w:left w:val="none" w:sz="0" w:space="0" w:color="auto"/>
                        <w:bottom w:val="none" w:sz="0" w:space="0" w:color="auto"/>
                        <w:right w:val="none" w:sz="0" w:space="0" w:color="auto"/>
                      </w:divBdr>
                      <w:divsChild>
                        <w:div w:id="626618372">
                          <w:marLeft w:val="0"/>
                          <w:marRight w:val="0"/>
                          <w:marTop w:val="0"/>
                          <w:marBottom w:val="0"/>
                          <w:divBdr>
                            <w:top w:val="none" w:sz="0" w:space="0" w:color="auto"/>
                            <w:left w:val="none" w:sz="0" w:space="0" w:color="auto"/>
                            <w:bottom w:val="none" w:sz="0" w:space="0" w:color="auto"/>
                            <w:right w:val="none" w:sz="0" w:space="0" w:color="auto"/>
                          </w:divBdr>
                          <w:divsChild>
                            <w:div w:id="30404253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63187385">
      <w:bodyDiv w:val="1"/>
      <w:marLeft w:val="0"/>
      <w:marRight w:val="0"/>
      <w:marTop w:val="0"/>
      <w:marBottom w:val="0"/>
      <w:divBdr>
        <w:top w:val="single" w:sz="2" w:space="0" w:color="CC3640"/>
        <w:left w:val="none" w:sz="0" w:space="0" w:color="auto"/>
        <w:bottom w:val="none" w:sz="0" w:space="0" w:color="auto"/>
        <w:right w:val="none" w:sz="0" w:space="0" w:color="auto"/>
      </w:divBdr>
      <w:divsChild>
        <w:div w:id="1601986232">
          <w:marLeft w:val="0"/>
          <w:marRight w:val="0"/>
          <w:marTop w:val="0"/>
          <w:marBottom w:val="0"/>
          <w:divBdr>
            <w:top w:val="single" w:sz="2" w:space="0" w:color="FF0000"/>
            <w:left w:val="single" w:sz="2" w:space="0" w:color="FF0000"/>
            <w:bottom w:val="single" w:sz="2" w:space="0" w:color="FF0000"/>
            <w:right w:val="single" w:sz="2" w:space="0" w:color="FF0000"/>
          </w:divBdr>
          <w:divsChild>
            <w:div w:id="125859347">
              <w:marLeft w:val="0"/>
              <w:marRight w:val="0"/>
              <w:marTop w:val="0"/>
              <w:marBottom w:val="0"/>
              <w:divBdr>
                <w:top w:val="none" w:sz="0" w:space="0" w:color="auto"/>
                <w:left w:val="single" w:sz="6" w:space="0" w:color="DDDDDD"/>
                <w:bottom w:val="none" w:sz="0" w:space="0" w:color="auto"/>
                <w:right w:val="none" w:sz="0" w:space="0" w:color="auto"/>
              </w:divBdr>
              <w:divsChild>
                <w:div w:id="2145346824">
                  <w:marLeft w:val="0"/>
                  <w:marRight w:val="0"/>
                  <w:marTop w:val="0"/>
                  <w:marBottom w:val="0"/>
                  <w:divBdr>
                    <w:top w:val="single" w:sz="2" w:space="0" w:color="008000"/>
                    <w:left w:val="single" w:sz="2" w:space="0" w:color="008000"/>
                    <w:bottom w:val="single" w:sz="2" w:space="0" w:color="008000"/>
                    <w:right w:val="single" w:sz="2" w:space="0" w:color="008000"/>
                  </w:divBdr>
                  <w:divsChild>
                    <w:div w:id="1830098238">
                      <w:marLeft w:val="0"/>
                      <w:marRight w:val="0"/>
                      <w:marTop w:val="0"/>
                      <w:marBottom w:val="0"/>
                      <w:divBdr>
                        <w:top w:val="none" w:sz="0" w:space="0" w:color="auto"/>
                        <w:left w:val="none" w:sz="0" w:space="0" w:color="auto"/>
                        <w:bottom w:val="none" w:sz="0" w:space="0" w:color="auto"/>
                        <w:right w:val="none" w:sz="0" w:space="0" w:color="auto"/>
                      </w:divBdr>
                      <w:divsChild>
                        <w:div w:id="664866676">
                          <w:marLeft w:val="0"/>
                          <w:marRight w:val="0"/>
                          <w:marTop w:val="0"/>
                          <w:marBottom w:val="0"/>
                          <w:divBdr>
                            <w:top w:val="none" w:sz="0" w:space="0" w:color="auto"/>
                            <w:left w:val="none" w:sz="0" w:space="0" w:color="auto"/>
                            <w:bottom w:val="none" w:sz="0" w:space="0" w:color="auto"/>
                            <w:right w:val="none" w:sz="0" w:space="0" w:color="auto"/>
                          </w:divBdr>
                          <w:divsChild>
                            <w:div w:id="69044859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76440593">
      <w:bodyDiv w:val="1"/>
      <w:marLeft w:val="0"/>
      <w:marRight w:val="0"/>
      <w:marTop w:val="0"/>
      <w:marBottom w:val="0"/>
      <w:divBdr>
        <w:top w:val="none" w:sz="0" w:space="0" w:color="auto"/>
        <w:left w:val="none" w:sz="0" w:space="0" w:color="auto"/>
        <w:bottom w:val="none" w:sz="0" w:space="0" w:color="auto"/>
        <w:right w:val="none" w:sz="0" w:space="0" w:color="auto"/>
      </w:divBdr>
    </w:div>
    <w:div w:id="1829252397">
      <w:bodyDiv w:val="1"/>
      <w:marLeft w:val="0"/>
      <w:marRight w:val="0"/>
      <w:marTop w:val="0"/>
      <w:marBottom w:val="0"/>
      <w:divBdr>
        <w:top w:val="none" w:sz="0" w:space="0" w:color="auto"/>
        <w:left w:val="none" w:sz="0" w:space="0" w:color="auto"/>
        <w:bottom w:val="none" w:sz="0" w:space="0" w:color="auto"/>
        <w:right w:val="none" w:sz="0" w:space="0" w:color="auto"/>
      </w:divBdr>
    </w:div>
    <w:div w:id="1848515653">
      <w:bodyDiv w:val="1"/>
      <w:marLeft w:val="0"/>
      <w:marRight w:val="0"/>
      <w:marTop w:val="0"/>
      <w:marBottom w:val="0"/>
      <w:divBdr>
        <w:top w:val="single" w:sz="2" w:space="0" w:color="CC3640"/>
        <w:left w:val="none" w:sz="0" w:space="0" w:color="auto"/>
        <w:bottom w:val="none" w:sz="0" w:space="0" w:color="auto"/>
        <w:right w:val="none" w:sz="0" w:space="0" w:color="auto"/>
      </w:divBdr>
      <w:divsChild>
        <w:div w:id="1434202512">
          <w:marLeft w:val="0"/>
          <w:marRight w:val="0"/>
          <w:marTop w:val="0"/>
          <w:marBottom w:val="0"/>
          <w:divBdr>
            <w:top w:val="single" w:sz="2" w:space="0" w:color="FF0000"/>
            <w:left w:val="single" w:sz="2" w:space="0" w:color="FF0000"/>
            <w:bottom w:val="single" w:sz="2" w:space="0" w:color="FF0000"/>
            <w:right w:val="single" w:sz="2" w:space="0" w:color="FF0000"/>
          </w:divBdr>
          <w:divsChild>
            <w:div w:id="481459991">
              <w:marLeft w:val="0"/>
              <w:marRight w:val="0"/>
              <w:marTop w:val="0"/>
              <w:marBottom w:val="0"/>
              <w:divBdr>
                <w:top w:val="none" w:sz="0" w:space="0" w:color="auto"/>
                <w:left w:val="single" w:sz="6" w:space="0" w:color="DDDDDD"/>
                <w:bottom w:val="none" w:sz="0" w:space="0" w:color="auto"/>
                <w:right w:val="none" w:sz="0" w:space="0" w:color="auto"/>
              </w:divBdr>
              <w:divsChild>
                <w:div w:id="1196045550">
                  <w:marLeft w:val="0"/>
                  <w:marRight w:val="0"/>
                  <w:marTop w:val="0"/>
                  <w:marBottom w:val="0"/>
                  <w:divBdr>
                    <w:top w:val="single" w:sz="2" w:space="0" w:color="008000"/>
                    <w:left w:val="single" w:sz="2" w:space="0" w:color="008000"/>
                    <w:bottom w:val="single" w:sz="2" w:space="0" w:color="008000"/>
                    <w:right w:val="single" w:sz="2" w:space="0" w:color="008000"/>
                  </w:divBdr>
                  <w:divsChild>
                    <w:div w:id="604768428">
                      <w:marLeft w:val="0"/>
                      <w:marRight w:val="0"/>
                      <w:marTop w:val="0"/>
                      <w:marBottom w:val="0"/>
                      <w:divBdr>
                        <w:top w:val="none" w:sz="0" w:space="0" w:color="auto"/>
                        <w:left w:val="none" w:sz="0" w:space="0" w:color="auto"/>
                        <w:bottom w:val="none" w:sz="0" w:space="0" w:color="auto"/>
                        <w:right w:val="none" w:sz="0" w:space="0" w:color="auto"/>
                      </w:divBdr>
                      <w:divsChild>
                        <w:div w:id="1263025621">
                          <w:marLeft w:val="0"/>
                          <w:marRight w:val="0"/>
                          <w:marTop w:val="0"/>
                          <w:marBottom w:val="0"/>
                          <w:divBdr>
                            <w:top w:val="none" w:sz="0" w:space="0" w:color="auto"/>
                            <w:left w:val="none" w:sz="0" w:space="0" w:color="auto"/>
                            <w:bottom w:val="none" w:sz="0" w:space="0" w:color="auto"/>
                            <w:right w:val="none" w:sz="0" w:space="0" w:color="auto"/>
                          </w:divBdr>
                          <w:divsChild>
                            <w:div w:id="131178836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864511264">
      <w:bodyDiv w:val="1"/>
      <w:marLeft w:val="0"/>
      <w:marRight w:val="0"/>
      <w:marTop w:val="0"/>
      <w:marBottom w:val="0"/>
      <w:divBdr>
        <w:top w:val="none" w:sz="0" w:space="0" w:color="auto"/>
        <w:left w:val="none" w:sz="0" w:space="0" w:color="auto"/>
        <w:bottom w:val="none" w:sz="0" w:space="0" w:color="auto"/>
        <w:right w:val="none" w:sz="0" w:space="0" w:color="auto"/>
      </w:divBdr>
    </w:div>
    <w:div w:id="1879581212">
      <w:bodyDiv w:val="1"/>
      <w:marLeft w:val="0"/>
      <w:marRight w:val="0"/>
      <w:marTop w:val="0"/>
      <w:marBottom w:val="0"/>
      <w:divBdr>
        <w:top w:val="single" w:sz="2" w:space="0" w:color="CC3640"/>
        <w:left w:val="none" w:sz="0" w:space="0" w:color="auto"/>
        <w:bottom w:val="none" w:sz="0" w:space="0" w:color="auto"/>
        <w:right w:val="none" w:sz="0" w:space="0" w:color="auto"/>
      </w:divBdr>
      <w:divsChild>
        <w:div w:id="1487746245">
          <w:marLeft w:val="0"/>
          <w:marRight w:val="0"/>
          <w:marTop w:val="0"/>
          <w:marBottom w:val="0"/>
          <w:divBdr>
            <w:top w:val="single" w:sz="2" w:space="0" w:color="FF0000"/>
            <w:left w:val="single" w:sz="2" w:space="0" w:color="FF0000"/>
            <w:bottom w:val="single" w:sz="2" w:space="0" w:color="FF0000"/>
            <w:right w:val="single" w:sz="2" w:space="0" w:color="FF0000"/>
          </w:divBdr>
          <w:divsChild>
            <w:div w:id="876166571">
              <w:marLeft w:val="0"/>
              <w:marRight w:val="0"/>
              <w:marTop w:val="0"/>
              <w:marBottom w:val="0"/>
              <w:divBdr>
                <w:top w:val="none" w:sz="0" w:space="0" w:color="auto"/>
                <w:left w:val="single" w:sz="6" w:space="0" w:color="DDDDDD"/>
                <w:bottom w:val="none" w:sz="0" w:space="0" w:color="auto"/>
                <w:right w:val="none" w:sz="0" w:space="0" w:color="auto"/>
              </w:divBdr>
              <w:divsChild>
                <w:div w:id="390081197">
                  <w:marLeft w:val="0"/>
                  <w:marRight w:val="0"/>
                  <w:marTop w:val="0"/>
                  <w:marBottom w:val="0"/>
                  <w:divBdr>
                    <w:top w:val="single" w:sz="2" w:space="0" w:color="008000"/>
                    <w:left w:val="single" w:sz="2" w:space="0" w:color="008000"/>
                    <w:bottom w:val="single" w:sz="2" w:space="0" w:color="008000"/>
                    <w:right w:val="single" w:sz="2" w:space="0" w:color="008000"/>
                  </w:divBdr>
                  <w:divsChild>
                    <w:div w:id="1584100574">
                      <w:marLeft w:val="0"/>
                      <w:marRight w:val="0"/>
                      <w:marTop w:val="0"/>
                      <w:marBottom w:val="0"/>
                      <w:divBdr>
                        <w:top w:val="none" w:sz="0" w:space="0" w:color="auto"/>
                        <w:left w:val="none" w:sz="0" w:space="0" w:color="auto"/>
                        <w:bottom w:val="none" w:sz="0" w:space="0" w:color="auto"/>
                        <w:right w:val="none" w:sz="0" w:space="0" w:color="auto"/>
                      </w:divBdr>
                      <w:divsChild>
                        <w:div w:id="322392325">
                          <w:marLeft w:val="0"/>
                          <w:marRight w:val="0"/>
                          <w:marTop w:val="0"/>
                          <w:marBottom w:val="0"/>
                          <w:divBdr>
                            <w:top w:val="none" w:sz="0" w:space="0" w:color="auto"/>
                            <w:left w:val="none" w:sz="0" w:space="0" w:color="auto"/>
                            <w:bottom w:val="none" w:sz="0" w:space="0" w:color="auto"/>
                            <w:right w:val="none" w:sz="0" w:space="0" w:color="auto"/>
                          </w:divBdr>
                          <w:divsChild>
                            <w:div w:id="131302291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12765084">
      <w:bodyDiv w:val="1"/>
      <w:marLeft w:val="0"/>
      <w:marRight w:val="0"/>
      <w:marTop w:val="0"/>
      <w:marBottom w:val="0"/>
      <w:divBdr>
        <w:top w:val="none" w:sz="0" w:space="0" w:color="auto"/>
        <w:left w:val="none" w:sz="0" w:space="0" w:color="auto"/>
        <w:bottom w:val="none" w:sz="0" w:space="0" w:color="auto"/>
        <w:right w:val="none" w:sz="0" w:space="0" w:color="auto"/>
      </w:divBdr>
      <w:divsChild>
        <w:div w:id="645205733">
          <w:marLeft w:val="0"/>
          <w:marRight w:val="0"/>
          <w:marTop w:val="0"/>
          <w:marBottom w:val="0"/>
          <w:divBdr>
            <w:top w:val="none" w:sz="0" w:space="0" w:color="auto"/>
            <w:left w:val="none" w:sz="0" w:space="0" w:color="auto"/>
            <w:bottom w:val="none" w:sz="0" w:space="0" w:color="auto"/>
            <w:right w:val="none" w:sz="0" w:space="0" w:color="auto"/>
          </w:divBdr>
        </w:div>
        <w:div w:id="1682733408">
          <w:marLeft w:val="0"/>
          <w:marRight w:val="0"/>
          <w:marTop w:val="0"/>
          <w:marBottom w:val="0"/>
          <w:divBdr>
            <w:top w:val="none" w:sz="0" w:space="0" w:color="auto"/>
            <w:left w:val="none" w:sz="0" w:space="0" w:color="auto"/>
            <w:bottom w:val="none" w:sz="0" w:space="0" w:color="auto"/>
            <w:right w:val="none" w:sz="0" w:space="0" w:color="auto"/>
          </w:divBdr>
        </w:div>
      </w:divsChild>
    </w:div>
    <w:div w:id="1927958419">
      <w:bodyDiv w:val="1"/>
      <w:marLeft w:val="0"/>
      <w:marRight w:val="0"/>
      <w:marTop w:val="0"/>
      <w:marBottom w:val="0"/>
      <w:divBdr>
        <w:top w:val="none" w:sz="0" w:space="0" w:color="auto"/>
        <w:left w:val="none" w:sz="0" w:space="0" w:color="auto"/>
        <w:bottom w:val="none" w:sz="0" w:space="0" w:color="auto"/>
        <w:right w:val="none" w:sz="0" w:space="0" w:color="auto"/>
      </w:divBdr>
    </w:div>
    <w:div w:id="1936015855">
      <w:bodyDiv w:val="1"/>
      <w:marLeft w:val="0"/>
      <w:marRight w:val="0"/>
      <w:marTop w:val="0"/>
      <w:marBottom w:val="0"/>
      <w:divBdr>
        <w:top w:val="single" w:sz="2" w:space="0" w:color="CC3640"/>
        <w:left w:val="none" w:sz="0" w:space="0" w:color="auto"/>
        <w:bottom w:val="none" w:sz="0" w:space="0" w:color="auto"/>
        <w:right w:val="none" w:sz="0" w:space="0" w:color="auto"/>
      </w:divBdr>
      <w:divsChild>
        <w:div w:id="460080743">
          <w:marLeft w:val="0"/>
          <w:marRight w:val="0"/>
          <w:marTop w:val="0"/>
          <w:marBottom w:val="0"/>
          <w:divBdr>
            <w:top w:val="single" w:sz="2" w:space="0" w:color="FF0000"/>
            <w:left w:val="single" w:sz="2" w:space="0" w:color="FF0000"/>
            <w:bottom w:val="single" w:sz="2" w:space="0" w:color="FF0000"/>
            <w:right w:val="single" w:sz="2" w:space="0" w:color="FF0000"/>
          </w:divBdr>
          <w:divsChild>
            <w:div w:id="1523979526">
              <w:marLeft w:val="0"/>
              <w:marRight w:val="0"/>
              <w:marTop w:val="0"/>
              <w:marBottom w:val="0"/>
              <w:divBdr>
                <w:top w:val="none" w:sz="0" w:space="0" w:color="auto"/>
                <w:left w:val="single" w:sz="6" w:space="0" w:color="DDDDDD"/>
                <w:bottom w:val="none" w:sz="0" w:space="0" w:color="auto"/>
                <w:right w:val="none" w:sz="0" w:space="0" w:color="auto"/>
              </w:divBdr>
              <w:divsChild>
                <w:div w:id="142964470">
                  <w:marLeft w:val="0"/>
                  <w:marRight w:val="0"/>
                  <w:marTop w:val="0"/>
                  <w:marBottom w:val="0"/>
                  <w:divBdr>
                    <w:top w:val="single" w:sz="2" w:space="0" w:color="008000"/>
                    <w:left w:val="single" w:sz="2" w:space="0" w:color="008000"/>
                    <w:bottom w:val="single" w:sz="2" w:space="0" w:color="008000"/>
                    <w:right w:val="single" w:sz="2" w:space="0" w:color="008000"/>
                  </w:divBdr>
                  <w:divsChild>
                    <w:div w:id="777405074">
                      <w:marLeft w:val="0"/>
                      <w:marRight w:val="0"/>
                      <w:marTop w:val="0"/>
                      <w:marBottom w:val="0"/>
                      <w:divBdr>
                        <w:top w:val="none" w:sz="0" w:space="0" w:color="auto"/>
                        <w:left w:val="none" w:sz="0" w:space="0" w:color="auto"/>
                        <w:bottom w:val="none" w:sz="0" w:space="0" w:color="auto"/>
                        <w:right w:val="none" w:sz="0" w:space="0" w:color="auto"/>
                      </w:divBdr>
                      <w:divsChild>
                        <w:div w:id="1243106404">
                          <w:marLeft w:val="0"/>
                          <w:marRight w:val="0"/>
                          <w:marTop w:val="0"/>
                          <w:marBottom w:val="0"/>
                          <w:divBdr>
                            <w:top w:val="none" w:sz="0" w:space="0" w:color="auto"/>
                            <w:left w:val="none" w:sz="0" w:space="0" w:color="auto"/>
                            <w:bottom w:val="none" w:sz="0" w:space="0" w:color="auto"/>
                            <w:right w:val="none" w:sz="0" w:space="0" w:color="auto"/>
                          </w:divBdr>
                          <w:divsChild>
                            <w:div w:id="60346215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39824819">
      <w:bodyDiv w:val="1"/>
      <w:marLeft w:val="0"/>
      <w:marRight w:val="0"/>
      <w:marTop w:val="0"/>
      <w:marBottom w:val="0"/>
      <w:divBdr>
        <w:top w:val="none" w:sz="0" w:space="0" w:color="auto"/>
        <w:left w:val="none" w:sz="0" w:space="0" w:color="auto"/>
        <w:bottom w:val="none" w:sz="0" w:space="0" w:color="auto"/>
        <w:right w:val="none" w:sz="0" w:space="0" w:color="auto"/>
      </w:divBdr>
    </w:div>
    <w:div w:id="1942255050">
      <w:bodyDiv w:val="1"/>
      <w:marLeft w:val="0"/>
      <w:marRight w:val="0"/>
      <w:marTop w:val="0"/>
      <w:marBottom w:val="0"/>
      <w:divBdr>
        <w:top w:val="none" w:sz="0" w:space="0" w:color="auto"/>
        <w:left w:val="none" w:sz="0" w:space="0" w:color="auto"/>
        <w:bottom w:val="none" w:sz="0" w:space="0" w:color="auto"/>
        <w:right w:val="none" w:sz="0" w:space="0" w:color="auto"/>
      </w:divBdr>
    </w:div>
    <w:div w:id="1968388460">
      <w:bodyDiv w:val="1"/>
      <w:marLeft w:val="0"/>
      <w:marRight w:val="0"/>
      <w:marTop w:val="0"/>
      <w:marBottom w:val="0"/>
      <w:divBdr>
        <w:top w:val="none" w:sz="0" w:space="0" w:color="auto"/>
        <w:left w:val="none" w:sz="0" w:space="0" w:color="auto"/>
        <w:bottom w:val="none" w:sz="0" w:space="0" w:color="auto"/>
        <w:right w:val="none" w:sz="0" w:space="0" w:color="auto"/>
      </w:divBdr>
    </w:div>
    <w:div w:id="1971085429">
      <w:bodyDiv w:val="1"/>
      <w:marLeft w:val="0"/>
      <w:marRight w:val="0"/>
      <w:marTop w:val="0"/>
      <w:marBottom w:val="0"/>
      <w:divBdr>
        <w:top w:val="none" w:sz="0" w:space="0" w:color="auto"/>
        <w:left w:val="none" w:sz="0" w:space="0" w:color="auto"/>
        <w:bottom w:val="none" w:sz="0" w:space="0" w:color="auto"/>
        <w:right w:val="none" w:sz="0" w:space="0" w:color="auto"/>
      </w:divBdr>
    </w:div>
    <w:div w:id="1971747094">
      <w:bodyDiv w:val="1"/>
      <w:marLeft w:val="0"/>
      <w:marRight w:val="0"/>
      <w:marTop w:val="0"/>
      <w:marBottom w:val="0"/>
      <w:divBdr>
        <w:top w:val="single" w:sz="2" w:space="0" w:color="CC3640"/>
        <w:left w:val="none" w:sz="0" w:space="0" w:color="auto"/>
        <w:bottom w:val="none" w:sz="0" w:space="0" w:color="auto"/>
        <w:right w:val="none" w:sz="0" w:space="0" w:color="auto"/>
      </w:divBdr>
      <w:divsChild>
        <w:div w:id="829904421">
          <w:marLeft w:val="0"/>
          <w:marRight w:val="0"/>
          <w:marTop w:val="0"/>
          <w:marBottom w:val="0"/>
          <w:divBdr>
            <w:top w:val="single" w:sz="2" w:space="0" w:color="FF0000"/>
            <w:left w:val="single" w:sz="2" w:space="0" w:color="FF0000"/>
            <w:bottom w:val="single" w:sz="2" w:space="0" w:color="FF0000"/>
            <w:right w:val="single" w:sz="2" w:space="0" w:color="FF0000"/>
          </w:divBdr>
          <w:divsChild>
            <w:div w:id="1245142170">
              <w:marLeft w:val="0"/>
              <w:marRight w:val="0"/>
              <w:marTop w:val="0"/>
              <w:marBottom w:val="0"/>
              <w:divBdr>
                <w:top w:val="none" w:sz="0" w:space="0" w:color="auto"/>
                <w:left w:val="single" w:sz="6" w:space="0" w:color="DDDDDD"/>
                <w:bottom w:val="none" w:sz="0" w:space="0" w:color="auto"/>
                <w:right w:val="none" w:sz="0" w:space="0" w:color="auto"/>
              </w:divBdr>
              <w:divsChild>
                <w:div w:id="1205019022">
                  <w:marLeft w:val="0"/>
                  <w:marRight w:val="0"/>
                  <w:marTop w:val="0"/>
                  <w:marBottom w:val="0"/>
                  <w:divBdr>
                    <w:top w:val="single" w:sz="2" w:space="0" w:color="008000"/>
                    <w:left w:val="single" w:sz="2" w:space="0" w:color="008000"/>
                    <w:bottom w:val="single" w:sz="2" w:space="0" w:color="008000"/>
                    <w:right w:val="single" w:sz="2" w:space="0" w:color="008000"/>
                  </w:divBdr>
                  <w:divsChild>
                    <w:div w:id="326984402">
                      <w:marLeft w:val="0"/>
                      <w:marRight w:val="0"/>
                      <w:marTop w:val="0"/>
                      <w:marBottom w:val="0"/>
                      <w:divBdr>
                        <w:top w:val="none" w:sz="0" w:space="0" w:color="auto"/>
                        <w:left w:val="none" w:sz="0" w:space="0" w:color="auto"/>
                        <w:bottom w:val="none" w:sz="0" w:space="0" w:color="auto"/>
                        <w:right w:val="none" w:sz="0" w:space="0" w:color="auto"/>
                      </w:divBdr>
                      <w:divsChild>
                        <w:div w:id="1746873384">
                          <w:marLeft w:val="0"/>
                          <w:marRight w:val="0"/>
                          <w:marTop w:val="0"/>
                          <w:marBottom w:val="0"/>
                          <w:divBdr>
                            <w:top w:val="none" w:sz="0" w:space="0" w:color="auto"/>
                            <w:left w:val="none" w:sz="0" w:space="0" w:color="auto"/>
                            <w:bottom w:val="none" w:sz="0" w:space="0" w:color="auto"/>
                            <w:right w:val="none" w:sz="0" w:space="0" w:color="auto"/>
                          </w:divBdr>
                          <w:divsChild>
                            <w:div w:id="9953011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72206133">
      <w:bodyDiv w:val="1"/>
      <w:marLeft w:val="0"/>
      <w:marRight w:val="0"/>
      <w:marTop w:val="0"/>
      <w:marBottom w:val="0"/>
      <w:divBdr>
        <w:top w:val="single" w:sz="2" w:space="0" w:color="CC3640"/>
        <w:left w:val="none" w:sz="0" w:space="0" w:color="auto"/>
        <w:bottom w:val="none" w:sz="0" w:space="0" w:color="auto"/>
        <w:right w:val="none" w:sz="0" w:space="0" w:color="auto"/>
      </w:divBdr>
      <w:divsChild>
        <w:div w:id="356085474">
          <w:marLeft w:val="0"/>
          <w:marRight w:val="0"/>
          <w:marTop w:val="0"/>
          <w:marBottom w:val="0"/>
          <w:divBdr>
            <w:top w:val="single" w:sz="2" w:space="0" w:color="FF0000"/>
            <w:left w:val="single" w:sz="2" w:space="0" w:color="FF0000"/>
            <w:bottom w:val="single" w:sz="2" w:space="0" w:color="FF0000"/>
            <w:right w:val="single" w:sz="2" w:space="0" w:color="FF0000"/>
          </w:divBdr>
          <w:divsChild>
            <w:div w:id="49812899">
              <w:marLeft w:val="0"/>
              <w:marRight w:val="0"/>
              <w:marTop w:val="0"/>
              <w:marBottom w:val="0"/>
              <w:divBdr>
                <w:top w:val="none" w:sz="0" w:space="0" w:color="auto"/>
                <w:left w:val="single" w:sz="6" w:space="0" w:color="DDDDDD"/>
                <w:bottom w:val="none" w:sz="0" w:space="0" w:color="auto"/>
                <w:right w:val="none" w:sz="0" w:space="0" w:color="auto"/>
              </w:divBdr>
              <w:divsChild>
                <w:div w:id="421799168">
                  <w:marLeft w:val="0"/>
                  <w:marRight w:val="0"/>
                  <w:marTop w:val="0"/>
                  <w:marBottom w:val="0"/>
                  <w:divBdr>
                    <w:top w:val="single" w:sz="2" w:space="0" w:color="008000"/>
                    <w:left w:val="single" w:sz="2" w:space="0" w:color="008000"/>
                    <w:bottom w:val="single" w:sz="2" w:space="0" w:color="008000"/>
                    <w:right w:val="single" w:sz="2" w:space="0" w:color="008000"/>
                  </w:divBdr>
                  <w:divsChild>
                    <w:div w:id="29687828">
                      <w:marLeft w:val="0"/>
                      <w:marRight w:val="0"/>
                      <w:marTop w:val="0"/>
                      <w:marBottom w:val="0"/>
                      <w:divBdr>
                        <w:top w:val="none" w:sz="0" w:space="0" w:color="auto"/>
                        <w:left w:val="none" w:sz="0" w:space="0" w:color="auto"/>
                        <w:bottom w:val="none" w:sz="0" w:space="0" w:color="auto"/>
                        <w:right w:val="none" w:sz="0" w:space="0" w:color="auto"/>
                      </w:divBdr>
                      <w:divsChild>
                        <w:div w:id="2077431609">
                          <w:marLeft w:val="0"/>
                          <w:marRight w:val="0"/>
                          <w:marTop w:val="0"/>
                          <w:marBottom w:val="0"/>
                          <w:divBdr>
                            <w:top w:val="none" w:sz="0" w:space="0" w:color="auto"/>
                            <w:left w:val="none" w:sz="0" w:space="0" w:color="auto"/>
                            <w:bottom w:val="none" w:sz="0" w:space="0" w:color="auto"/>
                            <w:right w:val="none" w:sz="0" w:space="0" w:color="auto"/>
                          </w:divBdr>
                          <w:divsChild>
                            <w:div w:id="52397894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82342170">
      <w:bodyDiv w:val="1"/>
      <w:marLeft w:val="0"/>
      <w:marRight w:val="0"/>
      <w:marTop w:val="0"/>
      <w:marBottom w:val="0"/>
      <w:divBdr>
        <w:top w:val="none" w:sz="0" w:space="0" w:color="auto"/>
        <w:left w:val="none" w:sz="0" w:space="0" w:color="auto"/>
        <w:bottom w:val="none" w:sz="0" w:space="0" w:color="auto"/>
        <w:right w:val="none" w:sz="0" w:space="0" w:color="auto"/>
      </w:divBdr>
    </w:div>
    <w:div w:id="1996371673">
      <w:bodyDiv w:val="1"/>
      <w:marLeft w:val="0"/>
      <w:marRight w:val="0"/>
      <w:marTop w:val="0"/>
      <w:marBottom w:val="0"/>
      <w:divBdr>
        <w:top w:val="single" w:sz="2" w:space="0" w:color="CC3640"/>
        <w:left w:val="none" w:sz="0" w:space="0" w:color="auto"/>
        <w:bottom w:val="none" w:sz="0" w:space="0" w:color="auto"/>
        <w:right w:val="none" w:sz="0" w:space="0" w:color="auto"/>
      </w:divBdr>
      <w:divsChild>
        <w:div w:id="425273293">
          <w:marLeft w:val="0"/>
          <w:marRight w:val="0"/>
          <w:marTop w:val="0"/>
          <w:marBottom w:val="0"/>
          <w:divBdr>
            <w:top w:val="single" w:sz="2" w:space="0" w:color="FF0000"/>
            <w:left w:val="single" w:sz="2" w:space="0" w:color="FF0000"/>
            <w:bottom w:val="single" w:sz="2" w:space="0" w:color="FF0000"/>
            <w:right w:val="single" w:sz="2" w:space="0" w:color="FF0000"/>
          </w:divBdr>
          <w:divsChild>
            <w:div w:id="655691297">
              <w:marLeft w:val="0"/>
              <w:marRight w:val="0"/>
              <w:marTop w:val="0"/>
              <w:marBottom w:val="0"/>
              <w:divBdr>
                <w:top w:val="none" w:sz="0" w:space="0" w:color="auto"/>
                <w:left w:val="single" w:sz="6" w:space="0" w:color="DDDDDD"/>
                <w:bottom w:val="none" w:sz="0" w:space="0" w:color="auto"/>
                <w:right w:val="none" w:sz="0" w:space="0" w:color="auto"/>
              </w:divBdr>
              <w:divsChild>
                <w:div w:id="2137798567">
                  <w:marLeft w:val="0"/>
                  <w:marRight w:val="0"/>
                  <w:marTop w:val="0"/>
                  <w:marBottom w:val="0"/>
                  <w:divBdr>
                    <w:top w:val="single" w:sz="2" w:space="0" w:color="008000"/>
                    <w:left w:val="single" w:sz="2" w:space="0" w:color="008000"/>
                    <w:bottom w:val="single" w:sz="2" w:space="0" w:color="008000"/>
                    <w:right w:val="single" w:sz="2" w:space="0" w:color="008000"/>
                  </w:divBdr>
                  <w:divsChild>
                    <w:div w:id="818309170">
                      <w:marLeft w:val="0"/>
                      <w:marRight w:val="0"/>
                      <w:marTop w:val="0"/>
                      <w:marBottom w:val="0"/>
                      <w:divBdr>
                        <w:top w:val="none" w:sz="0" w:space="0" w:color="auto"/>
                        <w:left w:val="none" w:sz="0" w:space="0" w:color="auto"/>
                        <w:bottom w:val="none" w:sz="0" w:space="0" w:color="auto"/>
                        <w:right w:val="none" w:sz="0" w:space="0" w:color="auto"/>
                      </w:divBdr>
                      <w:divsChild>
                        <w:div w:id="1574854467">
                          <w:marLeft w:val="0"/>
                          <w:marRight w:val="0"/>
                          <w:marTop w:val="0"/>
                          <w:marBottom w:val="0"/>
                          <w:divBdr>
                            <w:top w:val="none" w:sz="0" w:space="0" w:color="auto"/>
                            <w:left w:val="none" w:sz="0" w:space="0" w:color="auto"/>
                            <w:bottom w:val="none" w:sz="0" w:space="0" w:color="auto"/>
                            <w:right w:val="none" w:sz="0" w:space="0" w:color="auto"/>
                          </w:divBdr>
                          <w:divsChild>
                            <w:div w:id="6850079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37921096">
      <w:bodyDiv w:val="1"/>
      <w:marLeft w:val="0"/>
      <w:marRight w:val="0"/>
      <w:marTop w:val="0"/>
      <w:marBottom w:val="0"/>
      <w:divBdr>
        <w:top w:val="none" w:sz="0" w:space="0" w:color="auto"/>
        <w:left w:val="none" w:sz="0" w:space="0" w:color="auto"/>
        <w:bottom w:val="none" w:sz="0" w:space="0" w:color="auto"/>
        <w:right w:val="none" w:sz="0" w:space="0" w:color="auto"/>
      </w:divBdr>
    </w:div>
    <w:div w:id="2057653515">
      <w:bodyDiv w:val="1"/>
      <w:marLeft w:val="0"/>
      <w:marRight w:val="0"/>
      <w:marTop w:val="0"/>
      <w:marBottom w:val="0"/>
      <w:divBdr>
        <w:top w:val="none" w:sz="0" w:space="0" w:color="auto"/>
        <w:left w:val="none" w:sz="0" w:space="0" w:color="auto"/>
        <w:bottom w:val="none" w:sz="0" w:space="0" w:color="auto"/>
        <w:right w:val="none" w:sz="0" w:space="0" w:color="auto"/>
      </w:divBdr>
    </w:div>
    <w:div w:id="2071611431">
      <w:bodyDiv w:val="1"/>
      <w:marLeft w:val="0"/>
      <w:marRight w:val="0"/>
      <w:marTop w:val="0"/>
      <w:marBottom w:val="0"/>
      <w:divBdr>
        <w:top w:val="none" w:sz="0" w:space="0" w:color="auto"/>
        <w:left w:val="none" w:sz="0" w:space="0" w:color="auto"/>
        <w:bottom w:val="none" w:sz="0" w:space="0" w:color="auto"/>
        <w:right w:val="none" w:sz="0" w:space="0" w:color="auto"/>
      </w:divBdr>
    </w:div>
    <w:div w:id="2126146874">
      <w:bodyDiv w:val="1"/>
      <w:marLeft w:val="0"/>
      <w:marRight w:val="0"/>
      <w:marTop w:val="0"/>
      <w:marBottom w:val="0"/>
      <w:divBdr>
        <w:top w:val="none" w:sz="0" w:space="0" w:color="auto"/>
        <w:left w:val="none" w:sz="0" w:space="0" w:color="auto"/>
        <w:bottom w:val="none" w:sz="0" w:space="0" w:color="auto"/>
        <w:right w:val="none" w:sz="0" w:space="0" w:color="auto"/>
      </w:divBdr>
    </w:div>
    <w:div w:id="213687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25/04/30/pdfs/BOE-A-2025-8570.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92EEF-C6AD-4395-8B19-097E305F5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4994</Words>
  <Characters>27801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32730</CharactersWithSpaces>
  <SharedDoc>false</SharedDoc>
  <HLinks>
    <vt:vector size="12" baseType="variant">
      <vt:variant>
        <vt:i4>3211333</vt:i4>
      </vt:variant>
      <vt:variant>
        <vt:i4>3</vt:i4>
      </vt:variant>
      <vt:variant>
        <vt:i4>0</vt:i4>
      </vt:variant>
      <vt:variant>
        <vt:i4>5</vt:i4>
      </vt:variant>
      <vt:variant>
        <vt:lpwstr>javascript:Redirection('LE0000204336_Vigente.html')</vt:lpwstr>
      </vt:variant>
      <vt:variant>
        <vt:lpwstr/>
      </vt:variant>
      <vt:variant>
        <vt:i4>3211333</vt:i4>
      </vt:variant>
      <vt:variant>
        <vt:i4>0</vt:i4>
      </vt:variant>
      <vt:variant>
        <vt:i4>0</vt:i4>
      </vt:variant>
      <vt:variant>
        <vt:i4>5</vt:i4>
      </vt:variant>
      <vt:variant>
        <vt:lpwstr>javascript:Redirection('LE0000204336_Vigente.html')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 Montañés</dc:creator>
  <cp:lastModifiedBy>Jose Luis Chico</cp:lastModifiedBy>
  <cp:revision>7</cp:revision>
  <cp:lastPrinted>2004-05-28T09:19:00Z</cp:lastPrinted>
  <dcterms:created xsi:type="dcterms:W3CDTF">2025-05-26T14:33:00Z</dcterms:created>
  <dcterms:modified xsi:type="dcterms:W3CDTF">2025-05-30T08:15:00Z</dcterms:modified>
</cp:coreProperties>
</file>