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1488"/>
        <w:gridCol w:w="7156"/>
      </w:tblGrid>
      <w:tr w:rsidR="00382E0C" w14:paraId="7F3AFBC3" w14:textId="77777777" w:rsidTr="001B66FC">
        <w:trPr>
          <w:trHeight w:val="889"/>
        </w:trPr>
        <w:tc>
          <w:tcPr>
            <w:tcW w:w="1488" w:type="dxa"/>
            <w:shd w:val="clear" w:color="auto" w:fill="000000"/>
            <w:vAlign w:val="center"/>
          </w:tcPr>
          <w:p w14:paraId="240EA60E" w14:textId="77777777" w:rsidR="00382E0C" w:rsidRDefault="00382E0C" w:rsidP="00853FEF">
            <w:pPr>
              <w:jc w:val="center"/>
              <w:rPr>
                <w:rFonts w:ascii="Verdana" w:hAnsi="Verdana"/>
                <w:b/>
                <w:bCs/>
              </w:rPr>
            </w:pPr>
            <w:r>
              <w:rPr>
                <w:rFonts w:ascii="Verdana" w:hAnsi="Verdana"/>
                <w:b/>
                <w:bCs/>
                <w:sz w:val="22"/>
                <w:szCs w:val="22"/>
              </w:rPr>
              <w:t>JULIO</w:t>
            </w:r>
          </w:p>
          <w:p w14:paraId="61053A68" w14:textId="3F03387C" w:rsidR="00382E0C" w:rsidRDefault="00382E0C" w:rsidP="00096610">
            <w:pPr>
              <w:jc w:val="center"/>
              <w:rPr>
                <w:rFonts w:ascii="Verdana" w:hAnsi="Verdana"/>
                <w:b/>
                <w:bCs/>
                <w:szCs w:val="32"/>
              </w:rPr>
            </w:pPr>
            <w:r>
              <w:rPr>
                <w:rFonts w:ascii="Verdana" w:hAnsi="Verdana"/>
                <w:b/>
                <w:bCs/>
                <w:sz w:val="22"/>
                <w:szCs w:val="22"/>
              </w:rPr>
              <w:t>AGOSTO 20</w:t>
            </w:r>
            <w:r w:rsidR="004C2F6B">
              <w:rPr>
                <w:rFonts w:ascii="Verdana" w:hAnsi="Verdana"/>
                <w:b/>
                <w:bCs/>
                <w:sz w:val="22"/>
                <w:szCs w:val="22"/>
              </w:rPr>
              <w:t>2</w:t>
            </w:r>
            <w:r w:rsidR="00C53B76">
              <w:rPr>
                <w:rFonts w:ascii="Verdana" w:hAnsi="Verdana"/>
                <w:b/>
                <w:bCs/>
                <w:sz w:val="22"/>
                <w:szCs w:val="22"/>
              </w:rPr>
              <w:t>6</w:t>
            </w:r>
          </w:p>
        </w:tc>
        <w:tc>
          <w:tcPr>
            <w:tcW w:w="7156" w:type="dxa"/>
            <w:shd w:val="clear" w:color="auto" w:fill="993300"/>
            <w:vAlign w:val="center"/>
          </w:tcPr>
          <w:p w14:paraId="209E9807" w14:textId="77777777" w:rsidR="00382E0C" w:rsidRPr="00C16FC4" w:rsidRDefault="00382E0C">
            <w:pPr>
              <w:jc w:val="center"/>
              <w:rPr>
                <w:rFonts w:ascii="Verdana" w:hAnsi="Verdana"/>
                <w:b/>
                <w:bCs/>
                <w:color w:val="FFFFFF"/>
              </w:rPr>
            </w:pPr>
            <w:r w:rsidRPr="00C16FC4">
              <w:rPr>
                <w:rFonts w:ascii="Verdana" w:hAnsi="Verdana"/>
                <w:b/>
                <w:bCs/>
                <w:color w:val="FFFFFF"/>
              </w:rPr>
              <w:t>APUNTES SOBRE LA ACTUALIDAD FISCAL</w:t>
            </w:r>
          </w:p>
        </w:tc>
      </w:tr>
    </w:tbl>
    <w:p w14:paraId="72B8A854" w14:textId="47B803B7" w:rsidR="00C42E41" w:rsidRDefault="009871BB">
      <w:pPr>
        <w:pStyle w:val="Ttulo3"/>
        <w:jc w:val="center"/>
        <w:rPr>
          <w:rFonts w:ascii="Verdana" w:hAnsi="Verdana"/>
          <w:i/>
          <w:color w:val="800000"/>
          <w:sz w:val="18"/>
          <w:szCs w:val="18"/>
          <w:u w:val="single"/>
        </w:rPr>
      </w:pPr>
      <w:r>
        <w:rPr>
          <w:rFonts w:ascii="Verdana" w:hAnsi="Verdana"/>
          <w:i/>
          <w:color w:val="800000"/>
          <w:sz w:val="18"/>
          <w:szCs w:val="18"/>
          <w:u w:val="single"/>
        </w:rPr>
        <w:t xml:space="preserve">  </w:t>
      </w:r>
    </w:p>
    <w:p w14:paraId="79735406" w14:textId="77777777" w:rsidR="00F5615F" w:rsidRPr="00F5615F" w:rsidRDefault="00F5615F" w:rsidP="00F5615F"/>
    <w:p w14:paraId="311EA5D6" w14:textId="77777777" w:rsidR="00382E0C" w:rsidRPr="00C16FC4" w:rsidRDefault="00382E0C">
      <w:pPr>
        <w:pStyle w:val="Ttulo3"/>
        <w:jc w:val="center"/>
        <w:rPr>
          <w:rFonts w:ascii="Verdana" w:hAnsi="Verdana"/>
          <w:i/>
          <w:color w:val="800000"/>
          <w:sz w:val="18"/>
          <w:szCs w:val="18"/>
          <w:u w:val="single"/>
        </w:rPr>
      </w:pPr>
      <w:r w:rsidRPr="00C16FC4">
        <w:rPr>
          <w:rFonts w:ascii="Verdana" w:hAnsi="Verdana"/>
          <w:i/>
          <w:color w:val="800000"/>
          <w:sz w:val="18"/>
          <w:szCs w:val="18"/>
          <w:u w:val="single"/>
        </w:rPr>
        <w:t>SUMARIO</w:t>
      </w:r>
    </w:p>
    <w:p w14:paraId="7FCCDE60" w14:textId="77777777" w:rsidR="00382E0C" w:rsidRPr="00C16FC4" w:rsidRDefault="00382E0C" w:rsidP="00334CEE">
      <w:pPr>
        <w:tabs>
          <w:tab w:val="num" w:pos="426"/>
        </w:tabs>
        <w:ind w:left="426"/>
        <w:jc w:val="both"/>
        <w:rPr>
          <w:rFonts w:ascii="Verdana" w:hAnsi="Verdana"/>
          <w:b/>
          <w:bCs/>
          <w:i/>
          <w:color w:val="800000"/>
          <w:sz w:val="18"/>
          <w:szCs w:val="18"/>
        </w:rPr>
      </w:pPr>
    </w:p>
    <w:p w14:paraId="70D85A03" w14:textId="5D4A3A1D" w:rsidR="003F1BD0" w:rsidRPr="003F1BD0" w:rsidRDefault="00F714DB">
      <w:pPr>
        <w:pStyle w:val="Prrafodelista"/>
        <w:numPr>
          <w:ilvl w:val="0"/>
          <w:numId w:val="1"/>
        </w:numPr>
        <w:tabs>
          <w:tab w:val="num" w:pos="284"/>
        </w:tabs>
        <w:ind w:left="284" w:hanging="284"/>
        <w:jc w:val="both"/>
        <w:rPr>
          <w:rFonts w:ascii="Verdana" w:hAnsi="Verdana"/>
          <w:b/>
          <w:bCs/>
          <w:i/>
          <w:iCs/>
          <w:color w:val="800000"/>
          <w:sz w:val="18"/>
          <w:szCs w:val="18"/>
        </w:rPr>
      </w:pPr>
      <w:r w:rsidRPr="00F714DB">
        <w:rPr>
          <w:rFonts w:ascii="Verdana" w:hAnsi="Verdana"/>
          <w:b/>
          <w:bCs/>
          <w:i/>
          <w:iCs/>
          <w:color w:val="800000"/>
          <w:sz w:val="18"/>
          <w:szCs w:val="18"/>
        </w:rPr>
        <w:t>UEFA CHAMPIONS LEAGUE MASCULINA 2027: RÉGIMEN FISCAL ESPECIAL PARA LA ORGANIZACIÓN Y PARTICIPANTES</w:t>
      </w:r>
    </w:p>
    <w:p w14:paraId="6F18CEF6" w14:textId="77777777" w:rsidR="00F714DB" w:rsidRDefault="00F714DB" w:rsidP="00F714DB">
      <w:pPr>
        <w:tabs>
          <w:tab w:val="num" w:pos="284"/>
        </w:tabs>
        <w:ind w:left="284"/>
        <w:jc w:val="both"/>
        <w:rPr>
          <w:rFonts w:ascii="Verdana" w:hAnsi="Verdana"/>
          <w:b/>
          <w:bCs/>
          <w:i/>
          <w:iCs/>
          <w:color w:val="800000"/>
          <w:sz w:val="18"/>
          <w:szCs w:val="18"/>
        </w:rPr>
      </w:pPr>
      <w:r w:rsidRPr="00F714DB">
        <w:rPr>
          <w:rFonts w:ascii="Verdana" w:hAnsi="Verdana"/>
          <w:b/>
          <w:bCs/>
          <w:i/>
          <w:iCs/>
          <w:color w:val="800000"/>
          <w:sz w:val="18"/>
          <w:szCs w:val="18"/>
        </w:rPr>
        <w:t xml:space="preserve">El Real Decreto-ley 12/2026, de 26 de mayo, declara la Final de la UEFA Champions League Masculina 2027 como acontecimiento de excepcional interés público y establece un conjunto de medidas fiscales y aduaneras destinadas a garantizar el cumplimiento de los compromisos asumidos por España ante la UEFA tras la designación del Estadio Metropolitano de Madrid como sede de la final, prevista para el 5 de junio de 2027. </w:t>
      </w:r>
    </w:p>
    <w:p w14:paraId="4AE8303D" w14:textId="77777777" w:rsidR="00F061EB" w:rsidRDefault="00F061EB" w:rsidP="00F714DB">
      <w:pPr>
        <w:tabs>
          <w:tab w:val="num" w:pos="284"/>
        </w:tabs>
        <w:ind w:left="284"/>
        <w:jc w:val="both"/>
        <w:rPr>
          <w:rFonts w:ascii="Verdana" w:hAnsi="Verdana"/>
          <w:b/>
          <w:bCs/>
          <w:i/>
          <w:iCs/>
          <w:color w:val="800000"/>
          <w:sz w:val="18"/>
          <w:szCs w:val="18"/>
        </w:rPr>
      </w:pPr>
    </w:p>
    <w:p w14:paraId="445306F4" w14:textId="675CD263" w:rsidR="00F061EB" w:rsidRPr="00F061EB" w:rsidRDefault="00F061EB">
      <w:pPr>
        <w:pStyle w:val="Prrafodelista"/>
        <w:numPr>
          <w:ilvl w:val="0"/>
          <w:numId w:val="38"/>
        </w:numPr>
        <w:tabs>
          <w:tab w:val="num" w:pos="284"/>
        </w:tabs>
        <w:ind w:left="284" w:hanging="284"/>
        <w:jc w:val="both"/>
        <w:rPr>
          <w:rFonts w:ascii="Verdana" w:hAnsi="Verdana"/>
          <w:b/>
          <w:bCs/>
          <w:i/>
          <w:iCs/>
          <w:color w:val="800000"/>
          <w:sz w:val="18"/>
          <w:szCs w:val="18"/>
        </w:rPr>
      </w:pPr>
      <w:r>
        <w:rPr>
          <w:rFonts w:ascii="Verdana" w:hAnsi="Verdana"/>
          <w:b/>
          <w:bCs/>
          <w:i/>
          <w:iCs/>
          <w:color w:val="800000"/>
          <w:sz w:val="18"/>
          <w:szCs w:val="18"/>
        </w:rPr>
        <w:t xml:space="preserve">IVA.- </w:t>
      </w:r>
      <w:r w:rsidRPr="00F061EB">
        <w:rPr>
          <w:rFonts w:ascii="Verdana" w:hAnsi="Verdana"/>
          <w:b/>
          <w:bCs/>
          <w:i/>
          <w:iCs/>
          <w:color w:val="800000"/>
          <w:sz w:val="18"/>
          <w:szCs w:val="18"/>
        </w:rPr>
        <w:t>GASTOS ASUMIDOS POR LA ENTIDAD EN BENEFICIO DE SUS EMPLEADOS (RESTAURACIÓN, ACTIVIDADES DEPORTIVAS, GIMNASIO O CARRERAS) QUE SON ATENCIONES A EMPLEADOS SIN DERECHO A DEDUCCIÓN EN IVA</w:t>
      </w:r>
    </w:p>
    <w:p w14:paraId="675F125A" w14:textId="2F712E90" w:rsidR="004E793E" w:rsidRDefault="00F061EB" w:rsidP="000F2B15">
      <w:pPr>
        <w:tabs>
          <w:tab w:val="num" w:pos="284"/>
        </w:tabs>
        <w:ind w:left="284"/>
        <w:jc w:val="both"/>
        <w:rPr>
          <w:rFonts w:ascii="Verdana" w:hAnsi="Verdana"/>
          <w:b/>
          <w:bCs/>
          <w:i/>
          <w:iCs/>
          <w:color w:val="800000"/>
          <w:sz w:val="18"/>
          <w:szCs w:val="18"/>
        </w:rPr>
      </w:pPr>
      <w:r w:rsidRPr="00F061EB">
        <w:rPr>
          <w:rFonts w:ascii="Verdana" w:hAnsi="Verdana"/>
          <w:b/>
          <w:bCs/>
          <w:i/>
          <w:iCs/>
          <w:color w:val="800000"/>
          <w:sz w:val="18"/>
          <w:szCs w:val="18"/>
        </w:rPr>
        <w:t>El Tribunal Económico-Administrativo Central (TEAC), en su resolución RG 8931/2023, de 24 de marzo de 2026, realiza un amplio análisis sobre la deducibilidad del IVA soportado en distintos tipos de gastos empresariales, reforzando un criterio especialmente estricto respecto al requisito de afectación directa a la actividad económica.</w:t>
      </w:r>
    </w:p>
    <w:p w14:paraId="31EB1981" w14:textId="77777777" w:rsidR="00744FFC" w:rsidRDefault="00744FFC" w:rsidP="000F2B15">
      <w:pPr>
        <w:tabs>
          <w:tab w:val="num" w:pos="284"/>
        </w:tabs>
        <w:ind w:left="284"/>
        <w:jc w:val="both"/>
        <w:rPr>
          <w:rFonts w:ascii="Verdana" w:hAnsi="Verdana"/>
          <w:b/>
          <w:bCs/>
          <w:i/>
          <w:iCs/>
          <w:color w:val="800000"/>
          <w:sz w:val="18"/>
          <w:szCs w:val="18"/>
        </w:rPr>
      </w:pPr>
    </w:p>
    <w:p w14:paraId="223775ED" w14:textId="6EFFFED2" w:rsidR="00744FFC" w:rsidRPr="00744FFC" w:rsidRDefault="00744FFC">
      <w:pPr>
        <w:pStyle w:val="Prrafodelista"/>
        <w:numPr>
          <w:ilvl w:val="0"/>
          <w:numId w:val="38"/>
        </w:numPr>
        <w:tabs>
          <w:tab w:val="num" w:pos="284"/>
        </w:tabs>
        <w:ind w:left="284" w:hanging="284"/>
        <w:jc w:val="both"/>
        <w:rPr>
          <w:rFonts w:ascii="Verdana" w:hAnsi="Verdana"/>
          <w:b/>
          <w:bCs/>
          <w:i/>
          <w:iCs/>
          <w:color w:val="800000"/>
          <w:sz w:val="18"/>
          <w:szCs w:val="18"/>
        </w:rPr>
      </w:pPr>
      <w:r>
        <w:rPr>
          <w:rFonts w:ascii="Verdana" w:hAnsi="Verdana"/>
          <w:b/>
          <w:bCs/>
          <w:i/>
          <w:iCs/>
          <w:color w:val="800000"/>
          <w:sz w:val="18"/>
          <w:szCs w:val="18"/>
        </w:rPr>
        <w:t xml:space="preserve">IVA.- </w:t>
      </w:r>
      <w:r w:rsidRPr="00744FFC">
        <w:rPr>
          <w:rFonts w:ascii="Verdana" w:hAnsi="Verdana"/>
          <w:b/>
          <w:bCs/>
          <w:i/>
          <w:iCs/>
          <w:color w:val="800000"/>
          <w:sz w:val="18"/>
          <w:szCs w:val="18"/>
        </w:rPr>
        <w:t>ANULACIÓN DE DESCUENTOS COMERCIALES, FACTURAS RECTIFICATIVAS Y DERECHO A LA DEDUCCIÓN</w:t>
      </w:r>
    </w:p>
    <w:p w14:paraId="1348100B" w14:textId="0106F935" w:rsidR="002E245A" w:rsidRDefault="00744FFC" w:rsidP="002E245A">
      <w:pPr>
        <w:pStyle w:val="Prrafodelista"/>
        <w:ind w:left="284"/>
        <w:jc w:val="both"/>
        <w:rPr>
          <w:rFonts w:ascii="Verdana" w:hAnsi="Verdana"/>
          <w:b/>
          <w:bCs/>
          <w:i/>
          <w:color w:val="800000"/>
          <w:sz w:val="18"/>
          <w:szCs w:val="18"/>
        </w:rPr>
      </w:pPr>
      <w:r w:rsidRPr="00744FFC">
        <w:rPr>
          <w:rFonts w:ascii="Verdana" w:hAnsi="Verdana"/>
          <w:b/>
          <w:bCs/>
          <w:i/>
          <w:color w:val="800000"/>
          <w:sz w:val="18"/>
          <w:szCs w:val="18"/>
        </w:rPr>
        <w:t>La Dirección General de Tributos analiza las consecuencias en el IVA derivadas de la anulación de descuentos comerciales previamente concedidos por un proveedor tras un procedimiento de comprobación tributaria, así como el tratamiento de determinadas autofacturas emitidas en virtud de un contrato de exclusividad.</w:t>
      </w:r>
    </w:p>
    <w:p w14:paraId="42A246D2" w14:textId="77777777" w:rsidR="001C4926" w:rsidRDefault="001C4926" w:rsidP="002E245A">
      <w:pPr>
        <w:pStyle w:val="Prrafodelista"/>
        <w:ind w:left="284"/>
        <w:jc w:val="both"/>
        <w:rPr>
          <w:rFonts w:ascii="Verdana" w:hAnsi="Verdana"/>
          <w:b/>
          <w:bCs/>
          <w:i/>
          <w:color w:val="800000"/>
          <w:sz w:val="18"/>
          <w:szCs w:val="18"/>
        </w:rPr>
      </w:pPr>
    </w:p>
    <w:p w14:paraId="647A85AC" w14:textId="6DDFBCD7" w:rsidR="001C4926" w:rsidRDefault="001C4926">
      <w:pPr>
        <w:pStyle w:val="Prrafodelista"/>
        <w:numPr>
          <w:ilvl w:val="0"/>
          <w:numId w:val="38"/>
        </w:numPr>
        <w:ind w:left="284" w:hanging="284"/>
        <w:jc w:val="both"/>
        <w:rPr>
          <w:rFonts w:ascii="Verdana" w:hAnsi="Verdana"/>
          <w:b/>
          <w:bCs/>
          <w:i/>
          <w:color w:val="800000"/>
          <w:sz w:val="18"/>
          <w:szCs w:val="18"/>
        </w:rPr>
      </w:pPr>
      <w:r>
        <w:rPr>
          <w:rFonts w:ascii="Verdana" w:hAnsi="Verdana"/>
          <w:b/>
          <w:bCs/>
          <w:i/>
          <w:color w:val="800000"/>
          <w:sz w:val="18"/>
          <w:szCs w:val="18"/>
        </w:rPr>
        <w:t>ISD.– TRATAMIENTO DEL INGRESO EN UNA CUENTA COMÚN POR LA VENTA DE UN BIEN PRIVATIVO</w:t>
      </w:r>
    </w:p>
    <w:p w14:paraId="04704A65" w14:textId="168AB735" w:rsidR="00744FFC" w:rsidRDefault="001C4926" w:rsidP="002E245A">
      <w:pPr>
        <w:pStyle w:val="Prrafodelista"/>
        <w:ind w:left="284"/>
        <w:jc w:val="both"/>
        <w:rPr>
          <w:rFonts w:ascii="Verdana" w:hAnsi="Verdana"/>
          <w:b/>
          <w:bCs/>
          <w:i/>
          <w:color w:val="800000"/>
          <w:sz w:val="18"/>
          <w:szCs w:val="18"/>
        </w:rPr>
      </w:pPr>
      <w:r w:rsidRPr="001C4926">
        <w:rPr>
          <w:rFonts w:ascii="Verdana" w:hAnsi="Verdana"/>
          <w:b/>
          <w:bCs/>
          <w:i/>
          <w:color w:val="800000"/>
          <w:sz w:val="18"/>
          <w:szCs w:val="18"/>
        </w:rPr>
        <w:t>La Dirección General de Tributos analiza si el ingreso en una cuenta bancaria compartida del importe obtenido por la venta de un inmueble privativo de uno de los cónyuges supone, por sí mismo, una donación al otro cotitular de la cuenta.</w:t>
      </w:r>
    </w:p>
    <w:p w14:paraId="2C068BFB" w14:textId="77777777" w:rsidR="00E25E2D" w:rsidRDefault="00E25E2D" w:rsidP="002E245A">
      <w:pPr>
        <w:pStyle w:val="Prrafodelista"/>
        <w:ind w:left="284"/>
        <w:jc w:val="both"/>
        <w:rPr>
          <w:rFonts w:ascii="Verdana" w:hAnsi="Verdana"/>
          <w:b/>
          <w:bCs/>
          <w:i/>
          <w:color w:val="800000"/>
          <w:sz w:val="18"/>
          <w:szCs w:val="18"/>
        </w:rPr>
      </w:pPr>
    </w:p>
    <w:p w14:paraId="12BE2DA7" w14:textId="3B5C7C5E" w:rsidR="00E25E2D" w:rsidRDefault="00E25E2D">
      <w:pPr>
        <w:pStyle w:val="Prrafodelista"/>
        <w:numPr>
          <w:ilvl w:val="0"/>
          <w:numId w:val="42"/>
        </w:numPr>
        <w:ind w:left="284" w:hanging="284"/>
        <w:jc w:val="both"/>
        <w:rPr>
          <w:rFonts w:ascii="Verdana" w:hAnsi="Verdana"/>
          <w:b/>
          <w:bCs/>
          <w:i/>
          <w:color w:val="800000"/>
          <w:sz w:val="18"/>
          <w:szCs w:val="18"/>
        </w:rPr>
      </w:pPr>
      <w:r>
        <w:rPr>
          <w:rFonts w:ascii="Verdana" w:hAnsi="Verdana"/>
          <w:b/>
          <w:bCs/>
          <w:i/>
          <w:color w:val="800000"/>
          <w:sz w:val="18"/>
          <w:szCs w:val="18"/>
        </w:rPr>
        <w:t xml:space="preserve">LGT.- </w:t>
      </w:r>
      <w:r w:rsidRPr="00E25E2D">
        <w:rPr>
          <w:rFonts w:ascii="Verdana" w:hAnsi="Verdana"/>
          <w:b/>
          <w:bCs/>
          <w:i/>
          <w:color w:val="800000"/>
          <w:sz w:val="18"/>
          <w:szCs w:val="18"/>
        </w:rPr>
        <w:t>INTRANSMISIBILIDAD DE LA RESPONSABILIDAD SUBSIDIARIA DEL ARTÍCULO 43.1.A) LGT POR FALLECIMIENTO DEL RESPONSABLE</w:t>
      </w:r>
    </w:p>
    <w:p w14:paraId="2BD79CCA" w14:textId="22884FE8" w:rsidR="00744FFC" w:rsidRDefault="00E25E2D" w:rsidP="002E245A">
      <w:pPr>
        <w:pStyle w:val="Prrafodelista"/>
        <w:ind w:left="284"/>
        <w:jc w:val="both"/>
        <w:rPr>
          <w:rFonts w:ascii="Verdana" w:hAnsi="Verdana"/>
          <w:b/>
          <w:bCs/>
          <w:i/>
          <w:color w:val="800000"/>
          <w:sz w:val="18"/>
          <w:szCs w:val="18"/>
        </w:rPr>
      </w:pPr>
      <w:r w:rsidRPr="00E25E2D">
        <w:rPr>
          <w:rFonts w:ascii="Verdana" w:hAnsi="Verdana"/>
          <w:b/>
          <w:bCs/>
          <w:i/>
          <w:color w:val="800000"/>
          <w:sz w:val="18"/>
          <w:szCs w:val="18"/>
        </w:rPr>
        <w:t>La responsabilidad tributaria subsidiaria se extingue por el fallecimiento del responsable, su naturaleza sancionadora impide la transmisión mortis causa a sus herederos</w:t>
      </w:r>
      <w:r w:rsidR="0033095A">
        <w:rPr>
          <w:rFonts w:ascii="Verdana" w:hAnsi="Verdana"/>
          <w:b/>
          <w:bCs/>
          <w:i/>
          <w:color w:val="800000"/>
          <w:sz w:val="18"/>
          <w:szCs w:val="18"/>
        </w:rPr>
        <w:t>.</w:t>
      </w:r>
    </w:p>
    <w:p w14:paraId="38065F2A" w14:textId="77777777" w:rsidR="0033095A" w:rsidRDefault="0033095A" w:rsidP="002E245A">
      <w:pPr>
        <w:pStyle w:val="Prrafodelista"/>
        <w:ind w:left="284"/>
        <w:jc w:val="both"/>
        <w:rPr>
          <w:rFonts w:ascii="Verdana" w:hAnsi="Verdana"/>
          <w:b/>
          <w:bCs/>
          <w:i/>
          <w:color w:val="800000"/>
          <w:sz w:val="18"/>
          <w:szCs w:val="18"/>
        </w:rPr>
      </w:pPr>
    </w:p>
    <w:p w14:paraId="5BBA8C56" w14:textId="661BEA27" w:rsidR="0033095A" w:rsidRDefault="0033095A">
      <w:pPr>
        <w:pStyle w:val="Prrafodelista"/>
        <w:numPr>
          <w:ilvl w:val="0"/>
          <w:numId w:val="42"/>
        </w:numPr>
        <w:ind w:left="284" w:hanging="284"/>
        <w:jc w:val="both"/>
        <w:rPr>
          <w:rFonts w:ascii="Verdana" w:hAnsi="Verdana"/>
          <w:b/>
          <w:bCs/>
          <w:i/>
          <w:color w:val="800000"/>
          <w:sz w:val="18"/>
          <w:szCs w:val="18"/>
        </w:rPr>
      </w:pPr>
      <w:r>
        <w:rPr>
          <w:rFonts w:ascii="Verdana" w:hAnsi="Verdana"/>
          <w:b/>
          <w:bCs/>
          <w:i/>
          <w:color w:val="800000"/>
          <w:sz w:val="18"/>
          <w:szCs w:val="18"/>
        </w:rPr>
        <w:t xml:space="preserve">AJD.- </w:t>
      </w:r>
      <w:r w:rsidRPr="0033095A">
        <w:rPr>
          <w:rFonts w:ascii="Verdana" w:hAnsi="Verdana"/>
          <w:b/>
          <w:bCs/>
          <w:i/>
          <w:color w:val="800000"/>
          <w:sz w:val="18"/>
          <w:szCs w:val="18"/>
        </w:rPr>
        <w:t>EL COSTE DE LA OBRA NUEVA NO SE ACTUALIZA A EFECTOS DEL IMPUESTO DE AJD, AUNQUE LA ESCRITURA SE OTORGUE AÑOS DESPUÉS</w:t>
      </w:r>
    </w:p>
    <w:p w14:paraId="569CA7E3" w14:textId="08955984" w:rsidR="002E245A" w:rsidRDefault="0033095A" w:rsidP="002E245A">
      <w:pPr>
        <w:pStyle w:val="Prrafodelista"/>
        <w:ind w:left="284"/>
        <w:jc w:val="both"/>
        <w:rPr>
          <w:rFonts w:ascii="Verdana" w:hAnsi="Verdana"/>
          <w:b/>
          <w:bCs/>
          <w:i/>
          <w:color w:val="800000"/>
          <w:sz w:val="18"/>
          <w:szCs w:val="18"/>
        </w:rPr>
      </w:pPr>
      <w:r w:rsidRPr="0033095A">
        <w:rPr>
          <w:rFonts w:ascii="Verdana" w:hAnsi="Verdana"/>
          <w:b/>
          <w:bCs/>
          <w:i/>
          <w:color w:val="800000"/>
          <w:sz w:val="18"/>
          <w:szCs w:val="18"/>
        </w:rPr>
        <w:t xml:space="preserve">Según el </w:t>
      </w:r>
      <w:r>
        <w:rPr>
          <w:rFonts w:ascii="Verdana" w:hAnsi="Verdana"/>
          <w:b/>
          <w:bCs/>
          <w:i/>
          <w:color w:val="800000"/>
          <w:sz w:val="18"/>
          <w:szCs w:val="18"/>
        </w:rPr>
        <w:t xml:space="preserve">Tribunal </w:t>
      </w:r>
      <w:r w:rsidR="00443FF2">
        <w:rPr>
          <w:rFonts w:ascii="Verdana" w:hAnsi="Verdana"/>
          <w:b/>
          <w:bCs/>
          <w:i/>
          <w:color w:val="800000"/>
          <w:sz w:val="18"/>
          <w:szCs w:val="18"/>
        </w:rPr>
        <w:t>Supremo</w:t>
      </w:r>
      <w:r w:rsidRPr="0033095A">
        <w:rPr>
          <w:rFonts w:ascii="Verdana" w:hAnsi="Verdana"/>
          <w:b/>
          <w:bCs/>
          <w:i/>
          <w:color w:val="800000"/>
          <w:sz w:val="18"/>
          <w:szCs w:val="18"/>
        </w:rPr>
        <w:t>, el reglamento del impuesto es claro al establecer que la base imponible del impuesto es el valor real de coste de la obra nueva que se declare, sin mencionar el valor de mercado y sin prever coeficientes de actualización.</w:t>
      </w:r>
    </w:p>
    <w:p w14:paraId="3E6B8B10" w14:textId="77777777" w:rsidR="00C53B76" w:rsidRDefault="00C53B76" w:rsidP="002E245A">
      <w:pPr>
        <w:pStyle w:val="Prrafodelista"/>
        <w:ind w:left="284"/>
        <w:jc w:val="both"/>
        <w:rPr>
          <w:rFonts w:ascii="Verdana" w:hAnsi="Verdana"/>
          <w:b/>
          <w:bCs/>
          <w:i/>
          <w:color w:val="800000"/>
          <w:sz w:val="18"/>
          <w:szCs w:val="18"/>
        </w:rPr>
      </w:pPr>
    </w:p>
    <w:p w14:paraId="51F608DF" w14:textId="57F2C95C" w:rsidR="00C53B76" w:rsidRDefault="00C53B76" w:rsidP="00C53B76">
      <w:pPr>
        <w:pStyle w:val="Prrafodelista"/>
        <w:numPr>
          <w:ilvl w:val="0"/>
          <w:numId w:val="45"/>
        </w:numPr>
        <w:ind w:left="284" w:hanging="284"/>
        <w:jc w:val="both"/>
        <w:rPr>
          <w:rFonts w:ascii="Verdana" w:hAnsi="Verdana"/>
          <w:b/>
          <w:bCs/>
          <w:i/>
          <w:color w:val="800000"/>
          <w:sz w:val="18"/>
          <w:szCs w:val="18"/>
        </w:rPr>
      </w:pPr>
      <w:r>
        <w:rPr>
          <w:rFonts w:ascii="Verdana" w:hAnsi="Verdana"/>
          <w:b/>
          <w:bCs/>
          <w:i/>
          <w:color w:val="800000"/>
          <w:sz w:val="18"/>
          <w:szCs w:val="18"/>
        </w:rPr>
        <w:t xml:space="preserve">IP.- </w:t>
      </w:r>
      <w:r w:rsidRPr="00C53B76">
        <w:rPr>
          <w:rFonts w:ascii="Verdana" w:hAnsi="Verdana"/>
          <w:b/>
          <w:bCs/>
          <w:i/>
          <w:color w:val="800000"/>
          <w:sz w:val="18"/>
          <w:szCs w:val="18"/>
        </w:rPr>
        <w:t>IMPUESTO SOBRE EL PATRIMONIO: LA DGT FLEXIBILIZA EL REQUISITO DE REMUNERACIÓN EN ESTRUCTURAS HOLDING TRAS UNA REESTRUCTURACIÓN SOCIETARIA</w:t>
      </w:r>
    </w:p>
    <w:p w14:paraId="13D78ECF" w14:textId="3AE85B66" w:rsidR="0033095A" w:rsidRDefault="00C53B76" w:rsidP="002E245A">
      <w:pPr>
        <w:pStyle w:val="Prrafodelista"/>
        <w:ind w:left="284"/>
        <w:jc w:val="both"/>
        <w:rPr>
          <w:rFonts w:ascii="Verdana" w:hAnsi="Verdana"/>
          <w:b/>
          <w:bCs/>
          <w:i/>
          <w:color w:val="800000"/>
          <w:sz w:val="18"/>
          <w:szCs w:val="18"/>
        </w:rPr>
      </w:pPr>
      <w:r w:rsidRPr="00C53B76">
        <w:rPr>
          <w:rFonts w:ascii="Verdana" w:hAnsi="Verdana"/>
          <w:b/>
          <w:bCs/>
          <w:i/>
          <w:color w:val="800000"/>
          <w:sz w:val="18"/>
          <w:szCs w:val="18"/>
        </w:rPr>
        <w:t>La Dirección General de Tributos, en la consulta vinculante V0145-26, de 27 de enero de 2026, analiza el cumplimiento del requisito de la “principal fuente de renta” exigido para la aplicación de la exención en el Impuesto sobre el Patrimonio</w:t>
      </w:r>
      <w:r>
        <w:rPr>
          <w:rFonts w:ascii="Verdana" w:hAnsi="Verdana"/>
          <w:b/>
          <w:bCs/>
          <w:i/>
          <w:color w:val="800000"/>
          <w:sz w:val="18"/>
          <w:szCs w:val="18"/>
        </w:rPr>
        <w:t>.</w:t>
      </w:r>
    </w:p>
    <w:p w14:paraId="6D99D03C" w14:textId="77777777" w:rsidR="00AE3E73" w:rsidRDefault="00AE3E73" w:rsidP="002E245A">
      <w:pPr>
        <w:pStyle w:val="Prrafodelista"/>
        <w:ind w:left="284"/>
        <w:jc w:val="both"/>
        <w:rPr>
          <w:rFonts w:ascii="Verdana" w:hAnsi="Verdana"/>
          <w:b/>
          <w:bCs/>
          <w:i/>
          <w:color w:val="800000"/>
          <w:sz w:val="18"/>
          <w:szCs w:val="18"/>
        </w:rPr>
      </w:pPr>
    </w:p>
    <w:p w14:paraId="7F5AC70A" w14:textId="759830B3" w:rsidR="00AE3E73" w:rsidRDefault="00AE3E73" w:rsidP="00ED5853">
      <w:pPr>
        <w:pStyle w:val="Prrafodelista"/>
        <w:numPr>
          <w:ilvl w:val="0"/>
          <w:numId w:val="46"/>
        </w:numPr>
        <w:ind w:left="284" w:hanging="284"/>
        <w:jc w:val="both"/>
        <w:rPr>
          <w:rFonts w:ascii="Verdana" w:hAnsi="Verdana"/>
          <w:b/>
          <w:bCs/>
          <w:i/>
          <w:color w:val="800000"/>
          <w:sz w:val="18"/>
          <w:szCs w:val="18"/>
        </w:rPr>
      </w:pPr>
      <w:r>
        <w:rPr>
          <w:rFonts w:ascii="Verdana" w:hAnsi="Verdana"/>
          <w:b/>
          <w:bCs/>
          <w:i/>
          <w:color w:val="800000"/>
          <w:sz w:val="18"/>
          <w:szCs w:val="18"/>
        </w:rPr>
        <w:lastRenderedPageBreak/>
        <w:t>E</w:t>
      </w:r>
      <w:r w:rsidRPr="00AE3E73">
        <w:rPr>
          <w:rFonts w:ascii="Verdana" w:hAnsi="Verdana"/>
          <w:b/>
          <w:bCs/>
          <w:i/>
          <w:color w:val="800000"/>
          <w:sz w:val="18"/>
          <w:szCs w:val="18"/>
        </w:rPr>
        <w:t>XENCIÓN EN EL IMPUESTO SOBRE EL PATRIMONIO E ITSGF DE LOS SALDOS LÍQUIDOS AFECTOS A UNA ACTIVIDAD ECONÓMICA</w:t>
      </w:r>
    </w:p>
    <w:p w14:paraId="603D7215" w14:textId="0BC1B9ED" w:rsidR="00AE3E73" w:rsidRDefault="00AE3E73" w:rsidP="00AE3E73">
      <w:pPr>
        <w:pStyle w:val="Prrafodelista"/>
        <w:ind w:left="284"/>
        <w:jc w:val="both"/>
        <w:rPr>
          <w:rFonts w:ascii="Verdana" w:hAnsi="Verdana"/>
          <w:b/>
          <w:bCs/>
          <w:i/>
          <w:color w:val="800000"/>
          <w:sz w:val="18"/>
          <w:szCs w:val="18"/>
        </w:rPr>
      </w:pPr>
      <w:r w:rsidRPr="00AE3E73">
        <w:rPr>
          <w:rFonts w:ascii="Verdana" w:hAnsi="Verdana"/>
          <w:b/>
          <w:bCs/>
          <w:i/>
          <w:color w:val="800000"/>
          <w:sz w:val="18"/>
          <w:szCs w:val="18"/>
        </w:rPr>
        <w:t>A efectos de la consideración de los saldos líquidos de las cuentas bancarias como elementos afectos a una actividad económica y su posible exención en el IP y en el ISGF, es preciso analizar la adecuación y proporcionalidad de los elementos de que se trate al resto de los activos afectos a la actividad</w:t>
      </w:r>
      <w:r w:rsidR="00564FCB">
        <w:rPr>
          <w:rFonts w:ascii="Verdana" w:hAnsi="Verdana"/>
          <w:b/>
          <w:bCs/>
          <w:i/>
          <w:color w:val="800000"/>
          <w:sz w:val="18"/>
          <w:szCs w:val="18"/>
        </w:rPr>
        <w:t>.</w:t>
      </w:r>
    </w:p>
    <w:p w14:paraId="6CBC46D9" w14:textId="77777777" w:rsidR="00564FCB" w:rsidRDefault="00564FCB" w:rsidP="00AE3E73">
      <w:pPr>
        <w:pStyle w:val="Prrafodelista"/>
        <w:ind w:left="284"/>
        <w:jc w:val="both"/>
        <w:rPr>
          <w:rFonts w:ascii="Verdana" w:hAnsi="Verdana"/>
          <w:b/>
          <w:bCs/>
          <w:i/>
          <w:color w:val="800000"/>
          <w:sz w:val="18"/>
          <w:szCs w:val="18"/>
        </w:rPr>
      </w:pPr>
    </w:p>
    <w:p w14:paraId="5113A8DA" w14:textId="1823BD8B" w:rsidR="00564FCB" w:rsidRDefault="00564FCB" w:rsidP="00ED5853">
      <w:pPr>
        <w:pStyle w:val="Prrafodelista"/>
        <w:numPr>
          <w:ilvl w:val="0"/>
          <w:numId w:val="46"/>
        </w:numPr>
        <w:ind w:left="284" w:hanging="284"/>
        <w:jc w:val="both"/>
        <w:rPr>
          <w:rFonts w:ascii="Verdana" w:hAnsi="Verdana"/>
          <w:b/>
          <w:bCs/>
          <w:i/>
          <w:color w:val="800000"/>
          <w:sz w:val="18"/>
          <w:szCs w:val="18"/>
        </w:rPr>
      </w:pPr>
      <w:r>
        <w:rPr>
          <w:rFonts w:ascii="Verdana" w:hAnsi="Verdana"/>
          <w:b/>
          <w:bCs/>
          <w:i/>
          <w:color w:val="800000"/>
          <w:sz w:val="18"/>
          <w:szCs w:val="18"/>
        </w:rPr>
        <w:t xml:space="preserve">IVA.- </w:t>
      </w:r>
      <w:r w:rsidRPr="00564FCB">
        <w:rPr>
          <w:rFonts w:ascii="Verdana" w:hAnsi="Verdana"/>
          <w:b/>
          <w:bCs/>
          <w:i/>
          <w:color w:val="800000"/>
          <w:sz w:val="18"/>
          <w:szCs w:val="18"/>
        </w:rPr>
        <w:t>RENUNCIA TÁCITA A LA EXENCIÓN DE IVA EN OPERACIONES INMOBILIARIAS: ES SUFICIENTE QUE EL ADQUIRENTE SEA EMPRESARIO Y QUE CONSTE EN LA ESCRITURA PÚBLICA DE COMPRAVENTA QUE SE HA EFECTUADO LA REPERCUSIÓN DEL IVA</w:t>
      </w:r>
    </w:p>
    <w:p w14:paraId="23A07B2C" w14:textId="705DC132" w:rsidR="0033095A" w:rsidRDefault="00564FCB" w:rsidP="002E245A">
      <w:pPr>
        <w:pStyle w:val="Prrafodelista"/>
        <w:ind w:left="284"/>
        <w:jc w:val="both"/>
        <w:rPr>
          <w:rFonts w:ascii="Verdana" w:hAnsi="Verdana"/>
          <w:b/>
          <w:bCs/>
          <w:i/>
          <w:color w:val="800000"/>
          <w:sz w:val="18"/>
          <w:szCs w:val="18"/>
        </w:rPr>
      </w:pPr>
      <w:r>
        <w:rPr>
          <w:rFonts w:ascii="Verdana" w:hAnsi="Verdana"/>
          <w:b/>
          <w:bCs/>
          <w:i/>
          <w:iCs/>
          <w:color w:val="800000"/>
          <w:sz w:val="18"/>
          <w:szCs w:val="18"/>
        </w:rPr>
        <w:t>El TEAC delimita</w:t>
      </w:r>
      <w:r w:rsidRPr="00564FCB">
        <w:rPr>
          <w:rFonts w:ascii="Verdana" w:hAnsi="Verdana"/>
          <w:b/>
          <w:bCs/>
          <w:i/>
          <w:iCs/>
          <w:color w:val="800000"/>
          <w:sz w:val="18"/>
          <w:szCs w:val="18"/>
        </w:rPr>
        <w:t xml:space="preserve"> entre IVA e ITPAJD en la transmisión de inmuebles: análisis de los requisitos de rehabilitación a efectos del art. 20.Uno.22º de la Ley del IVA y efectos de la renuncia tácita a la exención.</w:t>
      </w:r>
    </w:p>
    <w:p w14:paraId="02BD3EF4" w14:textId="77777777" w:rsidR="00564FCB" w:rsidRDefault="00564FCB" w:rsidP="002E245A">
      <w:pPr>
        <w:pStyle w:val="Prrafodelista"/>
        <w:ind w:left="284"/>
        <w:jc w:val="both"/>
        <w:rPr>
          <w:rFonts w:ascii="Verdana" w:hAnsi="Verdana"/>
          <w:b/>
          <w:bCs/>
          <w:i/>
          <w:color w:val="800000"/>
          <w:sz w:val="18"/>
          <w:szCs w:val="18"/>
        </w:rPr>
      </w:pPr>
    </w:p>
    <w:p w14:paraId="0ED3C0D0" w14:textId="2C5EFF01" w:rsidR="000A7345" w:rsidRPr="004E793E" w:rsidRDefault="000A7345" w:rsidP="004E793E">
      <w:pPr>
        <w:jc w:val="both"/>
        <w:rPr>
          <w:rFonts w:ascii="Verdana" w:hAnsi="Verdana"/>
          <w:b/>
          <w:bCs/>
          <w:i/>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350774" w:rsidRPr="00870B46" w14:paraId="0DCB6959" w14:textId="77777777" w:rsidTr="000E7181">
        <w:tc>
          <w:tcPr>
            <w:tcW w:w="180" w:type="dxa"/>
            <w:shd w:val="clear" w:color="auto" w:fill="FF6600"/>
          </w:tcPr>
          <w:p w14:paraId="7DC6ED64" w14:textId="77777777" w:rsidR="00350774" w:rsidRPr="00870B46" w:rsidRDefault="00350774" w:rsidP="00350774">
            <w:pPr>
              <w:rPr>
                <w:rFonts w:ascii="Verdana" w:hAnsi="Verdana"/>
                <w:b/>
                <w:bCs/>
                <w:color w:val="800000"/>
                <w:sz w:val="18"/>
                <w:szCs w:val="18"/>
              </w:rPr>
            </w:pPr>
            <w:bookmarkStart w:id="0" w:name="_Hlk11578402"/>
          </w:p>
        </w:tc>
        <w:tc>
          <w:tcPr>
            <w:tcW w:w="8460" w:type="dxa"/>
          </w:tcPr>
          <w:p w14:paraId="538E1BC0" w14:textId="6E555255" w:rsidR="00350774" w:rsidRPr="00870B46" w:rsidRDefault="00870B46">
            <w:pPr>
              <w:pStyle w:val="Prrafodelista"/>
              <w:numPr>
                <w:ilvl w:val="0"/>
                <w:numId w:val="2"/>
              </w:numPr>
              <w:tabs>
                <w:tab w:val="num" w:pos="284"/>
              </w:tabs>
              <w:ind w:left="382" w:hanging="283"/>
              <w:jc w:val="both"/>
              <w:rPr>
                <w:rFonts w:ascii="Verdana" w:hAnsi="Verdana"/>
                <w:b/>
                <w:bCs/>
                <w:color w:val="800000"/>
                <w:sz w:val="18"/>
                <w:szCs w:val="18"/>
              </w:rPr>
            </w:pPr>
            <w:r w:rsidRPr="00870B46">
              <w:rPr>
                <w:rFonts w:ascii="Verdana" w:hAnsi="Verdana"/>
                <w:b/>
                <w:bCs/>
                <w:color w:val="800000"/>
                <w:sz w:val="18"/>
                <w:szCs w:val="18"/>
              </w:rPr>
              <w:t>UEFA CHAMPIONS LEAGUE MASCULINA 2027: RÉGIMEN FISCAL ESPECIAL PARA LA ORGANIZACIÓN Y PARTICIPANTES</w:t>
            </w:r>
          </w:p>
        </w:tc>
      </w:tr>
      <w:bookmarkEnd w:id="0"/>
    </w:tbl>
    <w:p w14:paraId="29DCA3B4" w14:textId="77777777" w:rsidR="00D06B13" w:rsidRDefault="00D06B13" w:rsidP="00DA2567">
      <w:pPr>
        <w:tabs>
          <w:tab w:val="left" w:pos="284"/>
        </w:tabs>
        <w:ind w:left="284"/>
        <w:jc w:val="both"/>
        <w:rPr>
          <w:rFonts w:ascii="Verdana" w:hAnsi="Verdana"/>
          <w:sz w:val="18"/>
          <w:szCs w:val="18"/>
        </w:rPr>
      </w:pPr>
    </w:p>
    <w:p w14:paraId="2053EBCC" w14:textId="77777777" w:rsidR="00870B46" w:rsidRPr="00870B46" w:rsidRDefault="00870B46" w:rsidP="00870B46">
      <w:pPr>
        <w:tabs>
          <w:tab w:val="left" w:pos="284"/>
        </w:tabs>
        <w:ind w:left="284"/>
        <w:jc w:val="both"/>
        <w:rPr>
          <w:rFonts w:ascii="Verdana" w:hAnsi="Verdana"/>
          <w:i/>
          <w:iCs/>
          <w:sz w:val="18"/>
          <w:szCs w:val="18"/>
        </w:rPr>
      </w:pPr>
      <w:r w:rsidRPr="00870B46">
        <w:rPr>
          <w:rFonts w:ascii="Verdana" w:hAnsi="Verdana"/>
          <w:i/>
          <w:iCs/>
          <w:sz w:val="18"/>
          <w:szCs w:val="18"/>
        </w:rPr>
        <w:t xml:space="preserve">El Real Decreto-ley 12/2026, de 26 de mayo, declara la Final de la UEFA Champions League Masculina 2027 como acontecimiento de excepcional interés público y establece un conjunto de medidas fiscales y aduaneras destinadas a garantizar el cumplimiento de los compromisos asumidos por España ante la UEFA tras la designación del Estadio Metropolitano de Madrid como sede de la final, prevista para el 5 de junio de 2027. </w:t>
      </w:r>
    </w:p>
    <w:p w14:paraId="4AA7DA98" w14:textId="77777777" w:rsidR="00870B46" w:rsidRPr="00870B46" w:rsidRDefault="00870B46" w:rsidP="00870B46">
      <w:pPr>
        <w:tabs>
          <w:tab w:val="left" w:pos="284"/>
        </w:tabs>
        <w:ind w:left="284"/>
        <w:jc w:val="both"/>
        <w:rPr>
          <w:rFonts w:ascii="Verdana" w:hAnsi="Verdana"/>
          <w:sz w:val="18"/>
          <w:szCs w:val="18"/>
        </w:rPr>
      </w:pPr>
    </w:p>
    <w:p w14:paraId="4E89C5ED" w14:textId="77777777" w:rsidR="00870B46" w:rsidRPr="00870B46" w:rsidRDefault="00870B46" w:rsidP="00870B46">
      <w:pPr>
        <w:tabs>
          <w:tab w:val="left" w:pos="284"/>
        </w:tabs>
        <w:ind w:left="284"/>
        <w:jc w:val="both"/>
        <w:rPr>
          <w:rFonts w:ascii="Verdana" w:hAnsi="Verdana"/>
          <w:b/>
          <w:bCs/>
          <w:color w:val="7F3F00"/>
          <w:sz w:val="18"/>
          <w:szCs w:val="18"/>
        </w:rPr>
      </w:pPr>
      <w:r w:rsidRPr="00870B46">
        <w:rPr>
          <w:rFonts w:ascii="Verdana" w:hAnsi="Verdana"/>
          <w:b/>
          <w:bCs/>
          <w:color w:val="7F3F00"/>
          <w:sz w:val="18"/>
          <w:szCs w:val="18"/>
        </w:rPr>
        <w:t>Contexto y fundamento de la norma</w:t>
      </w:r>
    </w:p>
    <w:p w14:paraId="167B069E" w14:textId="77777777" w:rsidR="00870B46" w:rsidRDefault="00870B46" w:rsidP="00870B46">
      <w:pPr>
        <w:tabs>
          <w:tab w:val="left" w:pos="284"/>
        </w:tabs>
        <w:ind w:left="284"/>
        <w:jc w:val="both"/>
        <w:rPr>
          <w:rFonts w:ascii="Verdana" w:hAnsi="Verdana"/>
          <w:sz w:val="18"/>
          <w:szCs w:val="18"/>
        </w:rPr>
      </w:pPr>
      <w:r w:rsidRPr="00870B46">
        <w:rPr>
          <w:rFonts w:ascii="Verdana" w:hAnsi="Verdana"/>
          <w:sz w:val="18"/>
          <w:szCs w:val="18"/>
        </w:rPr>
        <w:t xml:space="preserve">La designación de Madrid como sede de la final responde al interés público derivado de la celebración en España de uno de los acontecimientos deportivos de mayor repercusión internacional. El Gobierno español asumió diversos compromisos ante la UEFA en ámbitos como la seguridad, movilidad, protección de derechos comerciales, fiscalidad y operativa aduanera, lo que ha motivado la aprobación de un régimen jurídico específico para facilitar la organización del evento. </w:t>
      </w:r>
    </w:p>
    <w:p w14:paraId="73183BCC" w14:textId="77777777" w:rsidR="00870B46" w:rsidRPr="00870B46" w:rsidRDefault="00870B46" w:rsidP="00870B46">
      <w:pPr>
        <w:tabs>
          <w:tab w:val="left" w:pos="284"/>
        </w:tabs>
        <w:ind w:left="284"/>
        <w:jc w:val="both"/>
        <w:rPr>
          <w:rFonts w:ascii="Verdana" w:hAnsi="Verdana"/>
          <w:sz w:val="18"/>
          <w:szCs w:val="18"/>
        </w:rPr>
      </w:pPr>
    </w:p>
    <w:p w14:paraId="08B995FF" w14:textId="77777777" w:rsidR="00870B46" w:rsidRPr="00870B46" w:rsidRDefault="00870B46" w:rsidP="00870B46">
      <w:pPr>
        <w:tabs>
          <w:tab w:val="left" w:pos="284"/>
        </w:tabs>
        <w:ind w:left="284"/>
        <w:jc w:val="both"/>
        <w:rPr>
          <w:rFonts w:ascii="Verdana" w:hAnsi="Verdana"/>
          <w:b/>
          <w:bCs/>
          <w:color w:val="7F3F00"/>
          <w:sz w:val="18"/>
          <w:szCs w:val="18"/>
        </w:rPr>
      </w:pPr>
      <w:r w:rsidRPr="00870B46">
        <w:rPr>
          <w:rFonts w:ascii="Verdana" w:hAnsi="Verdana"/>
          <w:b/>
          <w:bCs/>
          <w:color w:val="7F3F00"/>
          <w:sz w:val="18"/>
          <w:szCs w:val="18"/>
        </w:rPr>
        <w:t>Exención en el Impuesto sobre Sociedades y en el IRNR para organizadores y equipos</w:t>
      </w:r>
    </w:p>
    <w:p w14:paraId="52BC0CC3" w14:textId="77777777" w:rsidR="00870B46" w:rsidRPr="00870B46" w:rsidRDefault="00870B46" w:rsidP="00870B46">
      <w:pPr>
        <w:tabs>
          <w:tab w:val="left" w:pos="284"/>
        </w:tabs>
        <w:ind w:left="284"/>
        <w:jc w:val="both"/>
        <w:rPr>
          <w:rFonts w:ascii="Verdana" w:hAnsi="Verdana"/>
          <w:sz w:val="18"/>
          <w:szCs w:val="18"/>
        </w:rPr>
      </w:pPr>
      <w:r w:rsidRPr="00870B46">
        <w:rPr>
          <w:rFonts w:ascii="Verdana" w:hAnsi="Verdana"/>
          <w:sz w:val="18"/>
          <w:szCs w:val="18"/>
        </w:rPr>
        <w:t>La norma establece un régimen fiscal favorable para la entidad organizadora de la final y los equipos participantes:</w:t>
      </w:r>
    </w:p>
    <w:p w14:paraId="1342665D" w14:textId="77777777" w:rsidR="00870B46" w:rsidRPr="00870B46" w:rsidRDefault="00870B46">
      <w:pPr>
        <w:numPr>
          <w:ilvl w:val="0"/>
          <w:numId w:val="35"/>
        </w:numPr>
        <w:tabs>
          <w:tab w:val="left" w:pos="284"/>
        </w:tabs>
        <w:jc w:val="both"/>
        <w:rPr>
          <w:rFonts w:ascii="Verdana" w:hAnsi="Verdana"/>
          <w:sz w:val="18"/>
          <w:szCs w:val="18"/>
        </w:rPr>
      </w:pPr>
      <w:r w:rsidRPr="00870B46">
        <w:rPr>
          <w:rFonts w:ascii="Verdana" w:hAnsi="Verdana"/>
          <w:sz w:val="18"/>
          <w:szCs w:val="18"/>
        </w:rPr>
        <w:t xml:space="preserve">Las personas jurídicas residentes en España constituidas con motivo de la celebración de la final quedan exentas del Impuesto sobre Sociedades por las rentas obtenidas durante el acontecimiento y directamente vinculadas a su participación en el mismo. </w:t>
      </w:r>
    </w:p>
    <w:p w14:paraId="755DC93C" w14:textId="77777777" w:rsidR="00870B46" w:rsidRPr="00870B46" w:rsidRDefault="00870B46">
      <w:pPr>
        <w:numPr>
          <w:ilvl w:val="0"/>
          <w:numId w:val="35"/>
        </w:numPr>
        <w:tabs>
          <w:tab w:val="left" w:pos="284"/>
        </w:tabs>
        <w:jc w:val="both"/>
        <w:rPr>
          <w:rFonts w:ascii="Verdana" w:hAnsi="Verdana"/>
          <w:sz w:val="18"/>
          <w:szCs w:val="18"/>
        </w:rPr>
      </w:pPr>
      <w:r w:rsidRPr="00870B46">
        <w:rPr>
          <w:rFonts w:ascii="Verdana" w:hAnsi="Verdana"/>
          <w:sz w:val="18"/>
          <w:szCs w:val="18"/>
        </w:rPr>
        <w:t xml:space="preserve">Esta exención se extiende a los establecimientos permanentes que la entidad organizadora o los equipos participantes constituyan en España, tributando de forma exenta en el Impuesto sobre la Renta de no Residentes (IRNR) por las rentas relacionadas con el evento. </w:t>
      </w:r>
    </w:p>
    <w:p w14:paraId="29FDFFA1" w14:textId="77777777" w:rsidR="00870B46" w:rsidRDefault="00870B46">
      <w:pPr>
        <w:numPr>
          <w:ilvl w:val="0"/>
          <w:numId w:val="35"/>
        </w:numPr>
        <w:tabs>
          <w:tab w:val="left" w:pos="284"/>
        </w:tabs>
        <w:jc w:val="both"/>
        <w:rPr>
          <w:rFonts w:ascii="Verdana" w:hAnsi="Verdana"/>
          <w:sz w:val="18"/>
          <w:szCs w:val="18"/>
        </w:rPr>
      </w:pPr>
      <w:r w:rsidRPr="00870B46">
        <w:rPr>
          <w:rFonts w:ascii="Verdana" w:hAnsi="Verdana"/>
          <w:sz w:val="18"/>
          <w:szCs w:val="18"/>
        </w:rPr>
        <w:t xml:space="preserve">Asimismo, quedan exentas en el IRNR las rentas obtenidas sin mediación de establecimiento permanente cuando estén vinculadas a la organización y celebración de la final. </w:t>
      </w:r>
    </w:p>
    <w:p w14:paraId="3517AF4D" w14:textId="77777777" w:rsidR="00870B46" w:rsidRPr="00870B46" w:rsidRDefault="00870B46" w:rsidP="00744FFC">
      <w:pPr>
        <w:tabs>
          <w:tab w:val="left" w:pos="284"/>
        </w:tabs>
        <w:ind w:left="720"/>
        <w:jc w:val="both"/>
        <w:rPr>
          <w:rFonts w:ascii="Verdana" w:hAnsi="Verdana"/>
          <w:sz w:val="18"/>
          <w:szCs w:val="18"/>
        </w:rPr>
      </w:pPr>
    </w:p>
    <w:p w14:paraId="10448EA5" w14:textId="77777777" w:rsidR="00870B46" w:rsidRPr="00870B46" w:rsidRDefault="00870B46" w:rsidP="00870B46">
      <w:pPr>
        <w:tabs>
          <w:tab w:val="left" w:pos="284"/>
        </w:tabs>
        <w:ind w:left="284"/>
        <w:jc w:val="both"/>
        <w:rPr>
          <w:rFonts w:ascii="Verdana" w:hAnsi="Verdana"/>
          <w:b/>
          <w:bCs/>
          <w:color w:val="7F3F00"/>
          <w:sz w:val="18"/>
          <w:szCs w:val="18"/>
        </w:rPr>
      </w:pPr>
      <w:r w:rsidRPr="00870B46">
        <w:rPr>
          <w:rFonts w:ascii="Verdana" w:hAnsi="Verdana"/>
          <w:b/>
          <w:bCs/>
          <w:color w:val="7F3F00"/>
          <w:sz w:val="18"/>
          <w:szCs w:val="18"/>
        </w:rPr>
        <w:t>Régimen especial para personas físicas no residentes</w:t>
      </w:r>
    </w:p>
    <w:p w14:paraId="31210A89" w14:textId="77777777" w:rsidR="00870B46" w:rsidRPr="00870B46" w:rsidRDefault="00870B46" w:rsidP="00870B46">
      <w:pPr>
        <w:tabs>
          <w:tab w:val="left" w:pos="284"/>
        </w:tabs>
        <w:ind w:left="284"/>
        <w:jc w:val="both"/>
        <w:rPr>
          <w:rFonts w:ascii="Verdana" w:hAnsi="Verdana"/>
          <w:sz w:val="18"/>
          <w:szCs w:val="18"/>
        </w:rPr>
      </w:pPr>
      <w:r w:rsidRPr="00870B46">
        <w:rPr>
          <w:rFonts w:ascii="Verdana" w:hAnsi="Verdana"/>
          <w:sz w:val="18"/>
          <w:szCs w:val="18"/>
        </w:rPr>
        <w:t>La normativa también introduce beneficios fiscales para las personas físicas desplazadas a España con motivo de la final:</w:t>
      </w:r>
    </w:p>
    <w:p w14:paraId="5B9E0541" w14:textId="77777777" w:rsidR="00870B46" w:rsidRPr="00870B46" w:rsidRDefault="00870B46">
      <w:pPr>
        <w:numPr>
          <w:ilvl w:val="0"/>
          <w:numId w:val="36"/>
        </w:numPr>
        <w:tabs>
          <w:tab w:val="left" w:pos="284"/>
        </w:tabs>
        <w:jc w:val="both"/>
        <w:rPr>
          <w:rFonts w:ascii="Verdana" w:hAnsi="Verdana"/>
          <w:sz w:val="18"/>
          <w:szCs w:val="18"/>
        </w:rPr>
      </w:pPr>
      <w:r w:rsidRPr="00870B46">
        <w:rPr>
          <w:rFonts w:ascii="Verdana" w:hAnsi="Verdana"/>
          <w:sz w:val="18"/>
          <w:szCs w:val="18"/>
        </w:rPr>
        <w:t xml:space="preserve">No se consideran obtenidas en territorio español las rentas percibidas por personas físicas no residentes por los servicios prestados a la entidad organizadora o a los equipos participantes. </w:t>
      </w:r>
    </w:p>
    <w:p w14:paraId="583C867F" w14:textId="77777777" w:rsidR="00870B46" w:rsidRDefault="00870B46">
      <w:pPr>
        <w:numPr>
          <w:ilvl w:val="0"/>
          <w:numId w:val="36"/>
        </w:numPr>
        <w:tabs>
          <w:tab w:val="left" w:pos="284"/>
        </w:tabs>
        <w:jc w:val="both"/>
        <w:rPr>
          <w:rFonts w:ascii="Verdana" w:hAnsi="Verdana"/>
          <w:sz w:val="18"/>
          <w:szCs w:val="18"/>
        </w:rPr>
      </w:pPr>
      <w:r w:rsidRPr="00870B46">
        <w:rPr>
          <w:rFonts w:ascii="Verdana" w:hAnsi="Verdana"/>
          <w:sz w:val="18"/>
          <w:szCs w:val="18"/>
        </w:rPr>
        <w:t xml:space="preserve">Las personas que adquieran la residencia fiscal en España como consecuencia de su desplazamiento para participar en el evento podrán optar por tributar conforme al régimen del IRNR, manteniendo simultáneamente la condición de contribuyentes del IRPF, en línea con otros regímenes especiales aplicables a desplazados internacionales. </w:t>
      </w:r>
    </w:p>
    <w:p w14:paraId="4BD09A67" w14:textId="77777777" w:rsidR="00870B46" w:rsidRPr="00870B46" w:rsidRDefault="00870B46" w:rsidP="00870B46">
      <w:pPr>
        <w:tabs>
          <w:tab w:val="left" w:pos="284"/>
        </w:tabs>
        <w:ind w:left="720"/>
        <w:jc w:val="both"/>
        <w:rPr>
          <w:rFonts w:ascii="Verdana" w:hAnsi="Verdana"/>
          <w:sz w:val="18"/>
          <w:szCs w:val="18"/>
        </w:rPr>
      </w:pPr>
    </w:p>
    <w:p w14:paraId="2500A7F4" w14:textId="77777777" w:rsidR="00870B46" w:rsidRPr="00870B46" w:rsidRDefault="00870B46" w:rsidP="00870B46">
      <w:pPr>
        <w:tabs>
          <w:tab w:val="left" w:pos="284"/>
        </w:tabs>
        <w:ind w:left="284"/>
        <w:jc w:val="both"/>
        <w:rPr>
          <w:rFonts w:ascii="Verdana" w:hAnsi="Verdana"/>
          <w:b/>
          <w:bCs/>
          <w:color w:val="7F3F00"/>
          <w:sz w:val="18"/>
          <w:szCs w:val="18"/>
        </w:rPr>
      </w:pPr>
      <w:r w:rsidRPr="00870B46">
        <w:rPr>
          <w:rFonts w:ascii="Verdana" w:hAnsi="Verdana"/>
          <w:b/>
          <w:bCs/>
          <w:color w:val="7F3F00"/>
          <w:sz w:val="18"/>
          <w:szCs w:val="18"/>
        </w:rPr>
        <w:t>Facilidades aduaneras para mercancías importadas</w:t>
      </w:r>
    </w:p>
    <w:p w14:paraId="2538121C" w14:textId="77777777" w:rsidR="00870B46" w:rsidRPr="00870B46" w:rsidRDefault="00870B46" w:rsidP="00870B46">
      <w:pPr>
        <w:tabs>
          <w:tab w:val="left" w:pos="284"/>
        </w:tabs>
        <w:ind w:left="284"/>
        <w:jc w:val="both"/>
        <w:rPr>
          <w:rFonts w:ascii="Verdana" w:hAnsi="Verdana"/>
          <w:sz w:val="18"/>
          <w:szCs w:val="18"/>
        </w:rPr>
      </w:pPr>
      <w:r w:rsidRPr="00870B46">
        <w:rPr>
          <w:rFonts w:ascii="Verdana" w:hAnsi="Verdana"/>
          <w:sz w:val="18"/>
          <w:szCs w:val="18"/>
        </w:rPr>
        <w:lastRenderedPageBreak/>
        <w:t>En materia aduanera, las mercancías destinadas al desarrollo y celebración de la final se regirán, con carácter general, por el Código Aduanero de la Unión y la normativa europea aplicable.</w:t>
      </w:r>
    </w:p>
    <w:p w14:paraId="731B872C" w14:textId="77777777" w:rsidR="00870B46" w:rsidRDefault="00870B46" w:rsidP="00870B46">
      <w:pPr>
        <w:tabs>
          <w:tab w:val="left" w:pos="284"/>
        </w:tabs>
        <w:ind w:left="284"/>
        <w:jc w:val="both"/>
        <w:rPr>
          <w:rFonts w:ascii="Verdana" w:hAnsi="Verdana"/>
          <w:sz w:val="18"/>
          <w:szCs w:val="18"/>
        </w:rPr>
      </w:pPr>
      <w:r w:rsidRPr="00870B46">
        <w:rPr>
          <w:rFonts w:ascii="Verdana" w:hAnsi="Verdana"/>
          <w:sz w:val="18"/>
          <w:szCs w:val="18"/>
        </w:rPr>
        <w:t xml:space="preserve">Como medida específica, las mercancías acogidas al régimen de importación temporal podrán permanecer bajo dicho régimen durante un plazo máximo de 24 meses desde su importación, con el límite absoluto del 31 de diciembre del año siguiente al de la celebración del evento. Esta previsión facilita la entrada temporal de equipamiento técnico, material deportivo y otros bienes necesarios para la organización de la competición. </w:t>
      </w:r>
    </w:p>
    <w:p w14:paraId="14F90CCD" w14:textId="77777777" w:rsidR="00870B46" w:rsidRPr="00870B46" w:rsidRDefault="00870B46" w:rsidP="00870B46">
      <w:pPr>
        <w:tabs>
          <w:tab w:val="left" w:pos="284"/>
        </w:tabs>
        <w:ind w:left="284"/>
        <w:jc w:val="both"/>
        <w:rPr>
          <w:rFonts w:ascii="Verdana" w:hAnsi="Verdana"/>
          <w:sz w:val="18"/>
          <w:szCs w:val="18"/>
        </w:rPr>
      </w:pPr>
    </w:p>
    <w:p w14:paraId="021D9C5F" w14:textId="77777777" w:rsidR="00870B46" w:rsidRPr="00870B46" w:rsidRDefault="00870B46" w:rsidP="00870B46">
      <w:pPr>
        <w:tabs>
          <w:tab w:val="left" w:pos="284"/>
        </w:tabs>
        <w:ind w:left="284"/>
        <w:jc w:val="both"/>
        <w:rPr>
          <w:rFonts w:ascii="Verdana" w:hAnsi="Verdana"/>
          <w:b/>
          <w:bCs/>
          <w:color w:val="7F3F00"/>
          <w:sz w:val="18"/>
          <w:szCs w:val="18"/>
        </w:rPr>
      </w:pPr>
      <w:r w:rsidRPr="00870B46">
        <w:rPr>
          <w:rFonts w:ascii="Verdana" w:hAnsi="Verdana"/>
          <w:b/>
          <w:bCs/>
          <w:color w:val="7F3F00"/>
          <w:sz w:val="18"/>
          <w:szCs w:val="18"/>
        </w:rPr>
        <w:t>Medidas especiales en el IVA</w:t>
      </w:r>
    </w:p>
    <w:p w14:paraId="4504A5E1" w14:textId="77777777" w:rsidR="00870B46" w:rsidRPr="00870B46" w:rsidRDefault="00870B46" w:rsidP="00870B46">
      <w:pPr>
        <w:tabs>
          <w:tab w:val="left" w:pos="284"/>
        </w:tabs>
        <w:ind w:left="284"/>
        <w:jc w:val="both"/>
        <w:rPr>
          <w:rFonts w:ascii="Verdana" w:hAnsi="Verdana"/>
          <w:sz w:val="18"/>
          <w:szCs w:val="18"/>
        </w:rPr>
      </w:pPr>
      <w:r w:rsidRPr="00870B46">
        <w:rPr>
          <w:rFonts w:ascii="Verdana" w:hAnsi="Verdana"/>
          <w:sz w:val="18"/>
          <w:szCs w:val="18"/>
        </w:rPr>
        <w:t>El Real Decreto-ley incorpora importantes simplificaciones en el ámbito del IVA:</w:t>
      </w:r>
    </w:p>
    <w:p w14:paraId="5E5C7983" w14:textId="77777777" w:rsidR="00870B46" w:rsidRPr="00870B46" w:rsidRDefault="00870B46">
      <w:pPr>
        <w:numPr>
          <w:ilvl w:val="0"/>
          <w:numId w:val="37"/>
        </w:numPr>
        <w:tabs>
          <w:tab w:val="left" w:pos="284"/>
        </w:tabs>
        <w:jc w:val="both"/>
        <w:rPr>
          <w:rFonts w:ascii="Verdana" w:hAnsi="Verdana"/>
          <w:sz w:val="18"/>
          <w:szCs w:val="18"/>
        </w:rPr>
      </w:pPr>
      <w:r w:rsidRPr="00870B46">
        <w:rPr>
          <w:rFonts w:ascii="Verdana" w:hAnsi="Verdana"/>
          <w:sz w:val="18"/>
          <w:szCs w:val="18"/>
        </w:rPr>
        <w:t xml:space="preserve">Se elimina el requisito de reciprocidad para la devolución del IVA soportado por empresarios o profesionales no establecidos en la Unión Europea cuando las cuotas estén vinculadas a operaciones relacionadas con la final. </w:t>
      </w:r>
    </w:p>
    <w:p w14:paraId="1CAE8017" w14:textId="77777777" w:rsidR="00870B46" w:rsidRPr="00870B46" w:rsidRDefault="00870B46">
      <w:pPr>
        <w:numPr>
          <w:ilvl w:val="0"/>
          <w:numId w:val="37"/>
        </w:numPr>
        <w:tabs>
          <w:tab w:val="left" w:pos="284"/>
        </w:tabs>
        <w:jc w:val="both"/>
        <w:rPr>
          <w:rFonts w:ascii="Verdana" w:hAnsi="Verdana"/>
          <w:sz w:val="18"/>
          <w:szCs w:val="18"/>
        </w:rPr>
      </w:pPr>
      <w:r w:rsidRPr="00870B46">
        <w:rPr>
          <w:rFonts w:ascii="Verdana" w:hAnsi="Verdana"/>
          <w:sz w:val="18"/>
          <w:szCs w:val="18"/>
        </w:rPr>
        <w:t xml:space="preserve">Los empresarios o profesionales no establecidos fuera de la Unión Europea, Canarias, Ceuta o Melilla, o en territorios con mecanismos equivalentes de asistencia mutua, quedan dispensados de nombrar representante fiscal en España. </w:t>
      </w:r>
    </w:p>
    <w:p w14:paraId="6D74C29A" w14:textId="77777777" w:rsidR="00870B46" w:rsidRPr="00870B46" w:rsidRDefault="00870B46">
      <w:pPr>
        <w:numPr>
          <w:ilvl w:val="0"/>
          <w:numId w:val="37"/>
        </w:numPr>
        <w:tabs>
          <w:tab w:val="left" w:pos="284"/>
        </w:tabs>
        <w:jc w:val="both"/>
        <w:rPr>
          <w:rFonts w:ascii="Verdana" w:hAnsi="Verdana"/>
          <w:sz w:val="18"/>
          <w:szCs w:val="18"/>
        </w:rPr>
      </w:pPr>
      <w:r w:rsidRPr="00870B46">
        <w:rPr>
          <w:rFonts w:ascii="Verdana" w:hAnsi="Verdana"/>
          <w:sz w:val="18"/>
          <w:szCs w:val="18"/>
        </w:rPr>
        <w:t xml:space="preserve">Los sujetos pasivos no establecidos en el territorio de aplicación del impuesto podrán solicitar la devolución mensual de las cuotas soportadas relacionadas con el evento, agilizando significativamente la recuperación del IVA. </w:t>
      </w:r>
    </w:p>
    <w:p w14:paraId="335A7C64" w14:textId="77777777" w:rsidR="00870B46" w:rsidRPr="00870B46" w:rsidRDefault="00870B46">
      <w:pPr>
        <w:numPr>
          <w:ilvl w:val="0"/>
          <w:numId w:val="37"/>
        </w:numPr>
        <w:tabs>
          <w:tab w:val="left" w:pos="284"/>
        </w:tabs>
        <w:jc w:val="both"/>
        <w:rPr>
          <w:rFonts w:ascii="Verdana" w:hAnsi="Verdana"/>
          <w:sz w:val="18"/>
          <w:szCs w:val="18"/>
        </w:rPr>
      </w:pPr>
      <w:r w:rsidRPr="00870B46">
        <w:rPr>
          <w:rFonts w:ascii="Verdana" w:hAnsi="Verdana"/>
          <w:sz w:val="18"/>
          <w:szCs w:val="18"/>
        </w:rPr>
        <w:t xml:space="preserve">La presentación de autoliquidaciones deberá efectuarse durante los veinte primeros días naturales del mes siguiente al período de liquidación, salvo la correspondiente al último período del año, que se presentará durante los treinta primeros días de enero. </w:t>
      </w:r>
    </w:p>
    <w:p w14:paraId="3162D847" w14:textId="77777777" w:rsidR="00870B46" w:rsidRPr="00870B46" w:rsidRDefault="00870B46">
      <w:pPr>
        <w:numPr>
          <w:ilvl w:val="0"/>
          <w:numId w:val="37"/>
        </w:numPr>
        <w:tabs>
          <w:tab w:val="left" w:pos="284"/>
        </w:tabs>
        <w:jc w:val="both"/>
        <w:rPr>
          <w:rFonts w:ascii="Verdana" w:hAnsi="Verdana"/>
          <w:sz w:val="18"/>
          <w:szCs w:val="18"/>
        </w:rPr>
      </w:pPr>
      <w:r w:rsidRPr="00870B46">
        <w:rPr>
          <w:rFonts w:ascii="Verdana" w:hAnsi="Verdana"/>
          <w:sz w:val="18"/>
          <w:szCs w:val="18"/>
        </w:rPr>
        <w:t>Estas medidas resultan igualmente aplicables a la entidad organizadora y a los equipos participantes, sin que ello implique la obligación de llevar los Libros Registro del IVA a través de la Sede Electrónica de la Agencia Tributaria.</w:t>
      </w:r>
    </w:p>
    <w:p w14:paraId="61DB1460" w14:textId="77777777" w:rsidR="00F061EB" w:rsidRDefault="00F061EB" w:rsidP="008051C8">
      <w:pPr>
        <w:tabs>
          <w:tab w:val="left" w:pos="284"/>
        </w:tabs>
        <w:ind w:left="284"/>
        <w:jc w:val="both"/>
        <w:rPr>
          <w:rFonts w:ascii="Verdana" w:hAnsi="Verdana"/>
          <w:sz w:val="18"/>
          <w:szCs w:val="18"/>
        </w:rPr>
      </w:pPr>
    </w:p>
    <w:p w14:paraId="02844710" w14:textId="77777777" w:rsidR="00F061EB" w:rsidRDefault="00F061EB" w:rsidP="008051C8">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F061EB" w:rsidRPr="00F061EB" w14:paraId="22BFB0F8" w14:textId="77777777" w:rsidTr="0068330E">
        <w:tc>
          <w:tcPr>
            <w:tcW w:w="180" w:type="dxa"/>
            <w:shd w:val="clear" w:color="auto" w:fill="FF6600"/>
          </w:tcPr>
          <w:p w14:paraId="4774E3CA" w14:textId="77777777" w:rsidR="00F061EB" w:rsidRPr="00F061EB" w:rsidRDefault="00F061EB" w:rsidP="0068330E">
            <w:pPr>
              <w:rPr>
                <w:rFonts w:ascii="Verdana" w:hAnsi="Verdana"/>
                <w:b/>
                <w:bCs/>
                <w:color w:val="800000"/>
                <w:sz w:val="18"/>
                <w:szCs w:val="18"/>
              </w:rPr>
            </w:pPr>
            <w:bookmarkStart w:id="1" w:name="_Hlk231921255"/>
          </w:p>
        </w:tc>
        <w:tc>
          <w:tcPr>
            <w:tcW w:w="8460" w:type="dxa"/>
          </w:tcPr>
          <w:p w14:paraId="6A538FC7" w14:textId="2E2B3F49" w:rsidR="00F061EB" w:rsidRPr="00F061EB" w:rsidRDefault="00F061EB" w:rsidP="0068330E">
            <w:pPr>
              <w:pStyle w:val="Prrafodelista"/>
              <w:numPr>
                <w:ilvl w:val="0"/>
                <w:numId w:val="2"/>
              </w:numPr>
              <w:tabs>
                <w:tab w:val="num" w:pos="284"/>
              </w:tabs>
              <w:ind w:left="382" w:hanging="283"/>
              <w:jc w:val="both"/>
              <w:rPr>
                <w:rFonts w:ascii="Verdana" w:hAnsi="Verdana"/>
                <w:b/>
                <w:bCs/>
                <w:color w:val="800000"/>
                <w:sz w:val="18"/>
                <w:szCs w:val="18"/>
              </w:rPr>
            </w:pPr>
            <w:r w:rsidRPr="00F061EB">
              <w:rPr>
                <w:rFonts w:ascii="Verdana" w:hAnsi="Verdana"/>
                <w:b/>
                <w:bCs/>
                <w:color w:val="800000"/>
                <w:sz w:val="18"/>
                <w:szCs w:val="18"/>
              </w:rPr>
              <w:t>IVA.- GASTOS ASUMIDOS POR LA ENTIDAD EN BENEFICIO DE SUS EMPLEADOS (RESTAURACIÓN, ACTIVIDADES DEPORTIVAS, GIMNASIO O CARRERAS) QUE SON ATENCIONES A EMPLEADOS SIN DERECHO A DEDUCCIÓN EN IVA</w:t>
            </w:r>
          </w:p>
        </w:tc>
      </w:tr>
      <w:bookmarkEnd w:id="1"/>
    </w:tbl>
    <w:p w14:paraId="0A7BF848" w14:textId="77777777" w:rsidR="00F061EB" w:rsidRDefault="00F061EB" w:rsidP="008051C8">
      <w:pPr>
        <w:tabs>
          <w:tab w:val="left" w:pos="284"/>
        </w:tabs>
        <w:ind w:left="284"/>
        <w:jc w:val="both"/>
        <w:rPr>
          <w:rFonts w:ascii="Verdana" w:hAnsi="Verdana"/>
          <w:sz w:val="18"/>
          <w:szCs w:val="18"/>
        </w:rPr>
      </w:pPr>
    </w:p>
    <w:p w14:paraId="6054F49B" w14:textId="77777777" w:rsidR="00F061EB" w:rsidRPr="00F061EB" w:rsidRDefault="00F061EB" w:rsidP="00F061EB">
      <w:pPr>
        <w:tabs>
          <w:tab w:val="left" w:pos="284"/>
        </w:tabs>
        <w:ind w:left="284"/>
        <w:jc w:val="both"/>
        <w:rPr>
          <w:rFonts w:ascii="Verdana" w:hAnsi="Verdana"/>
          <w:i/>
          <w:iCs/>
          <w:sz w:val="18"/>
          <w:szCs w:val="18"/>
        </w:rPr>
      </w:pPr>
      <w:r w:rsidRPr="00F061EB">
        <w:rPr>
          <w:rFonts w:ascii="Verdana" w:hAnsi="Verdana"/>
          <w:i/>
          <w:iCs/>
          <w:sz w:val="18"/>
          <w:szCs w:val="18"/>
        </w:rPr>
        <w:t xml:space="preserve">El Tribunal Económico-Administrativo Central (TEAC), en su resolución RG 8931/2023, de 24 de marzo de 2026, realiza un amplio análisis sobre la deducibilidad del IVA soportado en distintos tipos de gastos empresariales, </w:t>
      </w:r>
      <w:r w:rsidRPr="00F061EB">
        <w:rPr>
          <w:rFonts w:ascii="Verdana" w:hAnsi="Verdana"/>
          <w:b/>
          <w:bCs/>
          <w:i/>
          <w:iCs/>
          <w:sz w:val="18"/>
          <w:szCs w:val="18"/>
        </w:rPr>
        <w:t>reforzando un criterio especialmente estricto respecto al requisito de afectación directa a la actividad económica</w:t>
      </w:r>
      <w:r w:rsidRPr="00F061EB">
        <w:rPr>
          <w:rFonts w:ascii="Verdana" w:hAnsi="Verdana"/>
          <w:i/>
          <w:iCs/>
          <w:sz w:val="18"/>
          <w:szCs w:val="18"/>
        </w:rPr>
        <w:t xml:space="preserve">. La resolución examina la cesión de vehículos a empleados, los contratos de patrocinio, los gastos destinados al bienestar de la plantilla y la entrega de material publicitario a clientes. </w:t>
      </w:r>
    </w:p>
    <w:p w14:paraId="066591F1" w14:textId="77777777" w:rsidR="00F061EB" w:rsidRPr="00F061EB" w:rsidRDefault="00F061EB" w:rsidP="00F061EB">
      <w:pPr>
        <w:tabs>
          <w:tab w:val="left" w:pos="284"/>
        </w:tabs>
        <w:ind w:left="284"/>
        <w:jc w:val="both"/>
        <w:rPr>
          <w:rFonts w:ascii="Verdana" w:hAnsi="Verdana"/>
          <w:sz w:val="18"/>
          <w:szCs w:val="18"/>
        </w:rPr>
      </w:pPr>
    </w:p>
    <w:p w14:paraId="3638D30C" w14:textId="77777777" w:rsidR="00F061EB" w:rsidRPr="00F061EB" w:rsidRDefault="00F061EB" w:rsidP="00F061EB">
      <w:pPr>
        <w:tabs>
          <w:tab w:val="left" w:pos="284"/>
        </w:tabs>
        <w:ind w:left="284"/>
        <w:jc w:val="both"/>
        <w:rPr>
          <w:rFonts w:ascii="Verdana" w:hAnsi="Verdana"/>
          <w:b/>
          <w:bCs/>
          <w:color w:val="7F3F00"/>
          <w:sz w:val="18"/>
          <w:szCs w:val="18"/>
        </w:rPr>
      </w:pPr>
      <w:r w:rsidRPr="00F061EB">
        <w:rPr>
          <w:rFonts w:ascii="Verdana" w:hAnsi="Verdana"/>
          <w:b/>
          <w:bCs/>
          <w:color w:val="7F3F00"/>
          <w:sz w:val="18"/>
          <w:szCs w:val="18"/>
        </w:rPr>
        <w:t>Cesión de vehículos a empleados</w:t>
      </w:r>
    </w:p>
    <w:p w14:paraId="3D054D0D" w14:textId="77777777" w:rsid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En relación con los vehículos cedidos a empleados, el TEAC recuerda que corresponde al contribuyente acreditar de forma efectiva su utilización empresarial. La mera posibilidad de uso profesional o la existencia de funciones directivas no son suficientes para justificar la deducción del IVA soportado.</w:t>
      </w:r>
    </w:p>
    <w:p w14:paraId="64196D3D" w14:textId="77777777" w:rsidR="00F061EB" w:rsidRPr="00F061EB" w:rsidRDefault="00F061EB" w:rsidP="00F061EB">
      <w:pPr>
        <w:tabs>
          <w:tab w:val="left" w:pos="284"/>
        </w:tabs>
        <w:ind w:left="284"/>
        <w:jc w:val="both"/>
        <w:rPr>
          <w:rFonts w:ascii="Verdana" w:hAnsi="Verdana"/>
          <w:sz w:val="18"/>
          <w:szCs w:val="18"/>
        </w:rPr>
      </w:pPr>
    </w:p>
    <w:p w14:paraId="66C605D1" w14:textId="77777777" w:rsid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Respecto a los vehículos cedidos gratuitamente a directivos sin funciones comerciales, el Tribunal concluye que la entidad no logró acreditar una afectación real a la actividad empresarial, por lo que confirma la improcedencia de la deducción. Asimismo, rechaza que el denominado criterio de disponibilidad del vehículo durante la jornada laboral constituya prueba suficiente del uso profesional.</w:t>
      </w:r>
    </w:p>
    <w:p w14:paraId="0F69AF76" w14:textId="3E809AF9" w:rsidR="00F061EB" w:rsidRP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 </w:t>
      </w:r>
    </w:p>
    <w:p w14:paraId="647CFD22" w14:textId="77777777" w:rsid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Cuando la cesión se realiza </w:t>
      </w:r>
      <w:r w:rsidRPr="00F061EB">
        <w:rPr>
          <w:rFonts w:ascii="Verdana" w:hAnsi="Verdana"/>
          <w:b/>
          <w:bCs/>
          <w:sz w:val="18"/>
          <w:szCs w:val="18"/>
        </w:rPr>
        <w:t>de forma onerosa</w:t>
      </w:r>
      <w:r w:rsidRPr="00F061EB">
        <w:rPr>
          <w:rFonts w:ascii="Verdana" w:hAnsi="Verdana"/>
          <w:sz w:val="18"/>
          <w:szCs w:val="18"/>
        </w:rPr>
        <w:t xml:space="preserve">, el TEAC considera que existe una prestación de servicios sujeta a IVA. En consecuencia, la empresa debe repercutir el impuesto correspondiente, calculando la base imponible conforme al valor de mercado, tomando como referencia el coste del renting atribuible al uso privado del vehículo. </w:t>
      </w:r>
    </w:p>
    <w:p w14:paraId="2874C959" w14:textId="77777777" w:rsidR="00F061EB" w:rsidRPr="00F061EB" w:rsidRDefault="00F061EB" w:rsidP="00F061EB">
      <w:pPr>
        <w:tabs>
          <w:tab w:val="left" w:pos="284"/>
        </w:tabs>
        <w:ind w:left="284"/>
        <w:jc w:val="both"/>
        <w:rPr>
          <w:rFonts w:ascii="Verdana" w:hAnsi="Verdana"/>
          <w:sz w:val="18"/>
          <w:szCs w:val="18"/>
        </w:rPr>
      </w:pPr>
    </w:p>
    <w:p w14:paraId="2A07F531" w14:textId="77777777" w:rsid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En los supuestos de uso mixto por empleados con funciones comerciales, el Tribunal reafirma la aplicación de la </w:t>
      </w:r>
      <w:r w:rsidRPr="00F061EB">
        <w:rPr>
          <w:rFonts w:ascii="Verdana" w:hAnsi="Verdana"/>
          <w:b/>
          <w:bCs/>
          <w:sz w:val="18"/>
          <w:szCs w:val="18"/>
        </w:rPr>
        <w:t>presunción legal de afectación del 50% a la actividad empresarial</w:t>
      </w:r>
      <w:r w:rsidRPr="00F061EB">
        <w:rPr>
          <w:rFonts w:ascii="Verdana" w:hAnsi="Verdana"/>
          <w:sz w:val="18"/>
          <w:szCs w:val="18"/>
        </w:rPr>
        <w:t xml:space="preserve">. La Administración no puede reducir dicho porcentaje basándose únicamente en criterios de disponibilidad horaria, sino que debe acreditar el grado real de utilización privada para desvirtuar la presunción legal. </w:t>
      </w:r>
    </w:p>
    <w:p w14:paraId="48779A0C" w14:textId="77777777" w:rsidR="00F061EB" w:rsidRPr="00F061EB" w:rsidRDefault="00F061EB" w:rsidP="00F061EB">
      <w:pPr>
        <w:tabs>
          <w:tab w:val="left" w:pos="284"/>
        </w:tabs>
        <w:ind w:left="284"/>
        <w:jc w:val="both"/>
        <w:rPr>
          <w:rFonts w:ascii="Verdana" w:hAnsi="Verdana"/>
          <w:sz w:val="18"/>
          <w:szCs w:val="18"/>
        </w:rPr>
      </w:pPr>
    </w:p>
    <w:p w14:paraId="0E562B9A" w14:textId="77777777" w:rsidR="00F061EB" w:rsidRPr="00F061EB" w:rsidRDefault="00F061EB" w:rsidP="00F061EB">
      <w:pPr>
        <w:tabs>
          <w:tab w:val="left" w:pos="284"/>
        </w:tabs>
        <w:ind w:left="284"/>
        <w:jc w:val="both"/>
        <w:rPr>
          <w:rFonts w:ascii="Verdana" w:hAnsi="Verdana"/>
          <w:b/>
          <w:bCs/>
          <w:color w:val="7F3F00"/>
          <w:sz w:val="18"/>
          <w:szCs w:val="18"/>
        </w:rPr>
      </w:pPr>
      <w:r w:rsidRPr="00F061EB">
        <w:rPr>
          <w:rFonts w:ascii="Verdana" w:hAnsi="Verdana"/>
          <w:b/>
          <w:bCs/>
          <w:color w:val="7F3F00"/>
          <w:sz w:val="18"/>
          <w:szCs w:val="18"/>
        </w:rPr>
        <w:t>Contratos de patrocinio y gastos promocionales</w:t>
      </w:r>
    </w:p>
    <w:p w14:paraId="1AD35B69" w14:textId="02DC1F55" w:rsid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La resolución también analiza los gastos derivados de contratos de patrocinio suscritos con entidades deportivas y organizadores de eventos, que incluían entradas, palcos, </w:t>
      </w:r>
      <w:r w:rsidR="00685400">
        <w:rPr>
          <w:rFonts w:ascii="Verdana" w:hAnsi="Verdana"/>
          <w:sz w:val="18"/>
          <w:szCs w:val="18"/>
        </w:rPr>
        <w:t>“</w:t>
      </w:r>
      <w:r w:rsidRPr="00F061EB">
        <w:rPr>
          <w:rFonts w:ascii="Verdana" w:hAnsi="Verdana"/>
          <w:sz w:val="18"/>
          <w:szCs w:val="18"/>
        </w:rPr>
        <w:t>merchandising</w:t>
      </w:r>
      <w:r w:rsidR="00685400">
        <w:rPr>
          <w:rFonts w:ascii="Verdana" w:hAnsi="Verdana"/>
          <w:sz w:val="18"/>
          <w:szCs w:val="18"/>
        </w:rPr>
        <w:t>”</w:t>
      </w:r>
      <w:r w:rsidRPr="00F061EB">
        <w:rPr>
          <w:rFonts w:ascii="Verdana" w:hAnsi="Verdana"/>
          <w:sz w:val="18"/>
          <w:szCs w:val="18"/>
        </w:rPr>
        <w:t xml:space="preserve"> y otros derechos asociados a espectáculos.</w:t>
      </w:r>
    </w:p>
    <w:p w14:paraId="1D5BF3FA" w14:textId="77777777" w:rsidR="00685400" w:rsidRPr="00F061EB" w:rsidRDefault="00685400" w:rsidP="00F061EB">
      <w:pPr>
        <w:tabs>
          <w:tab w:val="left" w:pos="284"/>
        </w:tabs>
        <w:ind w:left="284"/>
        <w:jc w:val="both"/>
        <w:rPr>
          <w:rFonts w:ascii="Verdana" w:hAnsi="Verdana"/>
          <w:sz w:val="18"/>
          <w:szCs w:val="18"/>
        </w:rPr>
      </w:pPr>
    </w:p>
    <w:p w14:paraId="396681EB" w14:textId="77777777" w:rsid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El TEAC confirma la negativa a la deducción del IVA soportado al considerar que estos gastos tienen naturaleza recreativa o constituyen atenciones a clientes y terceros. Aunque la entidad alegaba que contribuían a la promoción comercial y al incremento de ventas, el Tribunal entiende que no se acreditó una relación directa e inmediata entre dichos gastos y la obtención de ingresos sujetos a IVA. </w:t>
      </w:r>
    </w:p>
    <w:p w14:paraId="33545D55" w14:textId="77777777" w:rsidR="00F061EB" w:rsidRPr="00F061EB" w:rsidRDefault="00F061EB" w:rsidP="00F061EB">
      <w:pPr>
        <w:tabs>
          <w:tab w:val="left" w:pos="284"/>
        </w:tabs>
        <w:ind w:left="284"/>
        <w:jc w:val="both"/>
        <w:rPr>
          <w:rFonts w:ascii="Verdana" w:hAnsi="Verdana"/>
          <w:sz w:val="18"/>
          <w:szCs w:val="18"/>
        </w:rPr>
      </w:pPr>
    </w:p>
    <w:p w14:paraId="2C92E5BF" w14:textId="77777777" w:rsidR="00F061EB" w:rsidRPr="00F061EB" w:rsidRDefault="00F061EB" w:rsidP="00F061EB">
      <w:pPr>
        <w:tabs>
          <w:tab w:val="left" w:pos="284"/>
        </w:tabs>
        <w:ind w:left="284"/>
        <w:jc w:val="both"/>
        <w:rPr>
          <w:rFonts w:ascii="Verdana" w:hAnsi="Verdana"/>
          <w:b/>
          <w:bCs/>
          <w:color w:val="7F3F00"/>
          <w:sz w:val="18"/>
          <w:szCs w:val="18"/>
        </w:rPr>
      </w:pPr>
      <w:r w:rsidRPr="00F061EB">
        <w:rPr>
          <w:rFonts w:ascii="Verdana" w:hAnsi="Verdana"/>
          <w:b/>
          <w:bCs/>
          <w:color w:val="7F3F00"/>
          <w:sz w:val="18"/>
          <w:szCs w:val="18"/>
        </w:rPr>
        <w:t>Gastos de restauración, bienestar y actividades para empleados</w:t>
      </w:r>
    </w:p>
    <w:p w14:paraId="1A848DE8" w14:textId="77777777" w:rsid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Uno de los aspectos más relevantes de la resolución se refiere a los gastos asumidos por la empresa en beneficio de sus trabajadores, tales como </w:t>
      </w:r>
      <w:r w:rsidRPr="00F061EB">
        <w:rPr>
          <w:rFonts w:ascii="Verdana" w:hAnsi="Verdana"/>
          <w:b/>
          <w:bCs/>
          <w:sz w:val="18"/>
          <w:szCs w:val="18"/>
        </w:rPr>
        <w:t>servicios de restauración, gimnasios, programas de bienestar, actividades deportivas, entrenamientos, carreras populares o cestas de Navidad</w:t>
      </w:r>
      <w:r w:rsidRPr="00F061EB">
        <w:rPr>
          <w:rFonts w:ascii="Verdana" w:hAnsi="Verdana"/>
          <w:sz w:val="18"/>
          <w:szCs w:val="18"/>
        </w:rPr>
        <w:t>.</w:t>
      </w:r>
    </w:p>
    <w:p w14:paraId="2BF818D8" w14:textId="77777777" w:rsidR="00685400" w:rsidRPr="00F061EB" w:rsidRDefault="00685400" w:rsidP="00F061EB">
      <w:pPr>
        <w:tabs>
          <w:tab w:val="left" w:pos="284"/>
        </w:tabs>
        <w:ind w:left="284"/>
        <w:jc w:val="both"/>
        <w:rPr>
          <w:rFonts w:ascii="Verdana" w:hAnsi="Verdana"/>
          <w:sz w:val="18"/>
          <w:szCs w:val="18"/>
        </w:rPr>
      </w:pPr>
    </w:p>
    <w:p w14:paraId="437390C2" w14:textId="77777777" w:rsidR="00685400" w:rsidRDefault="00F061EB" w:rsidP="00F061EB">
      <w:pPr>
        <w:tabs>
          <w:tab w:val="left" w:pos="284"/>
        </w:tabs>
        <w:ind w:left="284"/>
        <w:jc w:val="both"/>
        <w:rPr>
          <w:rFonts w:ascii="Verdana" w:hAnsi="Verdana"/>
          <w:sz w:val="18"/>
          <w:szCs w:val="18"/>
        </w:rPr>
      </w:pPr>
      <w:r w:rsidRPr="00F061EB">
        <w:rPr>
          <w:rFonts w:ascii="Verdana" w:hAnsi="Verdana"/>
          <w:sz w:val="18"/>
          <w:szCs w:val="18"/>
        </w:rPr>
        <w:t>La entidad defendía que estos gastos favorecen la motivación, la productividad y la eficiencia de la plantilla, por lo que deberían considerarse vinculados a la actividad económica. Sin embargo, el TEAC rechaza esta argumentación y subraya que, a efectos del IVA, la deducción exige una relación directa e inmediata entre el gasto y las operaciones sujetas al impuesto.</w:t>
      </w:r>
    </w:p>
    <w:p w14:paraId="6A44B5A0" w14:textId="67DDCFA3" w:rsidR="00F061EB" w:rsidRP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 </w:t>
      </w:r>
    </w:p>
    <w:p w14:paraId="68F8ABBD" w14:textId="77777777" w:rsidR="00F061EB" w:rsidRP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Según el Tribunal, estos desembolsos:</w:t>
      </w:r>
    </w:p>
    <w:p w14:paraId="26E17217" w14:textId="77777777" w:rsidR="00F061EB" w:rsidRPr="00F061EB" w:rsidRDefault="00F061EB">
      <w:pPr>
        <w:numPr>
          <w:ilvl w:val="0"/>
          <w:numId w:val="39"/>
        </w:numPr>
        <w:tabs>
          <w:tab w:val="left" w:pos="284"/>
        </w:tabs>
        <w:jc w:val="both"/>
        <w:rPr>
          <w:rFonts w:ascii="Verdana" w:hAnsi="Verdana"/>
          <w:sz w:val="18"/>
          <w:szCs w:val="18"/>
        </w:rPr>
      </w:pPr>
      <w:r w:rsidRPr="00F061EB">
        <w:rPr>
          <w:rFonts w:ascii="Verdana" w:hAnsi="Verdana"/>
          <w:sz w:val="18"/>
          <w:szCs w:val="18"/>
        </w:rPr>
        <w:t xml:space="preserve">No forman parte del proceso productivo de la empresa. </w:t>
      </w:r>
    </w:p>
    <w:p w14:paraId="31E29C92" w14:textId="77777777" w:rsidR="00F061EB" w:rsidRPr="00F061EB" w:rsidRDefault="00F061EB">
      <w:pPr>
        <w:numPr>
          <w:ilvl w:val="0"/>
          <w:numId w:val="39"/>
        </w:numPr>
        <w:tabs>
          <w:tab w:val="left" w:pos="284"/>
        </w:tabs>
        <w:jc w:val="both"/>
        <w:rPr>
          <w:rFonts w:ascii="Verdana" w:hAnsi="Verdana"/>
          <w:sz w:val="18"/>
          <w:szCs w:val="18"/>
        </w:rPr>
      </w:pPr>
      <w:r w:rsidRPr="00F061EB">
        <w:rPr>
          <w:rFonts w:ascii="Verdana" w:hAnsi="Verdana"/>
          <w:sz w:val="18"/>
          <w:szCs w:val="18"/>
        </w:rPr>
        <w:t xml:space="preserve">No constituyen insumos necesarios para la obtención de ingresos sujetos a IVA. </w:t>
      </w:r>
    </w:p>
    <w:p w14:paraId="5D9D5A10" w14:textId="77777777" w:rsidR="00F061EB" w:rsidRDefault="00F061EB">
      <w:pPr>
        <w:numPr>
          <w:ilvl w:val="0"/>
          <w:numId w:val="39"/>
        </w:numPr>
        <w:tabs>
          <w:tab w:val="left" w:pos="284"/>
        </w:tabs>
        <w:jc w:val="both"/>
        <w:rPr>
          <w:rFonts w:ascii="Verdana" w:hAnsi="Verdana"/>
          <w:sz w:val="18"/>
          <w:szCs w:val="18"/>
        </w:rPr>
      </w:pPr>
      <w:r w:rsidRPr="00F061EB">
        <w:rPr>
          <w:rFonts w:ascii="Verdana" w:hAnsi="Verdana"/>
          <w:sz w:val="18"/>
          <w:szCs w:val="18"/>
        </w:rPr>
        <w:t xml:space="preserve">Tienen como finalidad principal atender necesidades personales o de bienestar de los empleados. </w:t>
      </w:r>
    </w:p>
    <w:p w14:paraId="68650CBC" w14:textId="77777777" w:rsidR="00685400" w:rsidRPr="00F061EB" w:rsidRDefault="00685400" w:rsidP="00685400">
      <w:pPr>
        <w:tabs>
          <w:tab w:val="left" w:pos="284"/>
        </w:tabs>
        <w:ind w:left="720"/>
        <w:jc w:val="both"/>
        <w:rPr>
          <w:rFonts w:ascii="Verdana" w:hAnsi="Verdana"/>
          <w:sz w:val="18"/>
          <w:szCs w:val="18"/>
        </w:rPr>
      </w:pPr>
    </w:p>
    <w:p w14:paraId="78950D86" w14:textId="51736C9E" w:rsid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Por ello, se califican como atenciones a empleados o terceros incluidas en las limitaciones del artículo </w:t>
      </w:r>
      <w:r w:rsidR="00685400" w:rsidRPr="00F061EB">
        <w:rPr>
          <w:rFonts w:ascii="Verdana" w:hAnsi="Verdana"/>
          <w:sz w:val="18"/>
          <w:szCs w:val="18"/>
        </w:rPr>
        <w:t>96. Uno</w:t>
      </w:r>
      <w:r w:rsidRPr="00F061EB">
        <w:rPr>
          <w:rFonts w:ascii="Verdana" w:hAnsi="Verdana"/>
          <w:sz w:val="18"/>
          <w:szCs w:val="18"/>
        </w:rPr>
        <w:t xml:space="preserve"> de la Ley del IVA, quedando excluido el derecho a deducir las cuotas soportadas. El TEAC enfatiza que la mejora del clima laboral o de la productividad, aunque pueda generar beneficios empresariales indirectos, no altera la naturaleza del gasto ni permite apreciar la afectación directa exigida por la normativa. </w:t>
      </w:r>
    </w:p>
    <w:p w14:paraId="21A12E42" w14:textId="77777777" w:rsidR="00685400" w:rsidRPr="00F061EB" w:rsidRDefault="00685400" w:rsidP="00F061EB">
      <w:pPr>
        <w:tabs>
          <w:tab w:val="left" w:pos="284"/>
        </w:tabs>
        <w:ind w:left="284"/>
        <w:jc w:val="both"/>
        <w:rPr>
          <w:rFonts w:ascii="Verdana" w:hAnsi="Verdana"/>
          <w:sz w:val="18"/>
          <w:szCs w:val="18"/>
        </w:rPr>
      </w:pPr>
    </w:p>
    <w:p w14:paraId="0934B53C" w14:textId="77777777" w:rsidR="00F061EB" w:rsidRPr="00F061EB" w:rsidRDefault="00F061EB" w:rsidP="00F061EB">
      <w:pPr>
        <w:tabs>
          <w:tab w:val="left" w:pos="284"/>
        </w:tabs>
        <w:ind w:left="284"/>
        <w:jc w:val="both"/>
        <w:rPr>
          <w:rFonts w:ascii="Verdana" w:hAnsi="Verdana"/>
          <w:b/>
          <w:bCs/>
          <w:color w:val="7F3F00"/>
          <w:sz w:val="18"/>
          <w:szCs w:val="18"/>
        </w:rPr>
      </w:pPr>
      <w:r w:rsidRPr="00F061EB">
        <w:rPr>
          <w:rFonts w:ascii="Verdana" w:hAnsi="Verdana"/>
          <w:b/>
          <w:bCs/>
          <w:color w:val="7F3F00"/>
          <w:sz w:val="18"/>
          <w:szCs w:val="18"/>
        </w:rPr>
        <w:t>Material publicitario (PLV)</w:t>
      </w:r>
    </w:p>
    <w:p w14:paraId="46197379" w14:textId="77777777" w:rsidR="00F061EB" w:rsidRP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La resolución distingue entre el material publicitario de pequeño formato y el mobiliario promocional de mayor tamaño.</w:t>
      </w:r>
    </w:p>
    <w:p w14:paraId="063A4191" w14:textId="77777777" w:rsidR="00685400" w:rsidRDefault="00F061EB" w:rsidP="00F061EB">
      <w:pPr>
        <w:tabs>
          <w:tab w:val="left" w:pos="284"/>
        </w:tabs>
        <w:ind w:left="284"/>
        <w:jc w:val="both"/>
        <w:rPr>
          <w:rFonts w:ascii="Verdana" w:hAnsi="Verdana"/>
          <w:sz w:val="18"/>
          <w:szCs w:val="18"/>
        </w:rPr>
      </w:pPr>
      <w:r w:rsidRPr="00F061EB">
        <w:rPr>
          <w:rFonts w:ascii="Verdana" w:hAnsi="Verdana"/>
          <w:sz w:val="18"/>
          <w:szCs w:val="18"/>
        </w:rPr>
        <w:t>En el caso de vasos, servilletas, abridores y otros elementos similares, el Tribunal considera que poseen valor comercial propio y satisfacen necesidades del establecimiento receptor, por lo que no pueden calificarse como objetos publicitarios de escaso valor. En consecuencia, su entrega constituye una atención a clientes que impide la deducción del IVA soportado.</w:t>
      </w:r>
    </w:p>
    <w:p w14:paraId="596FB708" w14:textId="3F7853F9" w:rsidR="00F061EB" w:rsidRP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 </w:t>
      </w:r>
    </w:p>
    <w:p w14:paraId="2DCD9216" w14:textId="77777777" w:rsidR="00F061EB" w:rsidRP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Respecto al mobiliario de hostelería —mesas, sillas o sombrillas—, el TEAC concluye que no existe una relación indisociable con la venta de productos ni se acredita una contraprestación efectiva. Por ello, la cesión </w:t>
      </w:r>
      <w:r w:rsidRPr="00F061EB">
        <w:rPr>
          <w:rFonts w:ascii="Verdana" w:hAnsi="Verdana"/>
          <w:b/>
          <w:bCs/>
          <w:sz w:val="18"/>
          <w:szCs w:val="18"/>
        </w:rPr>
        <w:t>se considera gratuita</w:t>
      </w:r>
      <w:r w:rsidRPr="00F061EB">
        <w:rPr>
          <w:rFonts w:ascii="Verdana" w:hAnsi="Verdana"/>
          <w:sz w:val="18"/>
          <w:szCs w:val="18"/>
        </w:rPr>
        <w:t xml:space="preserve"> y constituye igualmente una atención a clientes, sin derecho a deducción del IVA soportado. </w:t>
      </w:r>
    </w:p>
    <w:p w14:paraId="7594A081" w14:textId="77777777" w:rsidR="00685400" w:rsidRDefault="00685400" w:rsidP="00F061EB">
      <w:pPr>
        <w:tabs>
          <w:tab w:val="left" w:pos="284"/>
        </w:tabs>
        <w:ind w:left="284"/>
        <w:jc w:val="both"/>
        <w:rPr>
          <w:rFonts w:ascii="Verdana" w:hAnsi="Verdana"/>
          <w:b/>
          <w:bCs/>
          <w:sz w:val="18"/>
          <w:szCs w:val="18"/>
        </w:rPr>
      </w:pPr>
    </w:p>
    <w:p w14:paraId="426A2A36" w14:textId="03F1FD72" w:rsidR="00F061EB" w:rsidRPr="00F061EB" w:rsidRDefault="00F061EB" w:rsidP="00F061EB">
      <w:pPr>
        <w:tabs>
          <w:tab w:val="left" w:pos="284"/>
        </w:tabs>
        <w:ind w:left="284"/>
        <w:jc w:val="both"/>
        <w:rPr>
          <w:rFonts w:ascii="Verdana" w:hAnsi="Verdana"/>
          <w:b/>
          <w:bCs/>
          <w:color w:val="7F3F00"/>
          <w:sz w:val="18"/>
          <w:szCs w:val="18"/>
        </w:rPr>
      </w:pPr>
      <w:r w:rsidRPr="00F061EB">
        <w:rPr>
          <w:rFonts w:ascii="Verdana" w:hAnsi="Verdana"/>
          <w:b/>
          <w:bCs/>
          <w:color w:val="7F3F00"/>
          <w:sz w:val="18"/>
          <w:szCs w:val="18"/>
        </w:rPr>
        <w:t>Conclusión</w:t>
      </w:r>
    </w:p>
    <w:p w14:paraId="7DE239BF" w14:textId="77777777" w:rsidR="00F061EB" w:rsidRPr="00F061EB" w:rsidRDefault="00F061EB" w:rsidP="00F061EB">
      <w:pPr>
        <w:tabs>
          <w:tab w:val="left" w:pos="284"/>
        </w:tabs>
        <w:ind w:left="284"/>
        <w:jc w:val="both"/>
        <w:rPr>
          <w:rFonts w:ascii="Verdana" w:hAnsi="Verdana"/>
          <w:sz w:val="18"/>
          <w:szCs w:val="18"/>
        </w:rPr>
      </w:pPr>
      <w:r w:rsidRPr="00F061EB">
        <w:rPr>
          <w:rFonts w:ascii="Verdana" w:hAnsi="Verdana"/>
          <w:sz w:val="18"/>
          <w:szCs w:val="18"/>
        </w:rPr>
        <w:t xml:space="preserve">La resolución </w:t>
      </w:r>
      <w:r w:rsidRPr="00F061EB">
        <w:rPr>
          <w:rFonts w:ascii="Verdana" w:hAnsi="Verdana"/>
          <w:b/>
          <w:bCs/>
          <w:sz w:val="18"/>
          <w:szCs w:val="18"/>
        </w:rPr>
        <w:t>refuerza una interpretación restrictiva del derecho a deducir el IVA, exigiendo una acreditación rigurosa de la afectación directa y efectiva de los bienes y servicios a la actividad empresarial</w:t>
      </w:r>
      <w:r w:rsidRPr="00F061EB">
        <w:rPr>
          <w:rFonts w:ascii="Verdana" w:hAnsi="Verdana"/>
          <w:sz w:val="18"/>
          <w:szCs w:val="18"/>
        </w:rPr>
        <w:t>. El TEAC niega la deducción en aquellos gastos vinculados al bienestar de los empleados, actividades recreativas, patrocinios o atenciones a clientes cuando no exista una conexión inmediata con operaciones sujetas al impuesto, consolidando así una doctrina de gran relevancia para la gestión fiscal de las empresas.</w:t>
      </w:r>
    </w:p>
    <w:p w14:paraId="64DAEE64" w14:textId="77777777" w:rsidR="00744FFC" w:rsidRDefault="00744FFC" w:rsidP="008051C8">
      <w:pPr>
        <w:tabs>
          <w:tab w:val="left" w:pos="284"/>
        </w:tabs>
        <w:ind w:left="284"/>
        <w:jc w:val="both"/>
        <w:rPr>
          <w:rFonts w:ascii="Verdana" w:hAnsi="Verdana"/>
          <w:sz w:val="18"/>
          <w:szCs w:val="18"/>
        </w:rPr>
      </w:pPr>
    </w:p>
    <w:p w14:paraId="306F6C81" w14:textId="77777777" w:rsidR="00030B3F" w:rsidRDefault="00030B3F" w:rsidP="008051C8">
      <w:pPr>
        <w:tabs>
          <w:tab w:val="left" w:pos="284"/>
        </w:tabs>
        <w:ind w:left="284"/>
        <w:jc w:val="both"/>
        <w:rPr>
          <w:rFonts w:ascii="Verdana" w:hAnsi="Verdana"/>
          <w:sz w:val="18"/>
          <w:szCs w:val="18"/>
        </w:rPr>
      </w:pPr>
    </w:p>
    <w:tbl>
      <w:tblPr>
        <w:tblW w:w="8640" w:type="dxa"/>
        <w:tblCellMar>
          <w:left w:w="70" w:type="dxa"/>
          <w:right w:w="70" w:type="dxa"/>
        </w:tblCellMar>
        <w:tblLook w:val="0000" w:firstRow="0" w:lastRow="0" w:firstColumn="0" w:lastColumn="0" w:noHBand="0" w:noVBand="0"/>
      </w:tblPr>
      <w:tblGrid>
        <w:gridCol w:w="180"/>
        <w:gridCol w:w="8460"/>
      </w:tblGrid>
      <w:tr w:rsidR="00744FFC" w:rsidRPr="00744FFC" w14:paraId="4BEA2F2B" w14:textId="77777777" w:rsidTr="001F15FB">
        <w:tc>
          <w:tcPr>
            <w:tcW w:w="180" w:type="dxa"/>
            <w:shd w:val="clear" w:color="auto" w:fill="FF6600"/>
          </w:tcPr>
          <w:p w14:paraId="76E752E4" w14:textId="77777777" w:rsidR="00744FFC" w:rsidRPr="00744FFC" w:rsidRDefault="00744FFC" w:rsidP="0068330E">
            <w:pPr>
              <w:rPr>
                <w:rFonts w:ascii="Verdana" w:hAnsi="Verdana"/>
                <w:b/>
                <w:bCs/>
                <w:color w:val="800000"/>
                <w:sz w:val="18"/>
                <w:szCs w:val="18"/>
              </w:rPr>
            </w:pPr>
          </w:p>
        </w:tc>
        <w:tc>
          <w:tcPr>
            <w:tcW w:w="8460" w:type="dxa"/>
          </w:tcPr>
          <w:p w14:paraId="2363EF90" w14:textId="72626782" w:rsidR="00744FFC" w:rsidRPr="00744FFC" w:rsidRDefault="00744FFC" w:rsidP="001F15FB">
            <w:pPr>
              <w:pStyle w:val="Prrafodelista"/>
              <w:numPr>
                <w:ilvl w:val="0"/>
                <w:numId w:val="2"/>
              </w:numPr>
              <w:tabs>
                <w:tab w:val="num" w:pos="284"/>
              </w:tabs>
              <w:ind w:left="382" w:hanging="283"/>
              <w:jc w:val="both"/>
              <w:rPr>
                <w:rFonts w:ascii="Verdana" w:hAnsi="Verdana"/>
                <w:b/>
                <w:bCs/>
                <w:color w:val="800000"/>
                <w:sz w:val="18"/>
                <w:szCs w:val="18"/>
              </w:rPr>
            </w:pPr>
            <w:r w:rsidRPr="00744FFC">
              <w:rPr>
                <w:rFonts w:ascii="Verdana" w:hAnsi="Verdana"/>
                <w:b/>
                <w:bCs/>
                <w:color w:val="800000"/>
                <w:sz w:val="18"/>
                <w:szCs w:val="18"/>
              </w:rPr>
              <w:t>IVA.</w:t>
            </w:r>
            <w:r w:rsidR="001F15FB" w:rsidRPr="001C4926">
              <w:rPr>
                <w:rFonts w:ascii="Verdana" w:hAnsi="Verdana"/>
                <w:b/>
                <w:bCs/>
                <w:iCs/>
                <w:color w:val="800000"/>
                <w:sz w:val="18"/>
                <w:szCs w:val="18"/>
              </w:rPr>
              <w:t xml:space="preserve">– </w:t>
            </w:r>
            <w:r w:rsidRPr="00744FFC">
              <w:rPr>
                <w:rFonts w:ascii="Verdana" w:hAnsi="Verdana"/>
                <w:b/>
                <w:bCs/>
                <w:color w:val="800000"/>
                <w:sz w:val="18"/>
                <w:szCs w:val="18"/>
              </w:rPr>
              <w:t xml:space="preserve"> </w:t>
            </w:r>
            <w:r w:rsidRPr="001F15FB">
              <w:rPr>
                <w:rFonts w:ascii="Verdana" w:hAnsi="Verdana"/>
                <w:b/>
                <w:bCs/>
                <w:color w:val="800000"/>
                <w:spacing w:val="-4"/>
                <w:sz w:val="18"/>
                <w:szCs w:val="18"/>
              </w:rPr>
              <w:t>ANULACIÓN DE DESCUENTOS COMERCIALES, FACTURAS RECTIFICATIVAS Y DERECHO A LA DEDUCCIÓN</w:t>
            </w:r>
          </w:p>
        </w:tc>
      </w:tr>
    </w:tbl>
    <w:p w14:paraId="714A6A33" w14:textId="77777777" w:rsidR="00744FFC" w:rsidRDefault="00744FFC" w:rsidP="008051C8">
      <w:pPr>
        <w:tabs>
          <w:tab w:val="left" w:pos="284"/>
        </w:tabs>
        <w:ind w:left="284"/>
        <w:jc w:val="both"/>
        <w:rPr>
          <w:rFonts w:ascii="Verdana" w:hAnsi="Verdana"/>
          <w:sz w:val="18"/>
          <w:szCs w:val="18"/>
        </w:rPr>
      </w:pPr>
    </w:p>
    <w:p w14:paraId="53B1C693" w14:textId="4D491490" w:rsidR="00744FFC" w:rsidRDefault="00744FFC" w:rsidP="00744FFC">
      <w:pPr>
        <w:tabs>
          <w:tab w:val="left" w:pos="284"/>
        </w:tabs>
        <w:ind w:left="284"/>
        <w:jc w:val="both"/>
        <w:rPr>
          <w:rFonts w:ascii="Verdana" w:hAnsi="Verdana"/>
          <w:sz w:val="18"/>
          <w:szCs w:val="18"/>
        </w:rPr>
      </w:pPr>
      <w:r w:rsidRPr="00030B3F">
        <w:rPr>
          <w:rFonts w:ascii="Verdana" w:hAnsi="Verdana"/>
          <w:i/>
          <w:iCs/>
          <w:sz w:val="18"/>
          <w:szCs w:val="18"/>
        </w:rPr>
        <w:t xml:space="preserve">La Dirección General de Tributos en Consulta Vinculante V0226-26, de 4 de </w:t>
      </w:r>
      <w:r w:rsidR="00443FF2" w:rsidRPr="00030B3F">
        <w:rPr>
          <w:rFonts w:ascii="Verdana" w:hAnsi="Verdana"/>
          <w:i/>
          <w:iCs/>
          <w:sz w:val="18"/>
          <w:szCs w:val="18"/>
        </w:rPr>
        <w:t>febrero</w:t>
      </w:r>
      <w:r w:rsidR="00443FF2">
        <w:rPr>
          <w:rFonts w:ascii="Verdana" w:hAnsi="Verdana"/>
          <w:i/>
          <w:iCs/>
          <w:sz w:val="18"/>
          <w:szCs w:val="18"/>
        </w:rPr>
        <w:t xml:space="preserve">, </w:t>
      </w:r>
      <w:r w:rsidR="00443FF2" w:rsidRPr="00030B3F">
        <w:rPr>
          <w:rFonts w:ascii="Verdana" w:hAnsi="Verdana"/>
          <w:i/>
          <w:iCs/>
          <w:sz w:val="18"/>
          <w:szCs w:val="18"/>
        </w:rPr>
        <w:t>analiza</w:t>
      </w:r>
      <w:r w:rsidRPr="00030B3F">
        <w:rPr>
          <w:rFonts w:ascii="Verdana" w:hAnsi="Verdana"/>
          <w:i/>
          <w:iCs/>
          <w:sz w:val="18"/>
          <w:szCs w:val="18"/>
        </w:rPr>
        <w:t xml:space="preserve"> las consecuencias en el IVA derivadas de la anulación de descuentos comerciales previamente concedidos por un proveedor tras un procedimiento de comprobación tributaria, así como el tratamiento de determinadas autofacturas emitidas en virtud de un contrato de exclusividad</w:t>
      </w:r>
      <w:r w:rsidRPr="00744FFC">
        <w:rPr>
          <w:rFonts w:ascii="Verdana" w:hAnsi="Verdana"/>
          <w:sz w:val="18"/>
          <w:szCs w:val="18"/>
        </w:rPr>
        <w:t xml:space="preserve">. </w:t>
      </w:r>
    </w:p>
    <w:p w14:paraId="74CE0F99" w14:textId="77777777" w:rsidR="00744FFC" w:rsidRPr="00744FFC" w:rsidRDefault="00744FFC" w:rsidP="00744FFC">
      <w:pPr>
        <w:tabs>
          <w:tab w:val="left" w:pos="284"/>
        </w:tabs>
        <w:ind w:left="284"/>
        <w:jc w:val="both"/>
        <w:rPr>
          <w:rFonts w:ascii="Verdana" w:hAnsi="Verdana"/>
          <w:sz w:val="18"/>
          <w:szCs w:val="18"/>
        </w:rPr>
      </w:pPr>
    </w:p>
    <w:p w14:paraId="661BE02C" w14:textId="77777777" w:rsidR="00744FFC" w:rsidRPr="00744FFC" w:rsidRDefault="00744FFC" w:rsidP="00744FFC">
      <w:pPr>
        <w:tabs>
          <w:tab w:val="left" w:pos="284"/>
        </w:tabs>
        <w:ind w:left="284"/>
        <w:jc w:val="both"/>
        <w:rPr>
          <w:rFonts w:ascii="Verdana" w:hAnsi="Verdana"/>
          <w:b/>
          <w:bCs/>
          <w:color w:val="7F3F00"/>
          <w:sz w:val="18"/>
          <w:szCs w:val="18"/>
        </w:rPr>
      </w:pPr>
      <w:r w:rsidRPr="00744FFC">
        <w:rPr>
          <w:rFonts w:ascii="Verdana" w:hAnsi="Verdana"/>
          <w:b/>
          <w:bCs/>
          <w:color w:val="7F3F00"/>
          <w:sz w:val="18"/>
          <w:szCs w:val="18"/>
        </w:rPr>
        <w:t>Antecedentes</w:t>
      </w:r>
    </w:p>
    <w:p w14:paraId="5673F1F7" w14:textId="77777777" w:rsidR="00744FFC" w:rsidRPr="00744FFC" w:rsidRDefault="00744FFC" w:rsidP="00744FFC">
      <w:pPr>
        <w:tabs>
          <w:tab w:val="left" w:pos="284"/>
        </w:tabs>
        <w:ind w:left="284"/>
        <w:jc w:val="both"/>
        <w:rPr>
          <w:rFonts w:ascii="Verdana" w:hAnsi="Verdana"/>
          <w:sz w:val="18"/>
          <w:szCs w:val="18"/>
        </w:rPr>
      </w:pPr>
      <w:r w:rsidRPr="00744FFC">
        <w:rPr>
          <w:rFonts w:ascii="Verdana" w:hAnsi="Verdana"/>
          <w:sz w:val="18"/>
          <w:szCs w:val="18"/>
        </w:rPr>
        <w:t xml:space="preserve">La entidad consultante recibió inicialmente descuentos comerciales de un proveedor, lo que redujo la base imponible de las operaciones y, en consecuencia, las cuotas de IVA soportadas deducibles. Posteriormente, tras una comprobación realizada al proveedor, dichos descuentos fueron anulados mediante la emisión de facturas rectificativas. Asimismo, el proveedor emitió autofacturas para documentar pagos realizados a la consultante derivados de un contrato de exclusividad. Aunque estos documentos fueron emitidos en el último trimestre de 2024, la consultante los recibió durante 2025. </w:t>
      </w:r>
    </w:p>
    <w:p w14:paraId="52546702" w14:textId="77777777" w:rsidR="00744FFC" w:rsidRDefault="00744FFC" w:rsidP="00744FFC">
      <w:pPr>
        <w:tabs>
          <w:tab w:val="left" w:pos="284"/>
        </w:tabs>
        <w:ind w:left="284"/>
        <w:jc w:val="both"/>
        <w:rPr>
          <w:rFonts w:ascii="Verdana" w:hAnsi="Verdana"/>
          <w:b/>
          <w:bCs/>
          <w:sz w:val="18"/>
          <w:szCs w:val="18"/>
        </w:rPr>
      </w:pPr>
    </w:p>
    <w:p w14:paraId="391685D8" w14:textId="203953E6" w:rsidR="00744FFC" w:rsidRPr="00744FFC" w:rsidRDefault="00744FFC" w:rsidP="00744FFC">
      <w:pPr>
        <w:tabs>
          <w:tab w:val="left" w:pos="284"/>
        </w:tabs>
        <w:ind w:left="284"/>
        <w:jc w:val="both"/>
        <w:rPr>
          <w:rFonts w:ascii="Verdana" w:hAnsi="Verdana"/>
          <w:b/>
          <w:bCs/>
          <w:color w:val="7F3F00"/>
          <w:sz w:val="18"/>
          <w:szCs w:val="18"/>
        </w:rPr>
      </w:pPr>
      <w:r w:rsidRPr="00744FFC">
        <w:rPr>
          <w:rFonts w:ascii="Verdana" w:hAnsi="Verdana"/>
          <w:b/>
          <w:bCs/>
          <w:color w:val="7F3F00"/>
          <w:sz w:val="18"/>
          <w:szCs w:val="18"/>
        </w:rPr>
        <w:t>Criterio de la DGT</w:t>
      </w:r>
    </w:p>
    <w:p w14:paraId="301985A3" w14:textId="77777777" w:rsidR="00744FFC" w:rsidRPr="00744FFC" w:rsidRDefault="00744FFC" w:rsidP="00744FFC">
      <w:pPr>
        <w:tabs>
          <w:tab w:val="left" w:pos="284"/>
        </w:tabs>
        <w:ind w:left="284"/>
        <w:jc w:val="both"/>
        <w:rPr>
          <w:rFonts w:ascii="Verdana" w:hAnsi="Verdana"/>
          <w:b/>
          <w:bCs/>
          <w:sz w:val="18"/>
          <w:szCs w:val="18"/>
        </w:rPr>
      </w:pPr>
      <w:r w:rsidRPr="00744FFC">
        <w:rPr>
          <w:rFonts w:ascii="Verdana" w:hAnsi="Verdana"/>
          <w:b/>
          <w:bCs/>
          <w:sz w:val="18"/>
          <w:szCs w:val="18"/>
        </w:rPr>
        <w:t>1. Efectos de la anulación de descuentos comerciales</w:t>
      </w:r>
    </w:p>
    <w:p w14:paraId="5E2893B5" w14:textId="07A6C50A" w:rsidR="00744FFC" w:rsidRDefault="00744FFC" w:rsidP="00744FFC">
      <w:pPr>
        <w:tabs>
          <w:tab w:val="left" w:pos="284"/>
        </w:tabs>
        <w:ind w:left="284"/>
        <w:jc w:val="both"/>
        <w:rPr>
          <w:rFonts w:ascii="Verdana" w:hAnsi="Verdana"/>
          <w:sz w:val="18"/>
          <w:szCs w:val="18"/>
        </w:rPr>
      </w:pPr>
      <w:r w:rsidRPr="00744FFC">
        <w:rPr>
          <w:rFonts w:ascii="Verdana" w:hAnsi="Verdana"/>
          <w:sz w:val="18"/>
          <w:szCs w:val="18"/>
        </w:rPr>
        <w:t xml:space="preserve">La anulación de los descuentos supone una modificación al alza de la base imponible del IVA, conforme al artículo 80.Dos de la Ley del IVA. Como consecuencia, aumentan las cuotas de IVA soportadas por el destinatario de las operaciones. Esta modificación debe documentarse mediante la correspondiente factura rectificativa emitida por el proveedor. </w:t>
      </w:r>
    </w:p>
    <w:p w14:paraId="3394AE8B" w14:textId="77777777" w:rsidR="00744FFC" w:rsidRPr="00744FFC" w:rsidRDefault="00744FFC" w:rsidP="00744FFC">
      <w:pPr>
        <w:tabs>
          <w:tab w:val="left" w:pos="284"/>
        </w:tabs>
        <w:ind w:left="284"/>
        <w:jc w:val="both"/>
        <w:rPr>
          <w:rFonts w:ascii="Verdana" w:hAnsi="Verdana"/>
          <w:sz w:val="18"/>
          <w:szCs w:val="18"/>
        </w:rPr>
      </w:pPr>
    </w:p>
    <w:p w14:paraId="55B76A42" w14:textId="77777777" w:rsidR="00744FFC" w:rsidRDefault="00744FFC" w:rsidP="00744FFC">
      <w:pPr>
        <w:tabs>
          <w:tab w:val="left" w:pos="284"/>
        </w:tabs>
        <w:ind w:left="284"/>
        <w:jc w:val="both"/>
        <w:rPr>
          <w:rFonts w:ascii="Verdana" w:hAnsi="Verdana"/>
          <w:sz w:val="18"/>
          <w:szCs w:val="18"/>
        </w:rPr>
      </w:pPr>
      <w:r w:rsidRPr="00744FFC">
        <w:rPr>
          <w:rFonts w:ascii="Verdana" w:hAnsi="Verdana"/>
          <w:sz w:val="18"/>
          <w:szCs w:val="18"/>
        </w:rPr>
        <w:t xml:space="preserve">La DGT concluye que el destinatario podrá incrementar las cuotas deducibles en la autoliquidación correspondiente </w:t>
      </w:r>
      <w:r w:rsidRPr="00744FFC">
        <w:rPr>
          <w:rFonts w:ascii="Verdana" w:hAnsi="Verdana"/>
          <w:b/>
          <w:bCs/>
          <w:sz w:val="18"/>
          <w:szCs w:val="18"/>
        </w:rPr>
        <w:t>al período en que reciba la factura rectificativa o en cualquiera de los períodos posteriores, siempre que no hayan transcurrido cuatro años</w:t>
      </w:r>
      <w:r w:rsidRPr="00744FFC">
        <w:rPr>
          <w:rFonts w:ascii="Verdana" w:hAnsi="Verdana"/>
          <w:sz w:val="18"/>
          <w:szCs w:val="18"/>
        </w:rPr>
        <w:t xml:space="preserve"> desde la fecha en que se produjo la circunstancia que originó la modificación de la base imponible. </w:t>
      </w:r>
    </w:p>
    <w:p w14:paraId="0550829C" w14:textId="77777777" w:rsidR="00744FFC" w:rsidRPr="00744FFC" w:rsidRDefault="00744FFC" w:rsidP="00744FFC">
      <w:pPr>
        <w:tabs>
          <w:tab w:val="left" w:pos="284"/>
        </w:tabs>
        <w:ind w:left="284"/>
        <w:jc w:val="both"/>
        <w:rPr>
          <w:rFonts w:ascii="Verdana" w:hAnsi="Verdana"/>
          <w:sz w:val="18"/>
          <w:szCs w:val="18"/>
        </w:rPr>
      </w:pPr>
    </w:p>
    <w:p w14:paraId="78744834" w14:textId="77777777" w:rsidR="00744FFC" w:rsidRPr="00744FFC" w:rsidRDefault="00744FFC" w:rsidP="00744FFC">
      <w:pPr>
        <w:tabs>
          <w:tab w:val="left" w:pos="284"/>
        </w:tabs>
        <w:ind w:left="284"/>
        <w:jc w:val="both"/>
        <w:rPr>
          <w:rFonts w:ascii="Verdana" w:hAnsi="Verdana"/>
          <w:b/>
          <w:bCs/>
          <w:sz w:val="18"/>
          <w:szCs w:val="18"/>
        </w:rPr>
      </w:pPr>
      <w:r w:rsidRPr="00744FFC">
        <w:rPr>
          <w:rFonts w:ascii="Verdana" w:hAnsi="Verdana"/>
          <w:b/>
          <w:bCs/>
          <w:sz w:val="18"/>
          <w:szCs w:val="18"/>
        </w:rPr>
        <w:t>2. Tratamiento de las autofacturas derivadas del contrato de exclusividad</w:t>
      </w:r>
    </w:p>
    <w:p w14:paraId="2002F81E" w14:textId="77777777" w:rsidR="00744FFC" w:rsidRDefault="00744FFC" w:rsidP="00744FFC">
      <w:pPr>
        <w:tabs>
          <w:tab w:val="left" w:pos="284"/>
        </w:tabs>
        <w:ind w:left="284"/>
        <w:jc w:val="both"/>
        <w:rPr>
          <w:rFonts w:ascii="Verdana" w:hAnsi="Verdana"/>
          <w:sz w:val="18"/>
          <w:szCs w:val="18"/>
        </w:rPr>
      </w:pPr>
      <w:r w:rsidRPr="00744FFC">
        <w:rPr>
          <w:rFonts w:ascii="Verdana" w:hAnsi="Verdana"/>
          <w:sz w:val="18"/>
          <w:szCs w:val="18"/>
        </w:rPr>
        <w:t xml:space="preserve">Respecto de las autofacturas emitidas por el destinatario para documentar pagos efectuados en virtud de un contrato de exclusividad, la DGT recuerda que el elemento determinante para declarar el IVA no es la fecha de emisión de la factura, sino el momento del devengo de la operación. </w:t>
      </w:r>
    </w:p>
    <w:p w14:paraId="352B6EA8" w14:textId="77777777" w:rsidR="00744FFC" w:rsidRPr="00744FFC" w:rsidRDefault="00744FFC" w:rsidP="00744FFC">
      <w:pPr>
        <w:tabs>
          <w:tab w:val="left" w:pos="284"/>
        </w:tabs>
        <w:ind w:left="284"/>
        <w:jc w:val="both"/>
        <w:rPr>
          <w:rFonts w:ascii="Verdana" w:hAnsi="Verdana"/>
          <w:sz w:val="18"/>
          <w:szCs w:val="18"/>
        </w:rPr>
      </w:pPr>
    </w:p>
    <w:p w14:paraId="2CF548E1" w14:textId="77777777" w:rsidR="00744FFC" w:rsidRDefault="00744FFC" w:rsidP="00744FFC">
      <w:pPr>
        <w:tabs>
          <w:tab w:val="left" w:pos="284"/>
        </w:tabs>
        <w:ind w:left="284"/>
        <w:jc w:val="both"/>
        <w:rPr>
          <w:rFonts w:ascii="Verdana" w:hAnsi="Verdana"/>
          <w:sz w:val="18"/>
          <w:szCs w:val="18"/>
        </w:rPr>
      </w:pPr>
      <w:r w:rsidRPr="00744FFC">
        <w:rPr>
          <w:rFonts w:ascii="Verdana" w:hAnsi="Verdana"/>
          <w:sz w:val="18"/>
          <w:szCs w:val="18"/>
        </w:rPr>
        <w:t xml:space="preserve">Por ello, las autoliquidaciones deberán rectificarse en los períodos </w:t>
      </w:r>
      <w:r w:rsidRPr="00744FFC">
        <w:rPr>
          <w:rFonts w:ascii="Verdana" w:hAnsi="Verdana"/>
          <w:b/>
          <w:bCs/>
          <w:sz w:val="18"/>
          <w:szCs w:val="18"/>
        </w:rPr>
        <w:t xml:space="preserve">en que efectivamente se produjo el devengo del impuesto </w:t>
      </w:r>
      <w:r w:rsidRPr="00744FFC">
        <w:rPr>
          <w:rFonts w:ascii="Verdana" w:hAnsi="Verdana"/>
          <w:sz w:val="18"/>
          <w:szCs w:val="18"/>
        </w:rPr>
        <w:t xml:space="preserve">—ya sea por la prestación del servicio o por la percepción de pagos anticipados—, aunque las facturas hayan sido emitidas con posterioridad como consecuencia de una actuación inspectora. </w:t>
      </w:r>
    </w:p>
    <w:p w14:paraId="6D053196" w14:textId="77777777" w:rsidR="00744FFC" w:rsidRPr="00744FFC" w:rsidRDefault="00744FFC" w:rsidP="00744FFC">
      <w:pPr>
        <w:tabs>
          <w:tab w:val="left" w:pos="284"/>
        </w:tabs>
        <w:ind w:left="284"/>
        <w:jc w:val="both"/>
        <w:rPr>
          <w:rFonts w:ascii="Verdana" w:hAnsi="Verdana"/>
          <w:sz w:val="18"/>
          <w:szCs w:val="18"/>
        </w:rPr>
      </w:pPr>
    </w:p>
    <w:p w14:paraId="58F99922" w14:textId="77777777" w:rsidR="00744FFC" w:rsidRPr="00744FFC" w:rsidRDefault="00744FFC" w:rsidP="00744FFC">
      <w:pPr>
        <w:tabs>
          <w:tab w:val="left" w:pos="284"/>
        </w:tabs>
        <w:ind w:left="284"/>
        <w:jc w:val="both"/>
        <w:rPr>
          <w:rFonts w:ascii="Verdana" w:hAnsi="Verdana"/>
          <w:b/>
          <w:bCs/>
          <w:sz w:val="18"/>
          <w:szCs w:val="18"/>
        </w:rPr>
      </w:pPr>
      <w:r w:rsidRPr="00744FFC">
        <w:rPr>
          <w:rFonts w:ascii="Verdana" w:hAnsi="Verdana"/>
          <w:b/>
          <w:bCs/>
          <w:sz w:val="18"/>
          <w:szCs w:val="18"/>
        </w:rPr>
        <w:t>3. Repercusión tardía del IVA y derecho a la deducción</w:t>
      </w:r>
    </w:p>
    <w:p w14:paraId="7A748C6F" w14:textId="77777777" w:rsidR="00744FFC" w:rsidRDefault="00744FFC" w:rsidP="00744FFC">
      <w:pPr>
        <w:tabs>
          <w:tab w:val="left" w:pos="284"/>
        </w:tabs>
        <w:ind w:left="284"/>
        <w:jc w:val="both"/>
        <w:rPr>
          <w:rFonts w:ascii="Verdana" w:hAnsi="Verdana"/>
          <w:sz w:val="18"/>
          <w:szCs w:val="18"/>
        </w:rPr>
      </w:pPr>
      <w:r w:rsidRPr="00744FFC">
        <w:rPr>
          <w:rFonts w:ascii="Verdana" w:hAnsi="Verdana"/>
          <w:sz w:val="18"/>
          <w:szCs w:val="18"/>
        </w:rPr>
        <w:t xml:space="preserve">La normativa establece que la repercusión del IVA debe efectuarse mediante factura y dentro del plazo de un año desde el devengo. Transcurrido dicho plazo, en principio se pierde el derecho a repercutir las cuotas. No obstante, la doctrina del TEAC y la jurisprudencia del Tribunal Supremo admiten la repercusión fuera de plazo cuando el destinatario acepta expresamente soportar el impuesto. </w:t>
      </w:r>
    </w:p>
    <w:p w14:paraId="2C61D295" w14:textId="77777777" w:rsidR="00826506" w:rsidRPr="00744FFC" w:rsidRDefault="00826506" w:rsidP="00744FFC">
      <w:pPr>
        <w:tabs>
          <w:tab w:val="left" w:pos="284"/>
        </w:tabs>
        <w:ind w:left="284"/>
        <w:jc w:val="both"/>
        <w:rPr>
          <w:rFonts w:ascii="Verdana" w:hAnsi="Verdana"/>
          <w:sz w:val="18"/>
          <w:szCs w:val="18"/>
        </w:rPr>
      </w:pPr>
    </w:p>
    <w:p w14:paraId="643C6B6B" w14:textId="77777777" w:rsidR="00744FFC" w:rsidRPr="00744FFC" w:rsidRDefault="00744FFC" w:rsidP="00744FFC">
      <w:pPr>
        <w:tabs>
          <w:tab w:val="left" w:pos="284"/>
        </w:tabs>
        <w:ind w:left="284"/>
        <w:jc w:val="both"/>
        <w:rPr>
          <w:rFonts w:ascii="Verdana" w:hAnsi="Verdana"/>
          <w:sz w:val="18"/>
          <w:szCs w:val="18"/>
        </w:rPr>
      </w:pPr>
      <w:r w:rsidRPr="00744FFC">
        <w:rPr>
          <w:rFonts w:ascii="Verdana" w:hAnsi="Verdana"/>
          <w:sz w:val="18"/>
          <w:szCs w:val="18"/>
        </w:rPr>
        <w:t xml:space="preserve">En el supuesto analizado, al haber sido el propio destinatario quien emitió las autofacturas incluyendo el IVA, la DGT entiende que existe una aceptación voluntaria de la repercusión. En consecuencia, las cuotas soportadas podrán ser objeto de deducción conforme al régimen general del impuesto. </w:t>
      </w:r>
    </w:p>
    <w:p w14:paraId="6AF2DFA1" w14:textId="77777777" w:rsidR="00826506" w:rsidRDefault="00826506" w:rsidP="00744FFC">
      <w:pPr>
        <w:tabs>
          <w:tab w:val="left" w:pos="284"/>
        </w:tabs>
        <w:ind w:left="284"/>
        <w:jc w:val="both"/>
        <w:rPr>
          <w:rFonts w:ascii="Verdana" w:hAnsi="Verdana"/>
          <w:b/>
          <w:bCs/>
          <w:sz w:val="18"/>
          <w:szCs w:val="18"/>
        </w:rPr>
      </w:pPr>
    </w:p>
    <w:p w14:paraId="7CF1D3B1" w14:textId="3FD8604A" w:rsidR="00744FFC" w:rsidRPr="00744FFC" w:rsidRDefault="00744FFC" w:rsidP="00744FFC">
      <w:pPr>
        <w:tabs>
          <w:tab w:val="left" w:pos="284"/>
        </w:tabs>
        <w:ind w:left="284"/>
        <w:jc w:val="both"/>
        <w:rPr>
          <w:rFonts w:ascii="Verdana" w:hAnsi="Verdana"/>
          <w:b/>
          <w:bCs/>
          <w:sz w:val="18"/>
          <w:szCs w:val="18"/>
        </w:rPr>
      </w:pPr>
      <w:r w:rsidRPr="00744FFC">
        <w:rPr>
          <w:rFonts w:ascii="Verdana" w:hAnsi="Verdana"/>
          <w:b/>
          <w:bCs/>
          <w:sz w:val="18"/>
          <w:szCs w:val="18"/>
        </w:rPr>
        <w:t>Conclusión</w:t>
      </w:r>
    </w:p>
    <w:p w14:paraId="645315C0" w14:textId="77777777" w:rsidR="00744FFC" w:rsidRPr="00744FFC" w:rsidRDefault="00744FFC" w:rsidP="00744FFC">
      <w:pPr>
        <w:tabs>
          <w:tab w:val="left" w:pos="284"/>
        </w:tabs>
        <w:ind w:left="284"/>
        <w:jc w:val="both"/>
        <w:rPr>
          <w:rFonts w:ascii="Verdana" w:hAnsi="Verdana"/>
          <w:sz w:val="18"/>
          <w:szCs w:val="18"/>
        </w:rPr>
      </w:pPr>
      <w:r w:rsidRPr="00744FFC">
        <w:rPr>
          <w:rFonts w:ascii="Verdana" w:hAnsi="Verdana"/>
          <w:sz w:val="18"/>
          <w:szCs w:val="18"/>
        </w:rPr>
        <w:t xml:space="preserve">La DGT concluye que la recepción en 2025 de facturas rectificativas que anulan descuentos previamente concedidos permite al destinatario incrementar sus deducciones de IVA en el período de recepción o en los siguientes, dentro del plazo legal de cuatro años. Por otro lado, las operaciones documentadas mediante autofacturas deben declararse en los períodos en que se produjo el devengo efectivo del impuesto, con independencia de cuándo se emitieran los documentos. Además, la aceptación expresa de la repercusión del IVA por </w:t>
      </w:r>
      <w:r w:rsidRPr="00744FFC">
        <w:rPr>
          <w:rFonts w:ascii="Verdana" w:hAnsi="Verdana"/>
          <w:sz w:val="18"/>
          <w:szCs w:val="18"/>
        </w:rPr>
        <w:lastRenderedPageBreak/>
        <w:t xml:space="preserve">parte del destinatario legitima la deducción de las cuotas soportadas aun cuando la repercusión se hubiera efectuado fuera del plazo ordinario de un año. </w:t>
      </w:r>
    </w:p>
    <w:p w14:paraId="52A90B9C" w14:textId="77777777" w:rsidR="001C4926" w:rsidRDefault="001C4926" w:rsidP="008051C8">
      <w:pPr>
        <w:tabs>
          <w:tab w:val="left" w:pos="284"/>
        </w:tabs>
        <w:ind w:left="284"/>
        <w:jc w:val="both"/>
        <w:rPr>
          <w:rFonts w:ascii="Verdana" w:hAnsi="Verdana"/>
          <w:sz w:val="18"/>
          <w:szCs w:val="18"/>
        </w:rPr>
      </w:pPr>
    </w:p>
    <w:p w14:paraId="3F3A19B9" w14:textId="77777777" w:rsidR="001C4926" w:rsidRDefault="001C4926" w:rsidP="008051C8">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1C4926" w:rsidRPr="001C4926" w14:paraId="5C1464D5" w14:textId="77777777" w:rsidTr="0068330E">
        <w:tc>
          <w:tcPr>
            <w:tcW w:w="180" w:type="dxa"/>
            <w:shd w:val="clear" w:color="auto" w:fill="FF6600"/>
          </w:tcPr>
          <w:p w14:paraId="32F9947E" w14:textId="77777777" w:rsidR="001C4926" w:rsidRPr="001C4926" w:rsidRDefault="001C4926" w:rsidP="0068330E">
            <w:pPr>
              <w:rPr>
                <w:rFonts w:ascii="Verdana" w:hAnsi="Verdana"/>
                <w:b/>
                <w:bCs/>
                <w:iCs/>
                <w:color w:val="800000"/>
                <w:sz w:val="18"/>
                <w:szCs w:val="18"/>
              </w:rPr>
            </w:pPr>
          </w:p>
        </w:tc>
        <w:tc>
          <w:tcPr>
            <w:tcW w:w="8460" w:type="dxa"/>
          </w:tcPr>
          <w:p w14:paraId="2BC267C9" w14:textId="4C27996D" w:rsidR="001C4926" w:rsidRPr="001C4926" w:rsidRDefault="001C4926" w:rsidP="0068330E">
            <w:pPr>
              <w:pStyle w:val="Prrafodelista"/>
              <w:numPr>
                <w:ilvl w:val="0"/>
                <w:numId w:val="2"/>
              </w:numPr>
              <w:tabs>
                <w:tab w:val="num" w:pos="284"/>
              </w:tabs>
              <w:ind w:left="382" w:hanging="283"/>
              <w:jc w:val="both"/>
              <w:rPr>
                <w:rFonts w:ascii="Verdana" w:hAnsi="Verdana"/>
                <w:b/>
                <w:bCs/>
                <w:iCs/>
                <w:color w:val="800000"/>
                <w:sz w:val="18"/>
                <w:szCs w:val="18"/>
              </w:rPr>
            </w:pPr>
            <w:r w:rsidRPr="001C4926">
              <w:rPr>
                <w:rFonts w:ascii="Verdana" w:hAnsi="Verdana"/>
                <w:b/>
                <w:bCs/>
                <w:iCs/>
                <w:color w:val="800000"/>
                <w:sz w:val="18"/>
                <w:szCs w:val="18"/>
              </w:rPr>
              <w:t>ISD.– TRATAMIENTO DEL INGRESO EN UNA CUENTA COMÚN POR LA VENTA DE UN BIEN PRIVATIVO</w:t>
            </w:r>
          </w:p>
        </w:tc>
      </w:tr>
    </w:tbl>
    <w:p w14:paraId="616C28FE" w14:textId="77777777" w:rsidR="001C4926" w:rsidRDefault="001C4926" w:rsidP="008051C8">
      <w:pPr>
        <w:tabs>
          <w:tab w:val="left" w:pos="284"/>
        </w:tabs>
        <w:ind w:left="284"/>
        <w:jc w:val="both"/>
        <w:rPr>
          <w:rFonts w:ascii="Verdana" w:hAnsi="Verdana"/>
          <w:sz w:val="18"/>
          <w:szCs w:val="18"/>
        </w:rPr>
      </w:pPr>
    </w:p>
    <w:p w14:paraId="3B6DACB7" w14:textId="329EF525" w:rsidR="001C4926" w:rsidRPr="001C4926" w:rsidRDefault="001C4926" w:rsidP="001C4926">
      <w:pPr>
        <w:tabs>
          <w:tab w:val="left" w:pos="284"/>
        </w:tabs>
        <w:ind w:left="284"/>
        <w:jc w:val="both"/>
        <w:rPr>
          <w:rFonts w:ascii="Verdana" w:hAnsi="Verdana"/>
          <w:i/>
          <w:iCs/>
          <w:sz w:val="18"/>
          <w:szCs w:val="18"/>
        </w:rPr>
      </w:pPr>
      <w:r w:rsidRPr="001C4926">
        <w:rPr>
          <w:rFonts w:ascii="Verdana" w:hAnsi="Verdana"/>
          <w:i/>
          <w:iCs/>
          <w:sz w:val="18"/>
          <w:szCs w:val="18"/>
        </w:rPr>
        <w:t xml:space="preserve">La Dirección General de Tributos en su consulta vinculante V413-26 de 26 febrero 2026, analiza si el ingreso en una cuenta bancaria compartida del importe obtenido por la venta de un inmueble privativo de uno de los cónyuges supone, por sí mismo, una donación al otro cotitular de la cuenta. </w:t>
      </w:r>
    </w:p>
    <w:p w14:paraId="27FDEFD0" w14:textId="77777777" w:rsidR="001C4926" w:rsidRDefault="001C4926" w:rsidP="001C4926">
      <w:pPr>
        <w:tabs>
          <w:tab w:val="left" w:pos="284"/>
        </w:tabs>
        <w:ind w:left="284"/>
        <w:jc w:val="both"/>
        <w:rPr>
          <w:rFonts w:ascii="Verdana" w:hAnsi="Verdana"/>
          <w:b/>
          <w:bCs/>
          <w:sz w:val="18"/>
          <w:szCs w:val="18"/>
        </w:rPr>
      </w:pPr>
    </w:p>
    <w:p w14:paraId="7987BB93" w14:textId="5DD0A2AF" w:rsidR="001C4926" w:rsidRPr="001C4926" w:rsidRDefault="001C4926" w:rsidP="001C4926">
      <w:pPr>
        <w:tabs>
          <w:tab w:val="left" w:pos="284"/>
        </w:tabs>
        <w:ind w:left="284"/>
        <w:jc w:val="both"/>
        <w:rPr>
          <w:rFonts w:ascii="Verdana" w:hAnsi="Verdana"/>
          <w:b/>
          <w:bCs/>
          <w:sz w:val="18"/>
          <w:szCs w:val="18"/>
        </w:rPr>
      </w:pPr>
      <w:r w:rsidRPr="001C4926">
        <w:rPr>
          <w:rFonts w:ascii="Verdana" w:hAnsi="Verdana"/>
          <w:b/>
          <w:bCs/>
          <w:sz w:val="18"/>
          <w:szCs w:val="18"/>
        </w:rPr>
        <w:t>Criterio de la DGT</w:t>
      </w:r>
    </w:p>
    <w:p w14:paraId="6733E119" w14:textId="77777777" w:rsidR="001C4926" w:rsidRPr="001C4926" w:rsidRDefault="001C4926" w:rsidP="001C4926">
      <w:pPr>
        <w:tabs>
          <w:tab w:val="left" w:pos="284"/>
        </w:tabs>
        <w:ind w:left="284"/>
        <w:jc w:val="both"/>
        <w:rPr>
          <w:rFonts w:ascii="Verdana" w:hAnsi="Verdana"/>
          <w:sz w:val="18"/>
          <w:szCs w:val="18"/>
        </w:rPr>
      </w:pPr>
      <w:r w:rsidRPr="001C4926">
        <w:rPr>
          <w:rFonts w:ascii="Verdana" w:hAnsi="Verdana"/>
          <w:sz w:val="18"/>
          <w:szCs w:val="18"/>
        </w:rPr>
        <w:t xml:space="preserve">La DGT concluye que </w:t>
      </w:r>
      <w:r w:rsidRPr="001C4926">
        <w:rPr>
          <w:rFonts w:ascii="Verdana" w:hAnsi="Verdana"/>
          <w:b/>
          <w:bCs/>
          <w:sz w:val="18"/>
          <w:szCs w:val="18"/>
        </w:rPr>
        <w:t>el simple ingreso de dinero privativo en una cuenta bancaria de titularidad compartida no implica necesariamente la existencia de una donación</w:t>
      </w:r>
      <w:r w:rsidRPr="001C4926">
        <w:rPr>
          <w:rFonts w:ascii="Verdana" w:hAnsi="Verdana"/>
          <w:sz w:val="18"/>
          <w:szCs w:val="18"/>
        </w:rPr>
        <w:t xml:space="preserve">, siempre que no concurran los elementos esenciales que configuran este negocio jurídico. </w:t>
      </w:r>
    </w:p>
    <w:p w14:paraId="0EFDFAA5" w14:textId="77777777" w:rsidR="001C4926" w:rsidRDefault="001C4926" w:rsidP="001C4926">
      <w:pPr>
        <w:tabs>
          <w:tab w:val="left" w:pos="284"/>
        </w:tabs>
        <w:ind w:left="284"/>
        <w:jc w:val="both"/>
        <w:rPr>
          <w:rFonts w:ascii="Verdana" w:hAnsi="Verdana"/>
          <w:b/>
          <w:bCs/>
          <w:sz w:val="18"/>
          <w:szCs w:val="18"/>
        </w:rPr>
      </w:pPr>
    </w:p>
    <w:p w14:paraId="4C4F6F19" w14:textId="172F5C8B" w:rsidR="001C4926" w:rsidRPr="001C4926" w:rsidRDefault="001C4926" w:rsidP="001C4926">
      <w:pPr>
        <w:tabs>
          <w:tab w:val="left" w:pos="284"/>
        </w:tabs>
        <w:ind w:left="284"/>
        <w:jc w:val="both"/>
        <w:rPr>
          <w:rFonts w:ascii="Verdana" w:hAnsi="Verdana"/>
          <w:b/>
          <w:bCs/>
          <w:sz w:val="18"/>
          <w:szCs w:val="18"/>
        </w:rPr>
      </w:pPr>
      <w:r w:rsidRPr="001C4926">
        <w:rPr>
          <w:rFonts w:ascii="Verdana" w:hAnsi="Verdana"/>
          <w:b/>
          <w:bCs/>
          <w:sz w:val="18"/>
          <w:szCs w:val="18"/>
        </w:rPr>
        <w:t>Requisitos para que exista una donación</w:t>
      </w:r>
    </w:p>
    <w:p w14:paraId="1E65E4F5" w14:textId="77777777" w:rsidR="001C4926" w:rsidRPr="001C4926" w:rsidRDefault="001C4926" w:rsidP="001C4926">
      <w:pPr>
        <w:tabs>
          <w:tab w:val="left" w:pos="284"/>
        </w:tabs>
        <w:ind w:left="284"/>
        <w:jc w:val="both"/>
        <w:rPr>
          <w:rFonts w:ascii="Verdana" w:hAnsi="Verdana"/>
          <w:sz w:val="18"/>
          <w:szCs w:val="18"/>
        </w:rPr>
      </w:pPr>
      <w:r w:rsidRPr="001C4926">
        <w:rPr>
          <w:rFonts w:ascii="Verdana" w:hAnsi="Verdana"/>
          <w:sz w:val="18"/>
          <w:szCs w:val="18"/>
        </w:rPr>
        <w:t>De acuerdo con la Ley del Impuesto sobre Sucesiones y Donaciones y el Código Civil, para que exista una donación deben concurrir los siguientes elementos:</w:t>
      </w:r>
    </w:p>
    <w:p w14:paraId="460D3A6F" w14:textId="77777777" w:rsidR="001C4926" w:rsidRPr="001C4926" w:rsidRDefault="001C4926">
      <w:pPr>
        <w:numPr>
          <w:ilvl w:val="0"/>
          <w:numId w:val="40"/>
        </w:numPr>
        <w:tabs>
          <w:tab w:val="left" w:pos="284"/>
        </w:tabs>
        <w:jc w:val="both"/>
        <w:rPr>
          <w:rFonts w:ascii="Verdana" w:hAnsi="Verdana"/>
          <w:sz w:val="18"/>
          <w:szCs w:val="18"/>
        </w:rPr>
      </w:pPr>
      <w:r w:rsidRPr="001C4926">
        <w:rPr>
          <w:rFonts w:ascii="Verdana" w:hAnsi="Verdana"/>
          <w:sz w:val="18"/>
          <w:szCs w:val="18"/>
        </w:rPr>
        <w:t xml:space="preserve">Empobrecimiento del donante. </w:t>
      </w:r>
    </w:p>
    <w:p w14:paraId="04878D58" w14:textId="77777777" w:rsidR="001C4926" w:rsidRPr="001C4926" w:rsidRDefault="001C4926">
      <w:pPr>
        <w:numPr>
          <w:ilvl w:val="0"/>
          <w:numId w:val="40"/>
        </w:numPr>
        <w:tabs>
          <w:tab w:val="left" w:pos="284"/>
        </w:tabs>
        <w:jc w:val="both"/>
        <w:rPr>
          <w:rFonts w:ascii="Verdana" w:hAnsi="Verdana"/>
          <w:sz w:val="18"/>
          <w:szCs w:val="18"/>
        </w:rPr>
      </w:pPr>
      <w:r w:rsidRPr="001C4926">
        <w:rPr>
          <w:rFonts w:ascii="Verdana" w:hAnsi="Verdana"/>
          <w:sz w:val="18"/>
          <w:szCs w:val="18"/>
        </w:rPr>
        <w:t xml:space="preserve">Enriquecimiento del donatario. </w:t>
      </w:r>
    </w:p>
    <w:p w14:paraId="5F46145A" w14:textId="6F6DF94E" w:rsidR="001C4926" w:rsidRPr="001C4926" w:rsidRDefault="001C4926">
      <w:pPr>
        <w:numPr>
          <w:ilvl w:val="0"/>
          <w:numId w:val="40"/>
        </w:numPr>
        <w:tabs>
          <w:tab w:val="left" w:pos="284"/>
        </w:tabs>
        <w:jc w:val="both"/>
        <w:rPr>
          <w:rFonts w:ascii="Verdana" w:hAnsi="Verdana"/>
          <w:sz w:val="18"/>
          <w:szCs w:val="18"/>
        </w:rPr>
      </w:pPr>
      <w:r w:rsidRPr="001C4926">
        <w:rPr>
          <w:rFonts w:ascii="Verdana" w:hAnsi="Verdana"/>
          <w:sz w:val="18"/>
          <w:szCs w:val="18"/>
        </w:rPr>
        <w:t>Intención de liberalidad (</w:t>
      </w:r>
      <w:r>
        <w:rPr>
          <w:rFonts w:ascii="Verdana" w:hAnsi="Verdana"/>
          <w:sz w:val="18"/>
          <w:szCs w:val="18"/>
        </w:rPr>
        <w:t>“</w:t>
      </w:r>
      <w:r w:rsidRPr="001C4926">
        <w:rPr>
          <w:rFonts w:ascii="Verdana" w:hAnsi="Verdana"/>
          <w:i/>
          <w:iCs/>
          <w:sz w:val="18"/>
          <w:szCs w:val="18"/>
        </w:rPr>
        <w:t>animus donandi</w:t>
      </w:r>
      <w:r>
        <w:rPr>
          <w:rFonts w:ascii="Verdana" w:hAnsi="Verdana"/>
          <w:i/>
          <w:iCs/>
          <w:sz w:val="18"/>
          <w:szCs w:val="18"/>
        </w:rPr>
        <w:t>”</w:t>
      </w:r>
      <w:r w:rsidRPr="001C4926">
        <w:rPr>
          <w:rFonts w:ascii="Verdana" w:hAnsi="Verdana"/>
          <w:sz w:val="18"/>
          <w:szCs w:val="18"/>
        </w:rPr>
        <w:t xml:space="preserve">). </w:t>
      </w:r>
    </w:p>
    <w:p w14:paraId="1E87A10E" w14:textId="77777777" w:rsidR="001C4926" w:rsidRPr="001C4926" w:rsidRDefault="001C4926">
      <w:pPr>
        <w:numPr>
          <w:ilvl w:val="0"/>
          <w:numId w:val="40"/>
        </w:numPr>
        <w:tabs>
          <w:tab w:val="left" w:pos="284"/>
        </w:tabs>
        <w:jc w:val="both"/>
        <w:rPr>
          <w:rFonts w:ascii="Verdana" w:hAnsi="Verdana"/>
          <w:sz w:val="18"/>
          <w:szCs w:val="18"/>
        </w:rPr>
      </w:pPr>
      <w:r w:rsidRPr="001C4926">
        <w:rPr>
          <w:rFonts w:ascii="Verdana" w:hAnsi="Verdana"/>
          <w:sz w:val="18"/>
          <w:szCs w:val="18"/>
        </w:rPr>
        <w:t xml:space="preserve">Aceptación por parte del beneficiario. </w:t>
      </w:r>
    </w:p>
    <w:p w14:paraId="543A6030" w14:textId="77777777" w:rsidR="001C4926" w:rsidRPr="001C4926" w:rsidRDefault="001C4926">
      <w:pPr>
        <w:numPr>
          <w:ilvl w:val="0"/>
          <w:numId w:val="40"/>
        </w:numPr>
        <w:tabs>
          <w:tab w:val="left" w:pos="284"/>
        </w:tabs>
        <w:jc w:val="both"/>
        <w:rPr>
          <w:rFonts w:ascii="Verdana" w:hAnsi="Verdana"/>
          <w:sz w:val="18"/>
          <w:szCs w:val="18"/>
        </w:rPr>
      </w:pPr>
      <w:r w:rsidRPr="001C4926">
        <w:rPr>
          <w:rFonts w:ascii="Verdana" w:hAnsi="Verdana"/>
          <w:sz w:val="18"/>
          <w:szCs w:val="18"/>
        </w:rPr>
        <w:t xml:space="preserve">Cumplimiento de las formalidades exigidas legalmente. </w:t>
      </w:r>
    </w:p>
    <w:p w14:paraId="5E8903ED" w14:textId="77777777" w:rsidR="001C4926" w:rsidRDefault="001C4926" w:rsidP="001C4926">
      <w:pPr>
        <w:tabs>
          <w:tab w:val="left" w:pos="284"/>
        </w:tabs>
        <w:ind w:left="284"/>
        <w:jc w:val="both"/>
        <w:rPr>
          <w:rFonts w:ascii="Verdana" w:hAnsi="Verdana"/>
          <w:sz w:val="18"/>
          <w:szCs w:val="18"/>
        </w:rPr>
      </w:pPr>
      <w:r w:rsidRPr="001C4926">
        <w:rPr>
          <w:rFonts w:ascii="Verdana" w:hAnsi="Verdana"/>
          <w:sz w:val="18"/>
          <w:szCs w:val="18"/>
        </w:rPr>
        <w:t xml:space="preserve">La ausencia de cualquiera de estos requisitos impide considerar que existe una donación sujeta al Impuesto sobre Sucesiones y Donaciones. </w:t>
      </w:r>
    </w:p>
    <w:p w14:paraId="127DEFD9" w14:textId="77777777" w:rsidR="001C4926" w:rsidRPr="001C4926" w:rsidRDefault="001C4926" w:rsidP="001C4926">
      <w:pPr>
        <w:tabs>
          <w:tab w:val="left" w:pos="284"/>
        </w:tabs>
        <w:ind w:left="284"/>
        <w:jc w:val="both"/>
        <w:rPr>
          <w:rFonts w:ascii="Verdana" w:hAnsi="Verdana"/>
          <w:sz w:val="18"/>
          <w:szCs w:val="18"/>
        </w:rPr>
      </w:pPr>
    </w:p>
    <w:p w14:paraId="496889EB" w14:textId="77777777" w:rsidR="001C4926" w:rsidRPr="001C4926" w:rsidRDefault="001C4926" w:rsidP="001C4926">
      <w:pPr>
        <w:tabs>
          <w:tab w:val="left" w:pos="284"/>
        </w:tabs>
        <w:ind w:left="284"/>
        <w:jc w:val="both"/>
        <w:rPr>
          <w:rFonts w:ascii="Verdana" w:hAnsi="Verdana"/>
          <w:b/>
          <w:bCs/>
          <w:sz w:val="18"/>
          <w:szCs w:val="18"/>
        </w:rPr>
      </w:pPr>
      <w:r w:rsidRPr="001C4926">
        <w:rPr>
          <w:rFonts w:ascii="Verdana" w:hAnsi="Verdana"/>
          <w:b/>
          <w:bCs/>
          <w:sz w:val="18"/>
          <w:szCs w:val="18"/>
        </w:rPr>
        <w:t>Titularidad de la cuenta y propiedad de los fondos</w:t>
      </w:r>
    </w:p>
    <w:p w14:paraId="4A7FC8A6" w14:textId="77777777" w:rsidR="001C4926" w:rsidRPr="001C4926" w:rsidRDefault="001C4926" w:rsidP="001C4926">
      <w:pPr>
        <w:tabs>
          <w:tab w:val="left" w:pos="284"/>
        </w:tabs>
        <w:ind w:left="284"/>
        <w:jc w:val="both"/>
        <w:rPr>
          <w:rFonts w:ascii="Verdana" w:hAnsi="Verdana"/>
          <w:sz w:val="18"/>
          <w:szCs w:val="18"/>
        </w:rPr>
      </w:pPr>
      <w:r w:rsidRPr="001C4926">
        <w:rPr>
          <w:rFonts w:ascii="Verdana" w:hAnsi="Verdana"/>
          <w:sz w:val="18"/>
          <w:szCs w:val="18"/>
        </w:rPr>
        <w:t>La consulta recuerda la consolidada doctrina del Tribunal Supremo sobre las cuentas bancarias indistintas o solidarias:</w:t>
      </w:r>
    </w:p>
    <w:p w14:paraId="23415EB3" w14:textId="77777777" w:rsidR="001C4926" w:rsidRPr="001C4926" w:rsidRDefault="001C4926">
      <w:pPr>
        <w:numPr>
          <w:ilvl w:val="0"/>
          <w:numId w:val="41"/>
        </w:numPr>
        <w:tabs>
          <w:tab w:val="left" w:pos="284"/>
        </w:tabs>
        <w:jc w:val="both"/>
        <w:rPr>
          <w:rFonts w:ascii="Verdana" w:hAnsi="Verdana"/>
          <w:sz w:val="18"/>
          <w:szCs w:val="18"/>
        </w:rPr>
      </w:pPr>
      <w:r w:rsidRPr="001C4926">
        <w:rPr>
          <w:rFonts w:ascii="Verdana" w:hAnsi="Verdana"/>
          <w:sz w:val="18"/>
          <w:szCs w:val="18"/>
        </w:rPr>
        <w:t xml:space="preserve">La cotitularidad de una cuenta bancaria otorga facultades de disposición frente a la entidad financiera. </w:t>
      </w:r>
    </w:p>
    <w:p w14:paraId="1DDABD11" w14:textId="77777777" w:rsidR="001C4926" w:rsidRPr="001C4926" w:rsidRDefault="001C4926">
      <w:pPr>
        <w:numPr>
          <w:ilvl w:val="0"/>
          <w:numId w:val="41"/>
        </w:numPr>
        <w:tabs>
          <w:tab w:val="left" w:pos="284"/>
        </w:tabs>
        <w:jc w:val="both"/>
        <w:rPr>
          <w:rFonts w:ascii="Verdana" w:hAnsi="Verdana"/>
          <w:sz w:val="18"/>
          <w:szCs w:val="18"/>
        </w:rPr>
      </w:pPr>
      <w:r w:rsidRPr="001C4926">
        <w:rPr>
          <w:rFonts w:ascii="Verdana" w:hAnsi="Verdana"/>
          <w:sz w:val="18"/>
          <w:szCs w:val="18"/>
        </w:rPr>
        <w:t xml:space="preserve">Sin embargo, </w:t>
      </w:r>
      <w:r w:rsidRPr="001C4926">
        <w:rPr>
          <w:rFonts w:ascii="Verdana" w:hAnsi="Verdana"/>
          <w:b/>
          <w:bCs/>
          <w:sz w:val="18"/>
          <w:szCs w:val="18"/>
        </w:rPr>
        <w:t>no determina por sí sola la copropiedad de los fondos depositados</w:t>
      </w:r>
      <w:r w:rsidRPr="001C4926">
        <w:rPr>
          <w:rFonts w:ascii="Verdana" w:hAnsi="Verdana"/>
          <w:sz w:val="18"/>
          <w:szCs w:val="18"/>
        </w:rPr>
        <w:t xml:space="preserve">. </w:t>
      </w:r>
    </w:p>
    <w:p w14:paraId="6B93E5F4" w14:textId="77777777" w:rsidR="001C4926" w:rsidRPr="001C4926" w:rsidRDefault="001C4926">
      <w:pPr>
        <w:numPr>
          <w:ilvl w:val="0"/>
          <w:numId w:val="41"/>
        </w:numPr>
        <w:tabs>
          <w:tab w:val="left" w:pos="284"/>
        </w:tabs>
        <w:jc w:val="both"/>
        <w:rPr>
          <w:rFonts w:ascii="Verdana" w:hAnsi="Verdana"/>
          <w:sz w:val="18"/>
          <w:szCs w:val="18"/>
        </w:rPr>
      </w:pPr>
      <w:r w:rsidRPr="001C4926">
        <w:rPr>
          <w:rFonts w:ascii="Verdana" w:hAnsi="Verdana"/>
          <w:sz w:val="18"/>
          <w:szCs w:val="18"/>
        </w:rPr>
        <w:t xml:space="preserve">La propiedad del dinero corresponde a quien haya aportado efectivamente los fondos, salvo prueba en contrario. </w:t>
      </w:r>
    </w:p>
    <w:p w14:paraId="23E9A4FF" w14:textId="77777777" w:rsidR="001C4926" w:rsidRDefault="001C4926">
      <w:pPr>
        <w:numPr>
          <w:ilvl w:val="0"/>
          <w:numId w:val="41"/>
        </w:numPr>
        <w:tabs>
          <w:tab w:val="left" w:pos="284"/>
        </w:tabs>
        <w:jc w:val="both"/>
        <w:rPr>
          <w:rFonts w:ascii="Verdana" w:hAnsi="Verdana"/>
          <w:sz w:val="18"/>
          <w:szCs w:val="18"/>
        </w:rPr>
      </w:pPr>
      <w:r w:rsidRPr="001C4926">
        <w:rPr>
          <w:rFonts w:ascii="Verdana" w:hAnsi="Verdana"/>
          <w:sz w:val="18"/>
          <w:szCs w:val="18"/>
        </w:rPr>
        <w:t xml:space="preserve">La existencia de varios titulares no genera automáticamente un condominio ni una atribución por mitades del saldo existente. </w:t>
      </w:r>
    </w:p>
    <w:p w14:paraId="01F2B2D0" w14:textId="77777777" w:rsidR="001C4926" w:rsidRPr="001C4926" w:rsidRDefault="001C4926" w:rsidP="001C4926">
      <w:pPr>
        <w:tabs>
          <w:tab w:val="left" w:pos="284"/>
        </w:tabs>
        <w:ind w:left="720"/>
        <w:jc w:val="both"/>
        <w:rPr>
          <w:rFonts w:ascii="Verdana" w:hAnsi="Verdana"/>
          <w:sz w:val="18"/>
          <w:szCs w:val="18"/>
        </w:rPr>
      </w:pPr>
    </w:p>
    <w:p w14:paraId="556B9F14" w14:textId="77777777" w:rsidR="001C4926" w:rsidRDefault="001C4926" w:rsidP="001C4926">
      <w:pPr>
        <w:tabs>
          <w:tab w:val="left" w:pos="284"/>
        </w:tabs>
        <w:ind w:left="284"/>
        <w:jc w:val="both"/>
        <w:rPr>
          <w:rFonts w:ascii="Verdana" w:hAnsi="Verdana"/>
          <w:sz w:val="18"/>
          <w:szCs w:val="18"/>
        </w:rPr>
      </w:pPr>
      <w:r w:rsidRPr="001C4926">
        <w:rPr>
          <w:rFonts w:ascii="Verdana" w:hAnsi="Verdana"/>
          <w:sz w:val="18"/>
          <w:szCs w:val="18"/>
        </w:rPr>
        <w:t xml:space="preserve">Por tanto, el hecho de que ambos cónyuges figuren como titulares de la cuenta únicamente implica que ambos pueden operar sobre ella, pero no que el dinero pertenezca a ambos en iguales proporciones. </w:t>
      </w:r>
    </w:p>
    <w:p w14:paraId="7F88FC62" w14:textId="77777777" w:rsidR="001C4926" w:rsidRPr="001C4926" w:rsidRDefault="001C4926" w:rsidP="001C4926">
      <w:pPr>
        <w:tabs>
          <w:tab w:val="left" w:pos="284"/>
        </w:tabs>
        <w:ind w:left="284"/>
        <w:jc w:val="both"/>
        <w:rPr>
          <w:rFonts w:ascii="Verdana" w:hAnsi="Verdana"/>
          <w:sz w:val="18"/>
          <w:szCs w:val="18"/>
        </w:rPr>
      </w:pPr>
    </w:p>
    <w:p w14:paraId="1CC2B74E" w14:textId="77777777" w:rsidR="001C4926" w:rsidRPr="001C4926" w:rsidRDefault="001C4926" w:rsidP="001C4926">
      <w:pPr>
        <w:tabs>
          <w:tab w:val="left" w:pos="284"/>
        </w:tabs>
        <w:ind w:left="284"/>
        <w:jc w:val="both"/>
        <w:rPr>
          <w:rFonts w:ascii="Verdana" w:hAnsi="Verdana"/>
          <w:b/>
          <w:bCs/>
          <w:sz w:val="18"/>
          <w:szCs w:val="18"/>
        </w:rPr>
      </w:pPr>
      <w:r w:rsidRPr="001C4926">
        <w:rPr>
          <w:rFonts w:ascii="Verdana" w:hAnsi="Verdana"/>
          <w:b/>
          <w:bCs/>
          <w:sz w:val="18"/>
          <w:szCs w:val="18"/>
        </w:rPr>
        <w:t>Importancia de la prueba</w:t>
      </w:r>
    </w:p>
    <w:p w14:paraId="74FEFA88" w14:textId="77777777" w:rsidR="001C4926" w:rsidRDefault="001C4926" w:rsidP="001C4926">
      <w:pPr>
        <w:tabs>
          <w:tab w:val="left" w:pos="284"/>
        </w:tabs>
        <w:ind w:left="284"/>
        <w:jc w:val="both"/>
        <w:rPr>
          <w:rFonts w:ascii="Verdana" w:hAnsi="Verdana"/>
          <w:sz w:val="18"/>
          <w:szCs w:val="18"/>
        </w:rPr>
      </w:pPr>
      <w:r w:rsidRPr="001C4926">
        <w:rPr>
          <w:rFonts w:ascii="Verdana" w:hAnsi="Verdana"/>
          <w:sz w:val="18"/>
          <w:szCs w:val="18"/>
        </w:rPr>
        <w:t xml:space="preserve">La DGT destaca que la determinación de si existe o no una transmisión lucrativa constituye una cuestión de hecho que deberá acreditarse mediante pruebas suficientes. Corresponderá a la Administración tributaria competente </w:t>
      </w:r>
      <w:r w:rsidRPr="00E25E2D">
        <w:rPr>
          <w:rFonts w:ascii="Verdana" w:hAnsi="Verdana"/>
          <w:b/>
          <w:bCs/>
          <w:sz w:val="18"/>
          <w:szCs w:val="18"/>
        </w:rPr>
        <w:t>valorar las circunstancias concretas y la documentación aportada por los interesados</w:t>
      </w:r>
      <w:r w:rsidRPr="001C4926">
        <w:rPr>
          <w:rFonts w:ascii="Verdana" w:hAnsi="Verdana"/>
          <w:sz w:val="18"/>
          <w:szCs w:val="18"/>
        </w:rPr>
        <w:t xml:space="preserve">. </w:t>
      </w:r>
    </w:p>
    <w:p w14:paraId="56B777A3" w14:textId="77777777" w:rsidR="001C4926" w:rsidRPr="001C4926" w:rsidRDefault="001C4926" w:rsidP="001C4926">
      <w:pPr>
        <w:tabs>
          <w:tab w:val="left" w:pos="284"/>
        </w:tabs>
        <w:ind w:left="284"/>
        <w:jc w:val="both"/>
        <w:rPr>
          <w:rFonts w:ascii="Verdana" w:hAnsi="Verdana"/>
          <w:sz w:val="18"/>
          <w:szCs w:val="18"/>
        </w:rPr>
      </w:pPr>
    </w:p>
    <w:p w14:paraId="74DE3362" w14:textId="77777777" w:rsidR="001C4926" w:rsidRPr="001C4926" w:rsidRDefault="001C4926" w:rsidP="001C4926">
      <w:pPr>
        <w:tabs>
          <w:tab w:val="left" w:pos="284"/>
        </w:tabs>
        <w:ind w:left="284"/>
        <w:jc w:val="both"/>
        <w:rPr>
          <w:rFonts w:ascii="Verdana" w:hAnsi="Verdana"/>
          <w:b/>
          <w:bCs/>
          <w:sz w:val="18"/>
          <w:szCs w:val="18"/>
        </w:rPr>
      </w:pPr>
      <w:r w:rsidRPr="001C4926">
        <w:rPr>
          <w:rFonts w:ascii="Verdana" w:hAnsi="Verdana"/>
          <w:b/>
          <w:bCs/>
          <w:sz w:val="18"/>
          <w:szCs w:val="18"/>
        </w:rPr>
        <w:t>Conclusión</w:t>
      </w:r>
    </w:p>
    <w:p w14:paraId="0B6619BC" w14:textId="77777777" w:rsidR="001C4926" w:rsidRDefault="001C4926" w:rsidP="001C4926">
      <w:pPr>
        <w:tabs>
          <w:tab w:val="left" w:pos="284"/>
        </w:tabs>
        <w:ind w:left="284"/>
        <w:jc w:val="both"/>
        <w:rPr>
          <w:rFonts w:ascii="Verdana" w:hAnsi="Verdana"/>
          <w:sz w:val="18"/>
          <w:szCs w:val="18"/>
        </w:rPr>
      </w:pPr>
      <w:r w:rsidRPr="001C4926">
        <w:rPr>
          <w:rFonts w:ascii="Verdana" w:hAnsi="Verdana"/>
          <w:sz w:val="18"/>
          <w:szCs w:val="18"/>
        </w:rPr>
        <w:t xml:space="preserve">El ingreso en una cuenta común del dinero procedente de la venta de un bien privativo de uno de los cónyuges </w:t>
      </w:r>
      <w:r w:rsidRPr="001C4926">
        <w:rPr>
          <w:rFonts w:ascii="Verdana" w:hAnsi="Verdana"/>
          <w:b/>
          <w:bCs/>
          <w:sz w:val="18"/>
          <w:szCs w:val="18"/>
        </w:rPr>
        <w:t>no supone automáticamente una donación al otro titular de la cuenta</w:t>
      </w:r>
      <w:r w:rsidRPr="001C4926">
        <w:rPr>
          <w:rFonts w:ascii="Verdana" w:hAnsi="Verdana"/>
          <w:sz w:val="18"/>
          <w:szCs w:val="18"/>
        </w:rPr>
        <w:t xml:space="preserve">. La cotitularidad bancaria únicamente confiere facultades de disposición sobre los fondos, pero no altera por sí misma la titularidad real del dinero. Solo si se acredita una voluntad de transmisión gratuita y concurren los restantes requisitos legales podría apreciarse la existencia de una donación sujeta al Impuesto sobre Sucesiones y Donaciones. </w:t>
      </w:r>
    </w:p>
    <w:p w14:paraId="4F30714E" w14:textId="77777777" w:rsidR="00190085" w:rsidRPr="001C4926" w:rsidRDefault="00190085" w:rsidP="001C4926">
      <w:pPr>
        <w:tabs>
          <w:tab w:val="left" w:pos="284"/>
        </w:tabs>
        <w:ind w:left="284"/>
        <w:jc w:val="both"/>
        <w:rPr>
          <w:rFonts w:ascii="Verdana" w:hAnsi="Verdana"/>
          <w:sz w:val="18"/>
          <w:szCs w:val="18"/>
        </w:rPr>
      </w:pPr>
    </w:p>
    <w:p w14:paraId="66F600C2" w14:textId="15F51D7B" w:rsidR="001C4926" w:rsidRDefault="001C4926" w:rsidP="001C4926">
      <w:pPr>
        <w:tabs>
          <w:tab w:val="left" w:pos="284"/>
        </w:tabs>
        <w:ind w:left="284"/>
        <w:jc w:val="both"/>
        <w:rPr>
          <w:rFonts w:ascii="Verdana" w:hAnsi="Verdana"/>
          <w:sz w:val="18"/>
          <w:szCs w:val="18"/>
        </w:rPr>
      </w:pPr>
      <w:r w:rsidRPr="001C4926">
        <w:rPr>
          <w:rFonts w:ascii="Verdana" w:hAnsi="Verdana"/>
          <w:b/>
          <w:bCs/>
          <w:sz w:val="18"/>
          <w:szCs w:val="18"/>
        </w:rPr>
        <w:t>Interés fiscal:</w:t>
      </w:r>
      <w:r w:rsidRPr="001C4926">
        <w:rPr>
          <w:rFonts w:ascii="Verdana" w:hAnsi="Verdana"/>
          <w:sz w:val="18"/>
          <w:szCs w:val="18"/>
        </w:rPr>
        <w:t xml:space="preserve"> La consulta refuerza la doctrina administrativa y jurisprudencial según la cual </w:t>
      </w:r>
      <w:r w:rsidRPr="00030B3F">
        <w:rPr>
          <w:rFonts w:ascii="Verdana" w:hAnsi="Verdana"/>
          <w:b/>
          <w:bCs/>
          <w:sz w:val="18"/>
          <w:szCs w:val="18"/>
        </w:rPr>
        <w:t xml:space="preserve">la titularidad formal de una cuenta bancaria no prevalece sobre la titularidad </w:t>
      </w:r>
      <w:r w:rsidRPr="00030B3F">
        <w:rPr>
          <w:rFonts w:ascii="Verdana" w:hAnsi="Verdana"/>
          <w:b/>
          <w:bCs/>
          <w:sz w:val="18"/>
          <w:szCs w:val="18"/>
        </w:rPr>
        <w:lastRenderedPageBreak/>
        <w:t>material</w:t>
      </w:r>
      <w:r w:rsidRPr="001C4926">
        <w:rPr>
          <w:rFonts w:ascii="Verdana" w:hAnsi="Verdana"/>
          <w:sz w:val="18"/>
          <w:szCs w:val="18"/>
        </w:rPr>
        <w:t xml:space="preserve"> de los fondos, evitando que el mero ingreso de dinero privativo en cuentas compartidas genere automáticamente obligaciones tributarias por donación. </w:t>
      </w:r>
    </w:p>
    <w:p w14:paraId="6B56950C" w14:textId="77777777" w:rsidR="0033095A" w:rsidRDefault="0033095A" w:rsidP="001C4926">
      <w:pPr>
        <w:tabs>
          <w:tab w:val="left" w:pos="284"/>
        </w:tabs>
        <w:ind w:left="284"/>
        <w:jc w:val="both"/>
        <w:rPr>
          <w:rFonts w:ascii="Verdana" w:hAnsi="Verdana"/>
          <w:sz w:val="18"/>
          <w:szCs w:val="18"/>
        </w:rPr>
      </w:pPr>
    </w:p>
    <w:p w14:paraId="24E07CB7" w14:textId="77777777" w:rsidR="00E25E2D" w:rsidRDefault="00E25E2D" w:rsidP="001C4926">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E25E2D" w:rsidRPr="00030B3F" w14:paraId="3CD15083" w14:textId="77777777" w:rsidTr="005C3C5C">
        <w:tc>
          <w:tcPr>
            <w:tcW w:w="180" w:type="dxa"/>
            <w:shd w:val="clear" w:color="auto" w:fill="FF6600"/>
          </w:tcPr>
          <w:p w14:paraId="65D1C695" w14:textId="77777777" w:rsidR="00E25E2D" w:rsidRPr="00030B3F" w:rsidRDefault="00E25E2D" w:rsidP="005C3C5C">
            <w:pPr>
              <w:rPr>
                <w:rFonts w:ascii="Verdana" w:hAnsi="Verdana"/>
                <w:b/>
                <w:bCs/>
                <w:iCs/>
                <w:color w:val="800000"/>
                <w:sz w:val="18"/>
                <w:szCs w:val="18"/>
              </w:rPr>
            </w:pPr>
          </w:p>
        </w:tc>
        <w:tc>
          <w:tcPr>
            <w:tcW w:w="8460" w:type="dxa"/>
          </w:tcPr>
          <w:p w14:paraId="3BBC2B2E" w14:textId="2BA1AB03" w:rsidR="00E25E2D" w:rsidRPr="00030B3F" w:rsidRDefault="00030B3F" w:rsidP="005C3C5C">
            <w:pPr>
              <w:pStyle w:val="Prrafodelista"/>
              <w:numPr>
                <w:ilvl w:val="0"/>
                <w:numId w:val="2"/>
              </w:numPr>
              <w:tabs>
                <w:tab w:val="num" w:pos="284"/>
              </w:tabs>
              <w:ind w:left="382" w:hanging="283"/>
              <w:jc w:val="both"/>
              <w:rPr>
                <w:rFonts w:ascii="Verdana" w:hAnsi="Verdana"/>
                <w:b/>
                <w:bCs/>
                <w:iCs/>
                <w:color w:val="800000"/>
                <w:sz w:val="18"/>
                <w:szCs w:val="18"/>
              </w:rPr>
            </w:pPr>
            <w:r w:rsidRPr="00030B3F">
              <w:rPr>
                <w:rFonts w:ascii="Verdana" w:hAnsi="Verdana"/>
                <w:b/>
                <w:bCs/>
                <w:iCs/>
                <w:color w:val="800000"/>
                <w:sz w:val="18"/>
                <w:szCs w:val="18"/>
              </w:rPr>
              <w:t>LGT.- INTRANSMISIBILIDAD DE LA RESPONSABILIDAD SUBSIDIARIA DEL ARTÍCULO 43.1.A) LGT POR FALLECIMIENTO DEL RESPONSABLE</w:t>
            </w:r>
          </w:p>
        </w:tc>
      </w:tr>
    </w:tbl>
    <w:p w14:paraId="2188238A" w14:textId="77777777" w:rsidR="00E25E2D" w:rsidRDefault="00E25E2D" w:rsidP="001C4926">
      <w:pPr>
        <w:tabs>
          <w:tab w:val="left" w:pos="284"/>
        </w:tabs>
        <w:ind w:left="284"/>
        <w:jc w:val="both"/>
        <w:rPr>
          <w:rFonts w:ascii="Verdana" w:hAnsi="Verdana"/>
          <w:sz w:val="18"/>
          <w:szCs w:val="18"/>
        </w:rPr>
      </w:pPr>
    </w:p>
    <w:p w14:paraId="49B30A23" w14:textId="77777777" w:rsidR="00E25E2D" w:rsidRPr="00E25E2D" w:rsidRDefault="00E25E2D" w:rsidP="00E25E2D">
      <w:pPr>
        <w:tabs>
          <w:tab w:val="left" w:pos="284"/>
        </w:tabs>
        <w:ind w:left="284"/>
        <w:jc w:val="both"/>
        <w:rPr>
          <w:rFonts w:ascii="Verdana" w:hAnsi="Verdana"/>
          <w:i/>
          <w:iCs/>
          <w:sz w:val="18"/>
          <w:szCs w:val="18"/>
        </w:rPr>
      </w:pPr>
      <w:r w:rsidRPr="00E25E2D">
        <w:rPr>
          <w:rFonts w:ascii="Verdana" w:hAnsi="Verdana"/>
          <w:i/>
          <w:iCs/>
          <w:sz w:val="18"/>
          <w:szCs w:val="18"/>
        </w:rPr>
        <w:t>El TEAC en su resolución RG 4927/2022, de 30 de abril de 2026, analiza la posibilidad de transmitir a los herederos de una persona física las deudas derivadas de un acuerdo de declaración de responsabilidad subsidiaria cuando el responsable fallece.</w:t>
      </w:r>
    </w:p>
    <w:p w14:paraId="32B3079B" w14:textId="77777777" w:rsidR="00E25E2D" w:rsidRDefault="00E25E2D" w:rsidP="001C4926">
      <w:pPr>
        <w:tabs>
          <w:tab w:val="left" w:pos="284"/>
        </w:tabs>
        <w:ind w:left="284"/>
        <w:jc w:val="both"/>
        <w:rPr>
          <w:rFonts w:ascii="Verdana" w:hAnsi="Verdana"/>
          <w:sz w:val="18"/>
          <w:szCs w:val="18"/>
        </w:rPr>
      </w:pPr>
    </w:p>
    <w:p w14:paraId="77C53197" w14:textId="77777777" w:rsidR="00E25E2D" w:rsidRPr="00E25E2D" w:rsidRDefault="00E25E2D" w:rsidP="00E25E2D">
      <w:pPr>
        <w:tabs>
          <w:tab w:val="left" w:pos="284"/>
        </w:tabs>
        <w:ind w:left="284"/>
        <w:jc w:val="both"/>
        <w:rPr>
          <w:rFonts w:ascii="Verdana" w:hAnsi="Verdana"/>
          <w:b/>
          <w:bCs/>
          <w:sz w:val="18"/>
          <w:szCs w:val="18"/>
        </w:rPr>
      </w:pPr>
      <w:r w:rsidRPr="00E25E2D">
        <w:rPr>
          <w:rFonts w:ascii="Verdana" w:hAnsi="Verdana"/>
          <w:b/>
          <w:bCs/>
          <w:sz w:val="18"/>
          <w:szCs w:val="18"/>
        </w:rPr>
        <w:t>Antecedentes</w:t>
      </w:r>
    </w:p>
    <w:p w14:paraId="6F7C8078" w14:textId="77777777" w:rsidR="00E25E2D" w:rsidRP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La Resolución del Tribunal Económico-Administrativo Central (TEAC) de 30 de abril de 2026 (RG 4927/2022) analiza si las obligaciones derivadas de una declaración de responsabilidad subsidiaria del artículo 43.1.a) de la Ley General Tributaria pueden transmitirse a los herederos del responsable fallecido.</w:t>
      </w:r>
    </w:p>
    <w:p w14:paraId="16596BD7" w14:textId="77777777" w:rsidR="00E25E2D" w:rsidRPr="00E25E2D" w:rsidRDefault="00E25E2D" w:rsidP="00E25E2D">
      <w:pPr>
        <w:tabs>
          <w:tab w:val="left" w:pos="284"/>
        </w:tabs>
        <w:ind w:left="284"/>
        <w:jc w:val="both"/>
        <w:rPr>
          <w:rFonts w:ascii="Verdana" w:hAnsi="Verdana"/>
          <w:sz w:val="18"/>
          <w:szCs w:val="18"/>
        </w:rPr>
      </w:pPr>
    </w:p>
    <w:p w14:paraId="7F8ACE79" w14:textId="77777777" w:rsidR="00E25E2D" w:rsidRP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En el caso examinado, un administrador había sido declarado responsable subsidiario de deudas tributarias y sanciones de una sociedad. Tras su fallecimiento, la AEAT anuló las sanciones incluidas en el acuerdo de derivación, pero mantuvo la exigencia de las liquidaciones tributarias a los herederos.</w:t>
      </w:r>
    </w:p>
    <w:p w14:paraId="0B200114" w14:textId="77777777" w:rsidR="00E25E2D" w:rsidRPr="00E25E2D" w:rsidRDefault="00E25E2D" w:rsidP="00E25E2D">
      <w:pPr>
        <w:tabs>
          <w:tab w:val="left" w:pos="284"/>
        </w:tabs>
        <w:ind w:left="284"/>
        <w:jc w:val="both"/>
        <w:rPr>
          <w:rFonts w:ascii="Verdana" w:hAnsi="Verdana"/>
          <w:sz w:val="18"/>
          <w:szCs w:val="18"/>
        </w:rPr>
      </w:pPr>
    </w:p>
    <w:p w14:paraId="65D61F53" w14:textId="77777777" w:rsidR="00E25E2D" w:rsidRPr="00E25E2D" w:rsidRDefault="00E25E2D" w:rsidP="00E25E2D">
      <w:pPr>
        <w:tabs>
          <w:tab w:val="left" w:pos="284"/>
        </w:tabs>
        <w:ind w:left="284"/>
        <w:jc w:val="both"/>
        <w:rPr>
          <w:rFonts w:ascii="Verdana" w:hAnsi="Verdana"/>
          <w:b/>
          <w:bCs/>
          <w:sz w:val="18"/>
          <w:szCs w:val="18"/>
        </w:rPr>
      </w:pPr>
      <w:r w:rsidRPr="00E25E2D">
        <w:rPr>
          <w:rFonts w:ascii="Verdana" w:hAnsi="Verdana"/>
          <w:b/>
          <w:bCs/>
          <w:sz w:val="18"/>
          <w:szCs w:val="18"/>
        </w:rPr>
        <w:t>Criterio del TEAC</w:t>
      </w:r>
    </w:p>
    <w:p w14:paraId="627CA2CB" w14:textId="77777777" w:rsidR="00E25E2D" w:rsidRPr="00E25E2D" w:rsidRDefault="00E25E2D" w:rsidP="00E25E2D">
      <w:pPr>
        <w:tabs>
          <w:tab w:val="left" w:pos="284"/>
        </w:tabs>
        <w:ind w:left="284"/>
        <w:jc w:val="both"/>
        <w:rPr>
          <w:rFonts w:ascii="Verdana" w:hAnsi="Verdana"/>
          <w:sz w:val="18"/>
          <w:szCs w:val="18"/>
        </w:rPr>
      </w:pPr>
    </w:p>
    <w:p w14:paraId="627E384F" w14:textId="77777777" w:rsidR="00E25E2D" w:rsidRP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 xml:space="preserve">El TEAC estima la reclamación y concluye que ni las sanciones ni las liquidaciones incluidas en el alcance de una responsabilidad subsidiaria del artículo 43.1.a) LGT </w:t>
      </w:r>
      <w:r w:rsidRPr="00030B3F">
        <w:rPr>
          <w:rFonts w:ascii="Verdana" w:hAnsi="Verdana"/>
          <w:b/>
          <w:bCs/>
          <w:sz w:val="18"/>
          <w:szCs w:val="18"/>
        </w:rPr>
        <w:t>pueden transmitirse mortis causa a los herederos del responsable</w:t>
      </w:r>
      <w:r w:rsidRPr="00E25E2D">
        <w:rPr>
          <w:rFonts w:ascii="Verdana" w:hAnsi="Verdana"/>
          <w:sz w:val="18"/>
          <w:szCs w:val="18"/>
        </w:rPr>
        <w:t>.</w:t>
      </w:r>
    </w:p>
    <w:p w14:paraId="1F43247D" w14:textId="77777777" w:rsidR="00E25E2D" w:rsidRPr="00E25E2D" w:rsidRDefault="00E25E2D" w:rsidP="00E25E2D">
      <w:pPr>
        <w:tabs>
          <w:tab w:val="left" w:pos="284"/>
        </w:tabs>
        <w:ind w:left="284"/>
        <w:jc w:val="both"/>
        <w:rPr>
          <w:rFonts w:ascii="Verdana" w:hAnsi="Verdana"/>
          <w:sz w:val="18"/>
          <w:szCs w:val="18"/>
        </w:rPr>
      </w:pPr>
    </w:p>
    <w:p w14:paraId="6DDB9790" w14:textId="77777777" w:rsidR="00E25E2D" w:rsidRP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La resolución se fundamenta en la reciente doctrina del Tribunal Supremo, que ha confirmado la naturaleza sancionadora de la responsabilidad subsidiaria prevista para administradores en el artículo 43.1.a) LGT. Esta calificación implica la aplicación de los principios propios del derecho sancionador, entre ellos:</w:t>
      </w:r>
    </w:p>
    <w:p w14:paraId="1C526C72" w14:textId="77777777" w:rsidR="00E25E2D" w:rsidRPr="00E25E2D" w:rsidRDefault="00E25E2D" w:rsidP="00E25E2D">
      <w:pPr>
        <w:tabs>
          <w:tab w:val="left" w:pos="284"/>
        </w:tabs>
        <w:ind w:left="284"/>
        <w:jc w:val="both"/>
        <w:rPr>
          <w:rFonts w:ascii="Verdana" w:hAnsi="Verdana"/>
          <w:sz w:val="18"/>
          <w:szCs w:val="18"/>
        </w:rPr>
      </w:pPr>
    </w:p>
    <w:p w14:paraId="21171214" w14:textId="77777777" w:rsidR="00E25E2D" w:rsidRPr="00E25E2D" w:rsidRDefault="00E25E2D">
      <w:pPr>
        <w:pStyle w:val="Prrafodelista"/>
        <w:numPr>
          <w:ilvl w:val="0"/>
          <w:numId w:val="43"/>
        </w:numPr>
        <w:tabs>
          <w:tab w:val="left" w:pos="284"/>
        </w:tabs>
        <w:jc w:val="both"/>
        <w:rPr>
          <w:rFonts w:ascii="Verdana" w:hAnsi="Verdana"/>
          <w:sz w:val="18"/>
          <w:szCs w:val="18"/>
        </w:rPr>
      </w:pPr>
      <w:r w:rsidRPr="00E25E2D">
        <w:rPr>
          <w:rFonts w:ascii="Verdana" w:hAnsi="Verdana"/>
          <w:sz w:val="18"/>
          <w:szCs w:val="18"/>
        </w:rPr>
        <w:t>El principio de presunción de inocencia.</w:t>
      </w:r>
    </w:p>
    <w:p w14:paraId="0D1D59BE" w14:textId="77777777" w:rsidR="00E25E2D" w:rsidRPr="00E25E2D" w:rsidRDefault="00E25E2D">
      <w:pPr>
        <w:pStyle w:val="Prrafodelista"/>
        <w:numPr>
          <w:ilvl w:val="0"/>
          <w:numId w:val="43"/>
        </w:numPr>
        <w:tabs>
          <w:tab w:val="left" w:pos="284"/>
        </w:tabs>
        <w:jc w:val="both"/>
        <w:rPr>
          <w:rFonts w:ascii="Verdana" w:hAnsi="Verdana"/>
          <w:sz w:val="18"/>
          <w:szCs w:val="18"/>
        </w:rPr>
      </w:pPr>
      <w:r w:rsidRPr="00E25E2D">
        <w:rPr>
          <w:rFonts w:ascii="Verdana" w:hAnsi="Verdana"/>
          <w:sz w:val="18"/>
          <w:szCs w:val="18"/>
        </w:rPr>
        <w:t>La prohibición de responsabilidad objetiva.</w:t>
      </w:r>
    </w:p>
    <w:p w14:paraId="3A0884A6" w14:textId="77777777" w:rsidR="00E25E2D" w:rsidRPr="00E25E2D" w:rsidRDefault="00E25E2D">
      <w:pPr>
        <w:pStyle w:val="Prrafodelista"/>
        <w:numPr>
          <w:ilvl w:val="0"/>
          <w:numId w:val="43"/>
        </w:numPr>
        <w:tabs>
          <w:tab w:val="left" w:pos="284"/>
        </w:tabs>
        <w:jc w:val="both"/>
        <w:rPr>
          <w:rFonts w:ascii="Verdana" w:hAnsi="Verdana"/>
          <w:sz w:val="18"/>
          <w:szCs w:val="18"/>
        </w:rPr>
      </w:pPr>
      <w:r w:rsidRPr="00E25E2D">
        <w:rPr>
          <w:rFonts w:ascii="Verdana" w:hAnsi="Verdana"/>
          <w:sz w:val="18"/>
          <w:szCs w:val="18"/>
        </w:rPr>
        <w:t>El principio de personalidad de la sanción.</w:t>
      </w:r>
    </w:p>
    <w:p w14:paraId="73D597BD" w14:textId="77777777" w:rsidR="00E25E2D" w:rsidRPr="00E25E2D" w:rsidRDefault="00E25E2D">
      <w:pPr>
        <w:pStyle w:val="Prrafodelista"/>
        <w:numPr>
          <w:ilvl w:val="0"/>
          <w:numId w:val="43"/>
        </w:numPr>
        <w:tabs>
          <w:tab w:val="left" w:pos="284"/>
        </w:tabs>
        <w:jc w:val="both"/>
        <w:rPr>
          <w:rFonts w:ascii="Verdana" w:hAnsi="Verdana"/>
          <w:sz w:val="18"/>
          <w:szCs w:val="18"/>
        </w:rPr>
      </w:pPr>
      <w:r w:rsidRPr="00E25E2D">
        <w:rPr>
          <w:rFonts w:ascii="Verdana" w:hAnsi="Verdana"/>
          <w:sz w:val="18"/>
          <w:szCs w:val="18"/>
        </w:rPr>
        <w:t>La prohibición de invertir la carga de la prueba en perjuicio del responsable.</w:t>
      </w:r>
    </w:p>
    <w:p w14:paraId="642B19C8" w14:textId="77777777" w:rsidR="00E25E2D" w:rsidRPr="00E25E2D" w:rsidRDefault="00E25E2D">
      <w:pPr>
        <w:pStyle w:val="Prrafodelista"/>
        <w:numPr>
          <w:ilvl w:val="0"/>
          <w:numId w:val="43"/>
        </w:numPr>
        <w:tabs>
          <w:tab w:val="left" w:pos="284"/>
        </w:tabs>
        <w:jc w:val="both"/>
        <w:rPr>
          <w:rFonts w:ascii="Verdana" w:hAnsi="Verdana"/>
          <w:sz w:val="18"/>
          <w:szCs w:val="18"/>
        </w:rPr>
      </w:pPr>
      <w:r w:rsidRPr="00E25E2D">
        <w:rPr>
          <w:rFonts w:ascii="Verdana" w:hAnsi="Verdana"/>
          <w:sz w:val="18"/>
          <w:szCs w:val="18"/>
        </w:rPr>
        <w:t>Fundamentación jurídica</w:t>
      </w:r>
    </w:p>
    <w:p w14:paraId="6488EBB0" w14:textId="77777777" w:rsidR="00E25E2D" w:rsidRPr="00E25E2D" w:rsidRDefault="00E25E2D" w:rsidP="00E25E2D">
      <w:pPr>
        <w:tabs>
          <w:tab w:val="left" w:pos="284"/>
        </w:tabs>
        <w:ind w:left="284"/>
        <w:jc w:val="both"/>
        <w:rPr>
          <w:rFonts w:ascii="Verdana" w:hAnsi="Verdana"/>
          <w:sz w:val="18"/>
          <w:szCs w:val="18"/>
        </w:rPr>
      </w:pPr>
    </w:p>
    <w:p w14:paraId="73C6BD90" w14:textId="77777777" w:rsidR="00E25E2D" w:rsidRP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 xml:space="preserve">El TEAC recuerda que los artículos 39, 182, 189 y 190 de la LGT </w:t>
      </w:r>
      <w:r w:rsidRPr="00030B3F">
        <w:rPr>
          <w:rFonts w:ascii="Verdana" w:hAnsi="Verdana"/>
          <w:b/>
          <w:bCs/>
          <w:sz w:val="18"/>
          <w:szCs w:val="18"/>
        </w:rPr>
        <w:t>establecen la intransmisibilidad de las sanciones tributarias y la extinción de la responsabilidad sancionadora por fallecimiento del infractor</w:t>
      </w:r>
      <w:r w:rsidRPr="00E25E2D">
        <w:rPr>
          <w:rFonts w:ascii="Verdana" w:hAnsi="Verdana"/>
          <w:sz w:val="18"/>
          <w:szCs w:val="18"/>
        </w:rPr>
        <w:t>. Asimismo, invoca la doctrina constitucional sobre el principio de personalidad de la pena, aplicable también al ámbito sancionador tributario.</w:t>
      </w:r>
    </w:p>
    <w:p w14:paraId="2A633C78" w14:textId="77777777" w:rsidR="00E25E2D" w:rsidRPr="00E25E2D" w:rsidRDefault="00E25E2D" w:rsidP="00E25E2D">
      <w:pPr>
        <w:tabs>
          <w:tab w:val="left" w:pos="284"/>
        </w:tabs>
        <w:ind w:left="284"/>
        <w:jc w:val="both"/>
        <w:rPr>
          <w:rFonts w:ascii="Verdana" w:hAnsi="Verdana"/>
          <w:sz w:val="18"/>
          <w:szCs w:val="18"/>
        </w:rPr>
      </w:pPr>
    </w:p>
    <w:p w14:paraId="3C138483" w14:textId="77777777" w:rsidR="00E25E2D" w:rsidRP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Aunque el artículo 39.1 LGT permite, con carácter general, la transmisión a los sucesores de la obligación del responsable cuando el acuerdo de derivación ha sido notificado antes de su fallecimiento, el TEAC entiende que dicha regla debe ceder cuando la responsabilidad tenga naturaleza sancionadora.</w:t>
      </w:r>
    </w:p>
    <w:p w14:paraId="53CF62EA" w14:textId="77777777" w:rsidR="00E25E2D" w:rsidRPr="00E25E2D" w:rsidRDefault="00E25E2D" w:rsidP="00E25E2D">
      <w:pPr>
        <w:tabs>
          <w:tab w:val="left" w:pos="284"/>
        </w:tabs>
        <w:ind w:left="284"/>
        <w:jc w:val="both"/>
        <w:rPr>
          <w:rFonts w:ascii="Verdana" w:hAnsi="Verdana"/>
          <w:sz w:val="18"/>
          <w:szCs w:val="18"/>
        </w:rPr>
      </w:pPr>
    </w:p>
    <w:p w14:paraId="5612963B" w14:textId="77777777" w:rsidR="00E25E2D" w:rsidRPr="00E25E2D" w:rsidRDefault="00E25E2D" w:rsidP="00E25E2D">
      <w:pPr>
        <w:tabs>
          <w:tab w:val="left" w:pos="284"/>
        </w:tabs>
        <w:ind w:left="284"/>
        <w:jc w:val="both"/>
        <w:rPr>
          <w:rFonts w:ascii="Verdana" w:hAnsi="Verdana"/>
          <w:b/>
          <w:bCs/>
          <w:sz w:val="18"/>
          <w:szCs w:val="18"/>
        </w:rPr>
      </w:pPr>
      <w:r w:rsidRPr="00E25E2D">
        <w:rPr>
          <w:rFonts w:ascii="Verdana" w:hAnsi="Verdana"/>
          <w:b/>
          <w:bCs/>
          <w:sz w:val="18"/>
          <w:szCs w:val="18"/>
        </w:rPr>
        <w:t>Doctrina de interés</w:t>
      </w:r>
    </w:p>
    <w:p w14:paraId="612A06E3" w14:textId="77777777" w:rsidR="00E25E2D" w:rsidRP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La resolución fija un criterio especialmente relevante para los procedimientos de derivación de responsabilidad a administradores:</w:t>
      </w:r>
    </w:p>
    <w:p w14:paraId="24570AE2" w14:textId="77777777" w:rsidR="00E25E2D" w:rsidRPr="00E25E2D" w:rsidRDefault="00E25E2D" w:rsidP="00E25E2D">
      <w:pPr>
        <w:tabs>
          <w:tab w:val="left" w:pos="284"/>
        </w:tabs>
        <w:ind w:left="284"/>
        <w:jc w:val="both"/>
        <w:rPr>
          <w:rFonts w:ascii="Verdana" w:hAnsi="Verdana"/>
          <w:sz w:val="18"/>
          <w:szCs w:val="18"/>
        </w:rPr>
      </w:pPr>
    </w:p>
    <w:p w14:paraId="3A494077" w14:textId="77777777" w:rsidR="00E25E2D" w:rsidRP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La muerte del responsable extingue la responsabilidad derivada del artículo 43.1.a) LGT y excluye su transmisión a herederos y legatarios, incluso cuando el acuerdo de derivación hubiera sido notificado antes del fallecimiento.</w:t>
      </w:r>
    </w:p>
    <w:p w14:paraId="273AF032" w14:textId="77777777" w:rsidR="00E25E2D" w:rsidRPr="00E25E2D" w:rsidRDefault="00E25E2D" w:rsidP="00E25E2D">
      <w:pPr>
        <w:tabs>
          <w:tab w:val="left" w:pos="284"/>
        </w:tabs>
        <w:ind w:left="284"/>
        <w:jc w:val="both"/>
        <w:rPr>
          <w:rFonts w:ascii="Verdana" w:hAnsi="Verdana"/>
          <w:sz w:val="18"/>
          <w:szCs w:val="18"/>
        </w:rPr>
      </w:pPr>
    </w:p>
    <w:p w14:paraId="1B1D7546" w14:textId="77777777" w:rsidR="00E25E2D" w:rsidRP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 xml:space="preserve">Además, el TEAC aclara que </w:t>
      </w:r>
      <w:r w:rsidRPr="00030B3F">
        <w:rPr>
          <w:rFonts w:ascii="Verdana" w:hAnsi="Verdana"/>
          <w:b/>
          <w:bCs/>
          <w:sz w:val="18"/>
          <w:szCs w:val="18"/>
        </w:rPr>
        <w:t>la intransmisibilidad alcanza no solo a las sanciones expresamente incluidas en el acuerdo, sino también a las liquidaciones tributarias integradas en el alcance de una responsabilidad cuya naturaleza es esencialmente sancionadora</w:t>
      </w:r>
      <w:r w:rsidRPr="00E25E2D">
        <w:rPr>
          <w:rFonts w:ascii="Verdana" w:hAnsi="Verdana"/>
          <w:sz w:val="18"/>
          <w:szCs w:val="18"/>
        </w:rPr>
        <w:t>.</w:t>
      </w:r>
    </w:p>
    <w:p w14:paraId="5428C05E" w14:textId="77777777" w:rsidR="00E25E2D" w:rsidRPr="00E25E2D" w:rsidRDefault="00E25E2D" w:rsidP="00E25E2D">
      <w:pPr>
        <w:tabs>
          <w:tab w:val="left" w:pos="284"/>
        </w:tabs>
        <w:ind w:left="284"/>
        <w:jc w:val="both"/>
        <w:rPr>
          <w:rFonts w:ascii="Verdana" w:hAnsi="Verdana"/>
          <w:sz w:val="18"/>
          <w:szCs w:val="18"/>
        </w:rPr>
      </w:pPr>
    </w:p>
    <w:p w14:paraId="3A68A9FE" w14:textId="77777777" w:rsidR="00E25E2D" w:rsidRPr="00030B3F" w:rsidRDefault="00E25E2D" w:rsidP="00E25E2D">
      <w:pPr>
        <w:tabs>
          <w:tab w:val="left" w:pos="284"/>
        </w:tabs>
        <w:ind w:left="284"/>
        <w:jc w:val="both"/>
        <w:rPr>
          <w:rFonts w:ascii="Verdana" w:hAnsi="Verdana"/>
          <w:b/>
          <w:bCs/>
          <w:sz w:val="18"/>
          <w:szCs w:val="18"/>
        </w:rPr>
      </w:pPr>
      <w:r w:rsidRPr="00030B3F">
        <w:rPr>
          <w:rFonts w:ascii="Verdana" w:hAnsi="Verdana"/>
          <w:b/>
          <w:bCs/>
          <w:sz w:val="18"/>
          <w:szCs w:val="18"/>
        </w:rPr>
        <w:t>Conclusión</w:t>
      </w:r>
    </w:p>
    <w:p w14:paraId="5C4E58ED" w14:textId="77777777" w:rsidR="00E25E2D" w:rsidRPr="00E25E2D" w:rsidRDefault="00E25E2D" w:rsidP="00E25E2D">
      <w:pPr>
        <w:tabs>
          <w:tab w:val="left" w:pos="284"/>
        </w:tabs>
        <w:ind w:left="284"/>
        <w:jc w:val="both"/>
        <w:rPr>
          <w:rFonts w:ascii="Verdana" w:hAnsi="Verdana"/>
          <w:sz w:val="18"/>
          <w:szCs w:val="18"/>
        </w:rPr>
      </w:pPr>
    </w:p>
    <w:p w14:paraId="7FD532A9" w14:textId="44B66C44" w:rsidR="00E25E2D" w:rsidRDefault="00E25E2D" w:rsidP="00E25E2D">
      <w:pPr>
        <w:tabs>
          <w:tab w:val="left" w:pos="284"/>
        </w:tabs>
        <w:ind w:left="284"/>
        <w:jc w:val="both"/>
        <w:rPr>
          <w:rFonts w:ascii="Verdana" w:hAnsi="Verdana"/>
          <w:sz w:val="18"/>
          <w:szCs w:val="18"/>
        </w:rPr>
      </w:pPr>
      <w:r w:rsidRPr="00E25E2D">
        <w:rPr>
          <w:rFonts w:ascii="Verdana" w:hAnsi="Verdana"/>
          <w:sz w:val="18"/>
          <w:szCs w:val="18"/>
        </w:rPr>
        <w:t xml:space="preserve">El TEAC consolida la aplicación del principio de personalidad de la sanción en el ámbito de la responsabilidad subsidiaria de administradores prevista en el artículo 43.1.a) LGT. Como consecuencia, </w:t>
      </w:r>
      <w:r w:rsidRPr="00030B3F">
        <w:rPr>
          <w:rFonts w:ascii="Verdana" w:hAnsi="Verdana"/>
          <w:b/>
          <w:bCs/>
          <w:sz w:val="18"/>
          <w:szCs w:val="18"/>
        </w:rPr>
        <w:t>el fallecimiento del responsable impide exigir a sus sucesores tanto las sanciones como las liquidaciones derivadas del acuerdo de responsabilidad</w:t>
      </w:r>
      <w:r w:rsidRPr="00E25E2D">
        <w:rPr>
          <w:rFonts w:ascii="Verdana" w:hAnsi="Verdana"/>
          <w:sz w:val="18"/>
          <w:szCs w:val="18"/>
        </w:rPr>
        <w:t>, reforzando las garantías propias del derecho sancionador tributario.</w:t>
      </w:r>
    </w:p>
    <w:p w14:paraId="77C987E3" w14:textId="77777777" w:rsidR="001F15FB" w:rsidRPr="001C4926" w:rsidRDefault="001F15FB" w:rsidP="00E25E2D">
      <w:pPr>
        <w:tabs>
          <w:tab w:val="left" w:pos="284"/>
        </w:tabs>
        <w:ind w:left="284"/>
        <w:jc w:val="both"/>
        <w:rPr>
          <w:rFonts w:ascii="Verdana" w:hAnsi="Verdana"/>
          <w:sz w:val="18"/>
          <w:szCs w:val="18"/>
        </w:rPr>
      </w:pPr>
    </w:p>
    <w:p w14:paraId="29E7FC93" w14:textId="77777777" w:rsidR="00E25E2D" w:rsidRDefault="00E25E2D" w:rsidP="008051C8">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33095A" w:rsidRPr="0033095A" w14:paraId="7681C5D2" w14:textId="77777777" w:rsidTr="00AE7E91">
        <w:tc>
          <w:tcPr>
            <w:tcW w:w="180" w:type="dxa"/>
            <w:shd w:val="clear" w:color="auto" w:fill="FF6600"/>
          </w:tcPr>
          <w:p w14:paraId="2729B650" w14:textId="77777777" w:rsidR="0033095A" w:rsidRPr="0033095A" w:rsidRDefault="0033095A" w:rsidP="00AE7E91">
            <w:pPr>
              <w:rPr>
                <w:rFonts w:ascii="Verdana" w:hAnsi="Verdana"/>
                <w:b/>
                <w:bCs/>
                <w:iCs/>
                <w:color w:val="800000"/>
                <w:sz w:val="18"/>
                <w:szCs w:val="18"/>
              </w:rPr>
            </w:pPr>
          </w:p>
        </w:tc>
        <w:tc>
          <w:tcPr>
            <w:tcW w:w="8460" w:type="dxa"/>
          </w:tcPr>
          <w:p w14:paraId="0643EA57" w14:textId="742A6721" w:rsidR="0033095A" w:rsidRPr="0033095A" w:rsidRDefault="0033095A" w:rsidP="00AE7E91">
            <w:pPr>
              <w:pStyle w:val="Prrafodelista"/>
              <w:numPr>
                <w:ilvl w:val="0"/>
                <w:numId w:val="2"/>
              </w:numPr>
              <w:tabs>
                <w:tab w:val="num" w:pos="284"/>
              </w:tabs>
              <w:ind w:left="382" w:hanging="283"/>
              <w:jc w:val="both"/>
              <w:rPr>
                <w:rFonts w:ascii="Verdana" w:hAnsi="Verdana"/>
                <w:b/>
                <w:bCs/>
                <w:iCs/>
                <w:color w:val="800000"/>
                <w:sz w:val="18"/>
                <w:szCs w:val="18"/>
              </w:rPr>
            </w:pPr>
            <w:r w:rsidRPr="0033095A">
              <w:rPr>
                <w:rFonts w:ascii="Verdana" w:hAnsi="Verdana"/>
                <w:b/>
                <w:bCs/>
                <w:iCs/>
                <w:color w:val="800000"/>
                <w:sz w:val="18"/>
                <w:szCs w:val="18"/>
              </w:rPr>
              <w:t>AJD.- EL COSTE DE LA OBRA NUEVA NO SE ACTUALIZA A EFECTOS DEL IMPUESTO DE AJD, AUNQUE LA ESCRITURA SE OTORGUE AÑOS DESPUÉS</w:t>
            </w:r>
          </w:p>
        </w:tc>
      </w:tr>
    </w:tbl>
    <w:p w14:paraId="3E6989AF" w14:textId="77777777" w:rsidR="0033095A" w:rsidRDefault="0033095A" w:rsidP="008051C8">
      <w:pPr>
        <w:tabs>
          <w:tab w:val="left" w:pos="284"/>
        </w:tabs>
        <w:ind w:left="284"/>
        <w:jc w:val="both"/>
        <w:rPr>
          <w:rFonts w:ascii="Verdana" w:hAnsi="Verdana"/>
          <w:sz w:val="18"/>
          <w:szCs w:val="18"/>
        </w:rPr>
      </w:pPr>
    </w:p>
    <w:p w14:paraId="7DDDDE35" w14:textId="77777777" w:rsidR="00533EE9" w:rsidRPr="00533EE9" w:rsidRDefault="00533EE9" w:rsidP="00533EE9">
      <w:pPr>
        <w:tabs>
          <w:tab w:val="left" w:pos="284"/>
        </w:tabs>
        <w:ind w:left="284"/>
        <w:jc w:val="both"/>
        <w:rPr>
          <w:rFonts w:ascii="Verdana" w:hAnsi="Verdana"/>
          <w:i/>
          <w:iCs/>
          <w:sz w:val="18"/>
          <w:szCs w:val="18"/>
        </w:rPr>
      </w:pPr>
      <w:r w:rsidRPr="00533EE9">
        <w:rPr>
          <w:rFonts w:ascii="Verdana" w:hAnsi="Verdana"/>
          <w:i/>
          <w:iCs/>
          <w:sz w:val="18"/>
          <w:szCs w:val="18"/>
        </w:rPr>
        <w:t xml:space="preserve">El Tribunal Supremo, en su Sentencia 617/2026, de 18 de mayo de 2026 (rec. 8043/2023), ha fijado doctrina sobre la determinación de la base imponible del Impuesto sobre Actos Jurídicos Documentados (AJD) en las escrituras de declaración de obra nueva cuando existe un largo período de tiempo entre la ejecución de la construcción y su documentación notarial. </w:t>
      </w:r>
    </w:p>
    <w:p w14:paraId="11332BDF" w14:textId="77777777" w:rsidR="00533EE9" w:rsidRPr="00533EE9" w:rsidRDefault="00533EE9" w:rsidP="00533EE9">
      <w:pPr>
        <w:tabs>
          <w:tab w:val="left" w:pos="284"/>
        </w:tabs>
        <w:ind w:left="284"/>
        <w:jc w:val="both"/>
        <w:rPr>
          <w:rFonts w:ascii="Verdana" w:hAnsi="Verdana"/>
          <w:sz w:val="18"/>
          <w:szCs w:val="18"/>
        </w:rPr>
      </w:pPr>
    </w:p>
    <w:p w14:paraId="43A29C8D" w14:textId="77777777" w:rsidR="00533EE9" w:rsidRPr="00533EE9" w:rsidRDefault="00533EE9" w:rsidP="00533EE9">
      <w:pPr>
        <w:tabs>
          <w:tab w:val="left" w:pos="284"/>
        </w:tabs>
        <w:ind w:left="284"/>
        <w:jc w:val="both"/>
        <w:rPr>
          <w:rFonts w:ascii="Verdana" w:hAnsi="Verdana"/>
          <w:b/>
          <w:bCs/>
          <w:sz w:val="18"/>
          <w:szCs w:val="18"/>
        </w:rPr>
      </w:pPr>
      <w:r w:rsidRPr="00533EE9">
        <w:rPr>
          <w:rFonts w:ascii="Verdana" w:hAnsi="Verdana"/>
          <w:b/>
          <w:bCs/>
          <w:sz w:val="18"/>
          <w:szCs w:val="18"/>
        </w:rPr>
        <w:t>Antecedentes</w:t>
      </w:r>
    </w:p>
    <w:p w14:paraId="505CAC75" w14:textId="77777777" w:rsidR="00533EE9" w:rsidRDefault="00533EE9" w:rsidP="00533EE9">
      <w:pPr>
        <w:tabs>
          <w:tab w:val="left" w:pos="284"/>
        </w:tabs>
        <w:ind w:left="284"/>
        <w:jc w:val="both"/>
        <w:rPr>
          <w:rFonts w:ascii="Verdana" w:hAnsi="Verdana"/>
          <w:sz w:val="18"/>
          <w:szCs w:val="18"/>
        </w:rPr>
      </w:pPr>
      <w:r w:rsidRPr="00533EE9">
        <w:rPr>
          <w:rFonts w:ascii="Verdana" w:hAnsi="Verdana"/>
          <w:sz w:val="18"/>
          <w:szCs w:val="18"/>
        </w:rPr>
        <w:t xml:space="preserve">El litigio se originó por la declaración de obra nueva de un hotel construido en 1962, cuya escritura pública se otorgó en 2014. La Administración tributaria balear consideró que el coste de ejecución material debía actualizarse mediante coeficientes de actualización monetaria, elevando la base imponible declarada por el contribuyente. Sin embargo, el TEAR y posteriormente el TSJ de Baleares anularon la liquidación, criterio que fue confirmado por el Tribunal Supremo. </w:t>
      </w:r>
    </w:p>
    <w:p w14:paraId="2F79F603" w14:textId="77777777" w:rsidR="00533EE9" w:rsidRPr="00533EE9" w:rsidRDefault="00533EE9" w:rsidP="00533EE9">
      <w:pPr>
        <w:tabs>
          <w:tab w:val="left" w:pos="284"/>
        </w:tabs>
        <w:ind w:left="284"/>
        <w:jc w:val="both"/>
        <w:rPr>
          <w:rFonts w:ascii="Verdana" w:hAnsi="Verdana"/>
          <w:sz w:val="18"/>
          <w:szCs w:val="18"/>
        </w:rPr>
      </w:pPr>
    </w:p>
    <w:p w14:paraId="0E50D92D" w14:textId="77777777" w:rsidR="00533EE9" w:rsidRPr="00533EE9" w:rsidRDefault="00533EE9" w:rsidP="00533EE9">
      <w:pPr>
        <w:tabs>
          <w:tab w:val="left" w:pos="284"/>
        </w:tabs>
        <w:ind w:left="284"/>
        <w:jc w:val="both"/>
        <w:rPr>
          <w:rFonts w:ascii="Verdana" w:hAnsi="Verdana"/>
          <w:b/>
          <w:bCs/>
          <w:sz w:val="18"/>
          <w:szCs w:val="18"/>
        </w:rPr>
      </w:pPr>
      <w:r w:rsidRPr="00533EE9">
        <w:rPr>
          <w:rFonts w:ascii="Verdana" w:hAnsi="Verdana"/>
          <w:b/>
          <w:bCs/>
          <w:sz w:val="18"/>
          <w:szCs w:val="18"/>
        </w:rPr>
        <w:t>Cuestión controvertida</w:t>
      </w:r>
    </w:p>
    <w:p w14:paraId="4EA85090" w14:textId="77777777" w:rsidR="00533EE9" w:rsidRDefault="00533EE9" w:rsidP="00533EE9">
      <w:pPr>
        <w:tabs>
          <w:tab w:val="left" w:pos="284"/>
        </w:tabs>
        <w:ind w:left="284"/>
        <w:jc w:val="both"/>
        <w:rPr>
          <w:rFonts w:ascii="Verdana" w:hAnsi="Verdana"/>
          <w:sz w:val="18"/>
          <w:szCs w:val="18"/>
        </w:rPr>
      </w:pPr>
      <w:r w:rsidRPr="00533EE9">
        <w:rPr>
          <w:rFonts w:ascii="Verdana" w:hAnsi="Verdana"/>
          <w:sz w:val="18"/>
          <w:szCs w:val="18"/>
        </w:rPr>
        <w:t xml:space="preserve">La cuestión de interés casacional consistía en determinar si, para calcular la base imponible del AJD en las escrituras de declaración de obra nueva, procede actualizar monetariamente el coste de ejecución de la obra cuando entre su construcción y el devengo del impuesto han transcurrido varias décadas. </w:t>
      </w:r>
    </w:p>
    <w:p w14:paraId="3EDEF57C" w14:textId="77777777" w:rsidR="00533EE9" w:rsidRPr="00533EE9" w:rsidRDefault="00533EE9" w:rsidP="00533EE9">
      <w:pPr>
        <w:tabs>
          <w:tab w:val="left" w:pos="284"/>
        </w:tabs>
        <w:ind w:left="284"/>
        <w:jc w:val="both"/>
        <w:rPr>
          <w:rFonts w:ascii="Verdana" w:hAnsi="Verdana"/>
          <w:sz w:val="18"/>
          <w:szCs w:val="18"/>
        </w:rPr>
      </w:pPr>
    </w:p>
    <w:p w14:paraId="2A278D83" w14:textId="77777777" w:rsidR="00533EE9" w:rsidRPr="00533EE9" w:rsidRDefault="00533EE9" w:rsidP="00533EE9">
      <w:pPr>
        <w:tabs>
          <w:tab w:val="left" w:pos="284"/>
        </w:tabs>
        <w:ind w:left="284"/>
        <w:jc w:val="both"/>
        <w:rPr>
          <w:rFonts w:ascii="Verdana" w:hAnsi="Verdana"/>
          <w:b/>
          <w:bCs/>
          <w:sz w:val="18"/>
          <w:szCs w:val="18"/>
        </w:rPr>
      </w:pPr>
      <w:r w:rsidRPr="00533EE9">
        <w:rPr>
          <w:rFonts w:ascii="Verdana" w:hAnsi="Verdana"/>
          <w:b/>
          <w:bCs/>
          <w:sz w:val="18"/>
          <w:szCs w:val="18"/>
        </w:rPr>
        <w:t>Criterio del Tribunal Supremo</w:t>
      </w:r>
    </w:p>
    <w:p w14:paraId="4A6CB554" w14:textId="77777777" w:rsidR="00533EE9" w:rsidRDefault="00533EE9" w:rsidP="00533EE9">
      <w:pPr>
        <w:tabs>
          <w:tab w:val="left" w:pos="284"/>
        </w:tabs>
        <w:ind w:left="284"/>
        <w:jc w:val="both"/>
        <w:rPr>
          <w:rFonts w:ascii="Verdana" w:hAnsi="Verdana"/>
          <w:sz w:val="18"/>
          <w:szCs w:val="18"/>
        </w:rPr>
      </w:pPr>
      <w:r w:rsidRPr="00533EE9">
        <w:rPr>
          <w:rFonts w:ascii="Verdana" w:hAnsi="Verdana"/>
          <w:sz w:val="18"/>
          <w:szCs w:val="18"/>
        </w:rPr>
        <w:t>El Alto Tribunal recuerda que el artículo 70 del Reglamento del ITP y AJD establece que la base imponible en las escrituras de declaración de obra nueva está constituida por el “valor real del coste de la obra nueva que se declare”. A partir de esta previsión, concluye que:</w:t>
      </w:r>
    </w:p>
    <w:p w14:paraId="62AF2B34" w14:textId="77777777" w:rsidR="00533EE9" w:rsidRPr="00533EE9" w:rsidRDefault="00533EE9" w:rsidP="00533EE9">
      <w:pPr>
        <w:tabs>
          <w:tab w:val="left" w:pos="284"/>
        </w:tabs>
        <w:ind w:left="284"/>
        <w:jc w:val="both"/>
        <w:rPr>
          <w:rFonts w:ascii="Verdana" w:hAnsi="Verdana"/>
          <w:sz w:val="18"/>
          <w:szCs w:val="18"/>
        </w:rPr>
      </w:pPr>
    </w:p>
    <w:p w14:paraId="47753015" w14:textId="77777777" w:rsidR="00533EE9" w:rsidRPr="00533EE9" w:rsidRDefault="00533EE9">
      <w:pPr>
        <w:numPr>
          <w:ilvl w:val="0"/>
          <w:numId w:val="44"/>
        </w:numPr>
        <w:tabs>
          <w:tab w:val="left" w:pos="284"/>
        </w:tabs>
        <w:jc w:val="both"/>
        <w:rPr>
          <w:rFonts w:ascii="Verdana" w:hAnsi="Verdana"/>
          <w:sz w:val="18"/>
          <w:szCs w:val="18"/>
        </w:rPr>
      </w:pPr>
      <w:r w:rsidRPr="00533EE9">
        <w:rPr>
          <w:rFonts w:ascii="Verdana" w:hAnsi="Verdana"/>
          <w:sz w:val="18"/>
          <w:szCs w:val="18"/>
        </w:rPr>
        <w:t xml:space="preserve">El concepto relevante </w:t>
      </w:r>
      <w:r w:rsidRPr="00533EE9">
        <w:rPr>
          <w:rFonts w:ascii="Verdana" w:hAnsi="Verdana"/>
          <w:b/>
          <w:bCs/>
          <w:sz w:val="18"/>
          <w:szCs w:val="18"/>
        </w:rPr>
        <w:t>es exclusivamente el coste real y efectivo</w:t>
      </w:r>
      <w:r w:rsidRPr="00533EE9">
        <w:rPr>
          <w:rFonts w:ascii="Verdana" w:hAnsi="Verdana"/>
          <w:sz w:val="18"/>
          <w:szCs w:val="18"/>
        </w:rPr>
        <w:t xml:space="preserve"> de ejecución material de la obra. </w:t>
      </w:r>
    </w:p>
    <w:p w14:paraId="75C263ED" w14:textId="77777777" w:rsidR="00533EE9" w:rsidRPr="00533EE9" w:rsidRDefault="00533EE9">
      <w:pPr>
        <w:numPr>
          <w:ilvl w:val="0"/>
          <w:numId w:val="44"/>
        </w:numPr>
        <w:tabs>
          <w:tab w:val="left" w:pos="284"/>
        </w:tabs>
        <w:jc w:val="both"/>
        <w:rPr>
          <w:rFonts w:ascii="Verdana" w:hAnsi="Verdana"/>
          <w:sz w:val="18"/>
          <w:szCs w:val="18"/>
        </w:rPr>
      </w:pPr>
      <w:r w:rsidRPr="00533EE9">
        <w:rPr>
          <w:rFonts w:ascii="Verdana" w:hAnsi="Verdana"/>
          <w:b/>
          <w:bCs/>
          <w:sz w:val="18"/>
          <w:szCs w:val="18"/>
        </w:rPr>
        <w:t>No puede equipararse dicho coste al valor de mercado</w:t>
      </w:r>
      <w:r w:rsidRPr="00533EE9">
        <w:rPr>
          <w:rFonts w:ascii="Verdana" w:hAnsi="Verdana"/>
          <w:sz w:val="18"/>
          <w:szCs w:val="18"/>
        </w:rPr>
        <w:t xml:space="preserve"> del inmueble terminado. </w:t>
      </w:r>
    </w:p>
    <w:p w14:paraId="3D80742F" w14:textId="77777777" w:rsidR="00533EE9" w:rsidRPr="00533EE9" w:rsidRDefault="00533EE9">
      <w:pPr>
        <w:numPr>
          <w:ilvl w:val="0"/>
          <w:numId w:val="44"/>
        </w:numPr>
        <w:tabs>
          <w:tab w:val="left" w:pos="284"/>
        </w:tabs>
        <w:jc w:val="both"/>
        <w:rPr>
          <w:rFonts w:ascii="Verdana" w:hAnsi="Verdana"/>
          <w:sz w:val="18"/>
          <w:szCs w:val="18"/>
        </w:rPr>
      </w:pPr>
      <w:r w:rsidRPr="00533EE9">
        <w:rPr>
          <w:rFonts w:ascii="Verdana" w:hAnsi="Verdana"/>
          <w:b/>
          <w:bCs/>
          <w:sz w:val="18"/>
          <w:szCs w:val="18"/>
        </w:rPr>
        <w:t>No procede incorporar elementos ajenos al coste de ejecución</w:t>
      </w:r>
      <w:r w:rsidRPr="00533EE9">
        <w:rPr>
          <w:rFonts w:ascii="Verdana" w:hAnsi="Verdana"/>
          <w:sz w:val="18"/>
          <w:szCs w:val="18"/>
        </w:rPr>
        <w:t xml:space="preserve">, tales como plusvalías, expectativas económicas, localización, valor de mercado o actualizaciones monetarias. </w:t>
      </w:r>
    </w:p>
    <w:p w14:paraId="03F5F6EF" w14:textId="77777777" w:rsidR="00533EE9" w:rsidRDefault="00533EE9">
      <w:pPr>
        <w:numPr>
          <w:ilvl w:val="0"/>
          <w:numId w:val="44"/>
        </w:numPr>
        <w:tabs>
          <w:tab w:val="left" w:pos="284"/>
        </w:tabs>
        <w:jc w:val="both"/>
        <w:rPr>
          <w:rFonts w:ascii="Verdana" w:hAnsi="Verdana"/>
          <w:sz w:val="18"/>
          <w:szCs w:val="18"/>
        </w:rPr>
      </w:pPr>
      <w:r w:rsidRPr="00533EE9">
        <w:rPr>
          <w:rFonts w:ascii="Verdana" w:hAnsi="Verdana"/>
          <w:sz w:val="18"/>
          <w:szCs w:val="18"/>
        </w:rPr>
        <w:t xml:space="preserve">La normativa vigente </w:t>
      </w:r>
      <w:r w:rsidRPr="00533EE9">
        <w:rPr>
          <w:rFonts w:ascii="Verdana" w:hAnsi="Verdana"/>
          <w:b/>
          <w:bCs/>
          <w:sz w:val="18"/>
          <w:szCs w:val="18"/>
        </w:rPr>
        <w:t>no contempla la aplicación de coeficientes de actualización, corrección por antigüedad o mecanismos similares</w:t>
      </w:r>
      <w:r w:rsidRPr="00533EE9">
        <w:rPr>
          <w:rFonts w:ascii="Verdana" w:hAnsi="Verdana"/>
          <w:sz w:val="18"/>
          <w:szCs w:val="18"/>
        </w:rPr>
        <w:t xml:space="preserve">. </w:t>
      </w:r>
    </w:p>
    <w:p w14:paraId="6958BFCA" w14:textId="77777777" w:rsidR="00533EE9" w:rsidRPr="00533EE9" w:rsidRDefault="00533EE9" w:rsidP="00533EE9">
      <w:pPr>
        <w:tabs>
          <w:tab w:val="left" w:pos="284"/>
        </w:tabs>
        <w:jc w:val="both"/>
        <w:rPr>
          <w:rFonts w:ascii="Verdana" w:hAnsi="Verdana"/>
          <w:sz w:val="18"/>
          <w:szCs w:val="18"/>
        </w:rPr>
      </w:pPr>
    </w:p>
    <w:p w14:paraId="0E0EE9B9" w14:textId="77777777" w:rsidR="00533EE9" w:rsidRDefault="00533EE9" w:rsidP="00533EE9">
      <w:pPr>
        <w:tabs>
          <w:tab w:val="left" w:pos="284"/>
        </w:tabs>
        <w:ind w:left="284"/>
        <w:jc w:val="both"/>
        <w:rPr>
          <w:rFonts w:ascii="Verdana" w:hAnsi="Verdana"/>
          <w:sz w:val="18"/>
          <w:szCs w:val="18"/>
        </w:rPr>
      </w:pPr>
      <w:r w:rsidRPr="00533EE9">
        <w:rPr>
          <w:rFonts w:ascii="Verdana" w:hAnsi="Verdana"/>
          <w:sz w:val="18"/>
          <w:szCs w:val="18"/>
        </w:rPr>
        <w:t xml:space="preserve">Asimismo, el Tribunal destaca que la base imponible constituye un elemento esencial del tributo sometido al principio de reserva de ley, por lo que la introducción de mecanismos de actualización requeriría una habilitación normativa expresa. </w:t>
      </w:r>
    </w:p>
    <w:p w14:paraId="1DA00FA8" w14:textId="77777777" w:rsidR="00533EE9" w:rsidRPr="00533EE9" w:rsidRDefault="00533EE9" w:rsidP="00533EE9">
      <w:pPr>
        <w:tabs>
          <w:tab w:val="left" w:pos="284"/>
        </w:tabs>
        <w:ind w:left="284"/>
        <w:jc w:val="both"/>
        <w:rPr>
          <w:rFonts w:ascii="Verdana" w:hAnsi="Verdana"/>
          <w:sz w:val="18"/>
          <w:szCs w:val="18"/>
        </w:rPr>
      </w:pPr>
    </w:p>
    <w:p w14:paraId="6D2908D7" w14:textId="77777777" w:rsidR="00533EE9" w:rsidRPr="00533EE9" w:rsidRDefault="00533EE9" w:rsidP="00533EE9">
      <w:pPr>
        <w:tabs>
          <w:tab w:val="left" w:pos="284"/>
        </w:tabs>
        <w:ind w:left="284"/>
        <w:jc w:val="both"/>
        <w:rPr>
          <w:rFonts w:ascii="Verdana" w:hAnsi="Verdana"/>
          <w:b/>
          <w:bCs/>
          <w:sz w:val="18"/>
          <w:szCs w:val="18"/>
        </w:rPr>
      </w:pPr>
      <w:r w:rsidRPr="00533EE9">
        <w:rPr>
          <w:rFonts w:ascii="Verdana" w:hAnsi="Verdana"/>
          <w:b/>
          <w:bCs/>
          <w:sz w:val="18"/>
          <w:szCs w:val="18"/>
        </w:rPr>
        <w:t>Doctrina jurisprudencial</w:t>
      </w:r>
    </w:p>
    <w:p w14:paraId="5A450781" w14:textId="77777777" w:rsidR="00533EE9" w:rsidRDefault="00533EE9" w:rsidP="00533EE9">
      <w:pPr>
        <w:tabs>
          <w:tab w:val="left" w:pos="284"/>
        </w:tabs>
        <w:ind w:left="284"/>
        <w:jc w:val="both"/>
        <w:rPr>
          <w:rFonts w:ascii="Verdana" w:hAnsi="Verdana"/>
          <w:sz w:val="18"/>
          <w:szCs w:val="18"/>
        </w:rPr>
      </w:pPr>
      <w:r w:rsidRPr="00533EE9">
        <w:rPr>
          <w:rFonts w:ascii="Verdana" w:hAnsi="Verdana"/>
          <w:sz w:val="18"/>
          <w:szCs w:val="18"/>
        </w:rPr>
        <w:t>La sentencia fija como doctrina que:</w:t>
      </w:r>
    </w:p>
    <w:p w14:paraId="23424B3B" w14:textId="77777777" w:rsidR="00533EE9" w:rsidRPr="00533EE9" w:rsidRDefault="00533EE9" w:rsidP="00533EE9">
      <w:pPr>
        <w:tabs>
          <w:tab w:val="left" w:pos="284"/>
        </w:tabs>
        <w:ind w:left="284"/>
        <w:jc w:val="both"/>
        <w:rPr>
          <w:rFonts w:ascii="Verdana" w:hAnsi="Verdana"/>
          <w:sz w:val="18"/>
          <w:szCs w:val="18"/>
        </w:rPr>
      </w:pPr>
    </w:p>
    <w:p w14:paraId="253DD32E" w14:textId="77777777" w:rsidR="00533EE9" w:rsidRDefault="00533EE9" w:rsidP="00533EE9">
      <w:pPr>
        <w:tabs>
          <w:tab w:val="left" w:pos="284"/>
        </w:tabs>
        <w:ind w:left="284"/>
        <w:jc w:val="both"/>
        <w:rPr>
          <w:rFonts w:ascii="Verdana" w:hAnsi="Verdana"/>
          <w:sz w:val="18"/>
          <w:szCs w:val="18"/>
        </w:rPr>
      </w:pPr>
      <w:r w:rsidRPr="00533EE9">
        <w:rPr>
          <w:rFonts w:ascii="Verdana" w:hAnsi="Verdana"/>
          <w:sz w:val="18"/>
          <w:szCs w:val="18"/>
        </w:rPr>
        <w:t xml:space="preserve">En las escrituras de declaración de obra nueva sujetas a AJD, la base imponible está constituida </w:t>
      </w:r>
      <w:r w:rsidRPr="00533EE9">
        <w:rPr>
          <w:rFonts w:ascii="Verdana" w:hAnsi="Verdana"/>
          <w:b/>
          <w:bCs/>
          <w:sz w:val="18"/>
          <w:szCs w:val="18"/>
        </w:rPr>
        <w:t>por el valor real del coste de ejecución de la obra declarada</w:t>
      </w:r>
      <w:r w:rsidRPr="00533EE9">
        <w:rPr>
          <w:rFonts w:ascii="Verdana" w:hAnsi="Verdana"/>
          <w:sz w:val="18"/>
          <w:szCs w:val="18"/>
        </w:rPr>
        <w:t xml:space="preserve">, sin que puedan aplicarse coeficientes de actualización monetaria, </w:t>
      </w:r>
      <w:r w:rsidRPr="00533EE9">
        <w:rPr>
          <w:rFonts w:ascii="Verdana" w:hAnsi="Verdana"/>
          <w:b/>
          <w:bCs/>
          <w:sz w:val="18"/>
          <w:szCs w:val="18"/>
        </w:rPr>
        <w:t>aunque el devengo del impuesto se produzca muchos años después de la construcción</w:t>
      </w:r>
      <w:r w:rsidRPr="00533EE9">
        <w:rPr>
          <w:rFonts w:ascii="Verdana" w:hAnsi="Verdana"/>
          <w:sz w:val="18"/>
          <w:szCs w:val="18"/>
        </w:rPr>
        <w:t xml:space="preserve">. </w:t>
      </w:r>
    </w:p>
    <w:p w14:paraId="3DC1D516" w14:textId="77777777" w:rsidR="00533EE9" w:rsidRPr="00533EE9" w:rsidRDefault="00533EE9" w:rsidP="00533EE9">
      <w:pPr>
        <w:tabs>
          <w:tab w:val="left" w:pos="284"/>
        </w:tabs>
        <w:ind w:left="284"/>
        <w:jc w:val="both"/>
        <w:rPr>
          <w:rFonts w:ascii="Verdana" w:hAnsi="Verdana"/>
          <w:sz w:val="18"/>
          <w:szCs w:val="18"/>
        </w:rPr>
      </w:pPr>
    </w:p>
    <w:p w14:paraId="3593F6E9" w14:textId="77777777" w:rsidR="00533EE9" w:rsidRDefault="00533EE9" w:rsidP="00533EE9">
      <w:pPr>
        <w:tabs>
          <w:tab w:val="left" w:pos="284"/>
        </w:tabs>
        <w:ind w:left="284"/>
        <w:jc w:val="both"/>
        <w:rPr>
          <w:rFonts w:ascii="Verdana" w:hAnsi="Verdana"/>
          <w:sz w:val="18"/>
          <w:szCs w:val="18"/>
        </w:rPr>
      </w:pPr>
      <w:r w:rsidRPr="00533EE9">
        <w:rPr>
          <w:rFonts w:ascii="Verdana" w:hAnsi="Verdana"/>
          <w:sz w:val="18"/>
          <w:szCs w:val="18"/>
        </w:rPr>
        <w:lastRenderedPageBreak/>
        <w:t xml:space="preserve">Igualmente, precisa que la base imponible </w:t>
      </w:r>
      <w:r w:rsidRPr="00533EE9">
        <w:rPr>
          <w:rFonts w:ascii="Verdana" w:hAnsi="Verdana"/>
          <w:b/>
          <w:bCs/>
          <w:sz w:val="18"/>
          <w:szCs w:val="18"/>
        </w:rPr>
        <w:t>permanece vinculada al coste real de ejecución de la obra</w:t>
      </w:r>
      <w:r w:rsidRPr="00533EE9">
        <w:rPr>
          <w:rFonts w:ascii="Verdana" w:hAnsi="Verdana"/>
          <w:sz w:val="18"/>
          <w:szCs w:val="18"/>
        </w:rPr>
        <w:t>, con independencia de la fecha en que se formalice la escritura pública y se produzca el devengo del impuesto.</w:t>
      </w:r>
    </w:p>
    <w:p w14:paraId="68C39315" w14:textId="77777777" w:rsidR="00533EE9" w:rsidRDefault="00533EE9" w:rsidP="00533EE9">
      <w:pPr>
        <w:tabs>
          <w:tab w:val="left" w:pos="284"/>
        </w:tabs>
        <w:ind w:left="284"/>
        <w:jc w:val="both"/>
        <w:rPr>
          <w:rFonts w:ascii="Verdana" w:hAnsi="Verdana"/>
          <w:sz w:val="18"/>
          <w:szCs w:val="18"/>
        </w:rPr>
      </w:pPr>
    </w:p>
    <w:p w14:paraId="2C35E207" w14:textId="087417D9" w:rsidR="00533EE9" w:rsidRPr="00533EE9" w:rsidRDefault="00533EE9" w:rsidP="00533EE9">
      <w:pPr>
        <w:tabs>
          <w:tab w:val="left" w:pos="284"/>
        </w:tabs>
        <w:ind w:left="284"/>
        <w:jc w:val="both"/>
        <w:rPr>
          <w:rFonts w:ascii="Verdana" w:hAnsi="Verdana"/>
          <w:b/>
          <w:bCs/>
          <w:sz w:val="18"/>
          <w:szCs w:val="18"/>
        </w:rPr>
      </w:pPr>
      <w:r w:rsidRPr="00533EE9">
        <w:rPr>
          <w:rFonts w:ascii="Verdana" w:hAnsi="Verdana"/>
          <w:b/>
          <w:bCs/>
          <w:sz w:val="18"/>
          <w:szCs w:val="18"/>
        </w:rPr>
        <w:t>Relevancia práctica</w:t>
      </w:r>
    </w:p>
    <w:p w14:paraId="2A2D010F" w14:textId="77777777" w:rsidR="00533EE9" w:rsidRDefault="00533EE9" w:rsidP="00533EE9">
      <w:pPr>
        <w:tabs>
          <w:tab w:val="left" w:pos="284"/>
        </w:tabs>
        <w:ind w:left="284"/>
        <w:jc w:val="both"/>
        <w:rPr>
          <w:rFonts w:ascii="Verdana" w:hAnsi="Verdana"/>
          <w:sz w:val="18"/>
          <w:szCs w:val="18"/>
        </w:rPr>
      </w:pPr>
      <w:r w:rsidRPr="00533EE9">
        <w:rPr>
          <w:rFonts w:ascii="Verdana" w:hAnsi="Verdana"/>
          <w:sz w:val="18"/>
          <w:szCs w:val="18"/>
        </w:rPr>
        <w:t xml:space="preserve">Esta resolución aporta seguridad jurídica en los supuestos de regularización registral de edificaciones antiguas, al impedir que las Administraciones tributarias incrementen la base imponible mediante actualizaciones monetarias del coste histórico de construcción. </w:t>
      </w:r>
      <w:r w:rsidRPr="00533EE9">
        <w:rPr>
          <w:rFonts w:ascii="Verdana" w:hAnsi="Verdana"/>
          <w:b/>
          <w:bCs/>
          <w:sz w:val="18"/>
          <w:szCs w:val="18"/>
        </w:rPr>
        <w:t>La doctrina confirma que el AJD grava exclusivamente la documentación notarial de la obra nueva y no el valor actual del inmueble ni la capacidad económica derivada de su eventual revalorización</w:t>
      </w:r>
      <w:r w:rsidRPr="00533EE9">
        <w:rPr>
          <w:rFonts w:ascii="Verdana" w:hAnsi="Verdana"/>
          <w:sz w:val="18"/>
          <w:szCs w:val="18"/>
        </w:rPr>
        <w:t>.</w:t>
      </w:r>
    </w:p>
    <w:p w14:paraId="24C9F3B2" w14:textId="77777777" w:rsidR="002046B7" w:rsidRDefault="002046B7" w:rsidP="00533EE9">
      <w:pPr>
        <w:tabs>
          <w:tab w:val="left" w:pos="284"/>
        </w:tabs>
        <w:ind w:left="284"/>
        <w:jc w:val="both"/>
        <w:rPr>
          <w:rFonts w:ascii="Verdana" w:hAnsi="Verdana"/>
          <w:sz w:val="18"/>
          <w:szCs w:val="18"/>
        </w:rPr>
      </w:pPr>
    </w:p>
    <w:p w14:paraId="450D68F8" w14:textId="77777777" w:rsidR="00C53B76" w:rsidRDefault="00C53B76" w:rsidP="00533EE9">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53B76" w:rsidRPr="00F01071" w14:paraId="408B7EFB" w14:textId="77777777" w:rsidTr="00E44903">
        <w:tc>
          <w:tcPr>
            <w:tcW w:w="180" w:type="dxa"/>
            <w:shd w:val="clear" w:color="auto" w:fill="FF6600"/>
          </w:tcPr>
          <w:p w14:paraId="71AE7A0D" w14:textId="77777777" w:rsidR="00C53B76" w:rsidRPr="00F01071" w:rsidRDefault="00C53B76" w:rsidP="00E44903">
            <w:pPr>
              <w:rPr>
                <w:rFonts w:ascii="Verdana" w:hAnsi="Verdana"/>
                <w:b/>
                <w:bCs/>
                <w:iCs/>
                <w:color w:val="800000"/>
                <w:sz w:val="18"/>
                <w:szCs w:val="18"/>
              </w:rPr>
            </w:pPr>
          </w:p>
        </w:tc>
        <w:tc>
          <w:tcPr>
            <w:tcW w:w="8460" w:type="dxa"/>
          </w:tcPr>
          <w:p w14:paraId="4D8D4B38" w14:textId="096EFA04" w:rsidR="00C53B76" w:rsidRPr="00F01071" w:rsidRDefault="00F01071" w:rsidP="00E44903">
            <w:pPr>
              <w:pStyle w:val="Prrafodelista"/>
              <w:numPr>
                <w:ilvl w:val="0"/>
                <w:numId w:val="2"/>
              </w:numPr>
              <w:tabs>
                <w:tab w:val="num" w:pos="284"/>
              </w:tabs>
              <w:ind w:left="382" w:hanging="283"/>
              <w:jc w:val="both"/>
              <w:rPr>
                <w:rFonts w:ascii="Verdana" w:hAnsi="Verdana"/>
                <w:b/>
                <w:bCs/>
                <w:iCs/>
                <w:color w:val="800000"/>
                <w:sz w:val="18"/>
                <w:szCs w:val="18"/>
              </w:rPr>
            </w:pPr>
            <w:r w:rsidRPr="00F01071">
              <w:rPr>
                <w:rFonts w:ascii="Verdana" w:hAnsi="Verdana"/>
                <w:b/>
                <w:bCs/>
                <w:iCs/>
                <w:color w:val="800000"/>
                <w:sz w:val="18"/>
                <w:szCs w:val="18"/>
              </w:rPr>
              <w:t>IP.- IMPUESTO SOBRE EL PATRIMONIO: LA DGT FLEXIBILIZA EL REQUISITO DE REMUNERACIÓN EN ESTRUCTURAS HOLDING TRAS UNA REESTRUCTURACIÓN SOCIETARIA</w:t>
            </w:r>
          </w:p>
        </w:tc>
      </w:tr>
    </w:tbl>
    <w:p w14:paraId="1CA6B250" w14:textId="77777777" w:rsidR="00C53B76" w:rsidRPr="00533EE9" w:rsidRDefault="00C53B76" w:rsidP="00533EE9">
      <w:pPr>
        <w:tabs>
          <w:tab w:val="left" w:pos="284"/>
        </w:tabs>
        <w:ind w:left="284"/>
        <w:jc w:val="both"/>
        <w:rPr>
          <w:rFonts w:ascii="Verdana" w:hAnsi="Verdana"/>
          <w:sz w:val="18"/>
          <w:szCs w:val="18"/>
        </w:rPr>
      </w:pPr>
    </w:p>
    <w:p w14:paraId="65860893" w14:textId="77777777" w:rsidR="00F01071" w:rsidRPr="00F01071" w:rsidRDefault="00F01071" w:rsidP="00F01071">
      <w:pPr>
        <w:tabs>
          <w:tab w:val="left" w:pos="284"/>
        </w:tabs>
        <w:ind w:left="284"/>
        <w:jc w:val="both"/>
        <w:rPr>
          <w:rFonts w:ascii="Verdana" w:hAnsi="Verdana"/>
          <w:sz w:val="18"/>
          <w:szCs w:val="18"/>
        </w:rPr>
      </w:pPr>
      <w:r w:rsidRPr="00F01071">
        <w:rPr>
          <w:rFonts w:ascii="Verdana" w:hAnsi="Verdana"/>
          <w:sz w:val="18"/>
          <w:szCs w:val="18"/>
        </w:rPr>
        <w:t xml:space="preserve">La Dirección General de Tributos, en la consulta vinculante </w:t>
      </w:r>
      <w:r w:rsidRPr="00F01071">
        <w:rPr>
          <w:rFonts w:ascii="Verdana" w:hAnsi="Verdana"/>
          <w:b/>
          <w:bCs/>
          <w:sz w:val="18"/>
          <w:szCs w:val="18"/>
        </w:rPr>
        <w:t>V0145-26, de 27 de enero de 2026</w:t>
      </w:r>
      <w:r w:rsidRPr="00F01071">
        <w:rPr>
          <w:rFonts w:ascii="Verdana" w:hAnsi="Verdana"/>
          <w:sz w:val="18"/>
          <w:szCs w:val="18"/>
        </w:rPr>
        <w:t xml:space="preserve">, analiza el cumplimiento del requisito de la “principal fuente de renta” exigido para la aplicación de la exención en el Impuesto sobre el Patrimonio de las participaciones en entidades cuando, durante el ejercicio, se constituye una sociedad holding y las funciones directivas pasan de las sociedades operativas a la nueva cabecera. </w:t>
      </w:r>
    </w:p>
    <w:p w14:paraId="0B28C31B" w14:textId="77777777" w:rsidR="00F01071" w:rsidRDefault="00F01071" w:rsidP="00F01071">
      <w:pPr>
        <w:tabs>
          <w:tab w:val="left" w:pos="284"/>
        </w:tabs>
        <w:ind w:left="284"/>
        <w:jc w:val="both"/>
        <w:rPr>
          <w:rFonts w:ascii="Verdana" w:hAnsi="Verdana"/>
          <w:b/>
          <w:bCs/>
          <w:sz w:val="18"/>
          <w:szCs w:val="18"/>
        </w:rPr>
      </w:pPr>
    </w:p>
    <w:p w14:paraId="45FAAF1F" w14:textId="77777777" w:rsidR="00F01071" w:rsidRDefault="00F01071" w:rsidP="00F01071">
      <w:pPr>
        <w:tabs>
          <w:tab w:val="left" w:pos="284"/>
        </w:tabs>
        <w:ind w:left="284"/>
        <w:jc w:val="both"/>
        <w:rPr>
          <w:rFonts w:ascii="Verdana" w:hAnsi="Verdana"/>
          <w:b/>
          <w:bCs/>
          <w:sz w:val="18"/>
          <w:szCs w:val="18"/>
        </w:rPr>
      </w:pPr>
    </w:p>
    <w:p w14:paraId="6203DC59" w14:textId="35D1A02D" w:rsidR="00F01071" w:rsidRPr="00F01071" w:rsidRDefault="00F01071" w:rsidP="00F01071">
      <w:pPr>
        <w:tabs>
          <w:tab w:val="left" w:pos="284"/>
        </w:tabs>
        <w:ind w:left="284"/>
        <w:jc w:val="both"/>
        <w:rPr>
          <w:rFonts w:ascii="Verdana" w:hAnsi="Verdana"/>
          <w:b/>
          <w:bCs/>
          <w:sz w:val="18"/>
          <w:szCs w:val="18"/>
        </w:rPr>
      </w:pPr>
      <w:r w:rsidRPr="00F01071">
        <w:rPr>
          <w:rFonts w:ascii="Verdana" w:hAnsi="Verdana"/>
          <w:b/>
          <w:bCs/>
          <w:sz w:val="18"/>
          <w:szCs w:val="18"/>
        </w:rPr>
        <w:t>Supuesto analizado</w:t>
      </w:r>
    </w:p>
    <w:p w14:paraId="49292038" w14:textId="50E87D26" w:rsidR="00F01071" w:rsidRDefault="00F01071" w:rsidP="00F01071">
      <w:pPr>
        <w:tabs>
          <w:tab w:val="left" w:pos="284"/>
        </w:tabs>
        <w:ind w:left="284"/>
        <w:jc w:val="both"/>
        <w:rPr>
          <w:rFonts w:ascii="Verdana" w:hAnsi="Verdana"/>
          <w:sz w:val="18"/>
          <w:szCs w:val="18"/>
        </w:rPr>
      </w:pPr>
      <w:r w:rsidRPr="00F01071">
        <w:rPr>
          <w:rFonts w:ascii="Verdana" w:hAnsi="Verdana"/>
          <w:sz w:val="18"/>
          <w:szCs w:val="18"/>
        </w:rPr>
        <w:t xml:space="preserve">Dos socios, titulares al 50% de cuatro sociedades operativas y sin vínculo de parentesco entre sí, ejercían funciones de dirección en dichas entidades percibiendo remuneraciones que cumplían los requisitos establecidos en el artículo 4. Ocho. Dos de la Ley del Impuesto sobre el Patrimonio. En agosto de 2025 constituyen una sociedad holding a la que aportan sus participaciones en las sociedades operativas, pasando a ejercer exclusivamente las funciones directivas en la nueva sociedad cabecera. </w:t>
      </w:r>
    </w:p>
    <w:p w14:paraId="1E328DCB" w14:textId="77777777" w:rsidR="00F01071" w:rsidRPr="00F01071" w:rsidRDefault="00F01071" w:rsidP="00F01071">
      <w:pPr>
        <w:tabs>
          <w:tab w:val="left" w:pos="284"/>
        </w:tabs>
        <w:ind w:left="284"/>
        <w:jc w:val="both"/>
        <w:rPr>
          <w:rFonts w:ascii="Verdana" w:hAnsi="Verdana"/>
          <w:sz w:val="18"/>
          <w:szCs w:val="18"/>
        </w:rPr>
      </w:pPr>
    </w:p>
    <w:p w14:paraId="49C5CEAC" w14:textId="20CFBEAC" w:rsidR="00F01071" w:rsidRPr="00F01071" w:rsidRDefault="00F01071" w:rsidP="00F01071">
      <w:pPr>
        <w:tabs>
          <w:tab w:val="left" w:pos="284"/>
        </w:tabs>
        <w:ind w:left="284"/>
        <w:jc w:val="both"/>
        <w:rPr>
          <w:rFonts w:ascii="Verdana" w:hAnsi="Verdana"/>
          <w:sz w:val="18"/>
          <w:szCs w:val="18"/>
        </w:rPr>
      </w:pPr>
      <w:r w:rsidRPr="00F01071">
        <w:rPr>
          <w:rFonts w:ascii="Verdana" w:hAnsi="Verdana"/>
          <w:sz w:val="18"/>
          <w:szCs w:val="18"/>
        </w:rPr>
        <w:t xml:space="preserve">La cuestión planteada consiste en determinar si, en el ejercicio de constitución del holding, la remuneración percibida de esta última puede considerarse superior al 50% de los rendimientos empresariales, profesionales y del trabajo personal, teniendo en cuenta que durante parte del año los administradores percibieron remuneraciones de las sociedades operativas. </w:t>
      </w:r>
    </w:p>
    <w:p w14:paraId="17C80C64" w14:textId="77777777" w:rsidR="00F01071" w:rsidRDefault="00F01071" w:rsidP="00F01071">
      <w:pPr>
        <w:tabs>
          <w:tab w:val="left" w:pos="284"/>
        </w:tabs>
        <w:ind w:left="284"/>
        <w:jc w:val="both"/>
        <w:rPr>
          <w:rFonts w:ascii="Verdana" w:hAnsi="Verdana"/>
          <w:b/>
          <w:bCs/>
          <w:sz w:val="18"/>
          <w:szCs w:val="18"/>
        </w:rPr>
      </w:pPr>
    </w:p>
    <w:p w14:paraId="44967D84" w14:textId="5CD2A31A" w:rsidR="00F01071" w:rsidRPr="00F01071" w:rsidRDefault="00F01071" w:rsidP="00F01071">
      <w:pPr>
        <w:tabs>
          <w:tab w:val="left" w:pos="284"/>
        </w:tabs>
        <w:ind w:left="284"/>
        <w:jc w:val="both"/>
        <w:rPr>
          <w:rFonts w:ascii="Verdana" w:hAnsi="Verdana"/>
          <w:b/>
          <w:bCs/>
          <w:sz w:val="18"/>
          <w:szCs w:val="18"/>
        </w:rPr>
      </w:pPr>
      <w:r w:rsidRPr="00F01071">
        <w:rPr>
          <w:rFonts w:ascii="Verdana" w:hAnsi="Verdana"/>
          <w:b/>
          <w:bCs/>
          <w:sz w:val="18"/>
          <w:szCs w:val="18"/>
        </w:rPr>
        <w:t>Criterio de la DGT</w:t>
      </w:r>
    </w:p>
    <w:p w14:paraId="5C5A1368" w14:textId="77777777" w:rsidR="00F01071" w:rsidRDefault="00F01071" w:rsidP="00F01071">
      <w:pPr>
        <w:tabs>
          <w:tab w:val="left" w:pos="284"/>
        </w:tabs>
        <w:ind w:left="284"/>
        <w:jc w:val="both"/>
        <w:rPr>
          <w:rFonts w:ascii="Verdana" w:hAnsi="Verdana"/>
          <w:sz w:val="18"/>
          <w:szCs w:val="18"/>
        </w:rPr>
      </w:pPr>
      <w:r w:rsidRPr="00F01071">
        <w:rPr>
          <w:rFonts w:ascii="Verdana" w:hAnsi="Verdana"/>
          <w:sz w:val="18"/>
          <w:szCs w:val="18"/>
        </w:rPr>
        <w:t xml:space="preserve">La DGT recuerda que, para disfrutar de la exención en el Impuesto sobre el Patrimonio, </w:t>
      </w:r>
      <w:r w:rsidRPr="00F01071">
        <w:rPr>
          <w:rFonts w:ascii="Verdana" w:hAnsi="Verdana"/>
          <w:b/>
          <w:bCs/>
          <w:sz w:val="18"/>
          <w:szCs w:val="18"/>
        </w:rPr>
        <w:t>el sujeto pasivo debe ejercer efectivamente funciones de dirección en la entidad y percibir por ello una remuneración que represente más del 50% de la totalidad de sus rendimientos empresariales, profesionales y del trabajo personal.</w:t>
      </w:r>
      <w:r w:rsidRPr="00F01071">
        <w:rPr>
          <w:rFonts w:ascii="Verdana" w:hAnsi="Verdana"/>
          <w:sz w:val="18"/>
          <w:szCs w:val="18"/>
        </w:rPr>
        <w:t xml:space="preserve"> </w:t>
      </w:r>
    </w:p>
    <w:p w14:paraId="6343D6EF" w14:textId="77777777" w:rsidR="00F01071" w:rsidRPr="00F01071" w:rsidRDefault="00F01071" w:rsidP="00F01071">
      <w:pPr>
        <w:tabs>
          <w:tab w:val="left" w:pos="284"/>
        </w:tabs>
        <w:ind w:left="284"/>
        <w:jc w:val="both"/>
        <w:rPr>
          <w:rFonts w:ascii="Verdana" w:hAnsi="Verdana"/>
          <w:sz w:val="18"/>
          <w:szCs w:val="18"/>
        </w:rPr>
      </w:pPr>
    </w:p>
    <w:p w14:paraId="06A7708D" w14:textId="77777777" w:rsidR="00F01071" w:rsidRDefault="00F01071" w:rsidP="00F01071">
      <w:pPr>
        <w:tabs>
          <w:tab w:val="left" w:pos="284"/>
        </w:tabs>
        <w:ind w:left="284"/>
        <w:jc w:val="both"/>
        <w:rPr>
          <w:rFonts w:ascii="Verdana" w:hAnsi="Verdana"/>
          <w:sz w:val="18"/>
          <w:szCs w:val="18"/>
        </w:rPr>
      </w:pPr>
      <w:r w:rsidRPr="00F01071">
        <w:rPr>
          <w:rFonts w:ascii="Verdana" w:hAnsi="Verdana"/>
          <w:sz w:val="18"/>
          <w:szCs w:val="18"/>
        </w:rPr>
        <w:t xml:space="preserve">Asimismo, señala que el artículo 5.2 del Real Decreto 1704/1999 establece que, cuando una persona participa en varias entidades y </w:t>
      </w:r>
      <w:r w:rsidRPr="00F01071">
        <w:rPr>
          <w:rFonts w:ascii="Verdana" w:hAnsi="Verdana"/>
          <w:b/>
          <w:bCs/>
          <w:sz w:val="18"/>
          <w:szCs w:val="18"/>
        </w:rPr>
        <w:t>ejerce funciones directivas en todas ellas</w:t>
      </w:r>
      <w:r w:rsidRPr="00F01071">
        <w:rPr>
          <w:rFonts w:ascii="Verdana" w:hAnsi="Verdana"/>
          <w:sz w:val="18"/>
          <w:szCs w:val="18"/>
        </w:rPr>
        <w:t xml:space="preserve">, las remuneraciones obtenidas en unas no deben computarse para verificar el requisito respecto de las otras. </w:t>
      </w:r>
    </w:p>
    <w:p w14:paraId="67A3ED26" w14:textId="77777777" w:rsidR="00F01071" w:rsidRPr="00F01071" w:rsidRDefault="00F01071" w:rsidP="00F01071">
      <w:pPr>
        <w:tabs>
          <w:tab w:val="left" w:pos="284"/>
        </w:tabs>
        <w:ind w:left="284"/>
        <w:jc w:val="both"/>
        <w:rPr>
          <w:rFonts w:ascii="Verdana" w:hAnsi="Verdana"/>
          <w:sz w:val="18"/>
          <w:szCs w:val="18"/>
        </w:rPr>
      </w:pPr>
    </w:p>
    <w:p w14:paraId="609576AF" w14:textId="77777777" w:rsidR="00F01071" w:rsidRDefault="00F01071" w:rsidP="00F01071">
      <w:pPr>
        <w:tabs>
          <w:tab w:val="left" w:pos="284"/>
        </w:tabs>
        <w:ind w:left="284"/>
        <w:jc w:val="both"/>
        <w:rPr>
          <w:rFonts w:ascii="Verdana" w:hAnsi="Verdana"/>
          <w:sz w:val="18"/>
          <w:szCs w:val="18"/>
        </w:rPr>
      </w:pPr>
      <w:r w:rsidRPr="00F01071">
        <w:rPr>
          <w:rFonts w:ascii="Verdana" w:hAnsi="Verdana"/>
          <w:sz w:val="18"/>
          <w:szCs w:val="18"/>
        </w:rPr>
        <w:t xml:space="preserve">Partiendo de este criterio, la Administración extiende dicha interpretación a los supuestos en los que el desempeño de funciones directivas </w:t>
      </w:r>
      <w:r w:rsidRPr="00F01071">
        <w:rPr>
          <w:rFonts w:ascii="Verdana" w:hAnsi="Verdana"/>
          <w:b/>
          <w:bCs/>
          <w:sz w:val="18"/>
          <w:szCs w:val="18"/>
        </w:rPr>
        <w:t>no es simultáneo sino sucesivo</w:t>
      </w:r>
      <w:r w:rsidRPr="00F01071">
        <w:rPr>
          <w:rFonts w:ascii="Verdana" w:hAnsi="Verdana"/>
          <w:sz w:val="18"/>
          <w:szCs w:val="18"/>
        </w:rPr>
        <w:t xml:space="preserve">, como consecuencia de una operación de reestructuración empresarial realizada sin solución de continuidad. </w:t>
      </w:r>
    </w:p>
    <w:p w14:paraId="6B4BD2F0" w14:textId="77777777" w:rsidR="00F01071" w:rsidRPr="00F01071" w:rsidRDefault="00F01071" w:rsidP="00F01071">
      <w:pPr>
        <w:tabs>
          <w:tab w:val="left" w:pos="284"/>
        </w:tabs>
        <w:ind w:left="284"/>
        <w:jc w:val="both"/>
        <w:rPr>
          <w:rFonts w:ascii="Verdana" w:hAnsi="Verdana"/>
          <w:sz w:val="18"/>
          <w:szCs w:val="18"/>
        </w:rPr>
      </w:pPr>
    </w:p>
    <w:p w14:paraId="60F710E2" w14:textId="77777777" w:rsidR="00F01071" w:rsidRPr="00F01071" w:rsidRDefault="00F01071" w:rsidP="00F01071">
      <w:pPr>
        <w:tabs>
          <w:tab w:val="left" w:pos="284"/>
        </w:tabs>
        <w:ind w:left="284"/>
        <w:jc w:val="both"/>
        <w:rPr>
          <w:rFonts w:ascii="Verdana" w:hAnsi="Verdana"/>
          <w:b/>
          <w:bCs/>
          <w:sz w:val="18"/>
          <w:szCs w:val="18"/>
        </w:rPr>
      </w:pPr>
      <w:r w:rsidRPr="00F01071">
        <w:rPr>
          <w:rFonts w:ascii="Verdana" w:hAnsi="Verdana"/>
          <w:b/>
          <w:bCs/>
          <w:sz w:val="18"/>
          <w:szCs w:val="18"/>
        </w:rPr>
        <w:t>Conclusión</w:t>
      </w:r>
    </w:p>
    <w:p w14:paraId="014F8ADE" w14:textId="77777777" w:rsidR="00F01071" w:rsidRDefault="00F01071" w:rsidP="00F01071">
      <w:pPr>
        <w:tabs>
          <w:tab w:val="left" w:pos="284"/>
        </w:tabs>
        <w:ind w:left="284"/>
        <w:jc w:val="both"/>
        <w:rPr>
          <w:rFonts w:ascii="Verdana" w:hAnsi="Verdana"/>
          <w:sz w:val="18"/>
          <w:szCs w:val="18"/>
        </w:rPr>
      </w:pPr>
      <w:r w:rsidRPr="00F01071">
        <w:rPr>
          <w:rFonts w:ascii="Verdana" w:hAnsi="Verdana"/>
          <w:sz w:val="18"/>
          <w:szCs w:val="18"/>
        </w:rPr>
        <w:t xml:space="preserve">La consulta concluye que, en el ejercicio en que se constituye la sociedad holding, las remuneraciones percibidas previamente de las sociedades participadas no deben computarse para verificar el cumplimiento del requisito de remuneración exigido respecto de la holding. En consecuencia, a efectos exclusivos de la exención en el Impuesto sobre el Patrimonio, se excluirán del cálculo las retribuciones obtenidas en las sociedades operativas antes de la reestructuración. </w:t>
      </w:r>
    </w:p>
    <w:p w14:paraId="24080EC5" w14:textId="77777777" w:rsidR="00F01071" w:rsidRPr="00F01071" w:rsidRDefault="00F01071" w:rsidP="00F01071">
      <w:pPr>
        <w:tabs>
          <w:tab w:val="left" w:pos="284"/>
        </w:tabs>
        <w:ind w:left="284"/>
        <w:jc w:val="both"/>
        <w:rPr>
          <w:rFonts w:ascii="Verdana" w:hAnsi="Verdana"/>
          <w:sz w:val="18"/>
          <w:szCs w:val="18"/>
        </w:rPr>
      </w:pPr>
    </w:p>
    <w:p w14:paraId="638F152D" w14:textId="77777777" w:rsidR="00F01071" w:rsidRPr="00F01071" w:rsidRDefault="00F01071" w:rsidP="00F01071">
      <w:pPr>
        <w:tabs>
          <w:tab w:val="left" w:pos="284"/>
        </w:tabs>
        <w:ind w:left="284"/>
        <w:jc w:val="both"/>
        <w:rPr>
          <w:rFonts w:ascii="Verdana" w:hAnsi="Verdana"/>
          <w:b/>
          <w:bCs/>
          <w:sz w:val="18"/>
          <w:szCs w:val="18"/>
        </w:rPr>
      </w:pPr>
      <w:r w:rsidRPr="00F01071">
        <w:rPr>
          <w:rFonts w:ascii="Verdana" w:hAnsi="Verdana"/>
          <w:b/>
          <w:bCs/>
          <w:sz w:val="18"/>
          <w:szCs w:val="18"/>
        </w:rPr>
        <w:lastRenderedPageBreak/>
        <w:t>Relevancia práctica</w:t>
      </w:r>
    </w:p>
    <w:p w14:paraId="032C57D6" w14:textId="77777777" w:rsidR="00F01071" w:rsidRPr="00F01071" w:rsidRDefault="00F01071" w:rsidP="00F01071">
      <w:pPr>
        <w:tabs>
          <w:tab w:val="left" w:pos="284"/>
        </w:tabs>
        <w:ind w:left="284"/>
        <w:jc w:val="both"/>
        <w:rPr>
          <w:rFonts w:ascii="Verdana" w:hAnsi="Verdana"/>
          <w:sz w:val="18"/>
          <w:szCs w:val="18"/>
        </w:rPr>
      </w:pPr>
      <w:r w:rsidRPr="00F01071">
        <w:rPr>
          <w:rFonts w:ascii="Verdana" w:hAnsi="Verdana"/>
          <w:sz w:val="18"/>
          <w:szCs w:val="18"/>
        </w:rPr>
        <w:t xml:space="preserve">Este criterio </w:t>
      </w:r>
      <w:r w:rsidRPr="00F01071">
        <w:rPr>
          <w:rFonts w:ascii="Verdana" w:hAnsi="Verdana"/>
          <w:b/>
          <w:bCs/>
          <w:sz w:val="18"/>
          <w:szCs w:val="18"/>
        </w:rPr>
        <w:t>favorece la neutralidad fiscal de las operaciones de reorganización empresarial</w:t>
      </w:r>
      <w:r w:rsidRPr="00F01071">
        <w:rPr>
          <w:rFonts w:ascii="Verdana" w:hAnsi="Verdana"/>
          <w:sz w:val="18"/>
          <w:szCs w:val="18"/>
        </w:rPr>
        <w:t>, evitando que la constitución de una sociedad holding pueda provocar, durante el ejercicio de transición, la pérdida de la exención en el Impuesto sobre el Patrimonio por el mero hecho de que las funciones directivas y sus correspondientes remuneraciones hayan sido percibidas sucesivamente en distintas entidades del grupo.</w:t>
      </w:r>
    </w:p>
    <w:p w14:paraId="12199419" w14:textId="77777777" w:rsidR="00AE3E73" w:rsidRDefault="00AE3E73" w:rsidP="008051C8">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AE3E73" w:rsidRPr="00AE3E73" w14:paraId="5F7933D8" w14:textId="77777777" w:rsidTr="00382375">
        <w:tc>
          <w:tcPr>
            <w:tcW w:w="180" w:type="dxa"/>
            <w:shd w:val="clear" w:color="auto" w:fill="FF6600"/>
          </w:tcPr>
          <w:p w14:paraId="7A534743" w14:textId="77777777" w:rsidR="00AE3E73" w:rsidRPr="00AE3E73" w:rsidRDefault="00AE3E73" w:rsidP="00382375">
            <w:pPr>
              <w:rPr>
                <w:rFonts w:ascii="Verdana" w:hAnsi="Verdana"/>
                <w:b/>
                <w:bCs/>
                <w:iCs/>
                <w:color w:val="800000"/>
                <w:sz w:val="18"/>
                <w:szCs w:val="18"/>
              </w:rPr>
            </w:pPr>
          </w:p>
        </w:tc>
        <w:tc>
          <w:tcPr>
            <w:tcW w:w="8460" w:type="dxa"/>
          </w:tcPr>
          <w:p w14:paraId="67E1E0C7" w14:textId="310913BB" w:rsidR="00AE3E73" w:rsidRPr="00AE3E73" w:rsidRDefault="00AE3E73" w:rsidP="00382375">
            <w:pPr>
              <w:pStyle w:val="Prrafodelista"/>
              <w:numPr>
                <w:ilvl w:val="0"/>
                <w:numId w:val="2"/>
              </w:numPr>
              <w:tabs>
                <w:tab w:val="num" w:pos="284"/>
              </w:tabs>
              <w:ind w:left="382" w:hanging="283"/>
              <w:jc w:val="both"/>
              <w:rPr>
                <w:rFonts w:ascii="Verdana" w:hAnsi="Verdana"/>
                <w:b/>
                <w:bCs/>
                <w:iCs/>
                <w:color w:val="800000"/>
                <w:sz w:val="18"/>
                <w:szCs w:val="18"/>
              </w:rPr>
            </w:pPr>
            <w:r w:rsidRPr="00AE3E73">
              <w:rPr>
                <w:rFonts w:ascii="Verdana" w:hAnsi="Verdana"/>
                <w:b/>
                <w:bCs/>
                <w:iCs/>
                <w:color w:val="800000"/>
                <w:sz w:val="18"/>
                <w:szCs w:val="18"/>
              </w:rPr>
              <w:t>EXENCIÓN EN EL IMPUESTO SOBRE EL PATRIMONIO E ITSGF DE LOS SALDOS LÍQUIDOS AFECTOS A UNA ACTIVIDAD ECONÓMICA</w:t>
            </w:r>
          </w:p>
        </w:tc>
      </w:tr>
    </w:tbl>
    <w:p w14:paraId="251903B5" w14:textId="77777777" w:rsidR="00AE3E73" w:rsidRDefault="00AE3E73" w:rsidP="008051C8">
      <w:pPr>
        <w:tabs>
          <w:tab w:val="left" w:pos="284"/>
        </w:tabs>
        <w:ind w:left="284"/>
        <w:jc w:val="both"/>
        <w:rPr>
          <w:rFonts w:ascii="Verdana" w:hAnsi="Verdana"/>
          <w:sz w:val="18"/>
          <w:szCs w:val="18"/>
        </w:rPr>
      </w:pPr>
    </w:p>
    <w:p w14:paraId="02EF5D08" w14:textId="77777777" w:rsidR="00AE3E73" w:rsidRPr="00AE3E73" w:rsidRDefault="00AE3E73" w:rsidP="00AE3E73">
      <w:pPr>
        <w:tabs>
          <w:tab w:val="left" w:pos="284"/>
        </w:tabs>
        <w:ind w:left="284"/>
        <w:jc w:val="both"/>
        <w:rPr>
          <w:rFonts w:ascii="Verdana" w:hAnsi="Verdana"/>
          <w:i/>
          <w:iCs/>
          <w:sz w:val="18"/>
          <w:szCs w:val="18"/>
        </w:rPr>
      </w:pPr>
      <w:r w:rsidRPr="00AE3E73">
        <w:rPr>
          <w:rFonts w:ascii="Verdana" w:hAnsi="Verdana"/>
          <w:i/>
          <w:iCs/>
          <w:sz w:val="18"/>
          <w:szCs w:val="18"/>
        </w:rPr>
        <w:t xml:space="preserve">La Dirección General de Tributos analiza si los saldos líquidos y recursos financieros mantenidos por un empresario individual dedicado a la intermediación en la compra de espacios publicitarios digitales pueden considerarse bienes afectos a su actividad económica y, por tanto, beneficiarse de la exención prevista en el Impuesto sobre el Patrimonio (IP) y en el Impuesto Temporal de Solidaridad de las Grandes Fortunas (ITSGF). </w:t>
      </w:r>
    </w:p>
    <w:p w14:paraId="77AB4999" w14:textId="77777777" w:rsidR="00AE3E73" w:rsidRPr="00AE3E73" w:rsidRDefault="00AE3E73" w:rsidP="00AE3E73">
      <w:pPr>
        <w:tabs>
          <w:tab w:val="left" w:pos="284"/>
        </w:tabs>
        <w:ind w:left="284"/>
        <w:jc w:val="both"/>
        <w:rPr>
          <w:rFonts w:ascii="Verdana" w:hAnsi="Verdana"/>
          <w:sz w:val="18"/>
          <w:szCs w:val="18"/>
        </w:rPr>
      </w:pPr>
    </w:p>
    <w:p w14:paraId="33D0A50B" w14:textId="77777777" w:rsidR="00AE3E73" w:rsidRPr="00AE3E73" w:rsidRDefault="00AE3E73" w:rsidP="00AE3E73">
      <w:pPr>
        <w:tabs>
          <w:tab w:val="left" w:pos="284"/>
        </w:tabs>
        <w:ind w:left="284"/>
        <w:jc w:val="both"/>
        <w:rPr>
          <w:rFonts w:ascii="Verdana" w:hAnsi="Verdana"/>
          <w:b/>
          <w:bCs/>
          <w:sz w:val="18"/>
          <w:szCs w:val="18"/>
        </w:rPr>
      </w:pPr>
      <w:r w:rsidRPr="00AE3E73">
        <w:rPr>
          <w:rFonts w:ascii="Verdana" w:hAnsi="Verdana"/>
          <w:b/>
          <w:bCs/>
          <w:sz w:val="18"/>
          <w:szCs w:val="18"/>
        </w:rPr>
        <w:t>Supuesto analizado</w:t>
      </w:r>
    </w:p>
    <w:p w14:paraId="6658661F" w14:textId="77777777" w:rsidR="00AE3E73" w:rsidRDefault="00AE3E73" w:rsidP="00AE3E73">
      <w:pPr>
        <w:tabs>
          <w:tab w:val="left" w:pos="284"/>
        </w:tabs>
        <w:ind w:left="284"/>
        <w:jc w:val="both"/>
        <w:rPr>
          <w:rFonts w:ascii="Verdana" w:hAnsi="Verdana"/>
          <w:sz w:val="18"/>
          <w:szCs w:val="18"/>
        </w:rPr>
      </w:pPr>
      <w:r w:rsidRPr="00AE3E73">
        <w:rPr>
          <w:rFonts w:ascii="Verdana" w:hAnsi="Verdana"/>
          <w:sz w:val="18"/>
          <w:szCs w:val="18"/>
        </w:rPr>
        <w:t xml:space="preserve">El consultante desarrolla de forma habitual, personal y directa una actividad económica consistente en la adquisición anticipada de espacios publicitarios digitales para su posterior utilización en campañas de clientes. Para financiar esta operativa mantiene elevados saldos líquidos en cuentas bancarias y dispone de determinados recursos financieros destinados al funcionamiento del negocio. </w:t>
      </w:r>
    </w:p>
    <w:p w14:paraId="2B8E3460" w14:textId="77777777" w:rsidR="00AE3E73" w:rsidRPr="00AE3E73" w:rsidRDefault="00AE3E73" w:rsidP="00AE3E73">
      <w:pPr>
        <w:tabs>
          <w:tab w:val="left" w:pos="284"/>
        </w:tabs>
        <w:ind w:left="284"/>
        <w:jc w:val="both"/>
        <w:rPr>
          <w:rFonts w:ascii="Verdana" w:hAnsi="Verdana"/>
          <w:sz w:val="18"/>
          <w:szCs w:val="18"/>
        </w:rPr>
      </w:pPr>
    </w:p>
    <w:p w14:paraId="68529CE9" w14:textId="77777777" w:rsidR="00AE3E73" w:rsidRPr="00AE3E73" w:rsidRDefault="00AE3E73" w:rsidP="00AE3E73">
      <w:pPr>
        <w:tabs>
          <w:tab w:val="left" w:pos="284"/>
        </w:tabs>
        <w:ind w:left="284"/>
        <w:jc w:val="both"/>
        <w:rPr>
          <w:rFonts w:ascii="Verdana" w:hAnsi="Verdana"/>
          <w:b/>
          <w:bCs/>
          <w:sz w:val="18"/>
          <w:szCs w:val="18"/>
        </w:rPr>
      </w:pPr>
      <w:r w:rsidRPr="00AE3E73">
        <w:rPr>
          <w:rFonts w:ascii="Verdana" w:hAnsi="Verdana"/>
          <w:b/>
          <w:bCs/>
          <w:sz w:val="18"/>
          <w:szCs w:val="18"/>
        </w:rPr>
        <w:t>Criterio de la DGT</w:t>
      </w:r>
    </w:p>
    <w:p w14:paraId="445A74D4" w14:textId="172423AB" w:rsidR="00AE3E73" w:rsidRDefault="00AE3E73" w:rsidP="00AE3E73">
      <w:pPr>
        <w:tabs>
          <w:tab w:val="left" w:pos="284"/>
        </w:tabs>
        <w:ind w:left="284"/>
        <w:jc w:val="both"/>
        <w:rPr>
          <w:rFonts w:ascii="Verdana" w:hAnsi="Verdana"/>
          <w:sz w:val="18"/>
          <w:szCs w:val="18"/>
        </w:rPr>
      </w:pPr>
      <w:r w:rsidRPr="00AE3E73">
        <w:rPr>
          <w:rFonts w:ascii="Verdana" w:hAnsi="Verdana"/>
          <w:sz w:val="18"/>
          <w:szCs w:val="18"/>
        </w:rPr>
        <w:t xml:space="preserve">La DGT recuerda que la exención del artículo </w:t>
      </w:r>
      <w:r w:rsidR="00030B3F" w:rsidRPr="00AE3E73">
        <w:rPr>
          <w:rFonts w:ascii="Verdana" w:hAnsi="Verdana"/>
          <w:sz w:val="18"/>
          <w:szCs w:val="18"/>
        </w:rPr>
        <w:t>4. Ocho. Uno</w:t>
      </w:r>
      <w:r w:rsidRPr="00AE3E73">
        <w:rPr>
          <w:rFonts w:ascii="Verdana" w:hAnsi="Verdana"/>
          <w:sz w:val="18"/>
          <w:szCs w:val="18"/>
        </w:rPr>
        <w:t xml:space="preserve"> de la Ley del Impuesto sobre el Patrimonio se aplica a los bienes y derechos necesarios para el desarrollo de una actividad económica ejercida de forma habitual, personal y directa por el contribuyente. Para determinar qué elementos se consideran afectos debe acudirse a las reglas del IRPF, concretamente al artículo 29 de la LIRPF. </w:t>
      </w:r>
    </w:p>
    <w:p w14:paraId="76C6EEC4" w14:textId="77777777" w:rsidR="00AE3E73" w:rsidRPr="00AE3E73" w:rsidRDefault="00AE3E73" w:rsidP="00AE3E73">
      <w:pPr>
        <w:tabs>
          <w:tab w:val="left" w:pos="284"/>
        </w:tabs>
        <w:ind w:left="284"/>
        <w:jc w:val="both"/>
        <w:rPr>
          <w:rFonts w:ascii="Verdana" w:hAnsi="Verdana"/>
          <w:sz w:val="18"/>
          <w:szCs w:val="18"/>
        </w:rPr>
      </w:pPr>
    </w:p>
    <w:p w14:paraId="76A86B3B" w14:textId="77777777" w:rsidR="00AE3E73" w:rsidRDefault="00AE3E73" w:rsidP="00AE3E73">
      <w:pPr>
        <w:tabs>
          <w:tab w:val="left" w:pos="284"/>
        </w:tabs>
        <w:ind w:left="284"/>
        <w:jc w:val="both"/>
        <w:rPr>
          <w:rFonts w:ascii="Verdana" w:hAnsi="Verdana"/>
          <w:sz w:val="18"/>
          <w:szCs w:val="18"/>
        </w:rPr>
      </w:pPr>
      <w:r w:rsidRPr="00AE3E73">
        <w:rPr>
          <w:rFonts w:ascii="Verdana" w:hAnsi="Verdana"/>
          <w:sz w:val="18"/>
          <w:szCs w:val="18"/>
        </w:rPr>
        <w:t xml:space="preserve">En este sentido, </w:t>
      </w:r>
      <w:r w:rsidRPr="00AE3E73">
        <w:rPr>
          <w:rFonts w:ascii="Verdana" w:hAnsi="Verdana"/>
          <w:b/>
          <w:bCs/>
          <w:sz w:val="18"/>
          <w:szCs w:val="18"/>
        </w:rPr>
        <w:t>la normativa excluye expresamente de la consideración de elementos afectos los activos representativos de la cesión de capitales a terceros</w:t>
      </w:r>
      <w:r w:rsidRPr="00AE3E73">
        <w:rPr>
          <w:rFonts w:ascii="Verdana" w:hAnsi="Verdana"/>
          <w:sz w:val="18"/>
          <w:szCs w:val="18"/>
        </w:rPr>
        <w:t xml:space="preserve">. </w:t>
      </w:r>
    </w:p>
    <w:p w14:paraId="069DF884" w14:textId="77777777" w:rsidR="00AE3E73" w:rsidRDefault="00AE3E73" w:rsidP="00AE3E73">
      <w:pPr>
        <w:tabs>
          <w:tab w:val="left" w:pos="284"/>
        </w:tabs>
        <w:ind w:left="284"/>
        <w:jc w:val="both"/>
        <w:rPr>
          <w:rFonts w:ascii="Verdana" w:hAnsi="Verdana"/>
          <w:sz w:val="18"/>
          <w:szCs w:val="18"/>
        </w:rPr>
      </w:pPr>
    </w:p>
    <w:p w14:paraId="5D40CF37" w14:textId="3626B942" w:rsidR="00AE3E73" w:rsidRDefault="00AE3E73" w:rsidP="00AE3E73">
      <w:pPr>
        <w:tabs>
          <w:tab w:val="left" w:pos="284"/>
        </w:tabs>
        <w:ind w:left="284"/>
        <w:jc w:val="both"/>
        <w:rPr>
          <w:rFonts w:ascii="Verdana" w:hAnsi="Verdana"/>
          <w:sz w:val="18"/>
          <w:szCs w:val="18"/>
        </w:rPr>
      </w:pPr>
      <w:r w:rsidRPr="00AE3E73">
        <w:rPr>
          <w:rFonts w:ascii="Verdana" w:hAnsi="Verdana"/>
          <w:sz w:val="18"/>
          <w:szCs w:val="18"/>
        </w:rPr>
        <w:t xml:space="preserve">Por ello, los recursos financieros titularidad del empresario no pueden calificarse como bienes afectos a la actividad económica, aun cuando estén vinculados a su gestión empresarial. En consecuencia, dichos recursos no pueden acogerse a la exención del IP ni, por remisión normativa, a la del ITSGF. </w:t>
      </w:r>
    </w:p>
    <w:p w14:paraId="1FF2EFAA" w14:textId="77777777" w:rsidR="00AE3E73" w:rsidRPr="00AE3E73" w:rsidRDefault="00AE3E73" w:rsidP="00AE3E73">
      <w:pPr>
        <w:tabs>
          <w:tab w:val="left" w:pos="284"/>
        </w:tabs>
        <w:ind w:left="284"/>
        <w:jc w:val="both"/>
        <w:rPr>
          <w:rFonts w:ascii="Verdana" w:hAnsi="Verdana"/>
          <w:sz w:val="18"/>
          <w:szCs w:val="18"/>
        </w:rPr>
      </w:pPr>
    </w:p>
    <w:p w14:paraId="1A5A67E5" w14:textId="77777777" w:rsidR="00AE3E73" w:rsidRPr="00AE3E73" w:rsidRDefault="00AE3E73" w:rsidP="00AE3E73">
      <w:pPr>
        <w:tabs>
          <w:tab w:val="left" w:pos="284"/>
        </w:tabs>
        <w:ind w:left="284"/>
        <w:jc w:val="both"/>
        <w:rPr>
          <w:rFonts w:ascii="Verdana" w:hAnsi="Verdana"/>
          <w:b/>
          <w:bCs/>
          <w:sz w:val="18"/>
          <w:szCs w:val="18"/>
        </w:rPr>
      </w:pPr>
      <w:r w:rsidRPr="00AE3E73">
        <w:rPr>
          <w:rFonts w:ascii="Verdana" w:hAnsi="Verdana"/>
          <w:b/>
          <w:bCs/>
          <w:sz w:val="18"/>
          <w:szCs w:val="18"/>
        </w:rPr>
        <w:t>Tratamiento de los saldos bancarios</w:t>
      </w:r>
    </w:p>
    <w:p w14:paraId="195079C9" w14:textId="77777777" w:rsidR="00AE3E73" w:rsidRDefault="00AE3E73" w:rsidP="00AE3E73">
      <w:pPr>
        <w:tabs>
          <w:tab w:val="left" w:pos="284"/>
        </w:tabs>
        <w:ind w:left="284"/>
        <w:jc w:val="both"/>
        <w:rPr>
          <w:rFonts w:ascii="Verdana" w:hAnsi="Verdana"/>
          <w:sz w:val="18"/>
          <w:szCs w:val="18"/>
        </w:rPr>
      </w:pPr>
      <w:r w:rsidRPr="00AE3E73">
        <w:rPr>
          <w:rFonts w:ascii="Verdana" w:hAnsi="Verdana"/>
          <w:sz w:val="18"/>
          <w:szCs w:val="18"/>
        </w:rPr>
        <w:t xml:space="preserve">La consulta distingue entre los recursos financieros y los saldos líquidos mantenidos en cuentas corrientes. Respecto de estos últimos, la DGT se remite a la doctrina del TEAC, según la cual </w:t>
      </w:r>
      <w:r w:rsidRPr="00AE3E73">
        <w:rPr>
          <w:rFonts w:ascii="Verdana" w:hAnsi="Verdana"/>
          <w:b/>
          <w:bCs/>
          <w:sz w:val="18"/>
          <w:szCs w:val="18"/>
        </w:rPr>
        <w:t>las cuentas bancarias pueden considerarse afectas cuando resulten realmente necesarias para el desarrollo de la actividad económica</w:t>
      </w:r>
      <w:r w:rsidRPr="00AE3E73">
        <w:rPr>
          <w:rFonts w:ascii="Verdana" w:hAnsi="Verdana"/>
          <w:sz w:val="18"/>
          <w:szCs w:val="18"/>
        </w:rPr>
        <w:t xml:space="preserve">. Para ello debe analizarse si los saldos y movimientos responden a las necesidades ordinarias del negocio y guardan proporción con las necesidades de circulante. </w:t>
      </w:r>
    </w:p>
    <w:p w14:paraId="665C723D" w14:textId="77777777" w:rsidR="00AE3E73" w:rsidRPr="00AE3E73" w:rsidRDefault="00AE3E73" w:rsidP="00AE3E73">
      <w:pPr>
        <w:tabs>
          <w:tab w:val="left" w:pos="284"/>
        </w:tabs>
        <w:ind w:left="284"/>
        <w:jc w:val="both"/>
        <w:rPr>
          <w:rFonts w:ascii="Verdana" w:hAnsi="Verdana"/>
          <w:sz w:val="18"/>
          <w:szCs w:val="18"/>
        </w:rPr>
      </w:pPr>
    </w:p>
    <w:p w14:paraId="3F5CD356" w14:textId="77777777" w:rsidR="00AE3E73" w:rsidRDefault="00AE3E73" w:rsidP="00AE3E73">
      <w:pPr>
        <w:tabs>
          <w:tab w:val="left" w:pos="284"/>
        </w:tabs>
        <w:ind w:left="284"/>
        <w:jc w:val="both"/>
        <w:rPr>
          <w:rFonts w:ascii="Verdana" w:hAnsi="Verdana"/>
          <w:sz w:val="18"/>
          <w:szCs w:val="18"/>
        </w:rPr>
      </w:pPr>
      <w:r w:rsidRPr="00AE3E73">
        <w:rPr>
          <w:rFonts w:ascii="Verdana" w:hAnsi="Verdana"/>
          <w:b/>
          <w:bCs/>
          <w:sz w:val="18"/>
          <w:szCs w:val="18"/>
        </w:rPr>
        <w:t>Solo el exceso sobre dichas necesidades podrá calificarse como tesorería ociosa</w:t>
      </w:r>
      <w:r w:rsidRPr="00AE3E73">
        <w:rPr>
          <w:rFonts w:ascii="Verdana" w:hAnsi="Verdana"/>
          <w:sz w:val="18"/>
          <w:szCs w:val="18"/>
        </w:rPr>
        <w:t xml:space="preserve">, quedando excluido del beneficio fiscal. La determinación concreta de esta circunstancia constituye una cuestión de hecho que deberá ser valorada por los órganos de comprobación e inspección de la Administración tributaria atendiendo al volumen de operaciones, la naturaleza de la actividad y el resto de parámetros económico-financieros del negocio. </w:t>
      </w:r>
    </w:p>
    <w:p w14:paraId="6693EA98" w14:textId="77777777" w:rsidR="00AE3E73" w:rsidRPr="00AE3E73" w:rsidRDefault="00AE3E73" w:rsidP="00AE3E73">
      <w:pPr>
        <w:tabs>
          <w:tab w:val="left" w:pos="284"/>
        </w:tabs>
        <w:ind w:left="284"/>
        <w:jc w:val="both"/>
        <w:rPr>
          <w:rFonts w:ascii="Verdana" w:hAnsi="Verdana"/>
          <w:sz w:val="18"/>
          <w:szCs w:val="18"/>
        </w:rPr>
      </w:pPr>
    </w:p>
    <w:p w14:paraId="6724505F" w14:textId="77777777" w:rsidR="00AE3E73" w:rsidRPr="00AE3E73" w:rsidRDefault="00AE3E73" w:rsidP="00AE3E73">
      <w:pPr>
        <w:tabs>
          <w:tab w:val="left" w:pos="284"/>
        </w:tabs>
        <w:ind w:left="284"/>
        <w:jc w:val="both"/>
        <w:rPr>
          <w:rFonts w:ascii="Verdana" w:hAnsi="Verdana"/>
          <w:b/>
          <w:bCs/>
          <w:sz w:val="18"/>
          <w:szCs w:val="18"/>
        </w:rPr>
      </w:pPr>
      <w:r w:rsidRPr="00AE3E73">
        <w:rPr>
          <w:rFonts w:ascii="Verdana" w:hAnsi="Verdana"/>
          <w:b/>
          <w:bCs/>
          <w:sz w:val="18"/>
          <w:szCs w:val="18"/>
        </w:rPr>
        <w:t>Conclusión</w:t>
      </w:r>
    </w:p>
    <w:p w14:paraId="772C4D4F" w14:textId="77777777" w:rsidR="00AE3E73" w:rsidRDefault="00AE3E73" w:rsidP="00AE3E73">
      <w:pPr>
        <w:tabs>
          <w:tab w:val="left" w:pos="284"/>
        </w:tabs>
        <w:ind w:left="284"/>
        <w:jc w:val="both"/>
        <w:rPr>
          <w:rFonts w:ascii="Verdana" w:hAnsi="Verdana"/>
          <w:sz w:val="18"/>
          <w:szCs w:val="18"/>
        </w:rPr>
      </w:pPr>
      <w:r w:rsidRPr="00AE3E73">
        <w:rPr>
          <w:rFonts w:ascii="Verdana" w:hAnsi="Verdana"/>
          <w:sz w:val="18"/>
          <w:szCs w:val="18"/>
        </w:rPr>
        <w:t xml:space="preserve">La DGT concluye que los recursos financieros representativos de la cesión de capitales a terceros no constituyen elementos afectos a una actividad económica y, por tanto, no pueden disfrutar de la exención en el Impuesto sobre el Patrimonio ni en el ITSGF. No obstante, </w:t>
      </w:r>
      <w:r w:rsidRPr="00AE3E73">
        <w:rPr>
          <w:rFonts w:ascii="Verdana" w:hAnsi="Verdana"/>
          <w:b/>
          <w:bCs/>
          <w:sz w:val="18"/>
          <w:szCs w:val="18"/>
        </w:rPr>
        <w:t>los saldos líquidos mantenidos en cuentas bancarias sí podrán considerarse afectos cuando se acredite su necesidad para el funcionamiento ordinario de la actividad</w:t>
      </w:r>
      <w:r w:rsidRPr="00AE3E73">
        <w:rPr>
          <w:rFonts w:ascii="Verdana" w:hAnsi="Verdana"/>
          <w:sz w:val="18"/>
          <w:szCs w:val="18"/>
        </w:rPr>
        <w:t xml:space="preserve">, debiendo analizarse en cada caso concreto si responden a necesidades reales de circulante o constituyen tesorería excedentaria. </w:t>
      </w:r>
    </w:p>
    <w:p w14:paraId="1962BBF5" w14:textId="77777777" w:rsidR="00564FCB" w:rsidRDefault="00564FCB" w:rsidP="00AE3E73">
      <w:pPr>
        <w:tabs>
          <w:tab w:val="left" w:pos="284"/>
        </w:tabs>
        <w:ind w:left="284"/>
        <w:jc w:val="both"/>
        <w:rPr>
          <w:rFonts w:ascii="Verdana" w:hAnsi="Verdana"/>
          <w:sz w:val="18"/>
          <w:szCs w:val="18"/>
        </w:rPr>
      </w:pPr>
    </w:p>
    <w:p w14:paraId="2297B337" w14:textId="77777777" w:rsidR="00030B3F" w:rsidRDefault="00030B3F" w:rsidP="00AE3E73">
      <w:pPr>
        <w:tabs>
          <w:tab w:val="left" w:pos="284"/>
        </w:tabs>
        <w:ind w:left="284"/>
        <w:jc w:val="both"/>
        <w:rPr>
          <w:rFonts w:ascii="Verdana" w:hAnsi="Verdana"/>
          <w:sz w:val="18"/>
          <w:szCs w:val="18"/>
        </w:rPr>
      </w:pPr>
    </w:p>
    <w:p w14:paraId="470C80C6" w14:textId="77777777" w:rsidR="00030B3F" w:rsidRDefault="00030B3F" w:rsidP="00AE3E73">
      <w:pPr>
        <w:tabs>
          <w:tab w:val="left" w:pos="284"/>
        </w:tabs>
        <w:ind w:left="284"/>
        <w:jc w:val="both"/>
        <w:rPr>
          <w:rFonts w:ascii="Verdana" w:hAnsi="Verdana"/>
          <w:sz w:val="18"/>
          <w:szCs w:val="18"/>
        </w:rPr>
      </w:pPr>
    </w:p>
    <w:p w14:paraId="2C70722E" w14:textId="77777777" w:rsidR="00564FCB" w:rsidRDefault="00564FCB" w:rsidP="00AE3E73">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203B9" w:rsidRPr="002203B9" w14:paraId="3B1FF666" w14:textId="77777777" w:rsidTr="003857CC">
        <w:tc>
          <w:tcPr>
            <w:tcW w:w="180" w:type="dxa"/>
            <w:shd w:val="clear" w:color="auto" w:fill="FF6600"/>
          </w:tcPr>
          <w:p w14:paraId="03C191D9" w14:textId="77777777" w:rsidR="002203B9" w:rsidRPr="002203B9" w:rsidRDefault="002203B9" w:rsidP="003857CC">
            <w:pPr>
              <w:rPr>
                <w:rFonts w:ascii="Verdana" w:hAnsi="Verdana"/>
                <w:b/>
                <w:bCs/>
                <w:color w:val="800000"/>
                <w:sz w:val="18"/>
                <w:szCs w:val="18"/>
              </w:rPr>
            </w:pPr>
          </w:p>
        </w:tc>
        <w:tc>
          <w:tcPr>
            <w:tcW w:w="8460" w:type="dxa"/>
          </w:tcPr>
          <w:p w14:paraId="3404E708" w14:textId="017A2A52" w:rsidR="002203B9" w:rsidRPr="002203B9" w:rsidRDefault="002203B9" w:rsidP="003857CC">
            <w:pPr>
              <w:pStyle w:val="Prrafodelista"/>
              <w:numPr>
                <w:ilvl w:val="0"/>
                <w:numId w:val="2"/>
              </w:numPr>
              <w:tabs>
                <w:tab w:val="num" w:pos="284"/>
              </w:tabs>
              <w:ind w:left="382" w:hanging="283"/>
              <w:jc w:val="both"/>
              <w:rPr>
                <w:rFonts w:ascii="Verdana" w:hAnsi="Verdana"/>
                <w:b/>
                <w:bCs/>
                <w:color w:val="800000"/>
                <w:sz w:val="18"/>
                <w:szCs w:val="18"/>
              </w:rPr>
            </w:pPr>
            <w:r w:rsidRPr="002203B9">
              <w:rPr>
                <w:rFonts w:ascii="Verdana" w:hAnsi="Verdana"/>
                <w:b/>
                <w:bCs/>
                <w:color w:val="800000"/>
                <w:sz w:val="18"/>
                <w:szCs w:val="18"/>
              </w:rPr>
              <w:t>IVA.- RENUNCIA TÁCITA A LA EXENCIÓN DE IVA EN OPERACIONES INMOBILIARIAS: ES SUFICIENTE QUE EL ADQUIRENTE SEA EMPRESARIO Y QUE CONSTE EN LA ESCRITURA PÚBLICA DE COMPRAVENTA QUE SE HA EFECTUADO LA REPERCUSIÓN DEL IVA</w:t>
            </w:r>
          </w:p>
        </w:tc>
      </w:tr>
    </w:tbl>
    <w:p w14:paraId="1B908C39" w14:textId="77777777" w:rsidR="00564FCB" w:rsidRDefault="00564FCB" w:rsidP="00AE3E73">
      <w:pPr>
        <w:tabs>
          <w:tab w:val="left" w:pos="284"/>
        </w:tabs>
        <w:ind w:left="284"/>
        <w:jc w:val="both"/>
        <w:rPr>
          <w:rFonts w:ascii="Verdana" w:hAnsi="Verdana"/>
          <w:sz w:val="18"/>
          <w:szCs w:val="18"/>
        </w:rPr>
      </w:pPr>
    </w:p>
    <w:p w14:paraId="21C12FEF" w14:textId="77777777" w:rsidR="00564FCB" w:rsidRDefault="00564FCB" w:rsidP="00564FCB">
      <w:pPr>
        <w:tabs>
          <w:tab w:val="left" w:pos="284"/>
        </w:tabs>
        <w:ind w:left="284"/>
        <w:jc w:val="both"/>
        <w:rPr>
          <w:rFonts w:ascii="Verdana" w:hAnsi="Verdana"/>
          <w:i/>
          <w:iCs/>
          <w:sz w:val="18"/>
          <w:szCs w:val="18"/>
        </w:rPr>
      </w:pPr>
      <w:r w:rsidRPr="00564FCB">
        <w:rPr>
          <w:rFonts w:ascii="Verdana" w:hAnsi="Verdana"/>
          <w:i/>
          <w:iCs/>
          <w:sz w:val="18"/>
          <w:szCs w:val="18"/>
        </w:rPr>
        <w:t xml:space="preserve">El Tribunal Económico-Administrativo Central (TEAC), en su Resolución de 24 de marzo de 2026 (RG 3613/2024), analiza la tributación de una compraventa inmobiliaria en la que las partes consideraron que la transmisión constituía una primera entrega de edificación rehabilitada y, por tanto, estaba sujeta y no exenta de IVA. </w:t>
      </w:r>
    </w:p>
    <w:p w14:paraId="1CB79C51" w14:textId="77777777" w:rsidR="00443FF2" w:rsidRPr="00564FCB" w:rsidRDefault="00443FF2" w:rsidP="00564FCB">
      <w:pPr>
        <w:tabs>
          <w:tab w:val="left" w:pos="284"/>
        </w:tabs>
        <w:ind w:left="284"/>
        <w:jc w:val="both"/>
        <w:rPr>
          <w:rFonts w:ascii="Verdana" w:hAnsi="Verdana"/>
          <w:i/>
          <w:iCs/>
          <w:sz w:val="18"/>
          <w:szCs w:val="18"/>
        </w:rPr>
      </w:pPr>
    </w:p>
    <w:p w14:paraId="0B58B739" w14:textId="77777777" w:rsidR="00564FCB" w:rsidRPr="00564FCB" w:rsidRDefault="00564FCB" w:rsidP="00564FCB">
      <w:pPr>
        <w:tabs>
          <w:tab w:val="left" w:pos="284"/>
        </w:tabs>
        <w:ind w:left="284"/>
        <w:jc w:val="both"/>
        <w:rPr>
          <w:rFonts w:ascii="Verdana" w:hAnsi="Verdana"/>
          <w:b/>
          <w:bCs/>
          <w:sz w:val="18"/>
          <w:szCs w:val="18"/>
        </w:rPr>
      </w:pPr>
      <w:r w:rsidRPr="00564FCB">
        <w:rPr>
          <w:rFonts w:ascii="Verdana" w:hAnsi="Verdana"/>
          <w:b/>
          <w:bCs/>
          <w:sz w:val="18"/>
          <w:szCs w:val="18"/>
        </w:rPr>
        <w:t>Antecedentes</w:t>
      </w:r>
    </w:p>
    <w:p w14:paraId="6579BF8D" w14:textId="08E4A80E" w:rsidR="00564FCB" w:rsidRDefault="00564FCB" w:rsidP="00564FCB">
      <w:pPr>
        <w:tabs>
          <w:tab w:val="left" w:pos="284"/>
        </w:tabs>
        <w:ind w:left="284"/>
        <w:jc w:val="both"/>
        <w:rPr>
          <w:rFonts w:ascii="Verdana" w:hAnsi="Verdana"/>
          <w:sz w:val="18"/>
          <w:szCs w:val="18"/>
        </w:rPr>
      </w:pPr>
      <w:r w:rsidRPr="00564FCB">
        <w:rPr>
          <w:rFonts w:ascii="Verdana" w:hAnsi="Verdana"/>
          <w:sz w:val="18"/>
          <w:szCs w:val="18"/>
        </w:rPr>
        <w:t xml:space="preserve">La controversia surge tras la adquisición de un edificio y varios locales por una entidad mercantil, operación en la que el vendedor repercutió IVA al considerar que las obras realizadas previamente tenían la consideración de rehabilitación integral. La Administración autonómica, tras un procedimiento de comprobación, concluyó que dichas obras no cumplían los requisitos exigidos por el artículo </w:t>
      </w:r>
      <w:r w:rsidR="00030B3F" w:rsidRPr="00564FCB">
        <w:rPr>
          <w:rFonts w:ascii="Verdana" w:hAnsi="Verdana"/>
          <w:sz w:val="18"/>
          <w:szCs w:val="18"/>
        </w:rPr>
        <w:t>20. Uno.22º</w:t>
      </w:r>
      <w:r w:rsidRPr="00564FCB">
        <w:rPr>
          <w:rFonts w:ascii="Verdana" w:hAnsi="Verdana"/>
          <w:sz w:val="18"/>
          <w:szCs w:val="18"/>
        </w:rPr>
        <w:t xml:space="preserve"> de la Ley del IVA para ser calificadas como rehabilitación, por lo que entendió que la transmisión constituía una segunda entrega de edificación exenta de IVA y, en consecuencia, sujeta a la modalidad de Transmisiones Patrimoniales Onerosas (TPO) del ITPAJD. </w:t>
      </w:r>
    </w:p>
    <w:p w14:paraId="3EBB5A45" w14:textId="77777777" w:rsidR="00030B3F" w:rsidRPr="00564FCB" w:rsidRDefault="00030B3F" w:rsidP="00564FCB">
      <w:pPr>
        <w:tabs>
          <w:tab w:val="left" w:pos="284"/>
        </w:tabs>
        <w:ind w:left="284"/>
        <w:jc w:val="both"/>
        <w:rPr>
          <w:rFonts w:ascii="Verdana" w:hAnsi="Verdana"/>
          <w:sz w:val="18"/>
          <w:szCs w:val="18"/>
        </w:rPr>
      </w:pPr>
    </w:p>
    <w:p w14:paraId="0AB666C2" w14:textId="77777777" w:rsidR="00564FCB" w:rsidRPr="00564FCB" w:rsidRDefault="00564FCB" w:rsidP="00564FCB">
      <w:pPr>
        <w:tabs>
          <w:tab w:val="left" w:pos="284"/>
        </w:tabs>
        <w:ind w:left="284"/>
        <w:jc w:val="both"/>
        <w:rPr>
          <w:rFonts w:ascii="Verdana" w:hAnsi="Verdana"/>
          <w:b/>
          <w:bCs/>
          <w:sz w:val="18"/>
          <w:szCs w:val="18"/>
        </w:rPr>
      </w:pPr>
      <w:r w:rsidRPr="00564FCB">
        <w:rPr>
          <w:rFonts w:ascii="Verdana" w:hAnsi="Verdana"/>
          <w:b/>
          <w:bCs/>
          <w:sz w:val="18"/>
          <w:szCs w:val="18"/>
        </w:rPr>
        <w:t>Criterio del TEAC sobre las obras de rehabilitación</w:t>
      </w:r>
    </w:p>
    <w:p w14:paraId="1290CE7C" w14:textId="77777777" w:rsidR="00564FCB" w:rsidRDefault="00564FCB" w:rsidP="00564FCB">
      <w:pPr>
        <w:tabs>
          <w:tab w:val="left" w:pos="284"/>
        </w:tabs>
        <w:ind w:left="284"/>
        <w:jc w:val="both"/>
        <w:rPr>
          <w:rFonts w:ascii="Verdana" w:hAnsi="Verdana"/>
          <w:sz w:val="18"/>
          <w:szCs w:val="18"/>
        </w:rPr>
      </w:pPr>
      <w:r w:rsidRPr="00564FCB">
        <w:rPr>
          <w:rFonts w:ascii="Verdana" w:hAnsi="Verdana"/>
          <w:sz w:val="18"/>
          <w:szCs w:val="18"/>
        </w:rPr>
        <w:t>El Tribunal recuerda que para que unas obras tengan la consideración de rehabilitación deben cumplirse simultáneamente dos requisitos:</w:t>
      </w:r>
    </w:p>
    <w:p w14:paraId="458E27A8" w14:textId="77777777" w:rsidR="00030B3F" w:rsidRPr="00564FCB" w:rsidRDefault="00030B3F" w:rsidP="00564FCB">
      <w:pPr>
        <w:tabs>
          <w:tab w:val="left" w:pos="284"/>
        </w:tabs>
        <w:ind w:left="284"/>
        <w:jc w:val="both"/>
        <w:rPr>
          <w:rFonts w:ascii="Verdana" w:hAnsi="Verdana"/>
          <w:sz w:val="18"/>
          <w:szCs w:val="18"/>
        </w:rPr>
      </w:pPr>
    </w:p>
    <w:p w14:paraId="584E32C1" w14:textId="77777777" w:rsidR="00564FCB" w:rsidRPr="00564FCB" w:rsidRDefault="00564FCB" w:rsidP="00ED5853">
      <w:pPr>
        <w:numPr>
          <w:ilvl w:val="0"/>
          <w:numId w:val="47"/>
        </w:numPr>
        <w:tabs>
          <w:tab w:val="left" w:pos="284"/>
        </w:tabs>
        <w:jc w:val="both"/>
        <w:rPr>
          <w:rFonts w:ascii="Verdana" w:hAnsi="Verdana"/>
          <w:sz w:val="18"/>
          <w:szCs w:val="18"/>
        </w:rPr>
      </w:pPr>
      <w:r w:rsidRPr="00564FCB">
        <w:rPr>
          <w:rFonts w:ascii="Verdana" w:hAnsi="Verdana"/>
          <w:sz w:val="18"/>
          <w:szCs w:val="18"/>
        </w:rPr>
        <w:t xml:space="preserve">Un requisito cualitativo: que más del 50% del coste total del proyecto corresponda a obras estructurales, de fachada, cubierta o a obras análogas o conexas legalmente definidas. </w:t>
      </w:r>
    </w:p>
    <w:p w14:paraId="4AFDE96F" w14:textId="77777777" w:rsidR="00564FCB" w:rsidRDefault="00564FCB" w:rsidP="00ED5853">
      <w:pPr>
        <w:numPr>
          <w:ilvl w:val="0"/>
          <w:numId w:val="47"/>
        </w:numPr>
        <w:tabs>
          <w:tab w:val="left" w:pos="284"/>
        </w:tabs>
        <w:jc w:val="both"/>
        <w:rPr>
          <w:rFonts w:ascii="Verdana" w:hAnsi="Verdana"/>
          <w:sz w:val="18"/>
          <w:szCs w:val="18"/>
        </w:rPr>
      </w:pPr>
      <w:r w:rsidRPr="00564FCB">
        <w:rPr>
          <w:rFonts w:ascii="Verdana" w:hAnsi="Verdana"/>
          <w:sz w:val="18"/>
          <w:szCs w:val="18"/>
        </w:rPr>
        <w:t xml:space="preserve">Un requisito cuantitativo: que el coste total de las obras supere determinados porcentajes respecto del valor del inmueble. </w:t>
      </w:r>
    </w:p>
    <w:p w14:paraId="459A8610" w14:textId="77777777" w:rsidR="00030B3F" w:rsidRPr="00564FCB" w:rsidRDefault="00030B3F" w:rsidP="00030B3F">
      <w:pPr>
        <w:tabs>
          <w:tab w:val="left" w:pos="284"/>
        </w:tabs>
        <w:ind w:left="720"/>
        <w:jc w:val="both"/>
        <w:rPr>
          <w:rFonts w:ascii="Verdana" w:hAnsi="Verdana"/>
          <w:sz w:val="18"/>
          <w:szCs w:val="18"/>
        </w:rPr>
      </w:pPr>
    </w:p>
    <w:p w14:paraId="09F12091" w14:textId="77777777" w:rsidR="00564FCB" w:rsidRDefault="00564FCB" w:rsidP="00564FCB">
      <w:pPr>
        <w:tabs>
          <w:tab w:val="left" w:pos="284"/>
        </w:tabs>
        <w:ind w:left="284"/>
        <w:jc w:val="both"/>
        <w:rPr>
          <w:rFonts w:ascii="Verdana" w:hAnsi="Verdana"/>
          <w:sz w:val="18"/>
          <w:szCs w:val="18"/>
        </w:rPr>
      </w:pPr>
      <w:r w:rsidRPr="00564FCB">
        <w:rPr>
          <w:rFonts w:ascii="Verdana" w:hAnsi="Verdana"/>
          <w:sz w:val="18"/>
          <w:szCs w:val="18"/>
        </w:rPr>
        <w:t xml:space="preserve">Tras analizar la documentación técnica y los informes incorporados al expediente, el TEAC concluye que las partidas correspondientes a instalaciones, divisiones interiores, falsos techos, pavimentos, revestimientos y otros trabajos similares </w:t>
      </w:r>
      <w:r w:rsidRPr="00564FCB">
        <w:rPr>
          <w:rFonts w:ascii="Verdana" w:hAnsi="Verdana"/>
          <w:b/>
          <w:bCs/>
          <w:sz w:val="18"/>
          <w:szCs w:val="18"/>
        </w:rPr>
        <w:t>no pueden calificarse como obras estructurales ni análogas</w:t>
      </w:r>
      <w:r w:rsidRPr="00564FCB">
        <w:rPr>
          <w:rFonts w:ascii="Verdana" w:hAnsi="Verdana"/>
          <w:sz w:val="18"/>
          <w:szCs w:val="18"/>
        </w:rPr>
        <w:t xml:space="preserve">. Asimismo, señala que determinadas obras conexas tampoco permiten alcanzar el umbral exigido por la norma. Como resultado, las obras estructurales y análogas no superan el 50% del coste total del proyecto, por lo que no existe rehabilitación a efectos del IVA. </w:t>
      </w:r>
    </w:p>
    <w:p w14:paraId="5C01BEEC" w14:textId="77777777" w:rsidR="00443FF2" w:rsidRPr="00564FCB" w:rsidRDefault="00443FF2" w:rsidP="00564FCB">
      <w:pPr>
        <w:tabs>
          <w:tab w:val="left" w:pos="284"/>
        </w:tabs>
        <w:ind w:left="284"/>
        <w:jc w:val="both"/>
        <w:rPr>
          <w:rFonts w:ascii="Verdana" w:hAnsi="Verdana"/>
          <w:sz w:val="18"/>
          <w:szCs w:val="18"/>
        </w:rPr>
      </w:pPr>
    </w:p>
    <w:p w14:paraId="027B1AF8" w14:textId="2BE620DF" w:rsidR="00564FCB" w:rsidRDefault="00564FCB" w:rsidP="00564FCB">
      <w:pPr>
        <w:tabs>
          <w:tab w:val="left" w:pos="284"/>
        </w:tabs>
        <w:ind w:left="284"/>
        <w:jc w:val="both"/>
        <w:rPr>
          <w:rFonts w:ascii="Verdana" w:hAnsi="Verdana"/>
          <w:sz w:val="18"/>
          <w:szCs w:val="18"/>
        </w:rPr>
      </w:pPr>
      <w:r w:rsidRPr="00564FCB">
        <w:rPr>
          <w:rFonts w:ascii="Verdana" w:hAnsi="Verdana"/>
          <w:sz w:val="18"/>
          <w:szCs w:val="18"/>
        </w:rPr>
        <w:t xml:space="preserve">En consecuencia, la transmisión debe calificarse como una segunda entrega de edificación, </w:t>
      </w:r>
      <w:r w:rsidR="00030B3F" w:rsidRPr="00564FCB">
        <w:rPr>
          <w:rFonts w:ascii="Verdana" w:hAnsi="Verdana"/>
          <w:sz w:val="18"/>
          <w:szCs w:val="18"/>
        </w:rPr>
        <w:t>sujeta,</w:t>
      </w:r>
      <w:r w:rsidRPr="00564FCB">
        <w:rPr>
          <w:rFonts w:ascii="Verdana" w:hAnsi="Verdana"/>
          <w:sz w:val="18"/>
          <w:szCs w:val="18"/>
        </w:rPr>
        <w:t xml:space="preserve"> pero exenta de IVA. </w:t>
      </w:r>
    </w:p>
    <w:p w14:paraId="1432CA17" w14:textId="77777777" w:rsidR="00030B3F" w:rsidRPr="00564FCB" w:rsidRDefault="00030B3F" w:rsidP="00564FCB">
      <w:pPr>
        <w:tabs>
          <w:tab w:val="left" w:pos="284"/>
        </w:tabs>
        <w:ind w:left="284"/>
        <w:jc w:val="both"/>
        <w:rPr>
          <w:rFonts w:ascii="Verdana" w:hAnsi="Verdana"/>
          <w:sz w:val="18"/>
          <w:szCs w:val="18"/>
        </w:rPr>
      </w:pPr>
    </w:p>
    <w:p w14:paraId="47C649BA" w14:textId="77777777" w:rsidR="00564FCB" w:rsidRPr="00564FCB" w:rsidRDefault="00564FCB" w:rsidP="00564FCB">
      <w:pPr>
        <w:tabs>
          <w:tab w:val="left" w:pos="284"/>
        </w:tabs>
        <w:ind w:left="284"/>
        <w:jc w:val="both"/>
        <w:rPr>
          <w:rFonts w:ascii="Verdana" w:hAnsi="Verdana"/>
          <w:b/>
          <w:bCs/>
          <w:sz w:val="18"/>
          <w:szCs w:val="18"/>
        </w:rPr>
      </w:pPr>
      <w:r w:rsidRPr="00564FCB">
        <w:rPr>
          <w:rFonts w:ascii="Verdana" w:hAnsi="Verdana"/>
          <w:b/>
          <w:bCs/>
          <w:sz w:val="18"/>
          <w:szCs w:val="18"/>
        </w:rPr>
        <w:t>La relevancia de la renuncia tácita a la exención</w:t>
      </w:r>
    </w:p>
    <w:p w14:paraId="1D072FCE" w14:textId="77777777" w:rsidR="00564FCB" w:rsidRDefault="00564FCB" w:rsidP="00564FCB">
      <w:pPr>
        <w:tabs>
          <w:tab w:val="left" w:pos="284"/>
        </w:tabs>
        <w:ind w:left="284"/>
        <w:jc w:val="both"/>
        <w:rPr>
          <w:rFonts w:ascii="Verdana" w:hAnsi="Verdana"/>
          <w:sz w:val="18"/>
          <w:szCs w:val="18"/>
        </w:rPr>
      </w:pPr>
      <w:r w:rsidRPr="00564FCB">
        <w:rPr>
          <w:rFonts w:ascii="Verdana" w:hAnsi="Verdana"/>
          <w:sz w:val="18"/>
          <w:szCs w:val="18"/>
        </w:rPr>
        <w:t>Pese a lo anterior, el Tribunal analiza si la operación podía quedar gravada por IVA mediante la renuncia a la exención prevista en el artículo 20.Dos de la Ley del IVA.</w:t>
      </w:r>
    </w:p>
    <w:p w14:paraId="662BEC51" w14:textId="77777777" w:rsidR="00030B3F" w:rsidRPr="00564FCB" w:rsidRDefault="00030B3F" w:rsidP="00564FCB">
      <w:pPr>
        <w:tabs>
          <w:tab w:val="left" w:pos="284"/>
        </w:tabs>
        <w:ind w:left="284"/>
        <w:jc w:val="both"/>
        <w:rPr>
          <w:rFonts w:ascii="Verdana" w:hAnsi="Verdana"/>
          <w:sz w:val="18"/>
          <w:szCs w:val="18"/>
        </w:rPr>
      </w:pPr>
    </w:p>
    <w:p w14:paraId="6584D3F0" w14:textId="77777777" w:rsidR="00030B3F" w:rsidRDefault="00564FCB" w:rsidP="00564FCB">
      <w:pPr>
        <w:tabs>
          <w:tab w:val="left" w:pos="284"/>
        </w:tabs>
        <w:ind w:left="284"/>
        <w:jc w:val="both"/>
        <w:rPr>
          <w:rFonts w:ascii="Verdana" w:hAnsi="Verdana"/>
          <w:sz w:val="18"/>
          <w:szCs w:val="18"/>
        </w:rPr>
      </w:pPr>
      <w:r w:rsidRPr="00564FCB">
        <w:rPr>
          <w:rFonts w:ascii="Verdana" w:hAnsi="Verdana"/>
          <w:sz w:val="18"/>
          <w:szCs w:val="18"/>
        </w:rPr>
        <w:t xml:space="preserve">Apoyándose en la doctrina consolidada del Tribunal Supremo y en resoluciones previas del propio TEAC, concluye que </w:t>
      </w:r>
      <w:r w:rsidRPr="00564FCB">
        <w:rPr>
          <w:rFonts w:ascii="Verdana" w:hAnsi="Verdana"/>
          <w:b/>
          <w:bCs/>
          <w:sz w:val="18"/>
          <w:szCs w:val="18"/>
        </w:rPr>
        <w:t>la renuncia puede producirse de forma tácita</w:t>
      </w:r>
      <w:r w:rsidRPr="00564FCB">
        <w:rPr>
          <w:rFonts w:ascii="Verdana" w:hAnsi="Verdana"/>
          <w:sz w:val="18"/>
          <w:szCs w:val="18"/>
        </w:rPr>
        <w:t xml:space="preserve"> cuando quede acreditada de forma inequívoca la voluntad de las partes de someter la operación al IVA. </w:t>
      </w:r>
    </w:p>
    <w:p w14:paraId="7010D17C" w14:textId="77777777" w:rsidR="00030B3F" w:rsidRDefault="00030B3F" w:rsidP="00564FCB">
      <w:pPr>
        <w:tabs>
          <w:tab w:val="left" w:pos="284"/>
        </w:tabs>
        <w:ind w:left="284"/>
        <w:jc w:val="both"/>
        <w:rPr>
          <w:rFonts w:ascii="Verdana" w:hAnsi="Verdana"/>
          <w:sz w:val="18"/>
          <w:szCs w:val="18"/>
        </w:rPr>
      </w:pPr>
    </w:p>
    <w:p w14:paraId="37C1A40A" w14:textId="33C38D4F" w:rsidR="00564FCB" w:rsidRDefault="00564FCB" w:rsidP="00564FCB">
      <w:pPr>
        <w:tabs>
          <w:tab w:val="left" w:pos="284"/>
        </w:tabs>
        <w:ind w:left="284"/>
        <w:jc w:val="both"/>
        <w:rPr>
          <w:rFonts w:ascii="Verdana" w:hAnsi="Verdana"/>
          <w:sz w:val="18"/>
          <w:szCs w:val="18"/>
        </w:rPr>
      </w:pPr>
      <w:r w:rsidRPr="00564FCB">
        <w:rPr>
          <w:rFonts w:ascii="Verdana" w:hAnsi="Verdana"/>
          <w:sz w:val="18"/>
          <w:szCs w:val="18"/>
        </w:rPr>
        <w:t xml:space="preserve">No resulta imprescindible una manifestación formal y expresa de renuncia si de la escritura pública y de la conducta de las partes se desprende claramente dicha intención. </w:t>
      </w:r>
    </w:p>
    <w:p w14:paraId="79320565" w14:textId="77777777" w:rsidR="00030B3F" w:rsidRPr="00564FCB" w:rsidRDefault="00030B3F" w:rsidP="00564FCB">
      <w:pPr>
        <w:tabs>
          <w:tab w:val="left" w:pos="284"/>
        </w:tabs>
        <w:ind w:left="284"/>
        <w:jc w:val="both"/>
        <w:rPr>
          <w:rFonts w:ascii="Verdana" w:hAnsi="Verdana"/>
          <w:sz w:val="18"/>
          <w:szCs w:val="18"/>
        </w:rPr>
      </w:pPr>
    </w:p>
    <w:p w14:paraId="1ABEE1EF" w14:textId="77777777" w:rsidR="00564FCB" w:rsidRPr="00564FCB" w:rsidRDefault="00564FCB" w:rsidP="00564FCB">
      <w:pPr>
        <w:tabs>
          <w:tab w:val="left" w:pos="284"/>
        </w:tabs>
        <w:ind w:left="284"/>
        <w:jc w:val="both"/>
        <w:rPr>
          <w:rFonts w:ascii="Verdana" w:hAnsi="Verdana"/>
          <w:sz w:val="18"/>
          <w:szCs w:val="18"/>
        </w:rPr>
      </w:pPr>
      <w:r w:rsidRPr="00564FCB">
        <w:rPr>
          <w:rFonts w:ascii="Verdana" w:hAnsi="Verdana"/>
          <w:sz w:val="18"/>
          <w:szCs w:val="18"/>
        </w:rPr>
        <w:t>En el caso analizado concurrían circunstancias determinantes:</w:t>
      </w:r>
    </w:p>
    <w:p w14:paraId="27EE608C" w14:textId="77777777" w:rsidR="00564FCB" w:rsidRPr="00564FCB" w:rsidRDefault="00564FCB" w:rsidP="00ED5853">
      <w:pPr>
        <w:numPr>
          <w:ilvl w:val="0"/>
          <w:numId w:val="48"/>
        </w:numPr>
        <w:tabs>
          <w:tab w:val="left" w:pos="284"/>
        </w:tabs>
        <w:jc w:val="both"/>
        <w:rPr>
          <w:rFonts w:ascii="Verdana" w:hAnsi="Verdana"/>
          <w:sz w:val="18"/>
          <w:szCs w:val="18"/>
        </w:rPr>
      </w:pPr>
      <w:r w:rsidRPr="00564FCB">
        <w:rPr>
          <w:rFonts w:ascii="Verdana" w:hAnsi="Verdana"/>
          <w:sz w:val="18"/>
          <w:szCs w:val="18"/>
        </w:rPr>
        <w:t xml:space="preserve">La escritura de compraventa reflejaba expresamente que la operación se consideraba sujeta a IVA. </w:t>
      </w:r>
    </w:p>
    <w:p w14:paraId="7EFAA2B6" w14:textId="77777777" w:rsidR="00564FCB" w:rsidRPr="00564FCB" w:rsidRDefault="00564FCB" w:rsidP="00ED5853">
      <w:pPr>
        <w:numPr>
          <w:ilvl w:val="0"/>
          <w:numId w:val="48"/>
        </w:numPr>
        <w:tabs>
          <w:tab w:val="left" w:pos="284"/>
        </w:tabs>
        <w:jc w:val="both"/>
        <w:rPr>
          <w:rFonts w:ascii="Verdana" w:hAnsi="Verdana"/>
          <w:sz w:val="18"/>
          <w:szCs w:val="18"/>
        </w:rPr>
      </w:pPr>
      <w:r w:rsidRPr="00564FCB">
        <w:rPr>
          <w:rFonts w:ascii="Verdana" w:hAnsi="Verdana"/>
          <w:sz w:val="18"/>
          <w:szCs w:val="18"/>
        </w:rPr>
        <w:t xml:space="preserve">El vendedor repercutió la cuota correspondiente. </w:t>
      </w:r>
    </w:p>
    <w:p w14:paraId="70F1DACD" w14:textId="77777777" w:rsidR="00030B3F" w:rsidRDefault="00564FCB" w:rsidP="00ED5853">
      <w:pPr>
        <w:numPr>
          <w:ilvl w:val="0"/>
          <w:numId w:val="48"/>
        </w:numPr>
        <w:tabs>
          <w:tab w:val="left" w:pos="284"/>
        </w:tabs>
        <w:jc w:val="both"/>
        <w:rPr>
          <w:rFonts w:ascii="Verdana" w:hAnsi="Verdana"/>
          <w:sz w:val="18"/>
          <w:szCs w:val="18"/>
        </w:rPr>
      </w:pPr>
      <w:r w:rsidRPr="00564FCB">
        <w:rPr>
          <w:rFonts w:ascii="Verdana" w:hAnsi="Verdana"/>
          <w:sz w:val="18"/>
          <w:szCs w:val="18"/>
        </w:rPr>
        <w:t>El adquirente tenía la condición de empresario con derecho a deducción del impuesto soportado.</w:t>
      </w:r>
    </w:p>
    <w:p w14:paraId="704127BC" w14:textId="0F05EA15" w:rsidR="00564FCB" w:rsidRPr="00564FCB" w:rsidRDefault="00564FCB" w:rsidP="00030B3F">
      <w:pPr>
        <w:tabs>
          <w:tab w:val="left" w:pos="284"/>
        </w:tabs>
        <w:ind w:left="720"/>
        <w:jc w:val="both"/>
        <w:rPr>
          <w:rFonts w:ascii="Verdana" w:hAnsi="Verdana"/>
          <w:sz w:val="18"/>
          <w:szCs w:val="18"/>
        </w:rPr>
      </w:pPr>
      <w:r w:rsidRPr="00564FCB">
        <w:rPr>
          <w:rFonts w:ascii="Verdana" w:hAnsi="Verdana"/>
          <w:sz w:val="18"/>
          <w:szCs w:val="18"/>
        </w:rPr>
        <w:t xml:space="preserve"> </w:t>
      </w:r>
    </w:p>
    <w:p w14:paraId="0E9E4ED0" w14:textId="77777777" w:rsidR="00564FCB" w:rsidRDefault="00564FCB" w:rsidP="00564FCB">
      <w:pPr>
        <w:tabs>
          <w:tab w:val="left" w:pos="284"/>
        </w:tabs>
        <w:ind w:left="284"/>
        <w:jc w:val="both"/>
        <w:rPr>
          <w:rFonts w:ascii="Verdana" w:hAnsi="Verdana"/>
          <w:sz w:val="18"/>
          <w:szCs w:val="18"/>
        </w:rPr>
      </w:pPr>
      <w:r w:rsidRPr="00564FCB">
        <w:rPr>
          <w:rFonts w:ascii="Verdana" w:hAnsi="Verdana"/>
          <w:sz w:val="18"/>
          <w:szCs w:val="18"/>
        </w:rPr>
        <w:lastRenderedPageBreak/>
        <w:t xml:space="preserve">Para el TEAC, estos elementos </w:t>
      </w:r>
      <w:r w:rsidRPr="00564FCB">
        <w:rPr>
          <w:rFonts w:ascii="Verdana" w:hAnsi="Verdana"/>
          <w:b/>
          <w:bCs/>
          <w:sz w:val="18"/>
          <w:szCs w:val="18"/>
        </w:rPr>
        <w:t>evidencian una renuncia tácita válida a la exención</w:t>
      </w:r>
      <w:r w:rsidRPr="00564FCB">
        <w:rPr>
          <w:rFonts w:ascii="Verdana" w:hAnsi="Verdana"/>
          <w:sz w:val="18"/>
          <w:szCs w:val="18"/>
        </w:rPr>
        <w:t xml:space="preserve">, incluso aunque las partes hubieran fundamentado inicialmente la sujeción al IVA en la existencia de una supuesta rehabilitación que finalmente no se acreditó. </w:t>
      </w:r>
    </w:p>
    <w:p w14:paraId="5987DCA9" w14:textId="77777777" w:rsidR="00030B3F" w:rsidRPr="00564FCB" w:rsidRDefault="00030B3F" w:rsidP="00564FCB">
      <w:pPr>
        <w:tabs>
          <w:tab w:val="left" w:pos="284"/>
        </w:tabs>
        <w:ind w:left="284"/>
        <w:jc w:val="both"/>
        <w:rPr>
          <w:rFonts w:ascii="Verdana" w:hAnsi="Verdana"/>
          <w:sz w:val="18"/>
          <w:szCs w:val="18"/>
        </w:rPr>
      </w:pPr>
    </w:p>
    <w:p w14:paraId="6A422A3F" w14:textId="77777777" w:rsidR="00564FCB" w:rsidRPr="00564FCB" w:rsidRDefault="00564FCB" w:rsidP="00564FCB">
      <w:pPr>
        <w:tabs>
          <w:tab w:val="left" w:pos="284"/>
        </w:tabs>
        <w:ind w:left="284"/>
        <w:jc w:val="both"/>
        <w:rPr>
          <w:rFonts w:ascii="Verdana" w:hAnsi="Verdana"/>
          <w:b/>
          <w:bCs/>
          <w:sz w:val="18"/>
          <w:szCs w:val="18"/>
        </w:rPr>
      </w:pPr>
      <w:r w:rsidRPr="00564FCB">
        <w:rPr>
          <w:rFonts w:ascii="Verdana" w:hAnsi="Verdana"/>
          <w:b/>
          <w:bCs/>
          <w:sz w:val="18"/>
          <w:szCs w:val="18"/>
        </w:rPr>
        <w:t>Consecuencias prácticas</w:t>
      </w:r>
    </w:p>
    <w:p w14:paraId="075BA4EE" w14:textId="77777777" w:rsidR="00564FCB" w:rsidRPr="00564FCB" w:rsidRDefault="00564FCB" w:rsidP="00564FCB">
      <w:pPr>
        <w:tabs>
          <w:tab w:val="left" w:pos="284"/>
        </w:tabs>
        <w:ind w:left="284"/>
        <w:jc w:val="both"/>
        <w:rPr>
          <w:rFonts w:ascii="Verdana" w:hAnsi="Verdana"/>
          <w:sz w:val="18"/>
          <w:szCs w:val="18"/>
        </w:rPr>
      </w:pPr>
      <w:r w:rsidRPr="00564FCB">
        <w:rPr>
          <w:rFonts w:ascii="Verdana" w:hAnsi="Verdana"/>
          <w:sz w:val="18"/>
          <w:szCs w:val="18"/>
        </w:rPr>
        <w:t xml:space="preserve">La resolución concluye que la operación quedó efectivamente </w:t>
      </w:r>
      <w:r w:rsidRPr="00564FCB">
        <w:rPr>
          <w:rFonts w:ascii="Verdana" w:hAnsi="Verdana"/>
          <w:b/>
          <w:bCs/>
          <w:sz w:val="18"/>
          <w:szCs w:val="18"/>
        </w:rPr>
        <w:t>sujeta y no exenta de IVA por aplicación de la renuncia tácita a la exención</w:t>
      </w:r>
      <w:r w:rsidRPr="00564FCB">
        <w:rPr>
          <w:rFonts w:ascii="Verdana" w:hAnsi="Verdana"/>
          <w:sz w:val="18"/>
          <w:szCs w:val="18"/>
        </w:rPr>
        <w:t xml:space="preserve">. Por ello, no procedía exigir TPO por el ITPAJD, anulándose la liquidación girada por la Administración autonómica. </w:t>
      </w:r>
    </w:p>
    <w:p w14:paraId="5FD9830B" w14:textId="77777777" w:rsidR="00030B3F" w:rsidRDefault="00030B3F" w:rsidP="00564FCB">
      <w:pPr>
        <w:tabs>
          <w:tab w:val="left" w:pos="284"/>
        </w:tabs>
        <w:ind w:left="284"/>
        <w:jc w:val="both"/>
        <w:rPr>
          <w:rFonts w:ascii="Verdana" w:hAnsi="Verdana"/>
          <w:b/>
          <w:bCs/>
          <w:sz w:val="18"/>
          <w:szCs w:val="18"/>
        </w:rPr>
      </w:pPr>
    </w:p>
    <w:p w14:paraId="61D30378" w14:textId="4C291A0F" w:rsidR="00564FCB" w:rsidRPr="00564FCB" w:rsidRDefault="00564FCB" w:rsidP="00564FCB">
      <w:pPr>
        <w:tabs>
          <w:tab w:val="left" w:pos="284"/>
        </w:tabs>
        <w:ind w:left="284"/>
        <w:jc w:val="both"/>
        <w:rPr>
          <w:rFonts w:ascii="Verdana" w:hAnsi="Verdana"/>
          <w:b/>
          <w:bCs/>
          <w:sz w:val="18"/>
          <w:szCs w:val="18"/>
        </w:rPr>
      </w:pPr>
      <w:r w:rsidRPr="00564FCB">
        <w:rPr>
          <w:rFonts w:ascii="Verdana" w:hAnsi="Verdana"/>
          <w:b/>
          <w:bCs/>
          <w:sz w:val="18"/>
          <w:szCs w:val="18"/>
        </w:rPr>
        <w:t>Conclusión</w:t>
      </w:r>
    </w:p>
    <w:p w14:paraId="7738F798" w14:textId="77777777" w:rsidR="00564FCB" w:rsidRPr="00564FCB" w:rsidRDefault="00564FCB" w:rsidP="00564FCB">
      <w:pPr>
        <w:tabs>
          <w:tab w:val="left" w:pos="284"/>
        </w:tabs>
        <w:ind w:left="284"/>
        <w:jc w:val="both"/>
        <w:rPr>
          <w:rFonts w:ascii="Verdana" w:hAnsi="Verdana"/>
          <w:sz w:val="18"/>
          <w:szCs w:val="18"/>
        </w:rPr>
      </w:pPr>
      <w:r w:rsidRPr="00564FCB">
        <w:rPr>
          <w:rFonts w:ascii="Verdana" w:hAnsi="Verdana"/>
          <w:sz w:val="18"/>
          <w:szCs w:val="18"/>
        </w:rPr>
        <w:t xml:space="preserve">El TEAC refuerza una interpretación antiformalista de la renuncia a la exención en las operaciones inmobiliarias sujetas a IVA. La voluntad inequívoca de las partes de tributar por este impuesto, acreditada mediante la repercusión del IVA y su reflejo en la escritura pública, puede prevalecer incluso cuando posteriormente se determine que la transmisión era una segunda entrega de edificación exenta. Esta doctrina aporta seguridad jurídica y evita que defectos meramente formales alteren la tributación realmente pretendida por las partes. </w:t>
      </w:r>
    </w:p>
    <w:p w14:paraId="6DB316E0" w14:textId="77777777" w:rsidR="00564FCB" w:rsidRPr="00AE3E73" w:rsidRDefault="00564FCB" w:rsidP="00AE3E73">
      <w:pPr>
        <w:tabs>
          <w:tab w:val="left" w:pos="284"/>
        </w:tabs>
        <w:ind w:left="284"/>
        <w:jc w:val="both"/>
        <w:rPr>
          <w:rFonts w:ascii="Verdana" w:hAnsi="Verdana"/>
          <w:sz w:val="18"/>
          <w:szCs w:val="18"/>
        </w:rPr>
      </w:pPr>
    </w:p>
    <w:p w14:paraId="65C517BE" w14:textId="02FFA992" w:rsidR="00CF23B0" w:rsidRDefault="00CF23B0" w:rsidP="008051C8">
      <w:pPr>
        <w:tabs>
          <w:tab w:val="left" w:pos="284"/>
        </w:tabs>
        <w:ind w:left="284"/>
        <w:jc w:val="both"/>
        <w:rPr>
          <w:rFonts w:ascii="Verdana" w:hAnsi="Verdana"/>
          <w:sz w:val="18"/>
          <w:szCs w:val="18"/>
        </w:rPr>
      </w:pPr>
      <w:r w:rsidRPr="0046528A">
        <w:rPr>
          <w:rFonts w:ascii="Verdana" w:hAnsi="Verdana"/>
          <w:sz w:val="18"/>
          <w:szCs w:val="18"/>
        </w:rPr>
        <w:br w:type="page"/>
      </w:r>
    </w:p>
    <w:p w14:paraId="60EEF7E3" w14:textId="77777777" w:rsidR="00C53B76" w:rsidRPr="0046528A" w:rsidRDefault="00C53B76" w:rsidP="008051C8">
      <w:pPr>
        <w:tabs>
          <w:tab w:val="left" w:pos="284"/>
        </w:tabs>
        <w:ind w:left="284"/>
        <w:jc w:val="both"/>
        <w:rPr>
          <w:rFonts w:ascii="Verdana" w:hAnsi="Verdana"/>
          <w:sz w:val="18"/>
          <w:szCs w:val="18"/>
        </w:rPr>
      </w:pPr>
    </w:p>
    <w:p w14:paraId="134AF408" w14:textId="77777777" w:rsidR="0083359A" w:rsidRPr="00DA2567" w:rsidRDefault="0083359A" w:rsidP="00DA2567">
      <w:pPr>
        <w:tabs>
          <w:tab w:val="left" w:pos="284"/>
        </w:tabs>
        <w:ind w:left="284"/>
        <w:jc w:val="both"/>
        <w:rPr>
          <w:rFonts w:ascii="Verdana" w:hAnsi="Verdana"/>
          <w:sz w:val="18"/>
          <w:szCs w:val="18"/>
        </w:rPr>
      </w:pPr>
    </w:p>
    <w:p w14:paraId="33327373" w14:textId="7E276CFF" w:rsidR="00382E0C" w:rsidRDefault="00382E0C" w:rsidP="001B66FC">
      <w:pPr>
        <w:tabs>
          <w:tab w:val="left" w:pos="0"/>
        </w:tabs>
        <w:rPr>
          <w:rFonts w:ascii="Verdana" w:hAnsi="Verdana"/>
          <w:b/>
          <w:bCs/>
          <w:color w:val="800000"/>
          <w:sz w:val="20"/>
          <w:szCs w:val="20"/>
        </w:rPr>
      </w:pPr>
      <w:r w:rsidRPr="009E2D5D">
        <w:rPr>
          <w:rFonts w:ascii="Verdana" w:hAnsi="Verdana"/>
          <w:b/>
          <w:bCs/>
          <w:color w:val="800000"/>
          <w:sz w:val="20"/>
          <w:szCs w:val="20"/>
        </w:rPr>
        <w:t xml:space="preserve">DISPOSICIONES PUBLICADAS DURANTE </w:t>
      </w:r>
      <w:r w:rsidR="001C50EA">
        <w:rPr>
          <w:rFonts w:ascii="Verdana" w:hAnsi="Verdana"/>
          <w:b/>
          <w:bCs/>
          <w:color w:val="800000"/>
          <w:sz w:val="20"/>
          <w:szCs w:val="20"/>
        </w:rPr>
        <w:t>LOS</w:t>
      </w:r>
      <w:r w:rsidR="006021FF">
        <w:rPr>
          <w:rFonts w:ascii="Verdana" w:hAnsi="Verdana"/>
          <w:b/>
          <w:bCs/>
          <w:color w:val="800000"/>
          <w:sz w:val="20"/>
          <w:szCs w:val="20"/>
        </w:rPr>
        <w:t xml:space="preserve"> MES</w:t>
      </w:r>
      <w:r w:rsidR="001C50EA">
        <w:rPr>
          <w:rFonts w:ascii="Verdana" w:hAnsi="Verdana"/>
          <w:b/>
          <w:bCs/>
          <w:color w:val="800000"/>
          <w:sz w:val="20"/>
          <w:szCs w:val="20"/>
        </w:rPr>
        <w:t xml:space="preserve">ES </w:t>
      </w:r>
      <w:r w:rsidR="006021FF">
        <w:rPr>
          <w:rFonts w:ascii="Verdana" w:hAnsi="Verdana"/>
          <w:b/>
          <w:bCs/>
          <w:color w:val="800000"/>
          <w:sz w:val="20"/>
          <w:szCs w:val="20"/>
        </w:rPr>
        <w:t>DE</w:t>
      </w:r>
      <w:r w:rsidRPr="009E2D5D">
        <w:rPr>
          <w:rFonts w:ascii="Verdana" w:hAnsi="Verdana"/>
          <w:b/>
          <w:bCs/>
          <w:color w:val="800000"/>
          <w:sz w:val="20"/>
          <w:szCs w:val="20"/>
        </w:rPr>
        <w:t xml:space="preserve"> </w:t>
      </w:r>
      <w:r w:rsidR="001C50EA">
        <w:rPr>
          <w:rFonts w:ascii="Verdana" w:hAnsi="Verdana"/>
          <w:b/>
          <w:bCs/>
          <w:color w:val="800000"/>
          <w:sz w:val="20"/>
          <w:szCs w:val="20"/>
        </w:rPr>
        <w:t xml:space="preserve">MAYO Y </w:t>
      </w:r>
      <w:r w:rsidRPr="009E2D5D">
        <w:rPr>
          <w:rFonts w:ascii="Verdana" w:hAnsi="Verdana"/>
          <w:b/>
          <w:bCs/>
          <w:color w:val="800000"/>
          <w:sz w:val="20"/>
          <w:szCs w:val="20"/>
        </w:rPr>
        <w:t xml:space="preserve">JUNIO DE </w:t>
      </w:r>
      <w:r w:rsidR="000D7657">
        <w:rPr>
          <w:rFonts w:ascii="Verdana" w:hAnsi="Verdana"/>
          <w:b/>
          <w:bCs/>
          <w:color w:val="800000"/>
          <w:sz w:val="20"/>
          <w:szCs w:val="20"/>
        </w:rPr>
        <w:t>202</w:t>
      </w:r>
      <w:r w:rsidR="00A70466">
        <w:rPr>
          <w:rFonts w:ascii="Verdana" w:hAnsi="Verdana"/>
          <w:b/>
          <w:bCs/>
          <w:color w:val="800000"/>
          <w:sz w:val="20"/>
          <w:szCs w:val="20"/>
        </w:rPr>
        <w:t>6</w:t>
      </w:r>
    </w:p>
    <w:p w14:paraId="3183DB32" w14:textId="77777777" w:rsidR="007D42B1" w:rsidRDefault="007D42B1" w:rsidP="005F0534">
      <w:pPr>
        <w:tabs>
          <w:tab w:val="left" w:pos="0"/>
        </w:tabs>
        <w:jc w:val="both"/>
        <w:rPr>
          <w:rFonts w:ascii="Verdana" w:hAnsi="Verdana"/>
          <w:b/>
          <w:bCs/>
          <w:color w:val="800000"/>
          <w:sz w:val="20"/>
          <w:szCs w:val="20"/>
        </w:rPr>
      </w:pPr>
    </w:p>
    <w:p w14:paraId="2B644612" w14:textId="77777777" w:rsidR="00BF11E4" w:rsidRPr="00CC6C0B" w:rsidRDefault="00BF11E4" w:rsidP="00BF11E4">
      <w:pPr>
        <w:jc w:val="both"/>
        <w:rPr>
          <w:rFonts w:ascii="Verdana" w:hAnsi="Verdana"/>
          <w:b/>
          <w:bCs/>
          <w:color w:val="800000"/>
          <w:sz w:val="18"/>
          <w:szCs w:val="18"/>
        </w:rPr>
      </w:pPr>
      <w:r w:rsidRPr="00CC6C0B">
        <w:rPr>
          <w:rFonts w:ascii="Verdana" w:hAnsi="Verdana"/>
          <w:b/>
          <w:bCs/>
          <w:color w:val="800000"/>
          <w:sz w:val="18"/>
          <w:szCs w:val="18"/>
        </w:rPr>
        <w:t>Medidas urgentes</w:t>
      </w:r>
    </w:p>
    <w:p w14:paraId="40E0D8BC" w14:textId="77777777" w:rsidR="00BF11E4" w:rsidRPr="00CC6C0B" w:rsidRDefault="00BF11E4" w:rsidP="00BF11E4">
      <w:pPr>
        <w:jc w:val="both"/>
        <w:rPr>
          <w:rFonts w:ascii="Verdana" w:hAnsi="Verdana"/>
          <w:iCs/>
          <w:color w:val="333333"/>
          <w:sz w:val="18"/>
          <w:szCs w:val="18"/>
          <w:shd w:val="clear" w:color="auto" w:fill="FFFFFF"/>
        </w:rPr>
      </w:pPr>
      <w:r w:rsidRPr="00CC6C0B">
        <w:rPr>
          <w:rFonts w:ascii="Verdana" w:hAnsi="Verdana"/>
          <w:iCs/>
          <w:color w:val="333333"/>
          <w:sz w:val="18"/>
          <w:szCs w:val="18"/>
          <w:shd w:val="clear" w:color="auto" w:fill="FFFFFF"/>
        </w:rPr>
        <w:t>Real Decreto-ley 12/2026, de 26 de mayo, por el que se declaran diversas iniciativas y programas como acontecimientos de excepcional interés público.</w:t>
      </w:r>
    </w:p>
    <w:p w14:paraId="0CE786FB" w14:textId="77777777" w:rsidR="00BF11E4" w:rsidRPr="00CC6C0B" w:rsidRDefault="00BF11E4" w:rsidP="00BF11E4">
      <w:pPr>
        <w:jc w:val="both"/>
        <w:rPr>
          <w:rFonts w:ascii="Verdana" w:hAnsi="Verdana"/>
          <w:i/>
          <w:color w:val="333333"/>
          <w:sz w:val="18"/>
          <w:szCs w:val="18"/>
          <w:shd w:val="clear" w:color="auto" w:fill="FFFFFF"/>
        </w:rPr>
      </w:pPr>
      <w:r w:rsidRPr="00CC6C0B">
        <w:rPr>
          <w:rFonts w:ascii="Verdana" w:hAnsi="Verdana"/>
          <w:i/>
          <w:color w:val="333333"/>
          <w:sz w:val="18"/>
          <w:szCs w:val="18"/>
          <w:shd w:val="clear" w:color="auto" w:fill="FFFFFF"/>
        </w:rPr>
        <w:t xml:space="preserve">Jefatura del Estado. B.O.E. núm. </w:t>
      </w:r>
      <w:r>
        <w:rPr>
          <w:rFonts w:ascii="Verdana" w:hAnsi="Verdana"/>
          <w:i/>
          <w:color w:val="333333"/>
          <w:sz w:val="18"/>
          <w:szCs w:val="18"/>
          <w:shd w:val="clear" w:color="auto" w:fill="FFFFFF"/>
        </w:rPr>
        <w:t>129 de 27 de mayo de 2026.</w:t>
      </w:r>
    </w:p>
    <w:p w14:paraId="29320721" w14:textId="77777777" w:rsidR="00BF11E4" w:rsidRDefault="00BF11E4" w:rsidP="00BF11E4">
      <w:pPr>
        <w:jc w:val="both"/>
        <w:rPr>
          <w:rFonts w:ascii="Verdana" w:hAnsi="Verdana"/>
          <w:b/>
          <w:bCs/>
          <w:color w:val="800000"/>
          <w:sz w:val="18"/>
          <w:szCs w:val="18"/>
          <w:lang w:val="es-ES_tradnl"/>
        </w:rPr>
      </w:pPr>
    </w:p>
    <w:p w14:paraId="7F483C73" w14:textId="77777777" w:rsidR="00BF11E4" w:rsidRPr="00A70466" w:rsidRDefault="00BF11E4" w:rsidP="00BF11E4">
      <w:pPr>
        <w:jc w:val="both"/>
        <w:rPr>
          <w:rFonts w:ascii="Verdana" w:hAnsi="Verdana"/>
          <w:b/>
          <w:bCs/>
          <w:color w:val="800000"/>
          <w:sz w:val="18"/>
          <w:szCs w:val="18"/>
          <w:lang w:val="es-ES_tradnl"/>
        </w:rPr>
      </w:pPr>
      <w:r w:rsidRPr="00A70466">
        <w:rPr>
          <w:rFonts w:ascii="Verdana" w:hAnsi="Verdana"/>
          <w:b/>
          <w:bCs/>
          <w:color w:val="800000"/>
          <w:sz w:val="18"/>
          <w:szCs w:val="18"/>
          <w:lang w:val="es-ES_tradnl"/>
        </w:rPr>
        <w:t>Registro Mercantil. Modelos de cuentas anuales</w:t>
      </w:r>
    </w:p>
    <w:p w14:paraId="11440237" w14:textId="77777777" w:rsidR="00BF11E4" w:rsidRDefault="00BF11E4" w:rsidP="00BF11E4">
      <w:pPr>
        <w:jc w:val="both"/>
        <w:rPr>
          <w:rFonts w:ascii="Verdana" w:hAnsi="Verdana"/>
          <w:iCs/>
          <w:color w:val="333333"/>
          <w:sz w:val="18"/>
          <w:szCs w:val="18"/>
          <w:shd w:val="clear" w:color="auto" w:fill="FFFFFF"/>
        </w:rPr>
      </w:pPr>
      <w:r w:rsidRPr="00A70466">
        <w:rPr>
          <w:rFonts w:ascii="Verdana" w:hAnsi="Verdana"/>
          <w:iCs/>
          <w:color w:val="333333"/>
          <w:sz w:val="18"/>
          <w:szCs w:val="18"/>
          <w:shd w:val="clear" w:color="auto" w:fill="FFFFFF"/>
        </w:rPr>
        <w:t>Resolución de 19 de mayo de 2026, de la Dirección General de Seguridad Jurídica y Fe Pública, referida a los modelos para la presentación en el Registro Mercantil de las cuentas anuales de los sujetos obligados a su publicación.</w:t>
      </w:r>
    </w:p>
    <w:p w14:paraId="7915A3F6" w14:textId="77777777" w:rsidR="00BF11E4" w:rsidRDefault="00BF11E4" w:rsidP="00BF11E4">
      <w:pPr>
        <w:jc w:val="both"/>
        <w:rPr>
          <w:rFonts w:ascii="Verdana" w:hAnsi="Verdana"/>
          <w:i/>
          <w:color w:val="333333"/>
          <w:sz w:val="18"/>
          <w:szCs w:val="18"/>
          <w:shd w:val="clear" w:color="auto" w:fill="FFFFFF"/>
        </w:rPr>
      </w:pPr>
      <w:r w:rsidRPr="00A70466">
        <w:rPr>
          <w:rFonts w:ascii="Verdana" w:hAnsi="Verdana"/>
          <w:i/>
          <w:color w:val="333333"/>
          <w:sz w:val="18"/>
          <w:szCs w:val="18"/>
          <w:shd w:val="clear" w:color="auto" w:fill="FFFFFF"/>
        </w:rPr>
        <w:t>Ministerio de la Presidencia, Justicia y Relaciones con las Cortes. B</w:t>
      </w:r>
      <w:r>
        <w:rPr>
          <w:rFonts w:ascii="Verdana" w:hAnsi="Verdana"/>
          <w:i/>
          <w:color w:val="333333"/>
          <w:sz w:val="18"/>
          <w:szCs w:val="18"/>
          <w:shd w:val="clear" w:color="auto" w:fill="FFFFFF"/>
        </w:rPr>
        <w:t>.</w:t>
      </w:r>
      <w:r w:rsidRPr="00A70466">
        <w:rPr>
          <w:rFonts w:ascii="Verdana" w:hAnsi="Verdana"/>
          <w:i/>
          <w:color w:val="333333"/>
          <w:sz w:val="18"/>
          <w:szCs w:val="18"/>
          <w:shd w:val="clear" w:color="auto" w:fill="FFFFFF"/>
        </w:rPr>
        <w:t>O.E. núm.131 de 2</w:t>
      </w:r>
      <w:r>
        <w:rPr>
          <w:rFonts w:ascii="Verdana" w:hAnsi="Verdana"/>
          <w:i/>
          <w:color w:val="333333"/>
          <w:sz w:val="18"/>
          <w:szCs w:val="18"/>
          <w:shd w:val="clear" w:color="auto" w:fill="FFFFFF"/>
        </w:rPr>
        <w:t>9</w:t>
      </w:r>
      <w:r w:rsidRPr="00A70466">
        <w:rPr>
          <w:rFonts w:ascii="Verdana" w:hAnsi="Verdana"/>
          <w:i/>
          <w:color w:val="333333"/>
          <w:sz w:val="18"/>
          <w:szCs w:val="18"/>
          <w:shd w:val="clear" w:color="auto" w:fill="FFFFFF"/>
        </w:rPr>
        <w:t xml:space="preserve"> de mayo de 2026.</w:t>
      </w:r>
    </w:p>
    <w:p w14:paraId="4E40061C" w14:textId="77777777" w:rsidR="00BF11E4" w:rsidRDefault="00BF11E4" w:rsidP="00BF11E4">
      <w:pPr>
        <w:jc w:val="both"/>
        <w:rPr>
          <w:rFonts w:ascii="Verdana" w:hAnsi="Verdana"/>
          <w:i/>
          <w:color w:val="333333"/>
          <w:sz w:val="18"/>
          <w:szCs w:val="18"/>
          <w:shd w:val="clear" w:color="auto" w:fill="FFFFFF"/>
        </w:rPr>
      </w:pPr>
    </w:p>
    <w:p w14:paraId="09372FD3" w14:textId="77777777" w:rsidR="00BF11E4" w:rsidRPr="000F6641" w:rsidRDefault="00BF11E4" w:rsidP="00BF11E4">
      <w:pPr>
        <w:jc w:val="both"/>
        <w:rPr>
          <w:rFonts w:ascii="Verdana" w:hAnsi="Verdana"/>
          <w:b/>
          <w:bCs/>
          <w:color w:val="800000"/>
          <w:sz w:val="18"/>
          <w:szCs w:val="18"/>
          <w:lang w:val="es-ES_tradnl"/>
        </w:rPr>
      </w:pPr>
      <w:r w:rsidRPr="000F6641">
        <w:rPr>
          <w:rFonts w:ascii="Verdana" w:hAnsi="Verdana"/>
          <w:b/>
          <w:bCs/>
          <w:color w:val="800000"/>
          <w:sz w:val="18"/>
          <w:szCs w:val="18"/>
          <w:lang w:val="es-ES_tradnl"/>
        </w:rPr>
        <w:t>Impuestos</w:t>
      </w:r>
      <w:r>
        <w:rPr>
          <w:rFonts w:ascii="Verdana" w:hAnsi="Verdana"/>
          <w:b/>
          <w:bCs/>
          <w:color w:val="800000"/>
          <w:sz w:val="18"/>
          <w:szCs w:val="18"/>
          <w:lang w:val="es-ES_tradnl"/>
        </w:rPr>
        <w:t>.</w:t>
      </w:r>
      <w:r w:rsidRPr="00831E86">
        <w:rPr>
          <w:rFonts w:ascii="Verdana" w:hAnsi="Verdana"/>
          <w:iCs/>
          <w:color w:val="333333"/>
          <w:sz w:val="18"/>
          <w:szCs w:val="18"/>
          <w:shd w:val="clear" w:color="auto" w:fill="FFFFFF"/>
        </w:rPr>
        <w:t xml:space="preserve"> </w:t>
      </w:r>
      <w:r>
        <w:rPr>
          <w:rFonts w:ascii="Verdana" w:hAnsi="Verdana"/>
          <w:b/>
          <w:bCs/>
          <w:iCs/>
          <w:color w:val="800000"/>
          <w:sz w:val="18"/>
          <w:szCs w:val="18"/>
        </w:rPr>
        <w:t>M</w:t>
      </w:r>
      <w:r w:rsidRPr="00831E86">
        <w:rPr>
          <w:rFonts w:ascii="Verdana" w:hAnsi="Verdana"/>
          <w:b/>
          <w:bCs/>
          <w:iCs/>
          <w:color w:val="800000"/>
          <w:sz w:val="18"/>
          <w:szCs w:val="18"/>
        </w:rPr>
        <w:t>odelos de declaración del Impuesto sobre Sociedades y del Impuesto sobre la Renta de no Residentes</w:t>
      </w:r>
      <w:r>
        <w:rPr>
          <w:rFonts w:ascii="Verdana" w:hAnsi="Verdana"/>
          <w:b/>
          <w:bCs/>
          <w:color w:val="800000"/>
          <w:sz w:val="18"/>
          <w:szCs w:val="18"/>
          <w:lang w:val="es-ES_tradnl"/>
        </w:rPr>
        <w:t xml:space="preserve"> </w:t>
      </w:r>
    </w:p>
    <w:p w14:paraId="2532685A" w14:textId="77777777" w:rsidR="00BF11E4" w:rsidRPr="000F6641" w:rsidRDefault="00BF11E4" w:rsidP="00BF11E4">
      <w:pPr>
        <w:jc w:val="both"/>
        <w:rPr>
          <w:rFonts w:ascii="Verdana" w:hAnsi="Verdana"/>
          <w:iCs/>
          <w:color w:val="333333"/>
          <w:sz w:val="18"/>
          <w:szCs w:val="18"/>
          <w:shd w:val="clear" w:color="auto" w:fill="FFFFFF"/>
        </w:rPr>
      </w:pPr>
      <w:r w:rsidRPr="000F6641">
        <w:rPr>
          <w:rFonts w:ascii="Verdana" w:hAnsi="Verdana"/>
          <w:iCs/>
          <w:color w:val="333333"/>
          <w:sz w:val="18"/>
          <w:szCs w:val="18"/>
          <w:shd w:val="clear" w:color="auto" w:fill="FFFFFF"/>
        </w:rPr>
        <w:t xml:space="preserve">Orden HAC/529/2026, de 7 de mayo, por la que se aprueban los </w:t>
      </w:r>
      <w:bookmarkStart w:id="2" w:name="_Hlk231917750"/>
      <w:r w:rsidRPr="000F6641">
        <w:rPr>
          <w:rFonts w:ascii="Verdana" w:hAnsi="Verdana"/>
          <w:iCs/>
          <w:color w:val="333333"/>
          <w:sz w:val="18"/>
          <w:szCs w:val="18"/>
          <w:shd w:val="clear" w:color="auto" w:fill="FFFFFF"/>
        </w:rPr>
        <w:t xml:space="preserve">modelos de declaración del Impuesto sobre Sociedades y del Impuesto sobre la Renta de no Residentes </w:t>
      </w:r>
      <w:bookmarkEnd w:id="2"/>
      <w:r w:rsidRPr="000F6641">
        <w:rPr>
          <w:rFonts w:ascii="Verdana" w:hAnsi="Verdana"/>
          <w:iCs/>
          <w:color w:val="333333"/>
          <w:sz w:val="18"/>
          <w:szCs w:val="18"/>
          <w:shd w:val="clear" w:color="auto" w:fill="FFFFFF"/>
        </w:rPr>
        <w:t>correspondiente a establecimientos permanentes y a entidades en régimen de atribución de rentas constituidas en el extranjero con presencia en territorio español, para los períodos impositivos iniciados entre el 1 de enero y el 31 de diciembre de 2025, se dictan instrucciones relativas al procedimiento de declaración e ingreso y se establecen las condiciones generales y el procedimiento para su presentación electrónica.</w:t>
      </w:r>
    </w:p>
    <w:p w14:paraId="19DA0F1A" w14:textId="77777777" w:rsidR="00BF11E4" w:rsidRDefault="00BF11E4" w:rsidP="00BF11E4">
      <w:pPr>
        <w:jc w:val="both"/>
        <w:rPr>
          <w:rFonts w:ascii="Verdana" w:hAnsi="Verdana"/>
          <w:i/>
          <w:color w:val="333333"/>
          <w:sz w:val="18"/>
          <w:szCs w:val="18"/>
          <w:shd w:val="clear" w:color="auto" w:fill="FFFFFF"/>
        </w:rPr>
      </w:pPr>
      <w:bookmarkStart w:id="3" w:name="_Hlk233113549"/>
      <w:r>
        <w:rPr>
          <w:rFonts w:ascii="Verdana" w:hAnsi="Verdana"/>
          <w:i/>
          <w:color w:val="333333"/>
          <w:sz w:val="18"/>
          <w:szCs w:val="18"/>
          <w:shd w:val="clear" w:color="auto" w:fill="FFFFFF"/>
        </w:rPr>
        <w:t xml:space="preserve">Ministerio de Hacienda. </w:t>
      </w:r>
      <w:r w:rsidRPr="00A70466">
        <w:rPr>
          <w:rFonts w:ascii="Verdana" w:hAnsi="Verdana"/>
          <w:i/>
          <w:color w:val="333333"/>
          <w:sz w:val="18"/>
          <w:szCs w:val="18"/>
          <w:shd w:val="clear" w:color="auto" w:fill="FFFFFF"/>
        </w:rPr>
        <w:t>B</w:t>
      </w:r>
      <w:r>
        <w:rPr>
          <w:rFonts w:ascii="Verdana" w:hAnsi="Verdana"/>
          <w:i/>
          <w:color w:val="333333"/>
          <w:sz w:val="18"/>
          <w:szCs w:val="18"/>
          <w:shd w:val="clear" w:color="auto" w:fill="FFFFFF"/>
        </w:rPr>
        <w:t>.</w:t>
      </w:r>
      <w:r w:rsidRPr="00A70466">
        <w:rPr>
          <w:rFonts w:ascii="Verdana" w:hAnsi="Verdana"/>
          <w:i/>
          <w:color w:val="333333"/>
          <w:sz w:val="18"/>
          <w:szCs w:val="18"/>
          <w:shd w:val="clear" w:color="auto" w:fill="FFFFFF"/>
        </w:rPr>
        <w:t>O.E. núm.131 de 2</w:t>
      </w:r>
      <w:r>
        <w:rPr>
          <w:rFonts w:ascii="Verdana" w:hAnsi="Verdana"/>
          <w:i/>
          <w:color w:val="333333"/>
          <w:sz w:val="18"/>
          <w:szCs w:val="18"/>
          <w:shd w:val="clear" w:color="auto" w:fill="FFFFFF"/>
        </w:rPr>
        <w:t>9</w:t>
      </w:r>
      <w:r w:rsidRPr="00A70466">
        <w:rPr>
          <w:rFonts w:ascii="Verdana" w:hAnsi="Verdana"/>
          <w:i/>
          <w:color w:val="333333"/>
          <w:sz w:val="18"/>
          <w:szCs w:val="18"/>
          <w:shd w:val="clear" w:color="auto" w:fill="FFFFFF"/>
        </w:rPr>
        <w:t xml:space="preserve"> de mayo de 2026.</w:t>
      </w:r>
    </w:p>
    <w:p w14:paraId="5D821A15" w14:textId="77777777" w:rsidR="00BF11E4" w:rsidRDefault="00BF11E4" w:rsidP="00BF11E4">
      <w:pPr>
        <w:jc w:val="both"/>
        <w:rPr>
          <w:rFonts w:ascii="Verdana" w:hAnsi="Verdana"/>
          <w:i/>
          <w:color w:val="333333"/>
          <w:sz w:val="18"/>
          <w:szCs w:val="18"/>
          <w:shd w:val="clear" w:color="auto" w:fill="FFFFFF"/>
        </w:rPr>
      </w:pPr>
    </w:p>
    <w:p w14:paraId="632F75F6" w14:textId="77777777" w:rsidR="00BF11E4" w:rsidRPr="004B68F9" w:rsidRDefault="00BF11E4" w:rsidP="00BF11E4">
      <w:pPr>
        <w:jc w:val="both"/>
        <w:rPr>
          <w:rFonts w:ascii="Verdana" w:hAnsi="Verdana"/>
          <w:b/>
          <w:bCs/>
          <w:iCs/>
          <w:color w:val="800000"/>
          <w:sz w:val="18"/>
          <w:szCs w:val="18"/>
        </w:rPr>
      </w:pPr>
      <w:r w:rsidRPr="004B68F9">
        <w:rPr>
          <w:rFonts w:ascii="Verdana" w:hAnsi="Verdana"/>
          <w:b/>
          <w:bCs/>
          <w:iCs/>
          <w:color w:val="800000"/>
          <w:sz w:val="18"/>
          <w:szCs w:val="18"/>
        </w:rPr>
        <w:t>Tratados internacionales</w:t>
      </w:r>
    </w:p>
    <w:p w14:paraId="2ECD5282" w14:textId="77777777" w:rsidR="00BF11E4" w:rsidRPr="004B68F9" w:rsidRDefault="00BF11E4" w:rsidP="00BF11E4">
      <w:pPr>
        <w:jc w:val="both"/>
        <w:rPr>
          <w:rFonts w:ascii="Verdana" w:hAnsi="Verdana"/>
          <w:iCs/>
          <w:color w:val="333333"/>
          <w:sz w:val="18"/>
          <w:szCs w:val="18"/>
          <w:shd w:val="clear" w:color="auto" w:fill="FFFFFF"/>
        </w:rPr>
      </w:pPr>
      <w:r w:rsidRPr="004B68F9">
        <w:rPr>
          <w:rFonts w:ascii="Verdana" w:hAnsi="Verdana"/>
          <w:iCs/>
          <w:color w:val="333333"/>
          <w:sz w:val="18"/>
          <w:szCs w:val="18"/>
          <w:shd w:val="clear" w:color="auto" w:fill="FFFFFF"/>
        </w:rPr>
        <w:t>Convenio multilateral para aplicar las medidas relacionadas con los tratados fiscales para prevenir la erosión de las bases imponibles y el traslado de beneficios, hecho en Paris el 24 de noviembre de 2016. Notificación de España el 26 de mayo de 2026 al Secretario General de la Organización para la Cooperación y el Desarrollo Económicos (OCDE) como depositario del Convenio, de conformidad con las disposiciones de su artículo 35.7.</w:t>
      </w:r>
    </w:p>
    <w:p w14:paraId="15E30D89" w14:textId="155C7E71" w:rsidR="00BF11E4" w:rsidRDefault="00BF11E4" w:rsidP="00BF11E4">
      <w:pPr>
        <w:jc w:val="both"/>
        <w:rPr>
          <w:rFonts w:ascii="Verdana" w:hAnsi="Verdana"/>
          <w:i/>
          <w:color w:val="333333"/>
          <w:sz w:val="18"/>
          <w:szCs w:val="18"/>
          <w:shd w:val="clear" w:color="auto" w:fill="FFFFFF"/>
        </w:rPr>
      </w:pPr>
      <w:r>
        <w:rPr>
          <w:rFonts w:ascii="Verdana" w:hAnsi="Verdana"/>
          <w:i/>
          <w:color w:val="333333"/>
          <w:sz w:val="18"/>
          <w:szCs w:val="18"/>
          <w:shd w:val="clear" w:color="auto" w:fill="FFFFFF"/>
        </w:rPr>
        <w:t>Ministerio de Asuntos Ext</w:t>
      </w:r>
      <w:r w:rsidR="006F2A42">
        <w:rPr>
          <w:rFonts w:ascii="Verdana" w:hAnsi="Verdana"/>
          <w:i/>
          <w:color w:val="333333"/>
          <w:sz w:val="18"/>
          <w:szCs w:val="18"/>
          <w:shd w:val="clear" w:color="auto" w:fill="FFFFFF"/>
        </w:rPr>
        <w:t>eriore</w:t>
      </w:r>
      <w:r>
        <w:rPr>
          <w:rFonts w:ascii="Verdana" w:hAnsi="Verdana"/>
          <w:i/>
          <w:color w:val="333333"/>
          <w:sz w:val="18"/>
          <w:szCs w:val="18"/>
          <w:shd w:val="clear" w:color="auto" w:fill="FFFFFF"/>
        </w:rPr>
        <w:t>s, Unión Europea y Cooperación. B.O.E. núm. 143 de 12 de junio.</w:t>
      </w:r>
    </w:p>
    <w:p w14:paraId="428AFF1C" w14:textId="77777777" w:rsidR="00BF11E4" w:rsidRDefault="00BF11E4" w:rsidP="00BF11E4">
      <w:pPr>
        <w:jc w:val="both"/>
        <w:rPr>
          <w:rFonts w:ascii="Verdana" w:hAnsi="Verdana"/>
          <w:i/>
          <w:color w:val="333333"/>
          <w:sz w:val="18"/>
          <w:szCs w:val="18"/>
          <w:shd w:val="clear" w:color="auto" w:fill="FFFFFF"/>
        </w:rPr>
      </w:pPr>
    </w:p>
    <w:p w14:paraId="6969B3CE" w14:textId="77777777" w:rsidR="00BF11E4" w:rsidRPr="00632F2A" w:rsidRDefault="00BF11E4" w:rsidP="00BF11E4">
      <w:pPr>
        <w:jc w:val="both"/>
        <w:rPr>
          <w:rFonts w:ascii="Verdana" w:hAnsi="Verdana"/>
          <w:b/>
          <w:bCs/>
          <w:iCs/>
          <w:color w:val="800000"/>
          <w:sz w:val="18"/>
          <w:szCs w:val="18"/>
        </w:rPr>
      </w:pPr>
      <w:r w:rsidRPr="00632F2A">
        <w:rPr>
          <w:rFonts w:ascii="Verdana" w:hAnsi="Verdana"/>
          <w:b/>
          <w:bCs/>
          <w:iCs/>
          <w:color w:val="800000"/>
          <w:sz w:val="18"/>
          <w:szCs w:val="18"/>
        </w:rPr>
        <w:t>Procedimientos administrativos. Gestión informatizada</w:t>
      </w:r>
    </w:p>
    <w:p w14:paraId="1723CF7D" w14:textId="77777777" w:rsidR="00BF11E4" w:rsidRPr="00632F2A" w:rsidRDefault="00BF11E4" w:rsidP="00BF11E4">
      <w:pPr>
        <w:jc w:val="both"/>
        <w:rPr>
          <w:rFonts w:ascii="Verdana" w:hAnsi="Verdana"/>
          <w:iCs/>
          <w:color w:val="333333"/>
          <w:sz w:val="18"/>
          <w:szCs w:val="18"/>
          <w:shd w:val="clear" w:color="auto" w:fill="FFFFFF"/>
        </w:rPr>
      </w:pPr>
      <w:r w:rsidRPr="00632F2A">
        <w:rPr>
          <w:rFonts w:ascii="Verdana" w:hAnsi="Verdana"/>
          <w:iCs/>
          <w:color w:val="333333"/>
          <w:sz w:val="18"/>
          <w:szCs w:val="18"/>
          <w:shd w:val="clear" w:color="auto" w:fill="FFFFFF"/>
        </w:rPr>
        <w:t>Resolución de 4 de junio de 2026, de la Dirección General de la Agencia Estatal de Administración Tributaria, por la que se establece el procedimiento para efectuar telemáticamente el embargo de dinero en cuentas abiertas en proveedores de servicios de pago</w:t>
      </w:r>
    </w:p>
    <w:p w14:paraId="53DBA63B" w14:textId="77777777" w:rsidR="00BF11E4" w:rsidRDefault="00BF11E4" w:rsidP="00BF11E4">
      <w:pPr>
        <w:jc w:val="both"/>
        <w:rPr>
          <w:rFonts w:ascii="Verdana" w:hAnsi="Verdana"/>
          <w:i/>
          <w:color w:val="333333"/>
          <w:sz w:val="18"/>
          <w:szCs w:val="18"/>
          <w:shd w:val="clear" w:color="auto" w:fill="FFFFFF"/>
        </w:rPr>
      </w:pPr>
      <w:r>
        <w:rPr>
          <w:rFonts w:ascii="Verdana" w:hAnsi="Verdana"/>
          <w:i/>
          <w:color w:val="333333"/>
          <w:sz w:val="18"/>
          <w:szCs w:val="18"/>
          <w:shd w:val="clear" w:color="auto" w:fill="FFFFFF"/>
        </w:rPr>
        <w:t xml:space="preserve">Ministerio de Hacienda. </w:t>
      </w:r>
      <w:r w:rsidRPr="00A70466">
        <w:rPr>
          <w:rFonts w:ascii="Verdana" w:hAnsi="Verdana"/>
          <w:i/>
          <w:color w:val="333333"/>
          <w:sz w:val="18"/>
          <w:szCs w:val="18"/>
          <w:shd w:val="clear" w:color="auto" w:fill="FFFFFF"/>
        </w:rPr>
        <w:t>B</w:t>
      </w:r>
      <w:r>
        <w:rPr>
          <w:rFonts w:ascii="Verdana" w:hAnsi="Verdana"/>
          <w:i/>
          <w:color w:val="333333"/>
          <w:sz w:val="18"/>
          <w:szCs w:val="18"/>
          <w:shd w:val="clear" w:color="auto" w:fill="FFFFFF"/>
        </w:rPr>
        <w:t>.</w:t>
      </w:r>
      <w:r w:rsidRPr="00A70466">
        <w:rPr>
          <w:rFonts w:ascii="Verdana" w:hAnsi="Verdana"/>
          <w:i/>
          <w:color w:val="333333"/>
          <w:sz w:val="18"/>
          <w:szCs w:val="18"/>
          <w:shd w:val="clear" w:color="auto" w:fill="FFFFFF"/>
        </w:rPr>
        <w:t>O.E. núm.1</w:t>
      </w:r>
      <w:r>
        <w:rPr>
          <w:rFonts w:ascii="Verdana" w:hAnsi="Verdana"/>
          <w:i/>
          <w:color w:val="333333"/>
          <w:sz w:val="18"/>
          <w:szCs w:val="18"/>
          <w:shd w:val="clear" w:color="auto" w:fill="FFFFFF"/>
        </w:rPr>
        <w:t>46</w:t>
      </w:r>
      <w:r w:rsidRPr="00A70466">
        <w:rPr>
          <w:rFonts w:ascii="Verdana" w:hAnsi="Verdana"/>
          <w:i/>
          <w:color w:val="333333"/>
          <w:sz w:val="18"/>
          <w:szCs w:val="18"/>
          <w:shd w:val="clear" w:color="auto" w:fill="FFFFFF"/>
        </w:rPr>
        <w:t xml:space="preserve"> de </w:t>
      </w:r>
      <w:r>
        <w:rPr>
          <w:rFonts w:ascii="Verdana" w:hAnsi="Verdana"/>
          <w:i/>
          <w:color w:val="333333"/>
          <w:sz w:val="18"/>
          <w:szCs w:val="18"/>
          <w:shd w:val="clear" w:color="auto" w:fill="FFFFFF"/>
        </w:rPr>
        <w:t>16 de junio</w:t>
      </w:r>
      <w:r w:rsidRPr="00A70466">
        <w:rPr>
          <w:rFonts w:ascii="Verdana" w:hAnsi="Verdana"/>
          <w:i/>
          <w:color w:val="333333"/>
          <w:sz w:val="18"/>
          <w:szCs w:val="18"/>
          <w:shd w:val="clear" w:color="auto" w:fill="FFFFFF"/>
        </w:rPr>
        <w:t xml:space="preserve"> de 2026.</w:t>
      </w:r>
    </w:p>
    <w:bookmarkEnd w:id="3"/>
    <w:p w14:paraId="2C850BA3" w14:textId="77777777" w:rsidR="00BF11E4" w:rsidRDefault="00BF11E4" w:rsidP="00BF11E4">
      <w:pPr>
        <w:jc w:val="both"/>
        <w:rPr>
          <w:rFonts w:ascii="Verdana" w:hAnsi="Verdana"/>
          <w:i/>
          <w:color w:val="333333"/>
          <w:sz w:val="18"/>
          <w:szCs w:val="18"/>
          <w:shd w:val="clear" w:color="auto" w:fill="FFFFFF"/>
        </w:rPr>
      </w:pPr>
    </w:p>
    <w:p w14:paraId="071C3CC4" w14:textId="77777777" w:rsidR="00BF11E4" w:rsidRPr="002B6E22" w:rsidRDefault="00BF11E4" w:rsidP="00BF11E4">
      <w:pPr>
        <w:jc w:val="both"/>
        <w:rPr>
          <w:rFonts w:ascii="Verdana" w:hAnsi="Verdana"/>
          <w:b/>
          <w:bCs/>
          <w:iCs/>
          <w:color w:val="800000"/>
          <w:sz w:val="18"/>
          <w:szCs w:val="18"/>
        </w:rPr>
      </w:pPr>
      <w:r w:rsidRPr="002B6E22">
        <w:rPr>
          <w:rFonts w:ascii="Verdana" w:hAnsi="Verdana"/>
          <w:b/>
          <w:bCs/>
          <w:iCs/>
          <w:color w:val="800000"/>
          <w:sz w:val="18"/>
          <w:szCs w:val="18"/>
        </w:rPr>
        <w:t>Impuestos. Procedimientos tributarios</w:t>
      </w:r>
    </w:p>
    <w:p w14:paraId="6153E8CB" w14:textId="77777777" w:rsidR="00BF11E4" w:rsidRDefault="00BF11E4" w:rsidP="00BF11E4">
      <w:pPr>
        <w:jc w:val="both"/>
        <w:rPr>
          <w:rFonts w:ascii="Verdana" w:hAnsi="Verdana"/>
          <w:iCs/>
          <w:color w:val="333333"/>
          <w:sz w:val="18"/>
          <w:szCs w:val="18"/>
          <w:shd w:val="clear" w:color="auto" w:fill="FFFFFF"/>
        </w:rPr>
      </w:pPr>
      <w:r w:rsidRPr="002B6E22">
        <w:rPr>
          <w:rFonts w:ascii="Verdana" w:hAnsi="Verdana"/>
          <w:iCs/>
          <w:color w:val="333333"/>
          <w:sz w:val="18"/>
          <w:szCs w:val="18"/>
          <w:shd w:val="clear" w:color="auto" w:fill="FFFFFF"/>
        </w:rPr>
        <w:t>Orden HAC/623/2026, de 12 de junio, por la que se modifican la Orden EHA/3316/2010, de 17 de diciembre, por la que se aprueban los modelos de autoliquidación 210, 211 y 213 del Impuesto sobre la Renta de No Residentes, que deben utilizarse para declarar las rentas obtenidas sin mediación de establecimiento permanente, la retención practicada en la adquisición de bienes inmuebles a no residentes sin establecimiento permanente y el gravamen especial sobre bienes inmuebles de entidades no residentes, y se establecen las condiciones generales y el procedimiento para su presentación y otras normas referentes a la tributación de no residentes; la Orden EHA/3290/2008, de 6 de noviembre, por la que se aprueban el modelo 216 «Impuesto sobre la Renta de No Residentes. Rentas obtenidas sin mediación de establecimiento permanente. Retenciones e ingresos a cuenta. Declaración-documento de ingreso» y el modelo 296 «Impuesto sobre la Renta de No Residentes. No residentes sin establecimiento permanente. Declaración anual de retenciones e ingresos a cuenta»; y la Orden EHA/1658/2009, de 12 de junio, por la que se establecen el procedimiento y las condiciones para la domiciliación del pago de determinadas deudas cuya gestión tiene atribuida la Agencia Estatal de Administración Tributaria.</w:t>
      </w:r>
    </w:p>
    <w:p w14:paraId="6B16996C" w14:textId="77777777" w:rsidR="00BF11E4" w:rsidRDefault="00BF11E4" w:rsidP="00BF11E4">
      <w:pPr>
        <w:jc w:val="both"/>
        <w:rPr>
          <w:rFonts w:ascii="Verdana" w:hAnsi="Verdana"/>
          <w:i/>
          <w:color w:val="333333"/>
          <w:sz w:val="18"/>
          <w:szCs w:val="18"/>
          <w:shd w:val="clear" w:color="auto" w:fill="FFFFFF"/>
        </w:rPr>
      </w:pPr>
      <w:bookmarkStart w:id="4" w:name="_Hlk233622705"/>
      <w:bookmarkStart w:id="5" w:name="_Hlk233306003"/>
      <w:r>
        <w:rPr>
          <w:rFonts w:ascii="Verdana" w:hAnsi="Verdana"/>
          <w:i/>
          <w:color w:val="333333"/>
          <w:sz w:val="18"/>
          <w:szCs w:val="18"/>
          <w:shd w:val="clear" w:color="auto" w:fill="FFFFFF"/>
        </w:rPr>
        <w:t xml:space="preserve">Ministerio de Hacienda. </w:t>
      </w:r>
      <w:r w:rsidRPr="00A70466">
        <w:rPr>
          <w:rFonts w:ascii="Verdana" w:hAnsi="Verdana"/>
          <w:i/>
          <w:color w:val="333333"/>
          <w:sz w:val="18"/>
          <w:szCs w:val="18"/>
          <w:shd w:val="clear" w:color="auto" w:fill="FFFFFF"/>
        </w:rPr>
        <w:t>B</w:t>
      </w:r>
      <w:r>
        <w:rPr>
          <w:rFonts w:ascii="Verdana" w:hAnsi="Verdana"/>
          <w:i/>
          <w:color w:val="333333"/>
          <w:sz w:val="18"/>
          <w:szCs w:val="18"/>
          <w:shd w:val="clear" w:color="auto" w:fill="FFFFFF"/>
        </w:rPr>
        <w:t>.</w:t>
      </w:r>
      <w:r w:rsidRPr="00A70466">
        <w:rPr>
          <w:rFonts w:ascii="Verdana" w:hAnsi="Verdana"/>
          <w:i/>
          <w:color w:val="333333"/>
          <w:sz w:val="18"/>
          <w:szCs w:val="18"/>
          <w:shd w:val="clear" w:color="auto" w:fill="FFFFFF"/>
        </w:rPr>
        <w:t>O.E. núm.1</w:t>
      </w:r>
      <w:r>
        <w:rPr>
          <w:rFonts w:ascii="Verdana" w:hAnsi="Verdana"/>
          <w:i/>
          <w:color w:val="333333"/>
          <w:sz w:val="18"/>
          <w:szCs w:val="18"/>
          <w:shd w:val="clear" w:color="auto" w:fill="FFFFFF"/>
        </w:rPr>
        <w:t>52</w:t>
      </w:r>
      <w:r w:rsidRPr="00A70466">
        <w:rPr>
          <w:rFonts w:ascii="Verdana" w:hAnsi="Verdana"/>
          <w:i/>
          <w:color w:val="333333"/>
          <w:sz w:val="18"/>
          <w:szCs w:val="18"/>
          <w:shd w:val="clear" w:color="auto" w:fill="FFFFFF"/>
        </w:rPr>
        <w:t xml:space="preserve"> de </w:t>
      </w:r>
      <w:r>
        <w:rPr>
          <w:rFonts w:ascii="Verdana" w:hAnsi="Verdana"/>
          <w:i/>
          <w:color w:val="333333"/>
          <w:sz w:val="18"/>
          <w:szCs w:val="18"/>
          <w:shd w:val="clear" w:color="auto" w:fill="FFFFFF"/>
        </w:rPr>
        <w:t>23 de junio</w:t>
      </w:r>
      <w:r w:rsidRPr="00A70466">
        <w:rPr>
          <w:rFonts w:ascii="Verdana" w:hAnsi="Verdana"/>
          <w:i/>
          <w:color w:val="333333"/>
          <w:sz w:val="18"/>
          <w:szCs w:val="18"/>
          <w:shd w:val="clear" w:color="auto" w:fill="FFFFFF"/>
        </w:rPr>
        <w:t xml:space="preserve"> de 2026.</w:t>
      </w:r>
    </w:p>
    <w:bookmarkEnd w:id="4"/>
    <w:p w14:paraId="40150179" w14:textId="77777777" w:rsidR="00BF11E4" w:rsidRDefault="00BF11E4" w:rsidP="00BF11E4">
      <w:pPr>
        <w:jc w:val="both"/>
        <w:rPr>
          <w:rFonts w:ascii="Verdana" w:hAnsi="Verdana"/>
          <w:i/>
          <w:color w:val="333333"/>
          <w:sz w:val="18"/>
          <w:szCs w:val="18"/>
          <w:shd w:val="clear" w:color="auto" w:fill="FFFFFF"/>
        </w:rPr>
      </w:pPr>
    </w:p>
    <w:p w14:paraId="4474D6D5" w14:textId="77777777" w:rsidR="00BF11E4" w:rsidRPr="00BF11E4" w:rsidRDefault="00BF11E4" w:rsidP="00BF11E4">
      <w:pPr>
        <w:jc w:val="both"/>
        <w:rPr>
          <w:rFonts w:ascii="Verdana" w:hAnsi="Verdana"/>
          <w:b/>
          <w:bCs/>
          <w:iCs/>
          <w:color w:val="800000"/>
          <w:sz w:val="18"/>
          <w:szCs w:val="18"/>
        </w:rPr>
      </w:pPr>
      <w:r w:rsidRPr="00BF11E4">
        <w:rPr>
          <w:rFonts w:ascii="Verdana" w:hAnsi="Verdana"/>
          <w:b/>
          <w:bCs/>
          <w:iCs/>
          <w:color w:val="800000"/>
          <w:sz w:val="18"/>
          <w:szCs w:val="18"/>
        </w:rPr>
        <w:t>Impuestos</w:t>
      </w:r>
    </w:p>
    <w:p w14:paraId="51628A69" w14:textId="77777777" w:rsidR="00BF11E4" w:rsidRPr="00BF11E4" w:rsidRDefault="00BF11E4" w:rsidP="00BF11E4">
      <w:pPr>
        <w:shd w:val="clear" w:color="auto" w:fill="F8F8F8"/>
        <w:ind w:right="240"/>
        <w:jc w:val="both"/>
        <w:rPr>
          <w:rFonts w:ascii="Verdana" w:hAnsi="Verdana"/>
          <w:iCs/>
          <w:color w:val="333333"/>
          <w:sz w:val="18"/>
          <w:szCs w:val="18"/>
          <w:shd w:val="clear" w:color="auto" w:fill="FFFFFF"/>
        </w:rPr>
      </w:pPr>
      <w:r w:rsidRPr="00BF11E4">
        <w:rPr>
          <w:rFonts w:ascii="Verdana" w:hAnsi="Verdana"/>
          <w:iCs/>
          <w:color w:val="333333"/>
          <w:sz w:val="18"/>
          <w:szCs w:val="18"/>
          <w:shd w:val="clear" w:color="auto" w:fill="FFFFFF"/>
        </w:rPr>
        <w:t>Orden HAC/652/2026, de 26 de junio, por la que se modifica la Orden HFP/587/2023, de 9 de junio, por la que se aprueba el modelo 718 «Impuesto Temporal de Solidaridad de las Grandes Fortunas», se determina el lugar, forma y plazos de su presentación, las condiciones y el procedimiento para su presentación.</w:t>
      </w:r>
    </w:p>
    <w:p w14:paraId="25F1DC1B" w14:textId="7D3F7551" w:rsidR="00BF11E4" w:rsidRDefault="00BF11E4" w:rsidP="00BF11E4">
      <w:pPr>
        <w:jc w:val="both"/>
        <w:rPr>
          <w:rFonts w:ascii="Verdana" w:hAnsi="Verdana"/>
          <w:i/>
          <w:color w:val="333333"/>
          <w:sz w:val="18"/>
          <w:szCs w:val="18"/>
          <w:shd w:val="clear" w:color="auto" w:fill="FFFFFF"/>
        </w:rPr>
      </w:pPr>
      <w:r>
        <w:rPr>
          <w:rFonts w:ascii="Verdana" w:hAnsi="Verdana"/>
          <w:i/>
          <w:color w:val="333333"/>
          <w:sz w:val="18"/>
          <w:szCs w:val="18"/>
          <w:shd w:val="clear" w:color="auto" w:fill="FFFFFF"/>
        </w:rPr>
        <w:t xml:space="preserve">Ministerio de Hacienda. </w:t>
      </w:r>
      <w:r w:rsidRPr="00A70466">
        <w:rPr>
          <w:rFonts w:ascii="Verdana" w:hAnsi="Verdana"/>
          <w:i/>
          <w:color w:val="333333"/>
          <w:sz w:val="18"/>
          <w:szCs w:val="18"/>
          <w:shd w:val="clear" w:color="auto" w:fill="FFFFFF"/>
        </w:rPr>
        <w:t>B</w:t>
      </w:r>
      <w:r>
        <w:rPr>
          <w:rFonts w:ascii="Verdana" w:hAnsi="Verdana"/>
          <w:i/>
          <w:color w:val="333333"/>
          <w:sz w:val="18"/>
          <w:szCs w:val="18"/>
          <w:shd w:val="clear" w:color="auto" w:fill="FFFFFF"/>
        </w:rPr>
        <w:t>.</w:t>
      </w:r>
      <w:r w:rsidRPr="00A70466">
        <w:rPr>
          <w:rFonts w:ascii="Verdana" w:hAnsi="Verdana"/>
          <w:i/>
          <w:color w:val="333333"/>
          <w:sz w:val="18"/>
          <w:szCs w:val="18"/>
          <w:shd w:val="clear" w:color="auto" w:fill="FFFFFF"/>
        </w:rPr>
        <w:t>O.E. núm.1</w:t>
      </w:r>
      <w:r>
        <w:rPr>
          <w:rFonts w:ascii="Verdana" w:hAnsi="Verdana"/>
          <w:i/>
          <w:color w:val="333333"/>
          <w:sz w:val="18"/>
          <w:szCs w:val="18"/>
          <w:shd w:val="clear" w:color="auto" w:fill="FFFFFF"/>
        </w:rPr>
        <w:t>57</w:t>
      </w:r>
      <w:r w:rsidRPr="00A70466">
        <w:rPr>
          <w:rFonts w:ascii="Verdana" w:hAnsi="Verdana"/>
          <w:i/>
          <w:color w:val="333333"/>
          <w:sz w:val="18"/>
          <w:szCs w:val="18"/>
          <w:shd w:val="clear" w:color="auto" w:fill="FFFFFF"/>
        </w:rPr>
        <w:t xml:space="preserve"> de </w:t>
      </w:r>
      <w:r>
        <w:rPr>
          <w:rFonts w:ascii="Verdana" w:hAnsi="Verdana"/>
          <w:i/>
          <w:color w:val="333333"/>
          <w:sz w:val="18"/>
          <w:szCs w:val="18"/>
          <w:shd w:val="clear" w:color="auto" w:fill="FFFFFF"/>
        </w:rPr>
        <w:t>29 de junio</w:t>
      </w:r>
      <w:r w:rsidRPr="00A70466">
        <w:rPr>
          <w:rFonts w:ascii="Verdana" w:hAnsi="Verdana"/>
          <w:i/>
          <w:color w:val="333333"/>
          <w:sz w:val="18"/>
          <w:szCs w:val="18"/>
          <w:shd w:val="clear" w:color="auto" w:fill="FFFFFF"/>
        </w:rPr>
        <w:t xml:space="preserve"> de 2026.</w:t>
      </w:r>
    </w:p>
    <w:p w14:paraId="1704E0FF" w14:textId="77777777" w:rsidR="00BF11E4" w:rsidRDefault="00BF11E4" w:rsidP="00BF11E4">
      <w:pPr>
        <w:jc w:val="both"/>
        <w:rPr>
          <w:rFonts w:ascii="Verdana" w:hAnsi="Verdana"/>
          <w:i/>
          <w:color w:val="333333"/>
          <w:sz w:val="18"/>
          <w:szCs w:val="18"/>
          <w:shd w:val="clear" w:color="auto" w:fill="FFFFFF"/>
        </w:rPr>
      </w:pPr>
    </w:p>
    <w:bookmarkEnd w:id="5"/>
    <w:p w14:paraId="105D063E" w14:textId="77777777" w:rsidR="002B6E22" w:rsidRPr="002B6E22" w:rsidRDefault="002B6E22" w:rsidP="002B6E22">
      <w:pPr>
        <w:jc w:val="both"/>
        <w:rPr>
          <w:rFonts w:ascii="Verdana" w:hAnsi="Verdana"/>
          <w:iCs/>
          <w:color w:val="333333"/>
          <w:sz w:val="18"/>
          <w:szCs w:val="18"/>
          <w:shd w:val="clear" w:color="auto" w:fill="FFFFFF"/>
        </w:rPr>
      </w:pPr>
    </w:p>
    <w:p w14:paraId="0F759772" w14:textId="002E3498" w:rsidR="00C356BB" w:rsidRPr="00C356BB" w:rsidRDefault="00C356BB" w:rsidP="00C356BB">
      <w:pPr>
        <w:jc w:val="center"/>
        <w:rPr>
          <w:rFonts w:ascii="Verdana" w:hAnsi="Verdana"/>
          <w:b/>
          <w:bCs/>
          <w:color w:val="800000"/>
          <w:sz w:val="18"/>
          <w:szCs w:val="18"/>
          <w:lang w:val="es-ES_tradnl"/>
        </w:rPr>
      </w:pPr>
      <w:r w:rsidRPr="00C356BB">
        <w:rPr>
          <w:rFonts w:ascii="Verdana" w:hAnsi="Verdana"/>
          <w:b/>
          <w:bCs/>
          <w:color w:val="800000"/>
          <w:sz w:val="18"/>
          <w:szCs w:val="18"/>
          <w:lang w:val="es-ES_tradnl"/>
        </w:rPr>
        <w:t>COMUNIDADES AUTÓNOMAS Y FORALES</w:t>
      </w:r>
    </w:p>
    <w:p w14:paraId="4569824D" w14:textId="013D42A3" w:rsidR="00096610" w:rsidRDefault="00096610" w:rsidP="00DF41F1">
      <w:pPr>
        <w:jc w:val="both"/>
        <w:rPr>
          <w:rFonts w:ascii="Verdana" w:hAnsi="Verdana"/>
          <w:i/>
          <w:color w:val="333333"/>
          <w:sz w:val="18"/>
          <w:szCs w:val="18"/>
          <w:shd w:val="clear" w:color="auto" w:fill="FFFFFF"/>
        </w:rPr>
      </w:pPr>
    </w:p>
    <w:p w14:paraId="5432B07E" w14:textId="77777777" w:rsidR="000F6641" w:rsidRPr="000F6641" w:rsidRDefault="000F6641" w:rsidP="000F6641">
      <w:pPr>
        <w:pStyle w:val="Ttulo7"/>
        <w:rPr>
          <w:rFonts w:ascii="Verdana" w:hAnsi="Verdana"/>
          <w:sz w:val="18"/>
          <w:szCs w:val="18"/>
        </w:rPr>
      </w:pPr>
      <w:r w:rsidRPr="000F6641">
        <w:rPr>
          <w:rFonts w:ascii="Verdana" w:hAnsi="Verdana"/>
          <w:sz w:val="18"/>
          <w:szCs w:val="18"/>
        </w:rPr>
        <w:t>COMUNIDAD AUTÓNOMA DE CANARIAS</w:t>
      </w:r>
    </w:p>
    <w:p w14:paraId="37A9BA26" w14:textId="77777777" w:rsidR="000F6641" w:rsidRPr="000F6641" w:rsidRDefault="000F6641" w:rsidP="000F6641">
      <w:pPr>
        <w:pStyle w:val="Ttulo7"/>
        <w:rPr>
          <w:rFonts w:ascii="Verdana" w:hAnsi="Verdana"/>
          <w:sz w:val="18"/>
          <w:szCs w:val="18"/>
        </w:rPr>
      </w:pPr>
      <w:r w:rsidRPr="000F6641">
        <w:rPr>
          <w:rFonts w:ascii="Verdana" w:hAnsi="Verdana"/>
          <w:sz w:val="18"/>
          <w:szCs w:val="18"/>
        </w:rPr>
        <w:t>Medidas urgentes</w:t>
      </w:r>
    </w:p>
    <w:p w14:paraId="05571E9F" w14:textId="77777777" w:rsidR="000F6641" w:rsidRPr="000F6641" w:rsidRDefault="000F6641" w:rsidP="000F6641">
      <w:pPr>
        <w:pStyle w:val="Ttulo7"/>
        <w:rPr>
          <w:rFonts w:ascii="Verdana" w:hAnsi="Verdana"/>
          <w:b w:val="0"/>
          <w:bCs w:val="0"/>
          <w:iCs/>
          <w:color w:val="333333"/>
          <w:sz w:val="18"/>
          <w:szCs w:val="18"/>
          <w:shd w:val="clear" w:color="auto" w:fill="FFFFFF"/>
          <w:lang w:val="es-ES"/>
        </w:rPr>
      </w:pPr>
      <w:r w:rsidRPr="000F6641">
        <w:rPr>
          <w:rFonts w:ascii="Verdana" w:hAnsi="Verdana"/>
          <w:b w:val="0"/>
          <w:bCs w:val="0"/>
          <w:iCs/>
          <w:color w:val="333333"/>
          <w:sz w:val="18"/>
          <w:szCs w:val="18"/>
          <w:shd w:val="clear" w:color="auto" w:fill="FFFFFF"/>
          <w:lang w:val="es-ES"/>
        </w:rPr>
        <w:t>Decreto-ley 3/2026, de 6 de abril, por el que se adoptan medidas como consecuencia de la crisis en Oriente Medio.</w:t>
      </w:r>
    </w:p>
    <w:p w14:paraId="26322269" w14:textId="1D588B92" w:rsidR="00D03F53" w:rsidRDefault="005768CB" w:rsidP="00DF41F1">
      <w:pPr>
        <w:jc w:val="both"/>
        <w:rPr>
          <w:rFonts w:ascii="Verdana" w:hAnsi="Verdana"/>
          <w:i/>
          <w:color w:val="333333"/>
          <w:sz w:val="18"/>
          <w:szCs w:val="18"/>
          <w:shd w:val="clear" w:color="auto" w:fill="FFFFFF"/>
        </w:rPr>
      </w:pPr>
      <w:r w:rsidRPr="00A70466">
        <w:rPr>
          <w:rFonts w:ascii="Verdana" w:hAnsi="Verdana"/>
          <w:i/>
          <w:color w:val="333333"/>
          <w:sz w:val="18"/>
          <w:szCs w:val="18"/>
          <w:shd w:val="clear" w:color="auto" w:fill="FFFFFF"/>
        </w:rPr>
        <w:t>B</w:t>
      </w:r>
      <w:r>
        <w:rPr>
          <w:rFonts w:ascii="Verdana" w:hAnsi="Verdana"/>
          <w:i/>
          <w:color w:val="333333"/>
          <w:sz w:val="18"/>
          <w:szCs w:val="18"/>
          <w:shd w:val="clear" w:color="auto" w:fill="FFFFFF"/>
        </w:rPr>
        <w:t>.</w:t>
      </w:r>
      <w:r w:rsidRPr="00A70466">
        <w:rPr>
          <w:rFonts w:ascii="Verdana" w:hAnsi="Verdana"/>
          <w:i/>
          <w:color w:val="333333"/>
          <w:sz w:val="18"/>
          <w:szCs w:val="18"/>
          <w:shd w:val="clear" w:color="auto" w:fill="FFFFFF"/>
        </w:rPr>
        <w:t>O.E. núm.</w:t>
      </w:r>
      <w:r w:rsidR="00443FF2">
        <w:rPr>
          <w:rFonts w:ascii="Verdana" w:hAnsi="Verdana"/>
          <w:i/>
          <w:color w:val="333333"/>
          <w:sz w:val="18"/>
          <w:szCs w:val="18"/>
          <w:shd w:val="clear" w:color="auto" w:fill="FFFFFF"/>
        </w:rPr>
        <w:t xml:space="preserve"> </w:t>
      </w:r>
      <w:r w:rsidRPr="00A70466">
        <w:rPr>
          <w:rFonts w:ascii="Verdana" w:hAnsi="Verdana"/>
          <w:i/>
          <w:color w:val="333333"/>
          <w:sz w:val="18"/>
          <w:szCs w:val="18"/>
          <w:shd w:val="clear" w:color="auto" w:fill="FFFFFF"/>
        </w:rPr>
        <w:t>13</w:t>
      </w:r>
      <w:r>
        <w:rPr>
          <w:rFonts w:ascii="Verdana" w:hAnsi="Verdana"/>
          <w:i/>
          <w:color w:val="333333"/>
          <w:sz w:val="18"/>
          <w:szCs w:val="18"/>
          <w:shd w:val="clear" w:color="auto" w:fill="FFFFFF"/>
        </w:rPr>
        <w:t>9</w:t>
      </w:r>
      <w:r w:rsidRPr="00A70466">
        <w:rPr>
          <w:rFonts w:ascii="Verdana" w:hAnsi="Verdana"/>
          <w:i/>
          <w:color w:val="333333"/>
          <w:sz w:val="18"/>
          <w:szCs w:val="18"/>
          <w:shd w:val="clear" w:color="auto" w:fill="FFFFFF"/>
        </w:rPr>
        <w:t xml:space="preserve"> de </w:t>
      </w:r>
      <w:r>
        <w:rPr>
          <w:rFonts w:ascii="Verdana" w:hAnsi="Verdana"/>
          <w:i/>
          <w:color w:val="333333"/>
          <w:sz w:val="18"/>
          <w:szCs w:val="18"/>
          <w:shd w:val="clear" w:color="auto" w:fill="FFFFFF"/>
        </w:rPr>
        <w:t>8 de junio</w:t>
      </w:r>
      <w:r w:rsidRPr="00A70466">
        <w:rPr>
          <w:rFonts w:ascii="Verdana" w:hAnsi="Verdana"/>
          <w:i/>
          <w:color w:val="333333"/>
          <w:sz w:val="18"/>
          <w:szCs w:val="18"/>
          <w:shd w:val="clear" w:color="auto" w:fill="FFFFFF"/>
        </w:rPr>
        <w:t xml:space="preserve"> de 2026.</w:t>
      </w:r>
    </w:p>
    <w:p w14:paraId="20F18E99" w14:textId="77777777" w:rsidR="00D03F53" w:rsidRDefault="00D03F53">
      <w:pPr>
        <w:rPr>
          <w:rFonts w:ascii="Verdana" w:hAnsi="Verdana"/>
          <w:i/>
          <w:color w:val="333333"/>
          <w:sz w:val="18"/>
          <w:szCs w:val="18"/>
          <w:shd w:val="clear" w:color="auto" w:fill="FFFFFF"/>
        </w:rPr>
      </w:pPr>
      <w:r>
        <w:rPr>
          <w:rFonts w:ascii="Verdana" w:hAnsi="Verdana"/>
          <w:i/>
          <w:color w:val="333333"/>
          <w:sz w:val="18"/>
          <w:szCs w:val="18"/>
          <w:shd w:val="clear" w:color="auto" w:fill="FFFFFF"/>
        </w:rPr>
        <w:br w:type="page"/>
      </w:r>
    </w:p>
    <w:p w14:paraId="19E1A6E4" w14:textId="003589BC" w:rsidR="00382E0C" w:rsidRPr="00D03F53" w:rsidRDefault="00382E0C" w:rsidP="00D03F53">
      <w:pPr>
        <w:jc w:val="both"/>
        <w:rPr>
          <w:rFonts w:ascii="Verdana" w:hAnsi="Verdana"/>
          <w:b/>
          <w:bCs/>
          <w:color w:val="800000"/>
          <w:sz w:val="20"/>
          <w:szCs w:val="20"/>
        </w:rPr>
      </w:pPr>
      <w:r w:rsidRPr="00D03F53">
        <w:rPr>
          <w:rFonts w:ascii="Verdana" w:hAnsi="Verdana"/>
          <w:b/>
          <w:bCs/>
          <w:color w:val="800000"/>
          <w:sz w:val="18"/>
          <w:szCs w:val="18"/>
        </w:rPr>
        <w:lastRenderedPageBreak/>
        <w:t>CALENDARIO</w:t>
      </w:r>
      <w:r w:rsidRPr="00D03F53">
        <w:rPr>
          <w:rFonts w:ascii="Verdana" w:hAnsi="Verdana"/>
          <w:b/>
          <w:bCs/>
          <w:color w:val="800000"/>
          <w:sz w:val="20"/>
          <w:szCs w:val="20"/>
        </w:rPr>
        <w:t xml:space="preserve"> FISCAL PARA EL MES DE JULIO DE </w:t>
      </w:r>
      <w:r w:rsidR="000D7657" w:rsidRPr="00D03F53">
        <w:rPr>
          <w:rFonts w:ascii="Verdana" w:hAnsi="Verdana"/>
          <w:b/>
          <w:bCs/>
          <w:color w:val="800000"/>
          <w:sz w:val="20"/>
          <w:szCs w:val="20"/>
        </w:rPr>
        <w:t>202</w:t>
      </w:r>
      <w:r w:rsidR="00A70466" w:rsidRPr="00D03F53">
        <w:rPr>
          <w:rFonts w:ascii="Verdana" w:hAnsi="Verdana"/>
          <w:b/>
          <w:bCs/>
          <w:color w:val="800000"/>
          <w:sz w:val="20"/>
          <w:szCs w:val="20"/>
        </w:rPr>
        <w:t>6</w:t>
      </w:r>
    </w:p>
    <w:p w14:paraId="00CC305B" w14:textId="77777777" w:rsidR="00382E0C" w:rsidRDefault="00382E0C" w:rsidP="001F348A">
      <w:pPr>
        <w:jc w:val="both"/>
        <w:rPr>
          <w:rFonts w:ascii="Verdana" w:hAnsi="Verdana"/>
          <w:b/>
          <w:bCs/>
          <w:color w:val="800000"/>
          <w:sz w:val="18"/>
          <w:szCs w:val="18"/>
        </w:rPr>
      </w:pPr>
    </w:p>
    <w:p w14:paraId="0FC94655" w14:textId="65F53504"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HASTA EL 13 DE JULIO</w:t>
      </w:r>
    </w:p>
    <w:p w14:paraId="379BE7B9"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INTRASTAT - Estadística Comercio Intracomunitario</w:t>
      </w:r>
    </w:p>
    <w:p w14:paraId="73156A90" w14:textId="1E4DC2CD" w:rsidR="00D03F53" w:rsidRDefault="00D03F53">
      <w:pPr>
        <w:pStyle w:val="Prrafodelista"/>
        <w:numPr>
          <w:ilvl w:val="0"/>
          <w:numId w:val="3"/>
        </w:numPr>
        <w:ind w:left="284" w:hanging="142"/>
        <w:jc w:val="both"/>
        <w:rPr>
          <w:rFonts w:ascii="Verdana" w:hAnsi="Verdana"/>
          <w:sz w:val="18"/>
          <w:szCs w:val="18"/>
        </w:rPr>
      </w:pPr>
      <w:r w:rsidRPr="00D03F53">
        <w:rPr>
          <w:rFonts w:ascii="Verdana" w:hAnsi="Verdana"/>
          <w:sz w:val="18"/>
          <w:szCs w:val="18"/>
        </w:rPr>
        <w:t>Junio 2026. Obligados a suministrar información estadística.</w:t>
      </w:r>
    </w:p>
    <w:p w14:paraId="45EBB74E" w14:textId="77777777" w:rsidR="00D03F53" w:rsidRDefault="00D03F53" w:rsidP="00D03F53">
      <w:pPr>
        <w:jc w:val="both"/>
        <w:rPr>
          <w:rFonts w:ascii="Verdana" w:hAnsi="Verdana"/>
          <w:sz w:val="18"/>
          <w:szCs w:val="18"/>
        </w:rPr>
      </w:pPr>
    </w:p>
    <w:p w14:paraId="5A5748B3" w14:textId="6713BD10" w:rsidR="00D03F53" w:rsidRPr="00D03F53" w:rsidRDefault="001C2C6F" w:rsidP="00D03F53">
      <w:pPr>
        <w:jc w:val="both"/>
        <w:rPr>
          <w:rFonts w:ascii="Verdana" w:hAnsi="Verdana"/>
          <w:b/>
          <w:bCs/>
          <w:color w:val="800000"/>
          <w:sz w:val="18"/>
          <w:szCs w:val="18"/>
        </w:rPr>
      </w:pPr>
      <w:r w:rsidRPr="001C2C6F">
        <w:rPr>
          <w:rFonts w:ascii="Verdana" w:hAnsi="Verdana"/>
          <w:b/>
          <w:bCs/>
          <w:color w:val="800000"/>
          <w:sz w:val="18"/>
          <w:szCs w:val="18"/>
        </w:rPr>
        <w:t>HASTA EL 20 DE JULIO</w:t>
      </w:r>
    </w:p>
    <w:p w14:paraId="618CD697"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Renta y Sociedades</w:t>
      </w:r>
    </w:p>
    <w:p w14:paraId="73113758" w14:textId="77777777" w:rsidR="00D03F53" w:rsidRPr="00D03F53" w:rsidRDefault="00D03F53" w:rsidP="00D03F53">
      <w:pPr>
        <w:jc w:val="both"/>
        <w:rPr>
          <w:rFonts w:ascii="Verdana" w:hAnsi="Verdana"/>
          <w:sz w:val="18"/>
          <w:szCs w:val="18"/>
        </w:rPr>
      </w:pPr>
      <w:r w:rsidRPr="00D03F53">
        <w:rPr>
          <w:rFonts w:ascii="Verdana" w:hAnsi="Verdana"/>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768518A9" w14:textId="77777777" w:rsidR="00D03F53" w:rsidRPr="00D03F53" w:rsidRDefault="00D03F53">
      <w:pPr>
        <w:numPr>
          <w:ilvl w:val="0"/>
          <w:numId w:val="4"/>
        </w:numPr>
        <w:jc w:val="both"/>
        <w:rPr>
          <w:rFonts w:ascii="Verdana" w:hAnsi="Verdana"/>
          <w:sz w:val="18"/>
          <w:szCs w:val="18"/>
        </w:rPr>
      </w:pPr>
      <w:r w:rsidRPr="00D03F53">
        <w:rPr>
          <w:rFonts w:ascii="Verdana" w:hAnsi="Verdana"/>
          <w:sz w:val="18"/>
          <w:szCs w:val="18"/>
        </w:rPr>
        <w:t>Junio 2026. Grandes empresas: 111, 115, 117, 123, 124, 126, 128, 216, 230</w:t>
      </w:r>
    </w:p>
    <w:p w14:paraId="6B100899" w14:textId="77777777" w:rsidR="00D03F53" w:rsidRPr="00D03F53" w:rsidRDefault="00D03F53">
      <w:pPr>
        <w:numPr>
          <w:ilvl w:val="0"/>
          <w:numId w:val="4"/>
        </w:numPr>
        <w:jc w:val="both"/>
        <w:rPr>
          <w:rFonts w:ascii="Verdana" w:hAnsi="Verdana"/>
          <w:sz w:val="18"/>
          <w:szCs w:val="18"/>
        </w:rPr>
      </w:pPr>
      <w:r w:rsidRPr="00D03F53">
        <w:rPr>
          <w:rFonts w:ascii="Verdana" w:hAnsi="Verdana"/>
          <w:sz w:val="18"/>
          <w:szCs w:val="18"/>
        </w:rPr>
        <w:t>Segundo trimestre 2026: 111, 115, 117, 123, 124, 126, 128, 136, 210, 216</w:t>
      </w:r>
    </w:p>
    <w:p w14:paraId="6126C380" w14:textId="77777777" w:rsidR="00D03F53" w:rsidRPr="00D03F53" w:rsidRDefault="00D03F53" w:rsidP="00D03F53">
      <w:pPr>
        <w:jc w:val="both"/>
        <w:rPr>
          <w:rFonts w:ascii="Verdana" w:hAnsi="Verdana"/>
          <w:sz w:val="18"/>
          <w:szCs w:val="18"/>
        </w:rPr>
      </w:pPr>
      <w:r w:rsidRPr="00D03F53">
        <w:rPr>
          <w:rFonts w:ascii="Verdana" w:hAnsi="Verdana"/>
          <w:b/>
          <w:bCs/>
          <w:sz w:val="18"/>
          <w:szCs w:val="18"/>
        </w:rPr>
        <w:t>Pagos fraccionados Renta</w:t>
      </w:r>
    </w:p>
    <w:p w14:paraId="2726F153" w14:textId="77777777" w:rsidR="00D03F53" w:rsidRPr="00D03F53" w:rsidRDefault="00D03F53">
      <w:pPr>
        <w:numPr>
          <w:ilvl w:val="0"/>
          <w:numId w:val="5"/>
        </w:numPr>
        <w:jc w:val="both"/>
        <w:rPr>
          <w:rFonts w:ascii="Verdana" w:hAnsi="Verdana"/>
          <w:sz w:val="18"/>
          <w:szCs w:val="18"/>
        </w:rPr>
      </w:pPr>
      <w:r w:rsidRPr="00D03F53">
        <w:rPr>
          <w:rFonts w:ascii="Verdana" w:hAnsi="Verdana"/>
          <w:sz w:val="18"/>
          <w:szCs w:val="18"/>
        </w:rPr>
        <w:t>Segundo trimestre 2026:</w:t>
      </w:r>
    </w:p>
    <w:p w14:paraId="1C04BF3E" w14:textId="77777777" w:rsidR="00D03F53" w:rsidRPr="00D03F53" w:rsidRDefault="00D03F53">
      <w:pPr>
        <w:numPr>
          <w:ilvl w:val="1"/>
          <w:numId w:val="5"/>
        </w:numPr>
        <w:jc w:val="both"/>
        <w:rPr>
          <w:rFonts w:ascii="Verdana" w:hAnsi="Verdana"/>
          <w:sz w:val="18"/>
          <w:szCs w:val="18"/>
        </w:rPr>
      </w:pPr>
      <w:r w:rsidRPr="00D03F53">
        <w:rPr>
          <w:rFonts w:ascii="Verdana" w:hAnsi="Verdana"/>
          <w:sz w:val="18"/>
          <w:szCs w:val="18"/>
        </w:rPr>
        <w:t>Estimación directa: 130</w:t>
      </w:r>
    </w:p>
    <w:p w14:paraId="7D2968F0" w14:textId="77777777" w:rsidR="00D03F53" w:rsidRPr="00D03F53" w:rsidRDefault="00D03F53">
      <w:pPr>
        <w:numPr>
          <w:ilvl w:val="1"/>
          <w:numId w:val="5"/>
        </w:numPr>
        <w:jc w:val="both"/>
        <w:rPr>
          <w:rFonts w:ascii="Verdana" w:hAnsi="Verdana"/>
          <w:sz w:val="18"/>
          <w:szCs w:val="18"/>
        </w:rPr>
      </w:pPr>
      <w:r w:rsidRPr="00D03F53">
        <w:rPr>
          <w:rFonts w:ascii="Verdana" w:hAnsi="Verdana"/>
          <w:sz w:val="18"/>
          <w:szCs w:val="18"/>
        </w:rPr>
        <w:t>Estimación objetiva: 131</w:t>
      </w:r>
    </w:p>
    <w:p w14:paraId="38ABC0F7"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IVA</w:t>
      </w:r>
    </w:p>
    <w:p w14:paraId="30168E49" w14:textId="77777777" w:rsidR="00D03F53" w:rsidRPr="00D03F53" w:rsidRDefault="00D03F53">
      <w:pPr>
        <w:numPr>
          <w:ilvl w:val="0"/>
          <w:numId w:val="6"/>
        </w:numPr>
        <w:jc w:val="both"/>
        <w:rPr>
          <w:rFonts w:ascii="Verdana" w:hAnsi="Verdana"/>
          <w:sz w:val="18"/>
          <w:szCs w:val="18"/>
        </w:rPr>
      </w:pPr>
      <w:r w:rsidRPr="00D03F53">
        <w:rPr>
          <w:rFonts w:ascii="Verdana" w:hAnsi="Verdana"/>
          <w:sz w:val="18"/>
          <w:szCs w:val="18"/>
        </w:rPr>
        <w:t>Junio 2026. Declaración recapitulativa de operaciones intracomunitarias: 349</w:t>
      </w:r>
    </w:p>
    <w:p w14:paraId="6C5D5617" w14:textId="77777777" w:rsidR="00D03F53" w:rsidRPr="00D03F53" w:rsidRDefault="00D03F53">
      <w:pPr>
        <w:numPr>
          <w:ilvl w:val="0"/>
          <w:numId w:val="6"/>
        </w:numPr>
        <w:jc w:val="both"/>
        <w:rPr>
          <w:rFonts w:ascii="Verdana" w:hAnsi="Verdana"/>
          <w:sz w:val="18"/>
          <w:szCs w:val="18"/>
        </w:rPr>
      </w:pPr>
      <w:r w:rsidRPr="00D03F53">
        <w:rPr>
          <w:rFonts w:ascii="Verdana" w:hAnsi="Verdana"/>
          <w:sz w:val="18"/>
          <w:szCs w:val="18"/>
        </w:rPr>
        <w:t>Segundo trimestre 2026. Autoliquidación: 303</w:t>
      </w:r>
    </w:p>
    <w:p w14:paraId="53BCACCF" w14:textId="77777777" w:rsidR="00D03F53" w:rsidRPr="00D03F53" w:rsidRDefault="00D03F53">
      <w:pPr>
        <w:numPr>
          <w:ilvl w:val="0"/>
          <w:numId w:val="6"/>
        </w:numPr>
        <w:jc w:val="both"/>
        <w:rPr>
          <w:rFonts w:ascii="Verdana" w:hAnsi="Verdana"/>
          <w:sz w:val="18"/>
          <w:szCs w:val="18"/>
        </w:rPr>
      </w:pPr>
      <w:r w:rsidRPr="00D03F53">
        <w:rPr>
          <w:rFonts w:ascii="Verdana" w:hAnsi="Verdana"/>
          <w:sz w:val="18"/>
          <w:szCs w:val="18"/>
        </w:rPr>
        <w:t>Segundo trimestre 2026. Declaración-liquidación no periódica: 309</w:t>
      </w:r>
    </w:p>
    <w:p w14:paraId="083E762A" w14:textId="77777777" w:rsidR="00D03F53" w:rsidRPr="00D03F53" w:rsidRDefault="00D03F53">
      <w:pPr>
        <w:numPr>
          <w:ilvl w:val="0"/>
          <w:numId w:val="6"/>
        </w:numPr>
        <w:jc w:val="both"/>
        <w:rPr>
          <w:rFonts w:ascii="Verdana" w:hAnsi="Verdana"/>
          <w:sz w:val="18"/>
          <w:szCs w:val="18"/>
        </w:rPr>
      </w:pPr>
      <w:r w:rsidRPr="00D03F53">
        <w:rPr>
          <w:rFonts w:ascii="Verdana" w:hAnsi="Verdana"/>
          <w:sz w:val="18"/>
          <w:szCs w:val="18"/>
        </w:rPr>
        <w:t>Segundo trimestre 2026. Declaración recapitulativa de operaciones intracomunitarias: 349</w:t>
      </w:r>
    </w:p>
    <w:p w14:paraId="5F47F17D" w14:textId="77777777" w:rsidR="00D03F53" w:rsidRPr="00D03F53" w:rsidRDefault="00D03F53">
      <w:pPr>
        <w:numPr>
          <w:ilvl w:val="0"/>
          <w:numId w:val="6"/>
        </w:numPr>
        <w:jc w:val="both"/>
        <w:rPr>
          <w:rFonts w:ascii="Verdana" w:hAnsi="Verdana"/>
          <w:sz w:val="18"/>
          <w:szCs w:val="18"/>
        </w:rPr>
      </w:pPr>
      <w:r w:rsidRPr="00D03F53">
        <w:rPr>
          <w:rFonts w:ascii="Verdana" w:hAnsi="Verdana"/>
          <w:sz w:val="18"/>
          <w:szCs w:val="18"/>
        </w:rPr>
        <w:t>Segundo trimestre 2026. Operaciones asimiladas a las importaciones: 380</w:t>
      </w:r>
    </w:p>
    <w:p w14:paraId="66082625" w14:textId="77777777" w:rsidR="00D03F53" w:rsidRPr="00D03F53" w:rsidRDefault="00D03F53">
      <w:pPr>
        <w:numPr>
          <w:ilvl w:val="0"/>
          <w:numId w:val="6"/>
        </w:numPr>
        <w:jc w:val="both"/>
        <w:rPr>
          <w:rFonts w:ascii="Verdana" w:hAnsi="Verdana"/>
          <w:sz w:val="18"/>
          <w:szCs w:val="18"/>
        </w:rPr>
      </w:pPr>
      <w:r w:rsidRPr="00D03F53">
        <w:rPr>
          <w:rFonts w:ascii="Verdana" w:hAnsi="Verdana"/>
          <w:sz w:val="18"/>
          <w:szCs w:val="18"/>
        </w:rPr>
        <w:t>Solicitud de devolución de cuotas reembolsadas a viajeros por empresarios en recargo de equivalencia: 308</w:t>
      </w:r>
    </w:p>
    <w:p w14:paraId="61AC3C32" w14:textId="77777777" w:rsidR="00D03F53" w:rsidRPr="00D03F53" w:rsidRDefault="00D03F53">
      <w:pPr>
        <w:numPr>
          <w:ilvl w:val="0"/>
          <w:numId w:val="6"/>
        </w:numPr>
        <w:jc w:val="both"/>
        <w:rPr>
          <w:rFonts w:ascii="Verdana" w:hAnsi="Verdana"/>
          <w:sz w:val="18"/>
          <w:szCs w:val="18"/>
        </w:rPr>
      </w:pPr>
      <w:r w:rsidRPr="00D03F53">
        <w:rPr>
          <w:rFonts w:ascii="Verdana" w:hAnsi="Verdana"/>
          <w:sz w:val="18"/>
          <w:szCs w:val="18"/>
        </w:rPr>
        <w:t>Solicitud de devolución por sujetos pasivos en el régimen simplificado del IVA y que ejerzan la actividad de transporte de viajeros o de mercancías por carretera, por adquirir determinados medios de transporte: 308</w:t>
      </w:r>
    </w:p>
    <w:p w14:paraId="278E3371" w14:textId="77777777" w:rsidR="00D03F53" w:rsidRDefault="00D03F53">
      <w:pPr>
        <w:numPr>
          <w:ilvl w:val="0"/>
          <w:numId w:val="6"/>
        </w:numPr>
        <w:jc w:val="both"/>
        <w:rPr>
          <w:rFonts w:ascii="Verdana" w:hAnsi="Verdana"/>
          <w:sz w:val="18"/>
          <w:szCs w:val="18"/>
        </w:rPr>
      </w:pPr>
      <w:r w:rsidRPr="00D03F53">
        <w:rPr>
          <w:rFonts w:ascii="Verdana" w:hAnsi="Verdana"/>
          <w:sz w:val="18"/>
          <w:szCs w:val="18"/>
        </w:rPr>
        <w:t>Reintegro de compensaciones en el Régimen especial de la agricultura, ganadería y pesca: 341</w:t>
      </w:r>
    </w:p>
    <w:p w14:paraId="49B19226" w14:textId="77777777" w:rsidR="001C2C6F" w:rsidRPr="00D03F53" w:rsidRDefault="001C2C6F" w:rsidP="001C2C6F">
      <w:pPr>
        <w:ind w:left="720"/>
        <w:jc w:val="both"/>
        <w:rPr>
          <w:rFonts w:ascii="Verdana" w:hAnsi="Verdana"/>
          <w:sz w:val="18"/>
          <w:szCs w:val="18"/>
        </w:rPr>
      </w:pPr>
    </w:p>
    <w:p w14:paraId="15583166"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 sobre las Primas de Seguros</w:t>
      </w:r>
    </w:p>
    <w:p w14:paraId="736BC422" w14:textId="77777777" w:rsidR="00D03F53" w:rsidRDefault="00D03F53">
      <w:pPr>
        <w:numPr>
          <w:ilvl w:val="0"/>
          <w:numId w:val="7"/>
        </w:numPr>
        <w:jc w:val="both"/>
        <w:rPr>
          <w:rFonts w:ascii="Verdana" w:hAnsi="Verdana"/>
          <w:sz w:val="18"/>
          <w:szCs w:val="18"/>
        </w:rPr>
      </w:pPr>
      <w:r w:rsidRPr="00D03F53">
        <w:rPr>
          <w:rFonts w:ascii="Verdana" w:hAnsi="Verdana"/>
          <w:sz w:val="18"/>
          <w:szCs w:val="18"/>
        </w:rPr>
        <w:t>Junio 2026: 430</w:t>
      </w:r>
    </w:p>
    <w:p w14:paraId="548BF7AA" w14:textId="77777777" w:rsidR="001C2C6F" w:rsidRPr="00D03F53" w:rsidRDefault="001C2C6F" w:rsidP="001C2C6F">
      <w:pPr>
        <w:ind w:left="720"/>
        <w:jc w:val="both"/>
        <w:rPr>
          <w:rFonts w:ascii="Verdana" w:hAnsi="Verdana"/>
          <w:sz w:val="18"/>
          <w:szCs w:val="18"/>
        </w:rPr>
      </w:pPr>
    </w:p>
    <w:p w14:paraId="08504165"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Impuestos Especiales de Fabricación</w:t>
      </w:r>
    </w:p>
    <w:p w14:paraId="09E968AE" w14:textId="77777777" w:rsidR="00D03F53" w:rsidRPr="00D03F53" w:rsidRDefault="00D03F53">
      <w:pPr>
        <w:numPr>
          <w:ilvl w:val="0"/>
          <w:numId w:val="8"/>
        </w:numPr>
        <w:jc w:val="both"/>
        <w:rPr>
          <w:rFonts w:ascii="Verdana" w:hAnsi="Verdana"/>
          <w:sz w:val="18"/>
          <w:szCs w:val="18"/>
        </w:rPr>
      </w:pPr>
      <w:r w:rsidRPr="00D03F53">
        <w:rPr>
          <w:rFonts w:ascii="Verdana" w:hAnsi="Verdana"/>
          <w:sz w:val="18"/>
          <w:szCs w:val="18"/>
        </w:rPr>
        <w:t>Abril 2026. Grandes empresas: 561, 562, 563</w:t>
      </w:r>
    </w:p>
    <w:p w14:paraId="5A619C66" w14:textId="77777777" w:rsidR="00D03F53" w:rsidRPr="00D03F53" w:rsidRDefault="00D03F53">
      <w:pPr>
        <w:numPr>
          <w:ilvl w:val="0"/>
          <w:numId w:val="8"/>
        </w:numPr>
        <w:jc w:val="both"/>
        <w:rPr>
          <w:rFonts w:ascii="Verdana" w:hAnsi="Verdana"/>
          <w:sz w:val="18"/>
          <w:szCs w:val="18"/>
        </w:rPr>
      </w:pPr>
      <w:r w:rsidRPr="00D03F53">
        <w:rPr>
          <w:rFonts w:ascii="Verdana" w:hAnsi="Verdana"/>
          <w:sz w:val="18"/>
          <w:szCs w:val="18"/>
        </w:rPr>
        <w:t>Junio 2026: 548, 566, 581</w:t>
      </w:r>
    </w:p>
    <w:p w14:paraId="6DB9CFF1" w14:textId="77777777" w:rsidR="00D03F53" w:rsidRPr="00D03F53" w:rsidRDefault="00D03F53">
      <w:pPr>
        <w:numPr>
          <w:ilvl w:val="0"/>
          <w:numId w:val="8"/>
        </w:numPr>
        <w:jc w:val="both"/>
        <w:rPr>
          <w:rFonts w:ascii="Verdana" w:hAnsi="Verdana"/>
          <w:sz w:val="18"/>
          <w:szCs w:val="18"/>
        </w:rPr>
      </w:pPr>
      <w:r w:rsidRPr="00D03F53">
        <w:rPr>
          <w:rFonts w:ascii="Verdana" w:hAnsi="Verdana"/>
          <w:sz w:val="18"/>
          <w:szCs w:val="18"/>
        </w:rPr>
        <w:t>Junio 2026: 573 (Autoliquidación), A24 (Solicitud de devolución)</w:t>
      </w:r>
    </w:p>
    <w:p w14:paraId="0C6B370E" w14:textId="77777777" w:rsidR="00D03F53" w:rsidRPr="00D03F53" w:rsidRDefault="00D03F53">
      <w:pPr>
        <w:numPr>
          <w:ilvl w:val="0"/>
          <w:numId w:val="8"/>
        </w:numPr>
        <w:jc w:val="both"/>
        <w:rPr>
          <w:rFonts w:ascii="Verdana" w:hAnsi="Verdana"/>
          <w:sz w:val="18"/>
          <w:szCs w:val="18"/>
        </w:rPr>
      </w:pPr>
      <w:r w:rsidRPr="00D03F53">
        <w:rPr>
          <w:rFonts w:ascii="Verdana" w:hAnsi="Verdana"/>
          <w:sz w:val="18"/>
          <w:szCs w:val="18"/>
        </w:rPr>
        <w:t>Segundo trimestre 2026: 521, 522, 547</w:t>
      </w:r>
    </w:p>
    <w:p w14:paraId="082BDA26" w14:textId="77777777" w:rsidR="00D03F53" w:rsidRPr="00D03F53" w:rsidRDefault="00D03F53">
      <w:pPr>
        <w:numPr>
          <w:ilvl w:val="0"/>
          <w:numId w:val="8"/>
        </w:numPr>
        <w:jc w:val="both"/>
        <w:rPr>
          <w:rFonts w:ascii="Verdana" w:hAnsi="Verdana"/>
          <w:sz w:val="18"/>
          <w:szCs w:val="18"/>
        </w:rPr>
      </w:pPr>
      <w:r w:rsidRPr="00D03F53">
        <w:rPr>
          <w:rFonts w:ascii="Verdana" w:hAnsi="Verdana"/>
          <w:sz w:val="18"/>
          <w:szCs w:val="18"/>
        </w:rPr>
        <w:t>Segundo trimestre 2026. Actividades V1, F1: 553 (establecimientos autorizados para la llevanza de la contabilidad en soporte papel)</w:t>
      </w:r>
    </w:p>
    <w:p w14:paraId="155C90EA" w14:textId="77777777" w:rsidR="00D03F53" w:rsidRPr="00D03F53" w:rsidRDefault="00D03F53">
      <w:pPr>
        <w:numPr>
          <w:ilvl w:val="0"/>
          <w:numId w:val="8"/>
        </w:numPr>
        <w:jc w:val="both"/>
        <w:rPr>
          <w:rFonts w:ascii="Verdana" w:hAnsi="Verdana"/>
          <w:sz w:val="18"/>
          <w:szCs w:val="18"/>
        </w:rPr>
      </w:pPr>
      <w:r w:rsidRPr="00D03F53">
        <w:rPr>
          <w:rFonts w:ascii="Verdana" w:hAnsi="Verdana"/>
          <w:sz w:val="18"/>
          <w:szCs w:val="18"/>
        </w:rPr>
        <w:t>Segundo trimestre 2026. Solicitudes de devolución: 506, 507, 508, 524, 572</w:t>
      </w:r>
    </w:p>
    <w:p w14:paraId="1B3021D3" w14:textId="77777777" w:rsidR="00D03F53" w:rsidRDefault="00D03F53">
      <w:pPr>
        <w:numPr>
          <w:ilvl w:val="0"/>
          <w:numId w:val="8"/>
        </w:numPr>
        <w:jc w:val="both"/>
        <w:rPr>
          <w:rFonts w:ascii="Verdana" w:hAnsi="Verdana"/>
          <w:sz w:val="18"/>
          <w:szCs w:val="18"/>
        </w:rPr>
      </w:pPr>
      <w:r w:rsidRPr="00D03F53">
        <w:rPr>
          <w:rFonts w:ascii="Verdana" w:hAnsi="Verdana"/>
          <w:sz w:val="18"/>
          <w:szCs w:val="18"/>
        </w:rPr>
        <w:t>Declaración de operaciones por los destinatarios registrados y representantes fiscales: 510</w:t>
      </w:r>
    </w:p>
    <w:p w14:paraId="2CD7C4C2" w14:textId="77777777" w:rsidR="001C2C6F" w:rsidRPr="00D03F53" w:rsidRDefault="001C2C6F" w:rsidP="001C2C6F">
      <w:pPr>
        <w:ind w:left="720"/>
        <w:jc w:val="both"/>
        <w:rPr>
          <w:rFonts w:ascii="Verdana" w:hAnsi="Verdana"/>
          <w:sz w:val="18"/>
          <w:szCs w:val="18"/>
        </w:rPr>
      </w:pPr>
    </w:p>
    <w:p w14:paraId="208E53B3"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 Especial sobre la Electricidad</w:t>
      </w:r>
    </w:p>
    <w:p w14:paraId="0F2DCEC6" w14:textId="77777777" w:rsidR="00D03F53" w:rsidRPr="00D03F53" w:rsidRDefault="00D03F53">
      <w:pPr>
        <w:numPr>
          <w:ilvl w:val="0"/>
          <w:numId w:val="9"/>
        </w:numPr>
        <w:jc w:val="both"/>
        <w:rPr>
          <w:rFonts w:ascii="Verdana" w:hAnsi="Verdana"/>
          <w:sz w:val="18"/>
          <w:szCs w:val="18"/>
        </w:rPr>
      </w:pPr>
      <w:r w:rsidRPr="00D03F53">
        <w:rPr>
          <w:rFonts w:ascii="Verdana" w:hAnsi="Verdana"/>
          <w:sz w:val="18"/>
          <w:szCs w:val="18"/>
        </w:rPr>
        <w:t>Junio 2026. Grandes empresas: 560</w:t>
      </w:r>
    </w:p>
    <w:p w14:paraId="6B62461D" w14:textId="6DC688A0" w:rsidR="00D03F53" w:rsidRDefault="00D03F53">
      <w:pPr>
        <w:numPr>
          <w:ilvl w:val="0"/>
          <w:numId w:val="9"/>
        </w:numPr>
        <w:jc w:val="both"/>
        <w:rPr>
          <w:rFonts w:ascii="Verdana" w:hAnsi="Verdana"/>
          <w:sz w:val="18"/>
          <w:szCs w:val="18"/>
        </w:rPr>
      </w:pPr>
      <w:r w:rsidRPr="00D03F53">
        <w:rPr>
          <w:rFonts w:ascii="Verdana" w:hAnsi="Verdana"/>
          <w:sz w:val="18"/>
          <w:szCs w:val="18"/>
        </w:rPr>
        <w:t>Segundo trimestre 2026. Excepto grandes empresas: 56</w:t>
      </w:r>
      <w:r w:rsidR="001C2C6F">
        <w:rPr>
          <w:rFonts w:ascii="Verdana" w:hAnsi="Verdana"/>
          <w:sz w:val="18"/>
          <w:szCs w:val="18"/>
        </w:rPr>
        <w:t>0</w:t>
      </w:r>
    </w:p>
    <w:p w14:paraId="2B63B683" w14:textId="77777777" w:rsidR="001C2C6F" w:rsidRPr="00D03F53" w:rsidRDefault="001C2C6F" w:rsidP="001C2C6F">
      <w:pPr>
        <w:ind w:left="720"/>
        <w:jc w:val="both"/>
        <w:rPr>
          <w:rFonts w:ascii="Verdana" w:hAnsi="Verdana"/>
          <w:sz w:val="18"/>
          <w:szCs w:val="18"/>
        </w:rPr>
      </w:pPr>
    </w:p>
    <w:p w14:paraId="3428AB9D"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Impuestos Medioambientales</w:t>
      </w:r>
    </w:p>
    <w:p w14:paraId="174C813A" w14:textId="77777777" w:rsidR="00D03F53" w:rsidRPr="00D03F53" w:rsidRDefault="00D03F53">
      <w:pPr>
        <w:numPr>
          <w:ilvl w:val="0"/>
          <w:numId w:val="10"/>
        </w:numPr>
        <w:jc w:val="both"/>
        <w:rPr>
          <w:rFonts w:ascii="Verdana" w:hAnsi="Verdana"/>
          <w:sz w:val="18"/>
          <w:szCs w:val="18"/>
        </w:rPr>
      </w:pPr>
      <w:r w:rsidRPr="00D03F53">
        <w:rPr>
          <w:rFonts w:ascii="Verdana" w:hAnsi="Verdana"/>
          <w:sz w:val="18"/>
          <w:szCs w:val="18"/>
        </w:rPr>
        <w:t>Junio 2026. Impuesto especial sobre los envases de plástico no reutilizables. Autoliquidación: 592</w:t>
      </w:r>
    </w:p>
    <w:p w14:paraId="6D0643B7" w14:textId="77777777" w:rsidR="00D03F53" w:rsidRPr="00D03F53" w:rsidRDefault="00D03F53">
      <w:pPr>
        <w:numPr>
          <w:ilvl w:val="0"/>
          <w:numId w:val="10"/>
        </w:numPr>
        <w:jc w:val="both"/>
        <w:rPr>
          <w:rFonts w:ascii="Verdana" w:hAnsi="Verdana"/>
          <w:sz w:val="18"/>
          <w:szCs w:val="18"/>
        </w:rPr>
      </w:pPr>
      <w:r w:rsidRPr="00D03F53">
        <w:rPr>
          <w:rFonts w:ascii="Verdana" w:hAnsi="Verdana"/>
          <w:sz w:val="18"/>
          <w:szCs w:val="18"/>
        </w:rPr>
        <w:t>Segundo trimestre 2026. Impuesto sobre los gases fluorados de efecto invernadero. Autoliquidación: 587. Solicitud de devolución: A23. Presentación contabilidad de existencias</w:t>
      </w:r>
    </w:p>
    <w:p w14:paraId="2460C5C8" w14:textId="77777777" w:rsidR="00D03F53" w:rsidRPr="00D03F53" w:rsidRDefault="00D03F53">
      <w:pPr>
        <w:numPr>
          <w:ilvl w:val="0"/>
          <w:numId w:val="10"/>
        </w:numPr>
        <w:jc w:val="both"/>
        <w:rPr>
          <w:rFonts w:ascii="Verdana" w:hAnsi="Verdana"/>
          <w:sz w:val="18"/>
          <w:szCs w:val="18"/>
        </w:rPr>
      </w:pPr>
      <w:r w:rsidRPr="00D03F53">
        <w:rPr>
          <w:rFonts w:ascii="Verdana" w:hAnsi="Verdana"/>
          <w:sz w:val="18"/>
          <w:szCs w:val="18"/>
        </w:rPr>
        <w:lastRenderedPageBreak/>
        <w:t>Segundo trimestre 2026. Impuesto especial sobre los envases de plástico no reutilizables. Autoliquidación: 592. Solicitud de devolución: A22</w:t>
      </w:r>
    </w:p>
    <w:p w14:paraId="2F905EB4" w14:textId="77777777" w:rsidR="00D03F53" w:rsidRDefault="00D03F53">
      <w:pPr>
        <w:numPr>
          <w:ilvl w:val="0"/>
          <w:numId w:val="10"/>
        </w:numPr>
        <w:jc w:val="both"/>
        <w:rPr>
          <w:rFonts w:ascii="Verdana" w:hAnsi="Verdana"/>
          <w:sz w:val="18"/>
          <w:szCs w:val="18"/>
        </w:rPr>
      </w:pPr>
      <w:r w:rsidRPr="00D03F53">
        <w:rPr>
          <w:rFonts w:ascii="Verdana" w:hAnsi="Verdana"/>
          <w:sz w:val="18"/>
          <w:szCs w:val="18"/>
        </w:rPr>
        <w:t> Año 2026. Impuesto sobre el almacenamiento de combustible nuclear gastado y residuos radiactivos en instalaciones centralizadas. Segundo pago fraccionado 585</w:t>
      </w:r>
    </w:p>
    <w:p w14:paraId="3E5B7F16" w14:textId="77777777" w:rsidR="001C2C6F" w:rsidRPr="00D03F53" w:rsidRDefault="001C2C6F" w:rsidP="001C2C6F">
      <w:pPr>
        <w:ind w:left="720"/>
        <w:jc w:val="both"/>
        <w:rPr>
          <w:rFonts w:ascii="Verdana" w:hAnsi="Verdana"/>
          <w:sz w:val="18"/>
          <w:szCs w:val="18"/>
        </w:rPr>
      </w:pPr>
    </w:p>
    <w:p w14:paraId="508DD916"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 Especial sobre el Carbón</w:t>
      </w:r>
    </w:p>
    <w:p w14:paraId="6CCDF595" w14:textId="77777777" w:rsidR="00D03F53" w:rsidRDefault="00D03F53">
      <w:pPr>
        <w:numPr>
          <w:ilvl w:val="0"/>
          <w:numId w:val="11"/>
        </w:numPr>
        <w:jc w:val="both"/>
        <w:rPr>
          <w:rFonts w:ascii="Verdana" w:hAnsi="Verdana"/>
          <w:sz w:val="18"/>
          <w:szCs w:val="18"/>
        </w:rPr>
      </w:pPr>
      <w:r w:rsidRPr="00D03F53">
        <w:rPr>
          <w:rFonts w:ascii="Verdana" w:hAnsi="Verdana"/>
          <w:sz w:val="18"/>
          <w:szCs w:val="18"/>
        </w:rPr>
        <w:t>Segundo trimestre 2026: 595</w:t>
      </w:r>
    </w:p>
    <w:p w14:paraId="16F43E25" w14:textId="77777777" w:rsidR="001C2C6F" w:rsidRPr="00D03F53" w:rsidRDefault="001C2C6F" w:rsidP="001C2C6F">
      <w:pPr>
        <w:ind w:left="720"/>
        <w:jc w:val="both"/>
        <w:rPr>
          <w:rFonts w:ascii="Verdana" w:hAnsi="Verdana"/>
          <w:sz w:val="18"/>
          <w:szCs w:val="18"/>
        </w:rPr>
      </w:pPr>
    </w:p>
    <w:p w14:paraId="3453581B"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 sobre las Transacciones Financieras</w:t>
      </w:r>
    </w:p>
    <w:p w14:paraId="7C67CAC3" w14:textId="77777777" w:rsidR="00D03F53" w:rsidRPr="00BF11E4" w:rsidRDefault="00D03F53" w:rsidP="001C2C6F">
      <w:pPr>
        <w:jc w:val="both"/>
        <w:rPr>
          <w:rFonts w:ascii="Verdana" w:hAnsi="Verdana"/>
          <w:sz w:val="18"/>
          <w:szCs w:val="18"/>
        </w:rPr>
      </w:pPr>
      <w:r w:rsidRPr="00BF11E4">
        <w:rPr>
          <w:rFonts w:ascii="Verdana" w:hAnsi="Verdana"/>
          <w:sz w:val="18"/>
          <w:szCs w:val="18"/>
        </w:rPr>
        <w:t>Junio 2026: 604</w:t>
      </w:r>
    </w:p>
    <w:p w14:paraId="5A93648A" w14:textId="77777777" w:rsidR="00BF11E4" w:rsidRPr="00D03F53" w:rsidRDefault="00BF11E4" w:rsidP="001C2C6F">
      <w:pPr>
        <w:jc w:val="both"/>
        <w:rPr>
          <w:rFonts w:ascii="Verdana" w:hAnsi="Verdana"/>
          <w:b/>
          <w:bCs/>
          <w:color w:val="800000"/>
          <w:sz w:val="18"/>
          <w:szCs w:val="18"/>
        </w:rPr>
      </w:pPr>
    </w:p>
    <w:p w14:paraId="34DA9B91" w14:textId="1AAE1AF4" w:rsidR="00D03F53" w:rsidRPr="00443FF2" w:rsidRDefault="00D03F53" w:rsidP="00D03F53">
      <w:pPr>
        <w:jc w:val="both"/>
        <w:rPr>
          <w:rFonts w:ascii="Verdana" w:hAnsi="Verdana"/>
          <w:sz w:val="18"/>
          <w:szCs w:val="18"/>
        </w:rPr>
      </w:pPr>
      <w:r w:rsidRPr="00443FF2">
        <w:rPr>
          <w:rFonts w:ascii="Verdana" w:hAnsi="Verdana"/>
          <w:sz w:val="18"/>
          <w:szCs w:val="18"/>
        </w:rPr>
        <w:t>Aportación a realizar por los prestadores del servicio de comunicación audiovisual televisivo y por los prestadores del servicio de intercambio de vídeos a través de plataforma de ámbito geográfico estatal o superior al de una Comunidad Autónoma</w:t>
      </w:r>
    </w:p>
    <w:p w14:paraId="418EE5EA" w14:textId="77777777" w:rsidR="00D03F53" w:rsidRDefault="00D03F53">
      <w:pPr>
        <w:numPr>
          <w:ilvl w:val="0"/>
          <w:numId w:val="12"/>
        </w:numPr>
        <w:jc w:val="both"/>
        <w:rPr>
          <w:rFonts w:ascii="Verdana" w:hAnsi="Verdana"/>
          <w:sz w:val="18"/>
          <w:szCs w:val="18"/>
        </w:rPr>
      </w:pPr>
      <w:r w:rsidRPr="00D03F53">
        <w:rPr>
          <w:rFonts w:ascii="Verdana" w:hAnsi="Verdana"/>
          <w:sz w:val="18"/>
          <w:szCs w:val="18"/>
        </w:rPr>
        <w:t>Pago a cuenta 2P 2026: 793</w:t>
      </w:r>
    </w:p>
    <w:p w14:paraId="2782E391" w14:textId="77777777" w:rsidR="00443FF2" w:rsidRDefault="00443FF2" w:rsidP="00443FF2">
      <w:pPr>
        <w:jc w:val="both"/>
        <w:rPr>
          <w:rFonts w:ascii="Verdana" w:hAnsi="Verdana"/>
          <w:sz w:val="18"/>
          <w:szCs w:val="18"/>
        </w:rPr>
      </w:pPr>
    </w:p>
    <w:p w14:paraId="45FC6744" w14:textId="4F1B8AAF" w:rsidR="00443FF2" w:rsidRPr="00443FF2" w:rsidRDefault="00BF11E4" w:rsidP="00443FF2">
      <w:pPr>
        <w:jc w:val="both"/>
        <w:rPr>
          <w:rFonts w:ascii="Verdana" w:hAnsi="Verdana"/>
          <w:b/>
          <w:bCs/>
          <w:color w:val="800000"/>
          <w:sz w:val="18"/>
          <w:szCs w:val="18"/>
        </w:rPr>
      </w:pPr>
      <w:r w:rsidRPr="00443FF2">
        <w:rPr>
          <w:rFonts w:ascii="Verdana" w:hAnsi="Verdana"/>
          <w:b/>
          <w:bCs/>
          <w:color w:val="800000"/>
          <w:sz w:val="18"/>
          <w:szCs w:val="18"/>
        </w:rPr>
        <w:t>HASTA EL 27 DE JULIO</w:t>
      </w:r>
    </w:p>
    <w:p w14:paraId="7F1288A5" w14:textId="77777777" w:rsidR="00443FF2" w:rsidRPr="00443FF2" w:rsidRDefault="00443FF2" w:rsidP="00443FF2">
      <w:pPr>
        <w:jc w:val="both"/>
        <w:rPr>
          <w:rFonts w:ascii="Verdana" w:hAnsi="Verdana"/>
          <w:sz w:val="18"/>
          <w:szCs w:val="18"/>
        </w:rPr>
      </w:pPr>
      <w:r w:rsidRPr="00443FF2">
        <w:rPr>
          <w:rFonts w:ascii="Verdana" w:hAnsi="Verdana"/>
          <w:b/>
          <w:bCs/>
          <w:color w:val="800000"/>
          <w:sz w:val="18"/>
          <w:szCs w:val="18"/>
        </w:rPr>
        <w:t>Impuesto sobre Sociedades e Impuesto sobre la Renta de no Residentes (establecimientos permanentes y entidades de rentas constituidas en el extranjero</w:t>
      </w:r>
      <w:r w:rsidRPr="00443FF2">
        <w:rPr>
          <w:rFonts w:ascii="Verdana" w:hAnsi="Verdana"/>
          <w:b/>
          <w:bCs/>
          <w:sz w:val="18"/>
          <w:szCs w:val="18"/>
        </w:rPr>
        <w:t xml:space="preserve"> con presencia en territorio español)</w:t>
      </w:r>
    </w:p>
    <w:p w14:paraId="05112632" w14:textId="77777777" w:rsidR="00443FF2" w:rsidRPr="00443FF2" w:rsidRDefault="00443FF2" w:rsidP="00ED5853">
      <w:pPr>
        <w:numPr>
          <w:ilvl w:val="0"/>
          <w:numId w:val="49"/>
        </w:numPr>
        <w:jc w:val="both"/>
        <w:rPr>
          <w:rFonts w:ascii="Verdana" w:hAnsi="Verdana"/>
          <w:sz w:val="18"/>
          <w:szCs w:val="18"/>
        </w:rPr>
      </w:pPr>
      <w:r w:rsidRPr="00443FF2">
        <w:rPr>
          <w:rFonts w:ascii="Verdana" w:hAnsi="Verdana"/>
          <w:sz w:val="18"/>
          <w:szCs w:val="18"/>
        </w:rPr>
        <w:t>Declaración anual 2025. Entidades cuyo período impositivo coincida con el año natural: 200, 206, 220.</w:t>
      </w:r>
    </w:p>
    <w:p w14:paraId="7DF2F033" w14:textId="77777777" w:rsidR="00443FF2" w:rsidRPr="00443FF2" w:rsidRDefault="00443FF2" w:rsidP="00443FF2">
      <w:pPr>
        <w:jc w:val="both"/>
        <w:rPr>
          <w:rFonts w:ascii="Verdana" w:hAnsi="Verdana"/>
          <w:sz w:val="18"/>
          <w:szCs w:val="18"/>
        </w:rPr>
      </w:pPr>
      <w:r w:rsidRPr="00443FF2">
        <w:rPr>
          <w:rFonts w:ascii="Verdana" w:hAnsi="Verdana"/>
          <w:sz w:val="18"/>
          <w:szCs w:val="18"/>
        </w:rPr>
        <w:t>Resto de entidades: en los 25 días naturales siguientes a los seis meses posteriores al fin del período impositivo.</w:t>
      </w:r>
    </w:p>
    <w:p w14:paraId="6BF5E2E4" w14:textId="77777777" w:rsidR="00443FF2" w:rsidRPr="00443FF2" w:rsidRDefault="00443FF2" w:rsidP="00443FF2">
      <w:pPr>
        <w:jc w:val="both"/>
        <w:rPr>
          <w:rFonts w:ascii="Verdana" w:hAnsi="Verdana"/>
          <w:b/>
          <w:bCs/>
          <w:color w:val="800000"/>
          <w:sz w:val="18"/>
          <w:szCs w:val="18"/>
        </w:rPr>
      </w:pPr>
      <w:r w:rsidRPr="00443FF2">
        <w:rPr>
          <w:rFonts w:ascii="Verdana" w:hAnsi="Verdana"/>
          <w:b/>
          <w:bCs/>
          <w:color w:val="800000"/>
          <w:sz w:val="18"/>
          <w:szCs w:val="18"/>
        </w:rPr>
        <w:t>Autoliquidación del Impuesto Complementario</w:t>
      </w:r>
    </w:p>
    <w:p w14:paraId="530E2329" w14:textId="77777777" w:rsidR="00443FF2" w:rsidRDefault="00443FF2" w:rsidP="00ED5853">
      <w:pPr>
        <w:numPr>
          <w:ilvl w:val="0"/>
          <w:numId w:val="50"/>
        </w:numPr>
        <w:jc w:val="both"/>
        <w:rPr>
          <w:rFonts w:ascii="Verdana" w:hAnsi="Verdana"/>
          <w:sz w:val="18"/>
          <w:szCs w:val="18"/>
        </w:rPr>
      </w:pPr>
      <w:r w:rsidRPr="00443FF2">
        <w:rPr>
          <w:rFonts w:ascii="Verdana" w:hAnsi="Verdana"/>
          <w:sz w:val="18"/>
          <w:szCs w:val="18"/>
        </w:rPr>
        <w:t>Primera autoliquidación: 242</w:t>
      </w:r>
    </w:p>
    <w:p w14:paraId="2D121023" w14:textId="77777777" w:rsidR="00BF11E4" w:rsidRPr="00443FF2" w:rsidRDefault="00BF11E4" w:rsidP="00BF11E4">
      <w:pPr>
        <w:ind w:left="720"/>
        <w:jc w:val="both"/>
        <w:rPr>
          <w:rFonts w:ascii="Verdana" w:hAnsi="Verdana"/>
          <w:sz w:val="18"/>
          <w:szCs w:val="18"/>
        </w:rPr>
      </w:pPr>
    </w:p>
    <w:p w14:paraId="6067D01B" w14:textId="77777777" w:rsidR="00443FF2" w:rsidRPr="00443FF2" w:rsidRDefault="00443FF2" w:rsidP="00443FF2">
      <w:pPr>
        <w:jc w:val="both"/>
        <w:rPr>
          <w:rFonts w:ascii="Verdana" w:hAnsi="Verdana"/>
          <w:b/>
          <w:bCs/>
          <w:color w:val="800000"/>
          <w:sz w:val="18"/>
          <w:szCs w:val="18"/>
        </w:rPr>
      </w:pPr>
      <w:r w:rsidRPr="00443FF2">
        <w:rPr>
          <w:rFonts w:ascii="Verdana" w:hAnsi="Verdana"/>
          <w:b/>
          <w:bCs/>
          <w:color w:val="800000"/>
          <w:sz w:val="18"/>
          <w:szCs w:val="18"/>
        </w:rPr>
        <w:t>Declaración de prestación patrimonial por conversión de activos por impuesto diferido en crédito exigible frente a la Administración Tributaria</w:t>
      </w:r>
    </w:p>
    <w:p w14:paraId="09A79173" w14:textId="77777777" w:rsidR="00443FF2" w:rsidRPr="00443FF2" w:rsidRDefault="00443FF2" w:rsidP="00ED5853">
      <w:pPr>
        <w:numPr>
          <w:ilvl w:val="0"/>
          <w:numId w:val="51"/>
        </w:numPr>
        <w:jc w:val="both"/>
        <w:rPr>
          <w:rFonts w:ascii="Verdana" w:hAnsi="Verdana"/>
          <w:sz w:val="18"/>
          <w:szCs w:val="18"/>
        </w:rPr>
      </w:pPr>
      <w:r w:rsidRPr="00443FF2">
        <w:rPr>
          <w:rFonts w:ascii="Verdana" w:hAnsi="Verdana"/>
          <w:sz w:val="18"/>
          <w:szCs w:val="18"/>
        </w:rPr>
        <w:t>Año 2025. Entidades cuyo período impositivo coincida con el año natural: 221</w:t>
      </w:r>
    </w:p>
    <w:p w14:paraId="2AD051DB" w14:textId="77777777" w:rsidR="00BF11E4" w:rsidRDefault="00BF11E4" w:rsidP="00443FF2">
      <w:pPr>
        <w:jc w:val="both"/>
        <w:rPr>
          <w:rFonts w:ascii="Verdana" w:hAnsi="Verdana"/>
          <w:sz w:val="18"/>
          <w:szCs w:val="18"/>
        </w:rPr>
      </w:pPr>
    </w:p>
    <w:p w14:paraId="481E2E73" w14:textId="6A9D2CE6" w:rsidR="00BF11E4" w:rsidRDefault="00443FF2" w:rsidP="00443FF2">
      <w:pPr>
        <w:jc w:val="both"/>
        <w:rPr>
          <w:rFonts w:ascii="Verdana" w:hAnsi="Verdana"/>
          <w:sz w:val="18"/>
          <w:szCs w:val="18"/>
        </w:rPr>
      </w:pPr>
      <w:r w:rsidRPr="00443FF2">
        <w:rPr>
          <w:rFonts w:ascii="Verdana" w:hAnsi="Verdana"/>
          <w:sz w:val="18"/>
          <w:szCs w:val="18"/>
        </w:rPr>
        <w:t>Resto de entidades: en los 25 días naturales siguientes a los seis meses posteriores al fin del período impositivo.</w:t>
      </w:r>
    </w:p>
    <w:p w14:paraId="29778E5C" w14:textId="77777777" w:rsidR="00BF11E4" w:rsidRDefault="00BF11E4" w:rsidP="00443FF2">
      <w:pPr>
        <w:jc w:val="both"/>
        <w:rPr>
          <w:rFonts w:ascii="Verdana" w:hAnsi="Verdana"/>
          <w:sz w:val="18"/>
          <w:szCs w:val="18"/>
        </w:rPr>
      </w:pPr>
    </w:p>
    <w:p w14:paraId="6110EFA5" w14:textId="77777777" w:rsidR="00443FF2" w:rsidRPr="00443FF2" w:rsidRDefault="00443FF2" w:rsidP="00443FF2">
      <w:pPr>
        <w:jc w:val="both"/>
        <w:rPr>
          <w:rFonts w:ascii="Verdana" w:hAnsi="Verdana"/>
          <w:b/>
          <w:bCs/>
          <w:color w:val="800000"/>
          <w:sz w:val="18"/>
          <w:szCs w:val="18"/>
        </w:rPr>
      </w:pPr>
      <w:r w:rsidRPr="00443FF2">
        <w:rPr>
          <w:rFonts w:ascii="Verdana" w:hAnsi="Verdana"/>
          <w:b/>
          <w:bCs/>
          <w:color w:val="800000"/>
          <w:sz w:val="18"/>
          <w:szCs w:val="18"/>
        </w:rPr>
        <w:t>Declaración informativa anual de ayudas recibidas en el marco del régimen económico y fiscal de Canarias y otras ayudas de Estado por contribuyentes del Impuesto sobre Sociedades e Impuesto sobre la Renta de no residentes (establecimientos permanentes y entidades en atribución de rentas constituidas en el extranjero con presencia en territorio español)</w:t>
      </w:r>
    </w:p>
    <w:p w14:paraId="61C67311" w14:textId="77777777" w:rsidR="00443FF2" w:rsidRPr="00443FF2" w:rsidRDefault="00443FF2" w:rsidP="00ED5853">
      <w:pPr>
        <w:numPr>
          <w:ilvl w:val="0"/>
          <w:numId w:val="52"/>
        </w:numPr>
        <w:jc w:val="both"/>
        <w:rPr>
          <w:rFonts w:ascii="Verdana" w:hAnsi="Verdana"/>
          <w:sz w:val="18"/>
          <w:szCs w:val="18"/>
        </w:rPr>
      </w:pPr>
      <w:r w:rsidRPr="00443FF2">
        <w:rPr>
          <w:rFonts w:ascii="Verdana" w:hAnsi="Verdana"/>
          <w:sz w:val="18"/>
          <w:szCs w:val="18"/>
        </w:rPr>
        <w:t>Año 2025. Entidades cuyo período impositivo coincida con el año natural: 282</w:t>
      </w:r>
    </w:p>
    <w:p w14:paraId="1539431F" w14:textId="77777777" w:rsidR="00443FF2" w:rsidRDefault="00443FF2" w:rsidP="00443FF2">
      <w:pPr>
        <w:jc w:val="both"/>
        <w:rPr>
          <w:rFonts w:ascii="Verdana" w:hAnsi="Verdana"/>
          <w:sz w:val="18"/>
          <w:szCs w:val="18"/>
        </w:rPr>
      </w:pPr>
      <w:r w:rsidRPr="00443FF2">
        <w:rPr>
          <w:rFonts w:ascii="Verdana" w:hAnsi="Verdana"/>
          <w:sz w:val="18"/>
          <w:szCs w:val="18"/>
        </w:rPr>
        <w:t>Resto de entidades: en los 25 días naturales siguientes a los seis meses posteriores al fin del período impositivo.</w:t>
      </w:r>
    </w:p>
    <w:p w14:paraId="153EEE9B" w14:textId="77777777" w:rsidR="00BF11E4" w:rsidRPr="00443FF2" w:rsidRDefault="00BF11E4" w:rsidP="00443FF2">
      <w:pPr>
        <w:jc w:val="both"/>
        <w:rPr>
          <w:rFonts w:ascii="Verdana" w:hAnsi="Verdana"/>
          <w:sz w:val="18"/>
          <w:szCs w:val="18"/>
        </w:rPr>
      </w:pPr>
    </w:p>
    <w:p w14:paraId="50D0BDF9" w14:textId="77777777" w:rsidR="00443FF2" w:rsidRPr="00443FF2" w:rsidRDefault="00443FF2" w:rsidP="00443FF2">
      <w:pPr>
        <w:jc w:val="both"/>
        <w:rPr>
          <w:rFonts w:ascii="Verdana" w:hAnsi="Verdana"/>
          <w:b/>
          <w:bCs/>
          <w:color w:val="800000"/>
          <w:sz w:val="18"/>
          <w:szCs w:val="18"/>
        </w:rPr>
      </w:pPr>
      <w:r w:rsidRPr="00443FF2">
        <w:rPr>
          <w:rFonts w:ascii="Verdana" w:hAnsi="Verdana"/>
          <w:b/>
          <w:bCs/>
          <w:color w:val="800000"/>
          <w:sz w:val="18"/>
          <w:szCs w:val="18"/>
        </w:rPr>
        <w:t>Declaración informativa anual de ayudas recibidas en el marco del Régimen fiscal especial de las Illes Balears por contribuyentes del Impuesto sobre Sociedades e Impuesto sobre la Renta de no residentes (establecimientos permanentes)</w:t>
      </w:r>
    </w:p>
    <w:p w14:paraId="7314DEC2" w14:textId="77777777" w:rsidR="00443FF2" w:rsidRPr="00443FF2" w:rsidRDefault="00443FF2" w:rsidP="00ED5853">
      <w:pPr>
        <w:numPr>
          <w:ilvl w:val="0"/>
          <w:numId w:val="53"/>
        </w:numPr>
        <w:jc w:val="both"/>
        <w:rPr>
          <w:rFonts w:ascii="Verdana" w:hAnsi="Verdana"/>
          <w:sz w:val="18"/>
          <w:szCs w:val="18"/>
        </w:rPr>
      </w:pPr>
      <w:r w:rsidRPr="00443FF2">
        <w:rPr>
          <w:rFonts w:ascii="Verdana" w:hAnsi="Verdana"/>
          <w:sz w:val="18"/>
          <w:szCs w:val="18"/>
        </w:rPr>
        <w:t>Año 2025. Entidades cuyo período impositivo coincida con el año natural: 283</w:t>
      </w:r>
    </w:p>
    <w:p w14:paraId="02B2A880" w14:textId="77777777" w:rsidR="00443FF2" w:rsidRPr="00443FF2" w:rsidRDefault="00443FF2" w:rsidP="00443FF2">
      <w:pPr>
        <w:jc w:val="both"/>
        <w:rPr>
          <w:rFonts w:ascii="Verdana" w:hAnsi="Verdana"/>
          <w:sz w:val="18"/>
          <w:szCs w:val="18"/>
        </w:rPr>
      </w:pPr>
      <w:r w:rsidRPr="00443FF2">
        <w:rPr>
          <w:rFonts w:ascii="Verdana" w:hAnsi="Verdana"/>
          <w:sz w:val="18"/>
          <w:szCs w:val="18"/>
        </w:rPr>
        <w:t>Resto de entidades: en los 25 días naturales siguientes a los seis meses posteriores al fin del período impositivo.</w:t>
      </w:r>
    </w:p>
    <w:p w14:paraId="18D9289C" w14:textId="77777777" w:rsidR="00443FF2" w:rsidRDefault="00443FF2" w:rsidP="00443FF2">
      <w:pPr>
        <w:jc w:val="both"/>
        <w:rPr>
          <w:rFonts w:ascii="Verdana" w:hAnsi="Verdana"/>
          <w:sz w:val="18"/>
          <w:szCs w:val="18"/>
        </w:rPr>
      </w:pPr>
    </w:p>
    <w:p w14:paraId="1B75505E" w14:textId="3E92486D" w:rsidR="00D03F53" w:rsidRPr="00D03F53" w:rsidRDefault="001C2C6F" w:rsidP="00D03F53">
      <w:pPr>
        <w:jc w:val="both"/>
        <w:rPr>
          <w:rFonts w:ascii="Verdana" w:hAnsi="Verdana"/>
          <w:b/>
          <w:bCs/>
          <w:color w:val="800000"/>
          <w:sz w:val="18"/>
          <w:szCs w:val="18"/>
        </w:rPr>
      </w:pPr>
      <w:r w:rsidRPr="00D03F53">
        <w:rPr>
          <w:rFonts w:ascii="Verdana" w:hAnsi="Verdana"/>
          <w:b/>
          <w:bCs/>
          <w:color w:val="800000"/>
          <w:sz w:val="18"/>
          <w:szCs w:val="18"/>
        </w:rPr>
        <w:t>HASTA EL 30 DE JULIO</w:t>
      </w:r>
    </w:p>
    <w:p w14:paraId="7E98E0F7"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IVA</w:t>
      </w:r>
    </w:p>
    <w:p w14:paraId="49FB541F" w14:textId="77777777" w:rsidR="00D03F53" w:rsidRPr="00D03F53" w:rsidRDefault="00D03F53">
      <w:pPr>
        <w:numPr>
          <w:ilvl w:val="0"/>
          <w:numId w:val="13"/>
        </w:numPr>
        <w:jc w:val="both"/>
        <w:rPr>
          <w:rFonts w:ascii="Verdana" w:hAnsi="Verdana"/>
          <w:sz w:val="18"/>
          <w:szCs w:val="18"/>
        </w:rPr>
      </w:pPr>
      <w:r w:rsidRPr="00D03F53">
        <w:rPr>
          <w:rFonts w:ascii="Verdana" w:hAnsi="Verdana"/>
          <w:sz w:val="18"/>
          <w:szCs w:val="18"/>
        </w:rPr>
        <w:t>Junio 2026. Autoliquidación: 303</w:t>
      </w:r>
    </w:p>
    <w:p w14:paraId="49D714C9" w14:textId="77777777" w:rsidR="00D03F53" w:rsidRPr="00D03F53" w:rsidRDefault="00D03F53">
      <w:pPr>
        <w:numPr>
          <w:ilvl w:val="0"/>
          <w:numId w:val="13"/>
        </w:numPr>
        <w:jc w:val="both"/>
        <w:rPr>
          <w:rFonts w:ascii="Verdana" w:hAnsi="Verdana"/>
          <w:sz w:val="18"/>
          <w:szCs w:val="18"/>
        </w:rPr>
      </w:pPr>
      <w:r w:rsidRPr="00D03F53">
        <w:rPr>
          <w:rFonts w:ascii="Verdana" w:hAnsi="Verdana"/>
          <w:sz w:val="18"/>
          <w:szCs w:val="18"/>
        </w:rPr>
        <w:t>Junio 2026. Grupo de entidades, modelo individual: 322</w:t>
      </w:r>
    </w:p>
    <w:p w14:paraId="5B452F98" w14:textId="77777777" w:rsidR="00D03F53" w:rsidRPr="00D03F53" w:rsidRDefault="00D03F53">
      <w:pPr>
        <w:numPr>
          <w:ilvl w:val="0"/>
          <w:numId w:val="13"/>
        </w:numPr>
        <w:jc w:val="both"/>
        <w:rPr>
          <w:rFonts w:ascii="Verdana" w:hAnsi="Verdana"/>
          <w:sz w:val="18"/>
          <w:szCs w:val="18"/>
        </w:rPr>
      </w:pPr>
      <w:r w:rsidRPr="00D03F53">
        <w:rPr>
          <w:rFonts w:ascii="Verdana" w:hAnsi="Verdana"/>
          <w:sz w:val="18"/>
          <w:szCs w:val="18"/>
        </w:rPr>
        <w:t>Junio 2026. Grupo de entidades, modelo agregado: 353</w:t>
      </w:r>
    </w:p>
    <w:p w14:paraId="083FCC7D" w14:textId="77777777" w:rsidR="00D03F53" w:rsidRDefault="00D03F53">
      <w:pPr>
        <w:numPr>
          <w:ilvl w:val="0"/>
          <w:numId w:val="13"/>
        </w:numPr>
        <w:jc w:val="both"/>
        <w:rPr>
          <w:rFonts w:ascii="Verdana" w:hAnsi="Verdana"/>
          <w:sz w:val="18"/>
          <w:szCs w:val="18"/>
        </w:rPr>
      </w:pPr>
      <w:r w:rsidRPr="00D03F53">
        <w:rPr>
          <w:rFonts w:ascii="Verdana" w:hAnsi="Verdana"/>
          <w:sz w:val="18"/>
          <w:szCs w:val="18"/>
        </w:rPr>
        <w:t>Junio 2026. Operaciones asimiladas a las importaciones: 380</w:t>
      </w:r>
    </w:p>
    <w:p w14:paraId="1E7E1A59" w14:textId="77777777" w:rsidR="001C2C6F" w:rsidRPr="00D03F53" w:rsidRDefault="001C2C6F" w:rsidP="001C2C6F">
      <w:pPr>
        <w:ind w:left="720"/>
        <w:jc w:val="both"/>
        <w:rPr>
          <w:rFonts w:ascii="Verdana" w:hAnsi="Verdana"/>
          <w:sz w:val="18"/>
          <w:szCs w:val="18"/>
        </w:rPr>
      </w:pPr>
    </w:p>
    <w:p w14:paraId="12948AF7"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Impuestos Medioambientales</w:t>
      </w:r>
    </w:p>
    <w:p w14:paraId="67A3D801" w14:textId="77777777" w:rsidR="00D03F53" w:rsidRDefault="00D03F53">
      <w:pPr>
        <w:numPr>
          <w:ilvl w:val="0"/>
          <w:numId w:val="14"/>
        </w:numPr>
        <w:jc w:val="both"/>
        <w:rPr>
          <w:rFonts w:ascii="Verdana" w:hAnsi="Verdana"/>
          <w:sz w:val="18"/>
          <w:szCs w:val="18"/>
        </w:rPr>
      </w:pPr>
      <w:r w:rsidRPr="00D03F53">
        <w:rPr>
          <w:rFonts w:ascii="Verdana" w:hAnsi="Verdana"/>
          <w:sz w:val="18"/>
          <w:szCs w:val="18"/>
        </w:rPr>
        <w:t>Segundo trimestre 2026. Impuesto sobre el depósito de residuos en vertederos, la incineración y la coincineración de residuos. Autoliquidación: 593</w:t>
      </w:r>
    </w:p>
    <w:p w14:paraId="7C896FB9" w14:textId="77777777" w:rsidR="00D03F53" w:rsidRDefault="00D03F53" w:rsidP="00D03F53">
      <w:pPr>
        <w:jc w:val="both"/>
        <w:rPr>
          <w:rFonts w:ascii="Verdana" w:hAnsi="Verdana"/>
          <w:sz w:val="18"/>
          <w:szCs w:val="18"/>
        </w:rPr>
      </w:pPr>
    </w:p>
    <w:p w14:paraId="27F824BF" w14:textId="4541D6CC" w:rsidR="00D03F53" w:rsidRPr="00D03F53" w:rsidRDefault="001C2C6F" w:rsidP="00D03F53">
      <w:pPr>
        <w:jc w:val="both"/>
        <w:rPr>
          <w:rFonts w:ascii="Verdana" w:hAnsi="Verdana"/>
          <w:b/>
          <w:bCs/>
          <w:color w:val="800000"/>
          <w:sz w:val="18"/>
          <w:szCs w:val="18"/>
        </w:rPr>
      </w:pPr>
      <w:r w:rsidRPr="00D03F53">
        <w:rPr>
          <w:rFonts w:ascii="Verdana" w:hAnsi="Verdana"/>
          <w:b/>
          <w:bCs/>
          <w:color w:val="800000"/>
          <w:sz w:val="18"/>
          <w:szCs w:val="18"/>
        </w:rPr>
        <w:t>HASTA EL 31 DE JULIO</w:t>
      </w:r>
    </w:p>
    <w:p w14:paraId="75A68D26"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Número de Identificación Fiscal</w:t>
      </w:r>
    </w:p>
    <w:p w14:paraId="1181DBE0" w14:textId="77777777" w:rsidR="00D03F53" w:rsidRDefault="00D03F53">
      <w:pPr>
        <w:numPr>
          <w:ilvl w:val="0"/>
          <w:numId w:val="15"/>
        </w:numPr>
        <w:jc w:val="both"/>
        <w:rPr>
          <w:rFonts w:ascii="Verdana" w:hAnsi="Verdana"/>
          <w:sz w:val="18"/>
          <w:szCs w:val="18"/>
        </w:rPr>
      </w:pPr>
      <w:r w:rsidRPr="00D03F53">
        <w:rPr>
          <w:rFonts w:ascii="Verdana" w:hAnsi="Verdana"/>
          <w:sz w:val="18"/>
          <w:szCs w:val="18"/>
        </w:rPr>
        <w:t>Segundo trimestre 2026. Cuentas y operaciones cuyos titulares no han facilitado el NIF a las entidades de crédito: 195</w:t>
      </w:r>
    </w:p>
    <w:p w14:paraId="10E16874" w14:textId="77777777" w:rsidR="001C2C6F" w:rsidRPr="00D03F53" w:rsidRDefault="001C2C6F" w:rsidP="001C2C6F">
      <w:pPr>
        <w:ind w:left="720"/>
        <w:jc w:val="both"/>
        <w:rPr>
          <w:rFonts w:ascii="Verdana" w:hAnsi="Verdana"/>
          <w:sz w:val="18"/>
          <w:szCs w:val="18"/>
        </w:rPr>
      </w:pPr>
    </w:p>
    <w:p w14:paraId="3DDCD799"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IVA</w:t>
      </w:r>
    </w:p>
    <w:p w14:paraId="5C47DD66" w14:textId="77777777" w:rsidR="00D03F53" w:rsidRPr="00D03F53" w:rsidRDefault="00D03F53">
      <w:pPr>
        <w:numPr>
          <w:ilvl w:val="0"/>
          <w:numId w:val="16"/>
        </w:numPr>
        <w:jc w:val="both"/>
        <w:rPr>
          <w:rFonts w:ascii="Verdana" w:hAnsi="Verdana"/>
          <w:sz w:val="18"/>
          <w:szCs w:val="18"/>
        </w:rPr>
      </w:pPr>
      <w:r w:rsidRPr="00D03F53">
        <w:rPr>
          <w:rFonts w:ascii="Verdana" w:hAnsi="Verdana"/>
          <w:sz w:val="18"/>
          <w:szCs w:val="18"/>
        </w:rPr>
        <w:t>Junio 2026. Ventanilla única - Régimen de importación: 369</w:t>
      </w:r>
    </w:p>
    <w:p w14:paraId="4C058392" w14:textId="77777777" w:rsidR="00D03F53" w:rsidRDefault="00D03F53">
      <w:pPr>
        <w:numPr>
          <w:ilvl w:val="0"/>
          <w:numId w:val="16"/>
        </w:numPr>
        <w:jc w:val="both"/>
        <w:rPr>
          <w:rFonts w:ascii="Verdana" w:hAnsi="Verdana"/>
          <w:sz w:val="18"/>
          <w:szCs w:val="18"/>
        </w:rPr>
      </w:pPr>
      <w:r w:rsidRPr="00D03F53">
        <w:rPr>
          <w:rFonts w:ascii="Verdana" w:hAnsi="Verdana"/>
          <w:sz w:val="18"/>
          <w:szCs w:val="18"/>
        </w:rPr>
        <w:t>Segundo trimestre 2026: Ventanilla única – Regímenes exterior y de la Unión: 369</w:t>
      </w:r>
    </w:p>
    <w:p w14:paraId="3034B996" w14:textId="77777777" w:rsidR="001C2C6F" w:rsidRPr="00D03F53" w:rsidRDefault="001C2C6F" w:rsidP="001C2C6F">
      <w:pPr>
        <w:ind w:left="720"/>
        <w:jc w:val="both"/>
        <w:rPr>
          <w:rFonts w:ascii="Verdana" w:hAnsi="Verdana"/>
          <w:sz w:val="18"/>
          <w:szCs w:val="18"/>
        </w:rPr>
      </w:pPr>
    </w:p>
    <w:p w14:paraId="0A955900"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 sobre Depósitos en las Entidades de Crédito</w:t>
      </w:r>
    </w:p>
    <w:p w14:paraId="1E840A20" w14:textId="77777777" w:rsidR="00D03F53" w:rsidRPr="00D03F53" w:rsidRDefault="00D03F53">
      <w:pPr>
        <w:numPr>
          <w:ilvl w:val="0"/>
          <w:numId w:val="17"/>
        </w:numPr>
        <w:jc w:val="both"/>
        <w:rPr>
          <w:rFonts w:ascii="Verdana" w:hAnsi="Verdana"/>
          <w:sz w:val="18"/>
          <w:szCs w:val="18"/>
        </w:rPr>
      </w:pPr>
      <w:r w:rsidRPr="00D03F53">
        <w:rPr>
          <w:rFonts w:ascii="Verdana" w:hAnsi="Verdana"/>
          <w:sz w:val="18"/>
          <w:szCs w:val="18"/>
        </w:rPr>
        <w:t>Autoliquidación 2025: 411</w:t>
      </w:r>
    </w:p>
    <w:p w14:paraId="4A853F26" w14:textId="77777777" w:rsidR="00D03F53" w:rsidRDefault="00D03F53">
      <w:pPr>
        <w:numPr>
          <w:ilvl w:val="0"/>
          <w:numId w:val="17"/>
        </w:numPr>
        <w:jc w:val="both"/>
        <w:rPr>
          <w:rFonts w:ascii="Verdana" w:hAnsi="Verdana"/>
          <w:sz w:val="18"/>
          <w:szCs w:val="18"/>
        </w:rPr>
      </w:pPr>
      <w:r w:rsidRPr="00D03F53">
        <w:rPr>
          <w:rFonts w:ascii="Verdana" w:hAnsi="Verdana"/>
          <w:sz w:val="18"/>
          <w:szCs w:val="18"/>
        </w:rPr>
        <w:t>Pago a cuenta. Autoliquidación 2026: 410</w:t>
      </w:r>
    </w:p>
    <w:p w14:paraId="571538FB" w14:textId="77777777" w:rsidR="001C2C6F" w:rsidRPr="00D03F53" w:rsidRDefault="001C2C6F" w:rsidP="001C2C6F">
      <w:pPr>
        <w:ind w:left="720"/>
        <w:jc w:val="both"/>
        <w:rPr>
          <w:rFonts w:ascii="Verdana" w:hAnsi="Verdana"/>
          <w:sz w:val="18"/>
          <w:szCs w:val="18"/>
        </w:rPr>
      </w:pPr>
    </w:p>
    <w:p w14:paraId="74D46041"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 sobre Determinados Servicios Digitales</w:t>
      </w:r>
    </w:p>
    <w:p w14:paraId="127D9A72" w14:textId="77777777" w:rsidR="00D03F53" w:rsidRDefault="00D03F53">
      <w:pPr>
        <w:numPr>
          <w:ilvl w:val="0"/>
          <w:numId w:val="18"/>
        </w:numPr>
        <w:jc w:val="both"/>
        <w:rPr>
          <w:rFonts w:ascii="Verdana" w:hAnsi="Verdana"/>
          <w:sz w:val="18"/>
          <w:szCs w:val="18"/>
        </w:rPr>
      </w:pPr>
      <w:r w:rsidRPr="00D03F53">
        <w:rPr>
          <w:rFonts w:ascii="Verdana" w:hAnsi="Verdana"/>
          <w:sz w:val="18"/>
          <w:szCs w:val="18"/>
        </w:rPr>
        <w:t>Segundo trimestre 2026: 490</w:t>
      </w:r>
    </w:p>
    <w:p w14:paraId="4AFCD723" w14:textId="77777777" w:rsidR="001C2C6F" w:rsidRPr="00D03F53" w:rsidRDefault="001C2C6F" w:rsidP="001C2C6F">
      <w:pPr>
        <w:ind w:left="720"/>
        <w:jc w:val="both"/>
        <w:rPr>
          <w:rFonts w:ascii="Verdana" w:hAnsi="Verdana"/>
          <w:sz w:val="18"/>
          <w:szCs w:val="18"/>
        </w:rPr>
      </w:pPr>
    </w:p>
    <w:p w14:paraId="779AD290"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Impuestos Medioambientales</w:t>
      </w:r>
    </w:p>
    <w:p w14:paraId="098CE5A3" w14:textId="77777777" w:rsidR="00D03F53" w:rsidRPr="00D03F53" w:rsidRDefault="00D03F53">
      <w:pPr>
        <w:numPr>
          <w:ilvl w:val="0"/>
          <w:numId w:val="19"/>
        </w:numPr>
        <w:jc w:val="both"/>
        <w:rPr>
          <w:rFonts w:ascii="Verdana" w:hAnsi="Verdana"/>
          <w:sz w:val="18"/>
          <w:szCs w:val="18"/>
        </w:rPr>
      </w:pPr>
      <w:r w:rsidRPr="00D03F53">
        <w:rPr>
          <w:rFonts w:ascii="Verdana" w:hAnsi="Verdana"/>
          <w:sz w:val="18"/>
          <w:szCs w:val="18"/>
        </w:rPr>
        <w:t>Junio 2026. Impuesto especial sobre los envases de plástico no reutilizables. Presentación contabilidad y libro registro de existencias</w:t>
      </w:r>
    </w:p>
    <w:p w14:paraId="7D52537C" w14:textId="77777777" w:rsidR="00D03F53" w:rsidRDefault="00D03F53">
      <w:pPr>
        <w:numPr>
          <w:ilvl w:val="0"/>
          <w:numId w:val="19"/>
        </w:numPr>
        <w:jc w:val="both"/>
        <w:rPr>
          <w:rFonts w:ascii="Verdana" w:hAnsi="Verdana"/>
          <w:sz w:val="18"/>
          <w:szCs w:val="18"/>
        </w:rPr>
      </w:pPr>
      <w:r w:rsidRPr="00D03F53">
        <w:rPr>
          <w:rFonts w:ascii="Verdana" w:hAnsi="Verdana"/>
          <w:sz w:val="18"/>
          <w:szCs w:val="18"/>
        </w:rPr>
        <w:t>Segundo trimestre 2026. Impuesto especial sobre los envases de plástico no reutilizables. Presentación contabilidad y libro registro de existencias</w:t>
      </w:r>
    </w:p>
    <w:p w14:paraId="0F6AE903" w14:textId="77777777" w:rsidR="001C2C6F" w:rsidRPr="00D03F53" w:rsidRDefault="001C2C6F" w:rsidP="001C2C6F">
      <w:pPr>
        <w:ind w:left="720"/>
        <w:jc w:val="both"/>
        <w:rPr>
          <w:rFonts w:ascii="Verdana" w:hAnsi="Verdana"/>
          <w:sz w:val="18"/>
          <w:szCs w:val="18"/>
        </w:rPr>
      </w:pPr>
    </w:p>
    <w:p w14:paraId="5A59C1DE"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 temporal de Solidaridad de las Grandes Fortunas</w:t>
      </w:r>
    </w:p>
    <w:p w14:paraId="406F4B5F" w14:textId="77777777" w:rsidR="00D03F53" w:rsidRDefault="00D03F53">
      <w:pPr>
        <w:numPr>
          <w:ilvl w:val="0"/>
          <w:numId w:val="20"/>
        </w:numPr>
        <w:jc w:val="both"/>
        <w:rPr>
          <w:rFonts w:ascii="Verdana" w:hAnsi="Verdana"/>
          <w:sz w:val="18"/>
          <w:szCs w:val="18"/>
        </w:rPr>
      </w:pPr>
      <w:r w:rsidRPr="00D03F53">
        <w:rPr>
          <w:rFonts w:ascii="Verdana" w:hAnsi="Verdana"/>
          <w:sz w:val="18"/>
          <w:szCs w:val="18"/>
        </w:rPr>
        <w:t>Año 2025: 718</w:t>
      </w:r>
    </w:p>
    <w:p w14:paraId="460702DE" w14:textId="77777777" w:rsidR="001C2C6F" w:rsidRPr="00D03F53" w:rsidRDefault="001C2C6F" w:rsidP="001C2C6F">
      <w:pPr>
        <w:ind w:left="720"/>
        <w:jc w:val="both"/>
        <w:rPr>
          <w:rFonts w:ascii="Verdana" w:hAnsi="Verdana"/>
          <w:sz w:val="18"/>
          <w:szCs w:val="18"/>
        </w:rPr>
      </w:pPr>
    </w:p>
    <w:p w14:paraId="08AB60AB"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Declaración informativa mensual de las operaciones realizadas por los empresarios o profesionales adheridos al sistema de gestión de cobros a través de cualquier tipo de tarjetas y mediante pagos asociados a números de teléfono móvil</w:t>
      </w:r>
    </w:p>
    <w:p w14:paraId="31A83BD7" w14:textId="77777777" w:rsidR="00D03F53" w:rsidRDefault="00D03F53">
      <w:pPr>
        <w:numPr>
          <w:ilvl w:val="0"/>
          <w:numId w:val="21"/>
        </w:numPr>
        <w:jc w:val="both"/>
        <w:rPr>
          <w:rFonts w:ascii="Verdana" w:hAnsi="Verdana"/>
          <w:sz w:val="18"/>
          <w:szCs w:val="18"/>
        </w:rPr>
      </w:pPr>
      <w:r w:rsidRPr="00D03F53">
        <w:rPr>
          <w:rFonts w:ascii="Verdana" w:hAnsi="Verdana"/>
          <w:sz w:val="18"/>
          <w:szCs w:val="18"/>
        </w:rPr>
        <w:t>Junio 2026: 170</w:t>
      </w:r>
    </w:p>
    <w:p w14:paraId="7B688CE5" w14:textId="77777777" w:rsidR="001C2C6F" w:rsidRPr="00D03F53" w:rsidRDefault="001C2C6F" w:rsidP="001C2C6F">
      <w:pPr>
        <w:ind w:left="720"/>
        <w:jc w:val="both"/>
        <w:rPr>
          <w:rFonts w:ascii="Verdana" w:hAnsi="Verdana"/>
          <w:sz w:val="18"/>
          <w:szCs w:val="18"/>
        </w:rPr>
      </w:pPr>
    </w:p>
    <w:p w14:paraId="1E0C7808"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Declaración informativa mensual de cuentas en toda clase de instituciones financieras y resumen anual de retenciones e ingresos a cuenta sobre rendimientos del capital mobiliario y rentas obtenidas por la contraprestación derivada de cuentas en toda clase de instituciones financieras</w:t>
      </w:r>
    </w:p>
    <w:p w14:paraId="5F6584F9" w14:textId="77777777" w:rsidR="00D03F53" w:rsidRDefault="00D03F53">
      <w:pPr>
        <w:numPr>
          <w:ilvl w:val="0"/>
          <w:numId w:val="22"/>
        </w:numPr>
        <w:jc w:val="both"/>
        <w:rPr>
          <w:rFonts w:ascii="Verdana" w:hAnsi="Verdana"/>
          <w:sz w:val="18"/>
          <w:szCs w:val="18"/>
        </w:rPr>
      </w:pPr>
      <w:r w:rsidRPr="00D03F53">
        <w:rPr>
          <w:rFonts w:ascii="Verdana" w:hAnsi="Verdana"/>
          <w:sz w:val="18"/>
          <w:szCs w:val="18"/>
        </w:rPr>
        <w:t>Junio 2026: 196</w:t>
      </w:r>
    </w:p>
    <w:p w14:paraId="0931B3F6" w14:textId="77777777" w:rsidR="001C2C6F" w:rsidRPr="00D03F53" w:rsidRDefault="001C2C6F" w:rsidP="001C2C6F">
      <w:pPr>
        <w:ind w:left="720"/>
        <w:jc w:val="both"/>
        <w:rPr>
          <w:rFonts w:ascii="Verdana" w:hAnsi="Verdana"/>
          <w:sz w:val="18"/>
          <w:szCs w:val="18"/>
        </w:rPr>
      </w:pPr>
    </w:p>
    <w:p w14:paraId="54AB3BE4"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Declaración informativa de actualización de determinados mecanismos transfronterizos comercializables</w:t>
      </w:r>
    </w:p>
    <w:p w14:paraId="48258833" w14:textId="77777777" w:rsidR="00D03F53" w:rsidRDefault="00D03F53">
      <w:pPr>
        <w:numPr>
          <w:ilvl w:val="0"/>
          <w:numId w:val="23"/>
        </w:numPr>
        <w:jc w:val="both"/>
        <w:rPr>
          <w:rFonts w:ascii="Verdana" w:hAnsi="Verdana"/>
          <w:sz w:val="18"/>
          <w:szCs w:val="18"/>
        </w:rPr>
      </w:pPr>
      <w:r w:rsidRPr="00D03F53">
        <w:rPr>
          <w:rFonts w:ascii="Verdana" w:hAnsi="Verdana"/>
          <w:sz w:val="18"/>
          <w:szCs w:val="18"/>
        </w:rPr>
        <w:t>Segundo trimestre 2026: 235</w:t>
      </w:r>
    </w:p>
    <w:p w14:paraId="506CEC1A" w14:textId="77777777" w:rsidR="001C2C6F" w:rsidRPr="00D03F53" w:rsidRDefault="001C2C6F" w:rsidP="001C2C6F">
      <w:pPr>
        <w:ind w:left="720"/>
        <w:jc w:val="both"/>
        <w:rPr>
          <w:rFonts w:ascii="Verdana" w:hAnsi="Verdana"/>
          <w:sz w:val="18"/>
          <w:szCs w:val="18"/>
        </w:rPr>
      </w:pPr>
    </w:p>
    <w:p w14:paraId="62E6D55B"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Declaración informativa trimestral de operaciones de comercio de bienes corporales realizadas en la zona especial canaria sin que las mercancías transiten por territorio canario</w:t>
      </w:r>
    </w:p>
    <w:p w14:paraId="4C93F32D" w14:textId="77777777" w:rsidR="00D03F53" w:rsidRDefault="00D03F53">
      <w:pPr>
        <w:numPr>
          <w:ilvl w:val="0"/>
          <w:numId w:val="24"/>
        </w:numPr>
        <w:jc w:val="both"/>
        <w:rPr>
          <w:rFonts w:ascii="Verdana" w:hAnsi="Verdana"/>
          <w:sz w:val="18"/>
          <w:szCs w:val="18"/>
        </w:rPr>
      </w:pPr>
      <w:r w:rsidRPr="00D03F53">
        <w:rPr>
          <w:rFonts w:ascii="Verdana" w:hAnsi="Verdana"/>
          <w:sz w:val="18"/>
          <w:szCs w:val="18"/>
        </w:rPr>
        <w:t>Segundo trimestre 2026: 281</w:t>
      </w:r>
    </w:p>
    <w:p w14:paraId="1179237C" w14:textId="77777777" w:rsidR="001C2C6F" w:rsidRPr="00D03F53" w:rsidRDefault="001C2C6F" w:rsidP="001C2C6F">
      <w:pPr>
        <w:ind w:left="720"/>
        <w:jc w:val="both"/>
        <w:rPr>
          <w:rFonts w:ascii="Verdana" w:hAnsi="Verdana"/>
          <w:sz w:val="18"/>
          <w:szCs w:val="18"/>
        </w:rPr>
      </w:pPr>
    </w:p>
    <w:p w14:paraId="62E4ED7F"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Declaración informativa sobre pagos transfronterizos</w:t>
      </w:r>
    </w:p>
    <w:p w14:paraId="03780D6A" w14:textId="77777777" w:rsidR="00D03F53" w:rsidRPr="00D03F53" w:rsidRDefault="00D03F53">
      <w:pPr>
        <w:numPr>
          <w:ilvl w:val="0"/>
          <w:numId w:val="25"/>
        </w:numPr>
        <w:jc w:val="both"/>
        <w:rPr>
          <w:rFonts w:ascii="Verdana" w:hAnsi="Verdana"/>
          <w:sz w:val="18"/>
          <w:szCs w:val="18"/>
        </w:rPr>
      </w:pPr>
      <w:r w:rsidRPr="00D03F53">
        <w:rPr>
          <w:rFonts w:ascii="Verdana" w:hAnsi="Verdana"/>
          <w:sz w:val="18"/>
          <w:szCs w:val="18"/>
        </w:rPr>
        <w:t>Segundo trimestre 2026: 379</w:t>
      </w:r>
    </w:p>
    <w:p w14:paraId="10A11347" w14:textId="77777777" w:rsidR="00D03F53" w:rsidRPr="00D03F53" w:rsidRDefault="00D03F53" w:rsidP="00D03F53">
      <w:pPr>
        <w:jc w:val="both"/>
        <w:rPr>
          <w:rFonts w:ascii="Verdana" w:hAnsi="Verdana"/>
          <w:sz w:val="18"/>
          <w:szCs w:val="18"/>
        </w:rPr>
      </w:pPr>
    </w:p>
    <w:p w14:paraId="273E31EE" w14:textId="77777777" w:rsidR="00D03F53" w:rsidRPr="00D03F53" w:rsidRDefault="00D03F53" w:rsidP="00D03F53">
      <w:pPr>
        <w:jc w:val="both"/>
        <w:rPr>
          <w:rFonts w:ascii="Verdana" w:hAnsi="Verdana"/>
          <w:sz w:val="18"/>
          <w:szCs w:val="18"/>
        </w:rPr>
      </w:pPr>
    </w:p>
    <w:p w14:paraId="2CF7AD60" w14:textId="77777777" w:rsidR="00D03F53" w:rsidRPr="00D03F53" w:rsidRDefault="00D03F53" w:rsidP="00D03F53">
      <w:pPr>
        <w:jc w:val="both"/>
        <w:rPr>
          <w:rFonts w:ascii="Verdana" w:hAnsi="Verdana"/>
          <w:sz w:val="18"/>
          <w:szCs w:val="18"/>
        </w:rPr>
      </w:pPr>
    </w:p>
    <w:p w14:paraId="12F8C1C7" w14:textId="77777777" w:rsidR="00D03F53" w:rsidRDefault="00D03F53" w:rsidP="00D03F53">
      <w:pPr>
        <w:jc w:val="both"/>
        <w:rPr>
          <w:rFonts w:ascii="Verdana" w:hAnsi="Verdana"/>
          <w:color w:val="800000"/>
          <w:sz w:val="18"/>
          <w:szCs w:val="18"/>
        </w:rPr>
      </w:pPr>
    </w:p>
    <w:p w14:paraId="551E661E" w14:textId="77777777" w:rsidR="00D03F53" w:rsidRPr="00D03F53" w:rsidRDefault="00D03F53" w:rsidP="00D03F53">
      <w:pPr>
        <w:jc w:val="both"/>
        <w:rPr>
          <w:rFonts w:ascii="Verdana" w:hAnsi="Verdana"/>
          <w:color w:val="800000"/>
          <w:sz w:val="18"/>
          <w:szCs w:val="18"/>
        </w:rPr>
      </w:pPr>
    </w:p>
    <w:p w14:paraId="1508B351" w14:textId="77777777" w:rsidR="00E64DC9" w:rsidRDefault="00E64DC9" w:rsidP="00E64DC9">
      <w:pPr>
        <w:jc w:val="both"/>
        <w:rPr>
          <w:rFonts w:ascii="Verdana" w:hAnsi="Verdana"/>
          <w:sz w:val="16"/>
          <w:szCs w:val="16"/>
        </w:rPr>
      </w:pPr>
    </w:p>
    <w:p w14:paraId="230741F8" w14:textId="77777777" w:rsidR="00D03F53" w:rsidRDefault="00D03F53" w:rsidP="00E64DC9">
      <w:pPr>
        <w:jc w:val="both"/>
        <w:rPr>
          <w:rFonts w:ascii="Verdana" w:hAnsi="Verdana"/>
          <w:sz w:val="16"/>
          <w:szCs w:val="16"/>
        </w:rPr>
      </w:pPr>
    </w:p>
    <w:p w14:paraId="1F846008" w14:textId="77777777" w:rsidR="00D03F53" w:rsidRDefault="00D03F53" w:rsidP="00E64DC9">
      <w:pPr>
        <w:jc w:val="both"/>
        <w:rPr>
          <w:rFonts w:ascii="Verdana" w:hAnsi="Verdana"/>
          <w:sz w:val="16"/>
          <w:szCs w:val="16"/>
        </w:rPr>
      </w:pPr>
    </w:p>
    <w:p w14:paraId="1CE70390" w14:textId="77777777" w:rsidR="00D03F53" w:rsidRDefault="00D03F53" w:rsidP="00E64DC9">
      <w:pPr>
        <w:jc w:val="both"/>
        <w:rPr>
          <w:rFonts w:ascii="Verdana" w:hAnsi="Verdana"/>
          <w:sz w:val="16"/>
          <w:szCs w:val="16"/>
        </w:rPr>
      </w:pPr>
    </w:p>
    <w:p w14:paraId="0CA9900D" w14:textId="77777777" w:rsidR="00D03F53" w:rsidRDefault="00D03F53" w:rsidP="00E64DC9">
      <w:pPr>
        <w:jc w:val="both"/>
        <w:rPr>
          <w:rFonts w:ascii="Verdana" w:hAnsi="Verdana"/>
          <w:sz w:val="16"/>
          <w:szCs w:val="16"/>
        </w:rPr>
      </w:pPr>
    </w:p>
    <w:p w14:paraId="2FF7EC1C" w14:textId="77777777" w:rsidR="00D03F53" w:rsidRDefault="00D03F53" w:rsidP="00E64DC9">
      <w:pPr>
        <w:jc w:val="both"/>
        <w:rPr>
          <w:rFonts w:ascii="Verdana" w:hAnsi="Verdana"/>
          <w:sz w:val="16"/>
          <w:szCs w:val="16"/>
        </w:rPr>
      </w:pPr>
    </w:p>
    <w:p w14:paraId="3D1F0174" w14:textId="77777777" w:rsidR="00D03F53" w:rsidRDefault="00D03F53" w:rsidP="00E64DC9">
      <w:pPr>
        <w:jc w:val="both"/>
        <w:rPr>
          <w:rFonts w:ascii="Verdana" w:hAnsi="Verdana"/>
          <w:sz w:val="16"/>
          <w:szCs w:val="16"/>
        </w:rPr>
      </w:pPr>
    </w:p>
    <w:p w14:paraId="13075B38" w14:textId="77777777" w:rsidR="00D03F53" w:rsidRDefault="00D03F53" w:rsidP="00E64DC9">
      <w:pPr>
        <w:jc w:val="both"/>
        <w:rPr>
          <w:rFonts w:ascii="Verdana" w:hAnsi="Verdana"/>
          <w:sz w:val="16"/>
          <w:szCs w:val="16"/>
        </w:rPr>
      </w:pPr>
    </w:p>
    <w:p w14:paraId="590C82C0" w14:textId="77777777" w:rsidR="00D03F53" w:rsidRDefault="00D03F53" w:rsidP="00E64DC9">
      <w:pPr>
        <w:jc w:val="both"/>
        <w:rPr>
          <w:rFonts w:ascii="Verdana" w:hAnsi="Verdana"/>
          <w:sz w:val="16"/>
          <w:szCs w:val="16"/>
        </w:rPr>
      </w:pPr>
    </w:p>
    <w:p w14:paraId="4DCA6EF4" w14:textId="77777777" w:rsidR="00D03F53" w:rsidRDefault="00D03F53" w:rsidP="00E64DC9">
      <w:pPr>
        <w:jc w:val="both"/>
        <w:rPr>
          <w:rFonts w:ascii="Verdana" w:hAnsi="Verdana"/>
          <w:sz w:val="16"/>
          <w:szCs w:val="16"/>
        </w:rPr>
      </w:pPr>
    </w:p>
    <w:p w14:paraId="0577F21A" w14:textId="2A547F96" w:rsidR="00D03F53" w:rsidRDefault="00D03F53">
      <w:pPr>
        <w:rPr>
          <w:rFonts w:ascii="Verdana" w:hAnsi="Verdana"/>
          <w:b/>
          <w:bCs/>
          <w:color w:val="800000"/>
          <w:sz w:val="18"/>
          <w:szCs w:val="18"/>
        </w:rPr>
      </w:pPr>
    </w:p>
    <w:p w14:paraId="0B4EB8CB" w14:textId="35B52769" w:rsidR="00382E0C" w:rsidRPr="00D03F53" w:rsidRDefault="0056751F">
      <w:pPr>
        <w:jc w:val="both"/>
        <w:rPr>
          <w:rFonts w:ascii="Verdana" w:hAnsi="Verdana"/>
          <w:b/>
          <w:bCs/>
          <w:color w:val="800000"/>
          <w:sz w:val="18"/>
          <w:szCs w:val="18"/>
        </w:rPr>
      </w:pPr>
      <w:r w:rsidRPr="00D03F53">
        <w:rPr>
          <w:rFonts w:ascii="Verdana" w:hAnsi="Verdana"/>
          <w:b/>
          <w:bCs/>
          <w:color w:val="800000"/>
          <w:sz w:val="18"/>
          <w:szCs w:val="18"/>
        </w:rPr>
        <w:t>C</w:t>
      </w:r>
      <w:r w:rsidR="00382E0C" w:rsidRPr="00D03F53">
        <w:rPr>
          <w:rFonts w:ascii="Verdana" w:hAnsi="Verdana"/>
          <w:b/>
          <w:bCs/>
          <w:color w:val="800000"/>
          <w:sz w:val="18"/>
          <w:szCs w:val="18"/>
        </w:rPr>
        <w:t xml:space="preserve">ALENDARIO FISCAL PARA EL MES DE AGOSTO DE </w:t>
      </w:r>
      <w:r w:rsidR="000D7657" w:rsidRPr="00D03F53">
        <w:rPr>
          <w:rFonts w:ascii="Verdana" w:hAnsi="Verdana"/>
          <w:b/>
          <w:bCs/>
          <w:color w:val="800000"/>
          <w:sz w:val="18"/>
          <w:szCs w:val="18"/>
        </w:rPr>
        <w:t>202</w:t>
      </w:r>
      <w:r w:rsidR="001C2C6F">
        <w:rPr>
          <w:rFonts w:ascii="Verdana" w:hAnsi="Verdana"/>
          <w:b/>
          <w:bCs/>
          <w:color w:val="800000"/>
          <w:sz w:val="18"/>
          <w:szCs w:val="18"/>
        </w:rPr>
        <w:t>6</w:t>
      </w:r>
    </w:p>
    <w:p w14:paraId="66140B13" w14:textId="77777777" w:rsidR="00382E0C" w:rsidRDefault="00382E0C">
      <w:pPr>
        <w:jc w:val="both"/>
        <w:rPr>
          <w:rFonts w:ascii="Verdana" w:hAnsi="Verdana"/>
          <w:sz w:val="20"/>
          <w:szCs w:val="20"/>
        </w:rPr>
      </w:pPr>
    </w:p>
    <w:p w14:paraId="59D0BB33" w14:textId="6196E184" w:rsidR="00D03F53" w:rsidRPr="00D03F53" w:rsidRDefault="001C2C6F" w:rsidP="00D03F53">
      <w:pPr>
        <w:jc w:val="both"/>
        <w:rPr>
          <w:rFonts w:ascii="Verdana" w:hAnsi="Verdana"/>
          <w:b/>
          <w:bCs/>
          <w:color w:val="800000"/>
          <w:sz w:val="18"/>
          <w:szCs w:val="18"/>
        </w:rPr>
      </w:pPr>
      <w:r w:rsidRPr="00D03F53">
        <w:rPr>
          <w:rFonts w:ascii="Verdana" w:hAnsi="Verdana"/>
          <w:b/>
          <w:bCs/>
          <w:color w:val="800000"/>
          <w:sz w:val="18"/>
          <w:szCs w:val="18"/>
        </w:rPr>
        <w:t>HASTA EL 12 DE AGOSTO</w:t>
      </w:r>
    </w:p>
    <w:p w14:paraId="37AA7BD4" w14:textId="77777777" w:rsidR="00D03F53" w:rsidRPr="00D03F53" w:rsidRDefault="00D03F53" w:rsidP="00D03F53">
      <w:pPr>
        <w:jc w:val="both"/>
        <w:rPr>
          <w:rFonts w:ascii="Verdana" w:hAnsi="Verdana"/>
          <w:sz w:val="18"/>
          <w:szCs w:val="18"/>
        </w:rPr>
      </w:pPr>
      <w:r w:rsidRPr="00D03F53">
        <w:rPr>
          <w:rFonts w:ascii="Verdana" w:hAnsi="Verdana"/>
          <w:sz w:val="18"/>
          <w:szCs w:val="18"/>
        </w:rPr>
        <w:t>INTRASTAT - Estadística Comercio Intracomunitario</w:t>
      </w:r>
    </w:p>
    <w:p w14:paraId="225D47DD" w14:textId="77777777" w:rsidR="00D03F53" w:rsidRDefault="00D03F53">
      <w:pPr>
        <w:numPr>
          <w:ilvl w:val="0"/>
          <w:numId w:val="26"/>
        </w:numPr>
        <w:jc w:val="both"/>
        <w:rPr>
          <w:rFonts w:ascii="Verdana" w:hAnsi="Verdana"/>
          <w:sz w:val="18"/>
          <w:szCs w:val="18"/>
        </w:rPr>
      </w:pPr>
      <w:r w:rsidRPr="00D03F53">
        <w:rPr>
          <w:rFonts w:ascii="Verdana" w:hAnsi="Verdana"/>
          <w:sz w:val="18"/>
          <w:szCs w:val="18"/>
        </w:rPr>
        <w:t>Julio 2026. Obligados a suministrar información estadística</w:t>
      </w:r>
    </w:p>
    <w:p w14:paraId="64F13634" w14:textId="77777777" w:rsidR="00D03F53" w:rsidRDefault="00D03F53" w:rsidP="00D03F53">
      <w:pPr>
        <w:jc w:val="both"/>
        <w:rPr>
          <w:rFonts w:ascii="Verdana" w:hAnsi="Verdana"/>
          <w:sz w:val="18"/>
          <w:szCs w:val="18"/>
        </w:rPr>
      </w:pPr>
    </w:p>
    <w:p w14:paraId="6435B0CB" w14:textId="3593CB64" w:rsidR="00D03F53" w:rsidRPr="00D03F53" w:rsidRDefault="001C2C6F" w:rsidP="00D03F53">
      <w:pPr>
        <w:jc w:val="both"/>
        <w:rPr>
          <w:rFonts w:ascii="Verdana" w:hAnsi="Verdana"/>
          <w:b/>
          <w:bCs/>
          <w:color w:val="800000"/>
          <w:sz w:val="18"/>
          <w:szCs w:val="18"/>
        </w:rPr>
      </w:pPr>
      <w:r w:rsidRPr="00D03F53">
        <w:rPr>
          <w:rFonts w:ascii="Verdana" w:hAnsi="Verdana"/>
          <w:b/>
          <w:bCs/>
          <w:color w:val="800000"/>
          <w:sz w:val="18"/>
          <w:szCs w:val="18"/>
        </w:rPr>
        <w:t>HASTA EL 20 DE AGOSTO</w:t>
      </w:r>
    </w:p>
    <w:p w14:paraId="7ACC3DAD"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Renta y Sociedades</w:t>
      </w:r>
    </w:p>
    <w:p w14:paraId="0866FF33" w14:textId="77777777" w:rsidR="00D03F53" w:rsidRPr="00D03F53" w:rsidRDefault="00D03F53" w:rsidP="00D03F53">
      <w:pPr>
        <w:jc w:val="both"/>
        <w:rPr>
          <w:rFonts w:ascii="Verdana" w:hAnsi="Verdana"/>
          <w:sz w:val="18"/>
          <w:szCs w:val="18"/>
        </w:rPr>
      </w:pPr>
      <w:r w:rsidRPr="00D03F53">
        <w:rPr>
          <w:rFonts w:ascii="Verdana" w:hAnsi="Verdana"/>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725909FC" w14:textId="77777777" w:rsidR="00D03F53" w:rsidRDefault="00D03F53">
      <w:pPr>
        <w:numPr>
          <w:ilvl w:val="0"/>
          <w:numId w:val="27"/>
        </w:numPr>
        <w:jc w:val="both"/>
        <w:rPr>
          <w:rFonts w:ascii="Verdana" w:hAnsi="Verdana"/>
          <w:sz w:val="18"/>
          <w:szCs w:val="18"/>
        </w:rPr>
      </w:pPr>
      <w:r w:rsidRPr="00D03F53">
        <w:rPr>
          <w:rFonts w:ascii="Verdana" w:hAnsi="Verdana"/>
          <w:sz w:val="18"/>
          <w:szCs w:val="18"/>
        </w:rPr>
        <w:t>Julio 2026. Grandes empresas: 111, 115, 117, 123, 124, 126, 128, 216, 230</w:t>
      </w:r>
    </w:p>
    <w:p w14:paraId="6C2C5C5A" w14:textId="77777777" w:rsidR="001C2C6F" w:rsidRPr="00D03F53" w:rsidRDefault="001C2C6F" w:rsidP="001C2C6F">
      <w:pPr>
        <w:ind w:left="720"/>
        <w:jc w:val="both"/>
        <w:rPr>
          <w:rFonts w:ascii="Verdana" w:hAnsi="Verdana"/>
          <w:sz w:val="18"/>
          <w:szCs w:val="18"/>
        </w:rPr>
      </w:pPr>
    </w:p>
    <w:p w14:paraId="5CE10D2B"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IVA</w:t>
      </w:r>
    </w:p>
    <w:p w14:paraId="2FDAAC12" w14:textId="73080348" w:rsidR="001C2C6F" w:rsidRDefault="00D03F53" w:rsidP="00D03F53">
      <w:pPr>
        <w:jc w:val="both"/>
        <w:rPr>
          <w:rFonts w:ascii="Verdana" w:hAnsi="Verdana"/>
          <w:sz w:val="18"/>
          <w:szCs w:val="18"/>
        </w:rPr>
      </w:pPr>
      <w:r w:rsidRPr="00D03F53">
        <w:rPr>
          <w:rFonts w:ascii="Verdana" w:hAnsi="Verdana"/>
          <w:sz w:val="18"/>
          <w:szCs w:val="18"/>
        </w:rPr>
        <w:t>Solicitud de devolución por sujetos pasivos en el régimen simplificado del IVA y que ejerzan la actividad de transporte de viajeros o de mercancías por carretera, por adquirir determinados medios de transporte: 308</w:t>
      </w:r>
    </w:p>
    <w:p w14:paraId="6FFD9D9E" w14:textId="77777777" w:rsidR="001C2C6F" w:rsidRPr="00D03F53" w:rsidRDefault="001C2C6F" w:rsidP="00D03F53">
      <w:pPr>
        <w:jc w:val="both"/>
        <w:rPr>
          <w:rFonts w:ascii="Verdana" w:hAnsi="Verdana"/>
          <w:sz w:val="18"/>
          <w:szCs w:val="18"/>
        </w:rPr>
      </w:pPr>
    </w:p>
    <w:p w14:paraId="177A52EB"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Impuestos Especiales de Fabricación</w:t>
      </w:r>
    </w:p>
    <w:p w14:paraId="4ACBB718" w14:textId="77777777" w:rsidR="00D03F53" w:rsidRPr="00D03F53" w:rsidRDefault="00D03F53">
      <w:pPr>
        <w:numPr>
          <w:ilvl w:val="0"/>
          <w:numId w:val="28"/>
        </w:numPr>
        <w:jc w:val="both"/>
        <w:rPr>
          <w:rFonts w:ascii="Verdana" w:hAnsi="Verdana"/>
          <w:sz w:val="18"/>
          <w:szCs w:val="18"/>
        </w:rPr>
      </w:pPr>
      <w:r w:rsidRPr="00D03F53">
        <w:rPr>
          <w:rFonts w:ascii="Verdana" w:hAnsi="Verdana"/>
          <w:sz w:val="18"/>
          <w:szCs w:val="18"/>
        </w:rPr>
        <w:t>Mayo 2026. Grandes empresas: 561, 562, 563</w:t>
      </w:r>
    </w:p>
    <w:p w14:paraId="043BF6A1" w14:textId="77777777" w:rsidR="00D03F53" w:rsidRPr="00D03F53" w:rsidRDefault="00D03F53">
      <w:pPr>
        <w:numPr>
          <w:ilvl w:val="0"/>
          <w:numId w:val="28"/>
        </w:numPr>
        <w:jc w:val="both"/>
        <w:rPr>
          <w:rFonts w:ascii="Verdana" w:hAnsi="Verdana"/>
          <w:sz w:val="18"/>
          <w:szCs w:val="18"/>
        </w:rPr>
      </w:pPr>
      <w:r w:rsidRPr="00D03F53">
        <w:rPr>
          <w:rFonts w:ascii="Verdana" w:hAnsi="Verdana"/>
          <w:sz w:val="18"/>
          <w:szCs w:val="18"/>
        </w:rPr>
        <w:t>Julio 2026: 548, 566, 581</w:t>
      </w:r>
    </w:p>
    <w:p w14:paraId="0B7128FA" w14:textId="77777777" w:rsidR="00D03F53" w:rsidRPr="00D03F53" w:rsidRDefault="00D03F53">
      <w:pPr>
        <w:numPr>
          <w:ilvl w:val="0"/>
          <w:numId w:val="28"/>
        </w:numPr>
        <w:jc w:val="both"/>
        <w:rPr>
          <w:rFonts w:ascii="Verdana" w:hAnsi="Verdana"/>
          <w:sz w:val="18"/>
          <w:szCs w:val="18"/>
        </w:rPr>
      </w:pPr>
      <w:r w:rsidRPr="00D03F53">
        <w:rPr>
          <w:rFonts w:ascii="Verdana" w:hAnsi="Verdana"/>
          <w:sz w:val="18"/>
          <w:szCs w:val="18"/>
        </w:rPr>
        <w:t>Julio 2026: 573 (Autoliquidación), A24 (Solicitud de devolución)</w:t>
      </w:r>
    </w:p>
    <w:p w14:paraId="0F3DB1ED" w14:textId="77777777" w:rsidR="00D03F53" w:rsidRPr="00D03F53" w:rsidRDefault="00D03F53">
      <w:pPr>
        <w:numPr>
          <w:ilvl w:val="0"/>
          <w:numId w:val="28"/>
        </w:numPr>
        <w:jc w:val="both"/>
        <w:rPr>
          <w:rFonts w:ascii="Verdana" w:hAnsi="Verdana"/>
          <w:sz w:val="18"/>
          <w:szCs w:val="18"/>
        </w:rPr>
      </w:pPr>
      <w:r w:rsidRPr="00D03F53">
        <w:rPr>
          <w:rFonts w:ascii="Verdana" w:hAnsi="Verdana"/>
          <w:sz w:val="18"/>
          <w:szCs w:val="18"/>
        </w:rPr>
        <w:t>Segundo trimestre 2026. Excepto grandes empresas: 561, 562, 563</w:t>
      </w:r>
    </w:p>
    <w:p w14:paraId="4CDF7FED" w14:textId="77777777" w:rsidR="00D03F53" w:rsidRDefault="00D03F53">
      <w:pPr>
        <w:numPr>
          <w:ilvl w:val="0"/>
          <w:numId w:val="28"/>
        </w:numPr>
        <w:jc w:val="both"/>
        <w:rPr>
          <w:rFonts w:ascii="Verdana" w:hAnsi="Verdana"/>
          <w:sz w:val="18"/>
          <w:szCs w:val="18"/>
        </w:rPr>
      </w:pPr>
      <w:r w:rsidRPr="00D03F53">
        <w:rPr>
          <w:rFonts w:ascii="Verdana" w:hAnsi="Verdana"/>
          <w:sz w:val="18"/>
          <w:szCs w:val="18"/>
        </w:rPr>
        <w:t>Declaración de operaciones por los destinatarios registrados y representantes fiscales: 510</w:t>
      </w:r>
    </w:p>
    <w:p w14:paraId="33B5CBBB" w14:textId="77777777" w:rsidR="001C2C6F" w:rsidRPr="00D03F53" w:rsidRDefault="001C2C6F" w:rsidP="001C2C6F">
      <w:pPr>
        <w:ind w:left="720"/>
        <w:jc w:val="both"/>
        <w:rPr>
          <w:rFonts w:ascii="Verdana" w:hAnsi="Verdana"/>
          <w:sz w:val="18"/>
          <w:szCs w:val="18"/>
        </w:rPr>
      </w:pPr>
    </w:p>
    <w:p w14:paraId="353B9518"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 Especial sobre la Electricidad</w:t>
      </w:r>
    </w:p>
    <w:p w14:paraId="49D38612" w14:textId="77777777" w:rsidR="00D03F53" w:rsidRDefault="00D03F53">
      <w:pPr>
        <w:numPr>
          <w:ilvl w:val="0"/>
          <w:numId w:val="29"/>
        </w:numPr>
        <w:jc w:val="both"/>
        <w:rPr>
          <w:rFonts w:ascii="Verdana" w:hAnsi="Verdana"/>
          <w:sz w:val="18"/>
          <w:szCs w:val="18"/>
        </w:rPr>
      </w:pPr>
      <w:r w:rsidRPr="00D03F53">
        <w:rPr>
          <w:rFonts w:ascii="Verdana" w:hAnsi="Verdana"/>
          <w:sz w:val="18"/>
          <w:szCs w:val="18"/>
        </w:rPr>
        <w:t>Julio 2026. Grandes empresas: 560</w:t>
      </w:r>
    </w:p>
    <w:p w14:paraId="4D1E019B" w14:textId="77777777" w:rsidR="001C2C6F" w:rsidRPr="00D03F53" w:rsidRDefault="001C2C6F" w:rsidP="001C2C6F">
      <w:pPr>
        <w:ind w:left="720"/>
        <w:jc w:val="both"/>
        <w:rPr>
          <w:rFonts w:ascii="Verdana" w:hAnsi="Verdana"/>
          <w:sz w:val="18"/>
          <w:szCs w:val="18"/>
        </w:rPr>
      </w:pPr>
    </w:p>
    <w:p w14:paraId="52CB3DE6"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Impuestos Medioambientales</w:t>
      </w:r>
    </w:p>
    <w:p w14:paraId="5A1286D5" w14:textId="77777777" w:rsidR="00D03F53" w:rsidRDefault="00D03F53">
      <w:pPr>
        <w:numPr>
          <w:ilvl w:val="0"/>
          <w:numId w:val="30"/>
        </w:numPr>
        <w:jc w:val="both"/>
        <w:rPr>
          <w:rFonts w:ascii="Verdana" w:hAnsi="Verdana"/>
          <w:sz w:val="18"/>
          <w:szCs w:val="18"/>
        </w:rPr>
      </w:pPr>
      <w:r w:rsidRPr="00D03F53">
        <w:rPr>
          <w:rFonts w:ascii="Verdana" w:hAnsi="Verdana"/>
          <w:sz w:val="18"/>
          <w:szCs w:val="18"/>
        </w:rPr>
        <w:t>Julio 2026. Impuesto especial sobre los envases de plástico no reutilizables. Autoliquidación: 592</w:t>
      </w:r>
    </w:p>
    <w:p w14:paraId="43ED566D" w14:textId="77777777" w:rsidR="001C2C6F" w:rsidRPr="00D03F53" w:rsidRDefault="001C2C6F" w:rsidP="001C2C6F">
      <w:pPr>
        <w:ind w:left="720"/>
        <w:jc w:val="both"/>
        <w:rPr>
          <w:rFonts w:ascii="Verdana" w:hAnsi="Verdana"/>
          <w:sz w:val="18"/>
          <w:szCs w:val="18"/>
        </w:rPr>
      </w:pPr>
    </w:p>
    <w:p w14:paraId="13CB70E6"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Impuesto sobre las transacciones financieras</w:t>
      </w:r>
    </w:p>
    <w:p w14:paraId="7EB6E105" w14:textId="77777777" w:rsidR="00D03F53" w:rsidRPr="00D03F53" w:rsidRDefault="00D03F53">
      <w:pPr>
        <w:numPr>
          <w:ilvl w:val="0"/>
          <w:numId w:val="31"/>
        </w:numPr>
        <w:jc w:val="both"/>
        <w:rPr>
          <w:rFonts w:ascii="Verdana" w:hAnsi="Verdana"/>
          <w:sz w:val="18"/>
          <w:szCs w:val="18"/>
        </w:rPr>
      </w:pPr>
      <w:r w:rsidRPr="00D03F53">
        <w:rPr>
          <w:rFonts w:ascii="Verdana" w:hAnsi="Verdana"/>
          <w:sz w:val="18"/>
          <w:szCs w:val="18"/>
        </w:rPr>
        <w:t>Julio 2026: 604</w:t>
      </w:r>
    </w:p>
    <w:p w14:paraId="250211EC" w14:textId="77777777" w:rsidR="00D03F53" w:rsidRDefault="00D03F53" w:rsidP="00D03F53">
      <w:pPr>
        <w:jc w:val="both"/>
        <w:rPr>
          <w:rFonts w:ascii="Verdana" w:hAnsi="Verdana"/>
          <w:sz w:val="18"/>
          <w:szCs w:val="18"/>
        </w:rPr>
      </w:pPr>
    </w:p>
    <w:p w14:paraId="107F37EC" w14:textId="0120B805" w:rsidR="00D03F53" w:rsidRPr="00D03F53" w:rsidRDefault="001C2C6F" w:rsidP="00D03F53">
      <w:pPr>
        <w:jc w:val="both"/>
        <w:rPr>
          <w:rFonts w:ascii="Verdana" w:hAnsi="Verdana"/>
          <w:b/>
          <w:bCs/>
          <w:color w:val="800000"/>
          <w:sz w:val="18"/>
          <w:szCs w:val="18"/>
        </w:rPr>
      </w:pPr>
      <w:r w:rsidRPr="00D03F53">
        <w:rPr>
          <w:rFonts w:ascii="Verdana" w:hAnsi="Verdana"/>
          <w:b/>
          <w:bCs/>
          <w:color w:val="800000"/>
          <w:sz w:val="18"/>
          <w:szCs w:val="18"/>
        </w:rPr>
        <w:t>HASTA EL 31 DE AGOSTO</w:t>
      </w:r>
    </w:p>
    <w:p w14:paraId="7B910E4E"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IVA</w:t>
      </w:r>
    </w:p>
    <w:p w14:paraId="06DEC1AC" w14:textId="77777777" w:rsidR="00D03F53" w:rsidRPr="00D03F53" w:rsidRDefault="00D03F53">
      <w:pPr>
        <w:numPr>
          <w:ilvl w:val="0"/>
          <w:numId w:val="32"/>
        </w:numPr>
        <w:jc w:val="both"/>
        <w:rPr>
          <w:rFonts w:ascii="Verdana" w:hAnsi="Verdana"/>
          <w:sz w:val="18"/>
          <w:szCs w:val="18"/>
        </w:rPr>
      </w:pPr>
      <w:r w:rsidRPr="00D03F53">
        <w:rPr>
          <w:rFonts w:ascii="Verdana" w:hAnsi="Verdana"/>
          <w:sz w:val="18"/>
          <w:szCs w:val="18"/>
        </w:rPr>
        <w:t>Julio 2026. Autoliquidación: 303</w:t>
      </w:r>
    </w:p>
    <w:p w14:paraId="2AB8965D" w14:textId="77777777" w:rsidR="00D03F53" w:rsidRPr="00D03F53" w:rsidRDefault="00D03F53">
      <w:pPr>
        <w:numPr>
          <w:ilvl w:val="0"/>
          <w:numId w:val="32"/>
        </w:numPr>
        <w:jc w:val="both"/>
        <w:rPr>
          <w:rFonts w:ascii="Verdana" w:hAnsi="Verdana"/>
          <w:sz w:val="18"/>
          <w:szCs w:val="18"/>
        </w:rPr>
      </w:pPr>
      <w:r w:rsidRPr="00D03F53">
        <w:rPr>
          <w:rFonts w:ascii="Verdana" w:hAnsi="Verdana"/>
          <w:sz w:val="18"/>
          <w:szCs w:val="18"/>
        </w:rPr>
        <w:t>Julio 2026. Grupo de entidades, modelo individual: 322</w:t>
      </w:r>
    </w:p>
    <w:p w14:paraId="066D2E14" w14:textId="77777777" w:rsidR="00D03F53" w:rsidRPr="00D03F53" w:rsidRDefault="00D03F53">
      <w:pPr>
        <w:numPr>
          <w:ilvl w:val="0"/>
          <w:numId w:val="32"/>
        </w:numPr>
        <w:jc w:val="both"/>
        <w:rPr>
          <w:rFonts w:ascii="Verdana" w:hAnsi="Verdana"/>
          <w:sz w:val="18"/>
          <w:szCs w:val="18"/>
        </w:rPr>
      </w:pPr>
      <w:r w:rsidRPr="00D03F53">
        <w:rPr>
          <w:rFonts w:ascii="Verdana" w:hAnsi="Verdana"/>
          <w:sz w:val="18"/>
          <w:szCs w:val="18"/>
        </w:rPr>
        <w:t>Julio 2026. Grupo de entidades, modelo agregado: 353</w:t>
      </w:r>
    </w:p>
    <w:p w14:paraId="258D62E6" w14:textId="77777777" w:rsidR="00D03F53" w:rsidRPr="00D03F53" w:rsidRDefault="00D03F53">
      <w:pPr>
        <w:numPr>
          <w:ilvl w:val="0"/>
          <w:numId w:val="32"/>
        </w:numPr>
        <w:jc w:val="both"/>
        <w:rPr>
          <w:rFonts w:ascii="Verdana" w:hAnsi="Verdana"/>
          <w:sz w:val="18"/>
          <w:szCs w:val="18"/>
        </w:rPr>
      </w:pPr>
      <w:r w:rsidRPr="00D03F53">
        <w:rPr>
          <w:rFonts w:ascii="Verdana" w:hAnsi="Verdana"/>
          <w:sz w:val="18"/>
          <w:szCs w:val="18"/>
        </w:rPr>
        <w:t>Julio 2026. Ventanilla única - Régimen de importación: 369</w:t>
      </w:r>
    </w:p>
    <w:p w14:paraId="3C17DCC9" w14:textId="77777777" w:rsidR="00D03F53" w:rsidRDefault="00D03F53">
      <w:pPr>
        <w:numPr>
          <w:ilvl w:val="0"/>
          <w:numId w:val="32"/>
        </w:numPr>
        <w:jc w:val="both"/>
        <w:rPr>
          <w:rFonts w:ascii="Verdana" w:hAnsi="Verdana"/>
          <w:sz w:val="18"/>
          <w:szCs w:val="18"/>
        </w:rPr>
      </w:pPr>
      <w:r w:rsidRPr="00D03F53">
        <w:rPr>
          <w:rFonts w:ascii="Verdana" w:hAnsi="Verdana"/>
          <w:sz w:val="18"/>
          <w:szCs w:val="18"/>
        </w:rPr>
        <w:t>Julio 2026. Operaciones asimiladas a las importaciones: 380</w:t>
      </w:r>
    </w:p>
    <w:p w14:paraId="3FC0AE7C" w14:textId="77777777" w:rsidR="001C2C6F" w:rsidRPr="00D03F53" w:rsidRDefault="001C2C6F" w:rsidP="001C2C6F">
      <w:pPr>
        <w:ind w:left="720"/>
        <w:jc w:val="both"/>
        <w:rPr>
          <w:rFonts w:ascii="Verdana" w:hAnsi="Verdana"/>
          <w:sz w:val="18"/>
          <w:szCs w:val="18"/>
        </w:rPr>
      </w:pPr>
    </w:p>
    <w:p w14:paraId="7A7DCC94"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Declaración informativa mensual de las operaciones realizadas por los empresarios o profesionales adheridos al sistema de gestión de cobros a través de cualquier tipo de tarjetas y mediante pagos asociados a números de teléfono móvil</w:t>
      </w:r>
    </w:p>
    <w:p w14:paraId="471E477F" w14:textId="77777777" w:rsidR="00D03F53" w:rsidRDefault="00D03F53">
      <w:pPr>
        <w:numPr>
          <w:ilvl w:val="0"/>
          <w:numId w:val="33"/>
        </w:numPr>
        <w:jc w:val="both"/>
        <w:rPr>
          <w:rFonts w:ascii="Verdana" w:hAnsi="Verdana"/>
          <w:sz w:val="18"/>
          <w:szCs w:val="18"/>
        </w:rPr>
      </w:pPr>
      <w:r w:rsidRPr="00D03F53">
        <w:rPr>
          <w:rFonts w:ascii="Verdana" w:hAnsi="Verdana"/>
          <w:sz w:val="18"/>
          <w:szCs w:val="18"/>
        </w:rPr>
        <w:t>Julio 2026: 170</w:t>
      </w:r>
    </w:p>
    <w:p w14:paraId="41D75CB0" w14:textId="77777777" w:rsidR="001C2C6F" w:rsidRPr="00D03F53" w:rsidRDefault="001C2C6F" w:rsidP="001C2C6F">
      <w:pPr>
        <w:ind w:left="720"/>
        <w:jc w:val="both"/>
        <w:rPr>
          <w:rFonts w:ascii="Verdana" w:hAnsi="Verdana"/>
          <w:sz w:val="18"/>
          <w:szCs w:val="18"/>
        </w:rPr>
      </w:pPr>
    </w:p>
    <w:p w14:paraId="6FA9A52E" w14:textId="77777777" w:rsidR="00D03F53" w:rsidRPr="00D03F53" w:rsidRDefault="00D03F53" w:rsidP="00D03F53">
      <w:pPr>
        <w:jc w:val="both"/>
        <w:rPr>
          <w:rFonts w:ascii="Verdana" w:hAnsi="Verdana"/>
          <w:b/>
          <w:bCs/>
          <w:color w:val="800000"/>
          <w:sz w:val="18"/>
          <w:szCs w:val="18"/>
        </w:rPr>
      </w:pPr>
      <w:r w:rsidRPr="00D03F53">
        <w:rPr>
          <w:rFonts w:ascii="Verdana" w:hAnsi="Verdana"/>
          <w:b/>
          <w:bCs/>
          <w:color w:val="800000"/>
          <w:sz w:val="18"/>
          <w:szCs w:val="18"/>
        </w:rPr>
        <w:t>Declaración informativa mensual de cuentas en toda clase de instituciones financieras y resumen anual de retenciones e ingresos a cuenta sobre rendimientos del capital mobiliario y rentas obtenidas por la contraprestación derivada de cuentas en toda clase de instituciones financieras</w:t>
      </w:r>
    </w:p>
    <w:p w14:paraId="705789DC" w14:textId="4E20DFF8" w:rsidR="00D03F53" w:rsidRPr="00D03F53" w:rsidRDefault="00D03F53">
      <w:pPr>
        <w:numPr>
          <w:ilvl w:val="0"/>
          <w:numId w:val="34"/>
        </w:numPr>
        <w:jc w:val="both"/>
        <w:rPr>
          <w:rFonts w:ascii="Verdana" w:hAnsi="Verdana"/>
          <w:sz w:val="18"/>
          <w:szCs w:val="18"/>
        </w:rPr>
      </w:pPr>
      <w:r w:rsidRPr="00D03F53">
        <w:rPr>
          <w:rFonts w:ascii="Verdana" w:hAnsi="Verdana"/>
          <w:sz w:val="18"/>
          <w:szCs w:val="18"/>
        </w:rPr>
        <w:t>Julio 2026: 196</w:t>
      </w:r>
    </w:p>
    <w:sectPr w:rsidR="00D03F53" w:rsidRPr="00D03F53" w:rsidSect="00030B3F">
      <w:footerReference w:type="even" r:id="rId8"/>
      <w:pgSz w:w="11906" w:h="16838"/>
      <w:pgMar w:top="1843" w:right="1701" w:bottom="1418"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15B0" w14:textId="77777777" w:rsidR="00ED5853" w:rsidRDefault="00ED5853">
      <w:r>
        <w:separator/>
      </w:r>
    </w:p>
  </w:endnote>
  <w:endnote w:type="continuationSeparator" w:id="0">
    <w:p w14:paraId="18662EF2" w14:textId="77777777" w:rsidR="00ED5853" w:rsidRDefault="00ED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144D" w14:textId="77777777" w:rsidR="00382E0C" w:rsidRDefault="00F93971">
    <w:pPr>
      <w:pStyle w:val="Piedepgina"/>
      <w:framePr w:wrap="around" w:vAnchor="text" w:hAnchor="margin" w:xAlign="right" w:y="1"/>
      <w:rPr>
        <w:rStyle w:val="Nmerodepgina"/>
      </w:rPr>
    </w:pPr>
    <w:r>
      <w:rPr>
        <w:rStyle w:val="Nmerodepgina"/>
      </w:rPr>
      <w:fldChar w:fldCharType="begin"/>
    </w:r>
    <w:r w:rsidR="00382E0C">
      <w:rPr>
        <w:rStyle w:val="Nmerodepgina"/>
      </w:rPr>
      <w:instrText xml:space="preserve">PAGE  </w:instrText>
    </w:r>
    <w:r>
      <w:rPr>
        <w:rStyle w:val="Nmerodepgina"/>
      </w:rPr>
      <w:fldChar w:fldCharType="end"/>
    </w:r>
  </w:p>
  <w:p w14:paraId="2B13C1BD" w14:textId="77777777" w:rsidR="00382E0C" w:rsidRDefault="00382E0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6129" w14:textId="77777777" w:rsidR="00ED5853" w:rsidRDefault="00ED5853">
      <w:r>
        <w:separator/>
      </w:r>
    </w:p>
  </w:footnote>
  <w:footnote w:type="continuationSeparator" w:id="0">
    <w:p w14:paraId="07DBE325" w14:textId="77777777" w:rsidR="00ED5853" w:rsidRDefault="00ED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815"/>
    <w:multiLevelType w:val="multilevel"/>
    <w:tmpl w:val="DA4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F43B1"/>
    <w:multiLevelType w:val="multilevel"/>
    <w:tmpl w:val="1E54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C1860"/>
    <w:multiLevelType w:val="multilevel"/>
    <w:tmpl w:val="A22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A5620"/>
    <w:multiLevelType w:val="multilevel"/>
    <w:tmpl w:val="A5FE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9149F"/>
    <w:multiLevelType w:val="multilevel"/>
    <w:tmpl w:val="A156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F4713"/>
    <w:multiLevelType w:val="multilevel"/>
    <w:tmpl w:val="AF3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37A62"/>
    <w:multiLevelType w:val="multilevel"/>
    <w:tmpl w:val="CAC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71253"/>
    <w:multiLevelType w:val="multilevel"/>
    <w:tmpl w:val="5936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B58CD"/>
    <w:multiLevelType w:val="multilevel"/>
    <w:tmpl w:val="EFB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336D4"/>
    <w:multiLevelType w:val="hybridMultilevel"/>
    <w:tmpl w:val="336E7A1E"/>
    <w:lvl w:ilvl="0" w:tplc="FF608D8E">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0" w15:restartNumberingAfterBreak="0">
    <w:nsid w:val="1B525001"/>
    <w:multiLevelType w:val="multilevel"/>
    <w:tmpl w:val="134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26E74"/>
    <w:multiLevelType w:val="multilevel"/>
    <w:tmpl w:val="62B6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5271E"/>
    <w:multiLevelType w:val="multilevel"/>
    <w:tmpl w:val="E19E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E7793"/>
    <w:multiLevelType w:val="hybridMultilevel"/>
    <w:tmpl w:val="E2E88C9A"/>
    <w:lvl w:ilvl="0" w:tplc="6F3A6F68">
      <w:start w:val="2"/>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C744CB5"/>
    <w:multiLevelType w:val="multilevel"/>
    <w:tmpl w:val="216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F0944"/>
    <w:multiLevelType w:val="multilevel"/>
    <w:tmpl w:val="3F7AB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E3363E"/>
    <w:multiLevelType w:val="multilevel"/>
    <w:tmpl w:val="48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4A3A5D"/>
    <w:multiLevelType w:val="multilevel"/>
    <w:tmpl w:val="6FA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214D6D"/>
    <w:multiLevelType w:val="hybridMultilevel"/>
    <w:tmpl w:val="1ADEFD54"/>
    <w:lvl w:ilvl="0" w:tplc="4D60D42A">
      <w:start w:val="7"/>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15:restartNumberingAfterBreak="0">
    <w:nsid w:val="256F56EF"/>
    <w:multiLevelType w:val="multilevel"/>
    <w:tmpl w:val="8A2A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243953"/>
    <w:multiLevelType w:val="multilevel"/>
    <w:tmpl w:val="C972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B3191D"/>
    <w:multiLevelType w:val="multilevel"/>
    <w:tmpl w:val="4B9A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30416A"/>
    <w:multiLevelType w:val="hybridMultilevel"/>
    <w:tmpl w:val="8D1CD9AC"/>
    <w:lvl w:ilvl="0" w:tplc="3D58D3CE">
      <w:start w:val="1"/>
      <w:numFmt w:val="decimal"/>
      <w:lvlText w:val="%1."/>
      <w:lvlJc w:val="left"/>
      <w:pPr>
        <w:ind w:left="100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20B0CB1"/>
    <w:multiLevelType w:val="multilevel"/>
    <w:tmpl w:val="0324D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245F3A"/>
    <w:multiLevelType w:val="multilevel"/>
    <w:tmpl w:val="DF8A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D60068"/>
    <w:multiLevelType w:val="multilevel"/>
    <w:tmpl w:val="6DF8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55876"/>
    <w:multiLevelType w:val="multilevel"/>
    <w:tmpl w:val="C3B0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046115"/>
    <w:multiLevelType w:val="multilevel"/>
    <w:tmpl w:val="6C3E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02682"/>
    <w:multiLevelType w:val="multilevel"/>
    <w:tmpl w:val="1EC6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47527A"/>
    <w:multiLevelType w:val="multilevel"/>
    <w:tmpl w:val="9872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E31217"/>
    <w:multiLevelType w:val="multilevel"/>
    <w:tmpl w:val="66B8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B045EE"/>
    <w:multiLevelType w:val="hybridMultilevel"/>
    <w:tmpl w:val="6C068CFE"/>
    <w:lvl w:ilvl="0" w:tplc="12BE5A5E">
      <w:start w:val="8"/>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2" w15:restartNumberingAfterBreak="0">
    <w:nsid w:val="49340CD8"/>
    <w:multiLevelType w:val="multilevel"/>
    <w:tmpl w:val="E2CC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D63366"/>
    <w:multiLevelType w:val="multilevel"/>
    <w:tmpl w:val="3DF4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24026"/>
    <w:multiLevelType w:val="multilevel"/>
    <w:tmpl w:val="624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4903E5"/>
    <w:multiLevelType w:val="multilevel"/>
    <w:tmpl w:val="2570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636B1A"/>
    <w:multiLevelType w:val="multilevel"/>
    <w:tmpl w:val="3290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2500FE"/>
    <w:multiLevelType w:val="multilevel"/>
    <w:tmpl w:val="835C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B36160"/>
    <w:multiLevelType w:val="multilevel"/>
    <w:tmpl w:val="D5A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4138B2"/>
    <w:multiLevelType w:val="multilevel"/>
    <w:tmpl w:val="716A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CB0E9F"/>
    <w:multiLevelType w:val="multilevel"/>
    <w:tmpl w:val="25DC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FE2955"/>
    <w:multiLevelType w:val="multilevel"/>
    <w:tmpl w:val="C142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C91BF2"/>
    <w:multiLevelType w:val="multilevel"/>
    <w:tmpl w:val="789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51695D"/>
    <w:multiLevelType w:val="hybridMultilevel"/>
    <w:tmpl w:val="DB24A0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5FC43BD0"/>
    <w:multiLevelType w:val="multilevel"/>
    <w:tmpl w:val="A4E4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47320F"/>
    <w:multiLevelType w:val="multilevel"/>
    <w:tmpl w:val="457A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D811A5"/>
    <w:multiLevelType w:val="multilevel"/>
    <w:tmpl w:val="355E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C305FF"/>
    <w:multiLevelType w:val="multilevel"/>
    <w:tmpl w:val="8782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CE1B35"/>
    <w:multiLevelType w:val="multilevel"/>
    <w:tmpl w:val="EA0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621339"/>
    <w:multiLevelType w:val="hybridMultilevel"/>
    <w:tmpl w:val="27C05F0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0" w15:restartNumberingAfterBreak="0">
    <w:nsid w:val="76DD59BD"/>
    <w:multiLevelType w:val="hybridMultilevel"/>
    <w:tmpl w:val="DA00D500"/>
    <w:lvl w:ilvl="0" w:tplc="3B0C90DC">
      <w:start w:val="5"/>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1" w15:restartNumberingAfterBreak="0">
    <w:nsid w:val="7A697170"/>
    <w:multiLevelType w:val="multilevel"/>
    <w:tmpl w:val="47E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AB3A0C"/>
    <w:multiLevelType w:val="multilevel"/>
    <w:tmpl w:val="222C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067225">
    <w:abstractNumId w:val="9"/>
  </w:num>
  <w:num w:numId="2" w16cid:durableId="395204881">
    <w:abstractNumId w:val="22"/>
  </w:num>
  <w:num w:numId="3" w16cid:durableId="1630667521">
    <w:abstractNumId w:val="43"/>
  </w:num>
  <w:num w:numId="4" w16cid:durableId="1595044455">
    <w:abstractNumId w:val="36"/>
  </w:num>
  <w:num w:numId="5" w16cid:durableId="1715959958">
    <w:abstractNumId w:val="23"/>
  </w:num>
  <w:num w:numId="6" w16cid:durableId="494879590">
    <w:abstractNumId w:val="46"/>
  </w:num>
  <w:num w:numId="7" w16cid:durableId="1298952606">
    <w:abstractNumId w:val="45"/>
  </w:num>
  <w:num w:numId="8" w16cid:durableId="1946570231">
    <w:abstractNumId w:val="0"/>
  </w:num>
  <w:num w:numId="9" w16cid:durableId="1085804571">
    <w:abstractNumId w:val="29"/>
  </w:num>
  <w:num w:numId="10" w16cid:durableId="1439595038">
    <w:abstractNumId w:val="15"/>
  </w:num>
  <w:num w:numId="11" w16cid:durableId="1251502181">
    <w:abstractNumId w:val="17"/>
  </w:num>
  <w:num w:numId="12" w16cid:durableId="913588377">
    <w:abstractNumId w:val="30"/>
  </w:num>
  <w:num w:numId="13" w16cid:durableId="1464423358">
    <w:abstractNumId w:val="16"/>
  </w:num>
  <w:num w:numId="14" w16cid:durableId="671026644">
    <w:abstractNumId w:val="41"/>
  </w:num>
  <w:num w:numId="15" w16cid:durableId="1354577476">
    <w:abstractNumId w:val="44"/>
  </w:num>
  <w:num w:numId="16" w16cid:durableId="1228224689">
    <w:abstractNumId w:val="8"/>
  </w:num>
  <w:num w:numId="17" w16cid:durableId="463038793">
    <w:abstractNumId w:val="5"/>
  </w:num>
  <w:num w:numId="18" w16cid:durableId="1995989397">
    <w:abstractNumId w:val="40"/>
  </w:num>
  <w:num w:numId="19" w16cid:durableId="990671566">
    <w:abstractNumId w:val="35"/>
  </w:num>
  <w:num w:numId="20" w16cid:durableId="1416586850">
    <w:abstractNumId w:val="6"/>
  </w:num>
  <w:num w:numId="21" w16cid:durableId="2146190191">
    <w:abstractNumId w:val="3"/>
  </w:num>
  <w:num w:numId="22" w16cid:durableId="250548067">
    <w:abstractNumId w:val="32"/>
  </w:num>
  <w:num w:numId="23" w16cid:durableId="874074622">
    <w:abstractNumId w:val="28"/>
  </w:num>
  <w:num w:numId="24" w16cid:durableId="396899130">
    <w:abstractNumId w:val="25"/>
  </w:num>
  <w:num w:numId="25" w16cid:durableId="1641880067">
    <w:abstractNumId w:val="52"/>
  </w:num>
  <w:num w:numId="26" w16cid:durableId="1542480116">
    <w:abstractNumId w:val="26"/>
  </w:num>
  <w:num w:numId="27" w16cid:durableId="119763485">
    <w:abstractNumId w:val="24"/>
  </w:num>
  <w:num w:numId="28" w16cid:durableId="460272023">
    <w:abstractNumId w:val="10"/>
  </w:num>
  <w:num w:numId="29" w16cid:durableId="538511912">
    <w:abstractNumId w:val="14"/>
  </w:num>
  <w:num w:numId="30" w16cid:durableId="1612935037">
    <w:abstractNumId w:val="39"/>
  </w:num>
  <w:num w:numId="31" w16cid:durableId="16658985">
    <w:abstractNumId w:val="48"/>
  </w:num>
  <w:num w:numId="32" w16cid:durableId="1694575729">
    <w:abstractNumId w:val="4"/>
  </w:num>
  <w:num w:numId="33" w16cid:durableId="20128993">
    <w:abstractNumId w:val="11"/>
  </w:num>
  <w:num w:numId="34" w16cid:durableId="1812601963">
    <w:abstractNumId w:val="1"/>
  </w:num>
  <w:num w:numId="35" w16cid:durableId="1851337158">
    <w:abstractNumId w:val="47"/>
  </w:num>
  <w:num w:numId="36" w16cid:durableId="1716082875">
    <w:abstractNumId w:val="42"/>
  </w:num>
  <w:num w:numId="37" w16cid:durableId="1287851165">
    <w:abstractNumId w:val="34"/>
  </w:num>
  <w:num w:numId="38" w16cid:durableId="1586453503">
    <w:abstractNumId w:val="13"/>
  </w:num>
  <w:num w:numId="39" w16cid:durableId="1488520699">
    <w:abstractNumId w:val="19"/>
  </w:num>
  <w:num w:numId="40" w16cid:durableId="1757827535">
    <w:abstractNumId w:val="37"/>
  </w:num>
  <w:num w:numId="41" w16cid:durableId="1178811294">
    <w:abstractNumId w:val="20"/>
  </w:num>
  <w:num w:numId="42" w16cid:durableId="1933584465">
    <w:abstractNumId w:val="50"/>
  </w:num>
  <w:num w:numId="43" w16cid:durableId="1486438623">
    <w:abstractNumId w:val="49"/>
  </w:num>
  <w:num w:numId="44" w16cid:durableId="26032015">
    <w:abstractNumId w:val="21"/>
  </w:num>
  <w:num w:numId="45" w16cid:durableId="403113000">
    <w:abstractNumId w:val="18"/>
  </w:num>
  <w:num w:numId="46" w16cid:durableId="635254585">
    <w:abstractNumId w:val="31"/>
  </w:num>
  <w:num w:numId="47" w16cid:durableId="565579262">
    <w:abstractNumId w:val="38"/>
  </w:num>
  <w:num w:numId="48" w16cid:durableId="544488029">
    <w:abstractNumId w:val="51"/>
  </w:num>
  <w:num w:numId="49" w16cid:durableId="1495878497">
    <w:abstractNumId w:val="27"/>
  </w:num>
  <w:num w:numId="50" w16cid:durableId="192042001">
    <w:abstractNumId w:val="7"/>
  </w:num>
  <w:num w:numId="51" w16cid:durableId="777413138">
    <w:abstractNumId w:val="33"/>
  </w:num>
  <w:num w:numId="52" w16cid:durableId="1721129790">
    <w:abstractNumId w:val="2"/>
  </w:num>
  <w:num w:numId="53" w16cid:durableId="1420637599">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F6"/>
    <w:rsid w:val="00001419"/>
    <w:rsid w:val="0000246B"/>
    <w:rsid w:val="00003D30"/>
    <w:rsid w:val="00005CB9"/>
    <w:rsid w:val="00011C57"/>
    <w:rsid w:val="00013A61"/>
    <w:rsid w:val="00014A5E"/>
    <w:rsid w:val="00022B59"/>
    <w:rsid w:val="0002470B"/>
    <w:rsid w:val="00025C06"/>
    <w:rsid w:val="00030B3F"/>
    <w:rsid w:val="00030E7B"/>
    <w:rsid w:val="00031219"/>
    <w:rsid w:val="0003318B"/>
    <w:rsid w:val="00034577"/>
    <w:rsid w:val="000354C1"/>
    <w:rsid w:val="000406F8"/>
    <w:rsid w:val="00041EF6"/>
    <w:rsid w:val="00045B01"/>
    <w:rsid w:val="00046829"/>
    <w:rsid w:val="00047AFD"/>
    <w:rsid w:val="00050D80"/>
    <w:rsid w:val="000516A5"/>
    <w:rsid w:val="00051C6F"/>
    <w:rsid w:val="00051E64"/>
    <w:rsid w:val="00052A83"/>
    <w:rsid w:val="00052BEB"/>
    <w:rsid w:val="00053C3E"/>
    <w:rsid w:val="00053C54"/>
    <w:rsid w:val="00063E24"/>
    <w:rsid w:val="00065169"/>
    <w:rsid w:val="00066061"/>
    <w:rsid w:val="00066D1B"/>
    <w:rsid w:val="0006716E"/>
    <w:rsid w:val="00070823"/>
    <w:rsid w:val="000710D0"/>
    <w:rsid w:val="00071373"/>
    <w:rsid w:val="000719EC"/>
    <w:rsid w:val="00075A94"/>
    <w:rsid w:val="00080B1A"/>
    <w:rsid w:val="00084B35"/>
    <w:rsid w:val="000852A7"/>
    <w:rsid w:val="000853D0"/>
    <w:rsid w:val="000865BD"/>
    <w:rsid w:val="000914FC"/>
    <w:rsid w:val="00096610"/>
    <w:rsid w:val="00097117"/>
    <w:rsid w:val="00097231"/>
    <w:rsid w:val="0009734F"/>
    <w:rsid w:val="000A00FF"/>
    <w:rsid w:val="000A64BA"/>
    <w:rsid w:val="000A68B4"/>
    <w:rsid w:val="000A7345"/>
    <w:rsid w:val="000B0138"/>
    <w:rsid w:val="000B0DFC"/>
    <w:rsid w:val="000B292D"/>
    <w:rsid w:val="000B2C4C"/>
    <w:rsid w:val="000B31CA"/>
    <w:rsid w:val="000B462D"/>
    <w:rsid w:val="000C2D5E"/>
    <w:rsid w:val="000C4844"/>
    <w:rsid w:val="000C5C2A"/>
    <w:rsid w:val="000C6149"/>
    <w:rsid w:val="000C79EC"/>
    <w:rsid w:val="000D06EB"/>
    <w:rsid w:val="000D4060"/>
    <w:rsid w:val="000D6EA6"/>
    <w:rsid w:val="000D7657"/>
    <w:rsid w:val="000D7780"/>
    <w:rsid w:val="000E1007"/>
    <w:rsid w:val="000E3E1D"/>
    <w:rsid w:val="000E60B2"/>
    <w:rsid w:val="000E6551"/>
    <w:rsid w:val="000E7F49"/>
    <w:rsid w:val="000F075E"/>
    <w:rsid w:val="000F165E"/>
    <w:rsid w:val="000F2B15"/>
    <w:rsid w:val="000F39F9"/>
    <w:rsid w:val="000F4971"/>
    <w:rsid w:val="000F5FB3"/>
    <w:rsid w:val="000F6641"/>
    <w:rsid w:val="000F7FE2"/>
    <w:rsid w:val="00101472"/>
    <w:rsid w:val="00101BA0"/>
    <w:rsid w:val="00105125"/>
    <w:rsid w:val="0011085B"/>
    <w:rsid w:val="00116236"/>
    <w:rsid w:val="00116FDD"/>
    <w:rsid w:val="001208D4"/>
    <w:rsid w:val="00121364"/>
    <w:rsid w:val="001253B1"/>
    <w:rsid w:val="00126171"/>
    <w:rsid w:val="001322E2"/>
    <w:rsid w:val="00132965"/>
    <w:rsid w:val="0013389B"/>
    <w:rsid w:val="00135E5C"/>
    <w:rsid w:val="00136669"/>
    <w:rsid w:val="00137231"/>
    <w:rsid w:val="00141A5F"/>
    <w:rsid w:val="001420F1"/>
    <w:rsid w:val="00144533"/>
    <w:rsid w:val="00145F71"/>
    <w:rsid w:val="001460B3"/>
    <w:rsid w:val="001465ED"/>
    <w:rsid w:val="00146CC4"/>
    <w:rsid w:val="0014712D"/>
    <w:rsid w:val="001505D3"/>
    <w:rsid w:val="001549D2"/>
    <w:rsid w:val="001565BE"/>
    <w:rsid w:val="00156693"/>
    <w:rsid w:val="0016211D"/>
    <w:rsid w:val="001624B8"/>
    <w:rsid w:val="0017075C"/>
    <w:rsid w:val="001711E6"/>
    <w:rsid w:val="00172239"/>
    <w:rsid w:val="001737CB"/>
    <w:rsid w:val="00173B8B"/>
    <w:rsid w:val="00175A00"/>
    <w:rsid w:val="00175FAF"/>
    <w:rsid w:val="00180A41"/>
    <w:rsid w:val="00181C09"/>
    <w:rsid w:val="00185C45"/>
    <w:rsid w:val="0018778A"/>
    <w:rsid w:val="00190085"/>
    <w:rsid w:val="00190F2A"/>
    <w:rsid w:val="00192120"/>
    <w:rsid w:val="0019212D"/>
    <w:rsid w:val="0019337B"/>
    <w:rsid w:val="00193F2C"/>
    <w:rsid w:val="00195361"/>
    <w:rsid w:val="0019601D"/>
    <w:rsid w:val="001961E8"/>
    <w:rsid w:val="001969D2"/>
    <w:rsid w:val="001A19C2"/>
    <w:rsid w:val="001A21BF"/>
    <w:rsid w:val="001A4106"/>
    <w:rsid w:val="001A5EDE"/>
    <w:rsid w:val="001A6F88"/>
    <w:rsid w:val="001B32AF"/>
    <w:rsid w:val="001B408D"/>
    <w:rsid w:val="001B66FC"/>
    <w:rsid w:val="001B68CA"/>
    <w:rsid w:val="001B72EA"/>
    <w:rsid w:val="001C04E4"/>
    <w:rsid w:val="001C2C6F"/>
    <w:rsid w:val="001C366B"/>
    <w:rsid w:val="001C4926"/>
    <w:rsid w:val="001C50EA"/>
    <w:rsid w:val="001C69A9"/>
    <w:rsid w:val="001D07F9"/>
    <w:rsid w:val="001D16E2"/>
    <w:rsid w:val="001D17FB"/>
    <w:rsid w:val="001D33D2"/>
    <w:rsid w:val="001D4FF7"/>
    <w:rsid w:val="001D5628"/>
    <w:rsid w:val="001D5D0E"/>
    <w:rsid w:val="001D5FAB"/>
    <w:rsid w:val="001D6F03"/>
    <w:rsid w:val="001D727B"/>
    <w:rsid w:val="001E03CD"/>
    <w:rsid w:val="001E2BD9"/>
    <w:rsid w:val="001E3083"/>
    <w:rsid w:val="001E30AA"/>
    <w:rsid w:val="001E38BA"/>
    <w:rsid w:val="001E3FAB"/>
    <w:rsid w:val="001F08E5"/>
    <w:rsid w:val="001F0C70"/>
    <w:rsid w:val="001F0E7A"/>
    <w:rsid w:val="001F15FB"/>
    <w:rsid w:val="001F348A"/>
    <w:rsid w:val="001F3C05"/>
    <w:rsid w:val="001F5E5D"/>
    <w:rsid w:val="001F79C6"/>
    <w:rsid w:val="00200B72"/>
    <w:rsid w:val="00201003"/>
    <w:rsid w:val="0020173F"/>
    <w:rsid w:val="002040CC"/>
    <w:rsid w:val="002046B7"/>
    <w:rsid w:val="00204FA3"/>
    <w:rsid w:val="00212F68"/>
    <w:rsid w:val="00213950"/>
    <w:rsid w:val="002203B9"/>
    <w:rsid w:val="00220714"/>
    <w:rsid w:val="002237D3"/>
    <w:rsid w:val="00227930"/>
    <w:rsid w:val="00231D98"/>
    <w:rsid w:val="002333E9"/>
    <w:rsid w:val="00233839"/>
    <w:rsid w:val="00233C83"/>
    <w:rsid w:val="00233F0E"/>
    <w:rsid w:val="00234BF6"/>
    <w:rsid w:val="00236163"/>
    <w:rsid w:val="002407AA"/>
    <w:rsid w:val="00240A97"/>
    <w:rsid w:val="00241330"/>
    <w:rsid w:val="0024191D"/>
    <w:rsid w:val="002427C4"/>
    <w:rsid w:val="00246149"/>
    <w:rsid w:val="0024789C"/>
    <w:rsid w:val="002510C1"/>
    <w:rsid w:val="002523E2"/>
    <w:rsid w:val="00252FA7"/>
    <w:rsid w:val="00256774"/>
    <w:rsid w:val="002577BE"/>
    <w:rsid w:val="00261004"/>
    <w:rsid w:val="002623EC"/>
    <w:rsid w:val="002627EF"/>
    <w:rsid w:val="00262A13"/>
    <w:rsid w:val="002702CF"/>
    <w:rsid w:val="00270D57"/>
    <w:rsid w:val="0027245E"/>
    <w:rsid w:val="00272586"/>
    <w:rsid w:val="00272652"/>
    <w:rsid w:val="00273151"/>
    <w:rsid w:val="00273B85"/>
    <w:rsid w:val="002748C3"/>
    <w:rsid w:val="002753B0"/>
    <w:rsid w:val="0027608E"/>
    <w:rsid w:val="00276B81"/>
    <w:rsid w:val="00280789"/>
    <w:rsid w:val="0028080B"/>
    <w:rsid w:val="00286989"/>
    <w:rsid w:val="00291A6F"/>
    <w:rsid w:val="00295BBC"/>
    <w:rsid w:val="002A08EB"/>
    <w:rsid w:val="002A276A"/>
    <w:rsid w:val="002A3167"/>
    <w:rsid w:val="002A4CA2"/>
    <w:rsid w:val="002A6E3D"/>
    <w:rsid w:val="002A6F49"/>
    <w:rsid w:val="002A704E"/>
    <w:rsid w:val="002B07B8"/>
    <w:rsid w:val="002B0953"/>
    <w:rsid w:val="002B46D1"/>
    <w:rsid w:val="002B693B"/>
    <w:rsid w:val="002B6E22"/>
    <w:rsid w:val="002B79CB"/>
    <w:rsid w:val="002C023A"/>
    <w:rsid w:val="002C02A2"/>
    <w:rsid w:val="002C1A21"/>
    <w:rsid w:val="002C1F93"/>
    <w:rsid w:val="002C3538"/>
    <w:rsid w:val="002C4878"/>
    <w:rsid w:val="002C5C69"/>
    <w:rsid w:val="002C7E4C"/>
    <w:rsid w:val="002D1A2F"/>
    <w:rsid w:val="002D2A6C"/>
    <w:rsid w:val="002D40B7"/>
    <w:rsid w:val="002D44EC"/>
    <w:rsid w:val="002D5071"/>
    <w:rsid w:val="002E1B04"/>
    <w:rsid w:val="002E1C73"/>
    <w:rsid w:val="002E245A"/>
    <w:rsid w:val="002E276D"/>
    <w:rsid w:val="002E31CF"/>
    <w:rsid w:val="002E3D20"/>
    <w:rsid w:val="002E523C"/>
    <w:rsid w:val="002E5A86"/>
    <w:rsid w:val="002E688C"/>
    <w:rsid w:val="002F0111"/>
    <w:rsid w:val="002F1738"/>
    <w:rsid w:val="002F7E5E"/>
    <w:rsid w:val="00301729"/>
    <w:rsid w:val="0030305B"/>
    <w:rsid w:val="003045F3"/>
    <w:rsid w:val="00307AED"/>
    <w:rsid w:val="00307DAA"/>
    <w:rsid w:val="003124D3"/>
    <w:rsid w:val="0031334F"/>
    <w:rsid w:val="00314EA5"/>
    <w:rsid w:val="00315959"/>
    <w:rsid w:val="00315E6C"/>
    <w:rsid w:val="00317046"/>
    <w:rsid w:val="00317CDB"/>
    <w:rsid w:val="00325703"/>
    <w:rsid w:val="00325FAD"/>
    <w:rsid w:val="0033095A"/>
    <w:rsid w:val="00331DE1"/>
    <w:rsid w:val="00332701"/>
    <w:rsid w:val="00333C48"/>
    <w:rsid w:val="003342D6"/>
    <w:rsid w:val="00334CEE"/>
    <w:rsid w:val="00334D71"/>
    <w:rsid w:val="00334FAA"/>
    <w:rsid w:val="00340CCD"/>
    <w:rsid w:val="00340E2D"/>
    <w:rsid w:val="00342ED7"/>
    <w:rsid w:val="00343A19"/>
    <w:rsid w:val="003455A7"/>
    <w:rsid w:val="00345F70"/>
    <w:rsid w:val="00346B77"/>
    <w:rsid w:val="00347843"/>
    <w:rsid w:val="00350774"/>
    <w:rsid w:val="00351380"/>
    <w:rsid w:val="00352766"/>
    <w:rsid w:val="0036000F"/>
    <w:rsid w:val="00360E36"/>
    <w:rsid w:val="00361AC2"/>
    <w:rsid w:val="00363D25"/>
    <w:rsid w:val="00365DEB"/>
    <w:rsid w:val="00366908"/>
    <w:rsid w:val="00370434"/>
    <w:rsid w:val="0037135B"/>
    <w:rsid w:val="00373CED"/>
    <w:rsid w:val="003767E1"/>
    <w:rsid w:val="00377856"/>
    <w:rsid w:val="0037792D"/>
    <w:rsid w:val="003804F0"/>
    <w:rsid w:val="00382E0C"/>
    <w:rsid w:val="00382E1E"/>
    <w:rsid w:val="00382E99"/>
    <w:rsid w:val="003855F3"/>
    <w:rsid w:val="0039034F"/>
    <w:rsid w:val="00393022"/>
    <w:rsid w:val="00393D63"/>
    <w:rsid w:val="00394DEF"/>
    <w:rsid w:val="00394F19"/>
    <w:rsid w:val="0039682E"/>
    <w:rsid w:val="003A013B"/>
    <w:rsid w:val="003A1CD2"/>
    <w:rsid w:val="003A20C4"/>
    <w:rsid w:val="003A43F2"/>
    <w:rsid w:val="003A5266"/>
    <w:rsid w:val="003B186E"/>
    <w:rsid w:val="003B3A59"/>
    <w:rsid w:val="003B625A"/>
    <w:rsid w:val="003B63FA"/>
    <w:rsid w:val="003C01B8"/>
    <w:rsid w:val="003C3D7F"/>
    <w:rsid w:val="003C446C"/>
    <w:rsid w:val="003C4500"/>
    <w:rsid w:val="003C67DC"/>
    <w:rsid w:val="003D2FE8"/>
    <w:rsid w:val="003D311F"/>
    <w:rsid w:val="003D39F1"/>
    <w:rsid w:val="003D4D03"/>
    <w:rsid w:val="003E2137"/>
    <w:rsid w:val="003E2AAB"/>
    <w:rsid w:val="003E3E97"/>
    <w:rsid w:val="003E6C4D"/>
    <w:rsid w:val="003E74DC"/>
    <w:rsid w:val="003E78CC"/>
    <w:rsid w:val="003F1BD0"/>
    <w:rsid w:val="003F1EEC"/>
    <w:rsid w:val="003F2D25"/>
    <w:rsid w:val="003F47E7"/>
    <w:rsid w:val="00400569"/>
    <w:rsid w:val="0040120A"/>
    <w:rsid w:val="00401E15"/>
    <w:rsid w:val="00403FF8"/>
    <w:rsid w:val="00405189"/>
    <w:rsid w:val="004059B2"/>
    <w:rsid w:val="00411A94"/>
    <w:rsid w:val="0041368D"/>
    <w:rsid w:val="00414834"/>
    <w:rsid w:val="00423A1A"/>
    <w:rsid w:val="004248A2"/>
    <w:rsid w:val="00425BC8"/>
    <w:rsid w:val="00427591"/>
    <w:rsid w:val="004308E4"/>
    <w:rsid w:val="004343F6"/>
    <w:rsid w:val="00436ABD"/>
    <w:rsid w:val="004372F9"/>
    <w:rsid w:val="004410A8"/>
    <w:rsid w:val="00442583"/>
    <w:rsid w:val="00443FF2"/>
    <w:rsid w:val="00445853"/>
    <w:rsid w:val="004461D0"/>
    <w:rsid w:val="00446B55"/>
    <w:rsid w:val="00446FD4"/>
    <w:rsid w:val="0045775A"/>
    <w:rsid w:val="004603BC"/>
    <w:rsid w:val="00460A74"/>
    <w:rsid w:val="00461ABA"/>
    <w:rsid w:val="0046528A"/>
    <w:rsid w:val="004664B9"/>
    <w:rsid w:val="0046778C"/>
    <w:rsid w:val="00470369"/>
    <w:rsid w:val="00470D75"/>
    <w:rsid w:val="0047158E"/>
    <w:rsid w:val="004725B0"/>
    <w:rsid w:val="00472894"/>
    <w:rsid w:val="00473C69"/>
    <w:rsid w:val="004769CC"/>
    <w:rsid w:val="004817F2"/>
    <w:rsid w:val="00481C2E"/>
    <w:rsid w:val="00481E49"/>
    <w:rsid w:val="004833D1"/>
    <w:rsid w:val="00483B52"/>
    <w:rsid w:val="00490581"/>
    <w:rsid w:val="00493133"/>
    <w:rsid w:val="004943CF"/>
    <w:rsid w:val="0049690B"/>
    <w:rsid w:val="0049746F"/>
    <w:rsid w:val="004A5267"/>
    <w:rsid w:val="004A68E9"/>
    <w:rsid w:val="004A6F62"/>
    <w:rsid w:val="004A78A1"/>
    <w:rsid w:val="004B5ACA"/>
    <w:rsid w:val="004B62FD"/>
    <w:rsid w:val="004B6771"/>
    <w:rsid w:val="004B7214"/>
    <w:rsid w:val="004B7B49"/>
    <w:rsid w:val="004C2F6B"/>
    <w:rsid w:val="004C3F79"/>
    <w:rsid w:val="004C412A"/>
    <w:rsid w:val="004C4F3C"/>
    <w:rsid w:val="004D2A8F"/>
    <w:rsid w:val="004D2FCE"/>
    <w:rsid w:val="004D3CC2"/>
    <w:rsid w:val="004D4FB3"/>
    <w:rsid w:val="004D5273"/>
    <w:rsid w:val="004D6587"/>
    <w:rsid w:val="004D69E9"/>
    <w:rsid w:val="004E042E"/>
    <w:rsid w:val="004E0859"/>
    <w:rsid w:val="004E161C"/>
    <w:rsid w:val="004E3315"/>
    <w:rsid w:val="004E3B98"/>
    <w:rsid w:val="004E4297"/>
    <w:rsid w:val="004E48E4"/>
    <w:rsid w:val="004E50E6"/>
    <w:rsid w:val="004E52E8"/>
    <w:rsid w:val="004E5336"/>
    <w:rsid w:val="004E559D"/>
    <w:rsid w:val="004E62FC"/>
    <w:rsid w:val="004E6CFD"/>
    <w:rsid w:val="004E7696"/>
    <w:rsid w:val="004E793E"/>
    <w:rsid w:val="004F1FC4"/>
    <w:rsid w:val="004F214E"/>
    <w:rsid w:val="004F2A43"/>
    <w:rsid w:val="004F37DC"/>
    <w:rsid w:val="004F4877"/>
    <w:rsid w:val="0050139B"/>
    <w:rsid w:val="00501537"/>
    <w:rsid w:val="00501BE0"/>
    <w:rsid w:val="005022A0"/>
    <w:rsid w:val="005041AE"/>
    <w:rsid w:val="0050530E"/>
    <w:rsid w:val="00505CDD"/>
    <w:rsid w:val="0050716A"/>
    <w:rsid w:val="00507A5A"/>
    <w:rsid w:val="005111BB"/>
    <w:rsid w:val="005124FE"/>
    <w:rsid w:val="005158E3"/>
    <w:rsid w:val="0051604A"/>
    <w:rsid w:val="005174F1"/>
    <w:rsid w:val="00520AE6"/>
    <w:rsid w:val="005261EE"/>
    <w:rsid w:val="005265FE"/>
    <w:rsid w:val="00526BD4"/>
    <w:rsid w:val="005302DC"/>
    <w:rsid w:val="00532EEF"/>
    <w:rsid w:val="00533EE9"/>
    <w:rsid w:val="005400D3"/>
    <w:rsid w:val="005409C9"/>
    <w:rsid w:val="00541386"/>
    <w:rsid w:val="00541BA4"/>
    <w:rsid w:val="00542B7A"/>
    <w:rsid w:val="00544922"/>
    <w:rsid w:val="00551010"/>
    <w:rsid w:val="00551E1A"/>
    <w:rsid w:val="00551E46"/>
    <w:rsid w:val="00553074"/>
    <w:rsid w:val="00553F4F"/>
    <w:rsid w:val="00555C7A"/>
    <w:rsid w:val="00562703"/>
    <w:rsid w:val="00562EED"/>
    <w:rsid w:val="00564940"/>
    <w:rsid w:val="00564FCB"/>
    <w:rsid w:val="00567068"/>
    <w:rsid w:val="0056751F"/>
    <w:rsid w:val="00567E23"/>
    <w:rsid w:val="00570031"/>
    <w:rsid w:val="00572853"/>
    <w:rsid w:val="00572B17"/>
    <w:rsid w:val="0057327A"/>
    <w:rsid w:val="005768CB"/>
    <w:rsid w:val="00582259"/>
    <w:rsid w:val="005825FA"/>
    <w:rsid w:val="00584A50"/>
    <w:rsid w:val="0058724C"/>
    <w:rsid w:val="00595B3C"/>
    <w:rsid w:val="00596459"/>
    <w:rsid w:val="005A1B40"/>
    <w:rsid w:val="005A46F9"/>
    <w:rsid w:val="005A49C3"/>
    <w:rsid w:val="005B0E28"/>
    <w:rsid w:val="005B2924"/>
    <w:rsid w:val="005B3A58"/>
    <w:rsid w:val="005B429C"/>
    <w:rsid w:val="005B49B5"/>
    <w:rsid w:val="005B620E"/>
    <w:rsid w:val="005B6B7F"/>
    <w:rsid w:val="005B7768"/>
    <w:rsid w:val="005C5681"/>
    <w:rsid w:val="005C7049"/>
    <w:rsid w:val="005C7A62"/>
    <w:rsid w:val="005C7DD5"/>
    <w:rsid w:val="005D1A47"/>
    <w:rsid w:val="005D28C7"/>
    <w:rsid w:val="005D3876"/>
    <w:rsid w:val="005D425A"/>
    <w:rsid w:val="005D5670"/>
    <w:rsid w:val="005E02DC"/>
    <w:rsid w:val="005E03D2"/>
    <w:rsid w:val="005E3112"/>
    <w:rsid w:val="005E5C77"/>
    <w:rsid w:val="005F00AE"/>
    <w:rsid w:val="005F0534"/>
    <w:rsid w:val="005F313E"/>
    <w:rsid w:val="005F31FF"/>
    <w:rsid w:val="005F363B"/>
    <w:rsid w:val="005F6B9A"/>
    <w:rsid w:val="00601C7A"/>
    <w:rsid w:val="006021FF"/>
    <w:rsid w:val="00604603"/>
    <w:rsid w:val="00604823"/>
    <w:rsid w:val="006049CB"/>
    <w:rsid w:val="00604CE1"/>
    <w:rsid w:val="0060652D"/>
    <w:rsid w:val="00610502"/>
    <w:rsid w:val="00611B1C"/>
    <w:rsid w:val="00611B5F"/>
    <w:rsid w:val="006153FA"/>
    <w:rsid w:val="006163FD"/>
    <w:rsid w:val="00616F63"/>
    <w:rsid w:val="00620C58"/>
    <w:rsid w:val="0062106D"/>
    <w:rsid w:val="006216BF"/>
    <w:rsid w:val="006222F4"/>
    <w:rsid w:val="00623039"/>
    <w:rsid w:val="0062411F"/>
    <w:rsid w:val="00626A72"/>
    <w:rsid w:val="00630942"/>
    <w:rsid w:val="00630CDD"/>
    <w:rsid w:val="00630FA7"/>
    <w:rsid w:val="00633570"/>
    <w:rsid w:val="00633F76"/>
    <w:rsid w:val="00636BF6"/>
    <w:rsid w:val="00640922"/>
    <w:rsid w:val="006419D0"/>
    <w:rsid w:val="006424A1"/>
    <w:rsid w:val="006430AC"/>
    <w:rsid w:val="00643548"/>
    <w:rsid w:val="006469EF"/>
    <w:rsid w:val="006502E0"/>
    <w:rsid w:val="0065140E"/>
    <w:rsid w:val="00651CAC"/>
    <w:rsid w:val="00651EE7"/>
    <w:rsid w:val="00652F47"/>
    <w:rsid w:val="0065352E"/>
    <w:rsid w:val="00653530"/>
    <w:rsid w:val="00655EE2"/>
    <w:rsid w:val="00655FCA"/>
    <w:rsid w:val="006561BB"/>
    <w:rsid w:val="006622FA"/>
    <w:rsid w:val="006649CB"/>
    <w:rsid w:val="00665650"/>
    <w:rsid w:val="00667075"/>
    <w:rsid w:val="00667EF3"/>
    <w:rsid w:val="006704AF"/>
    <w:rsid w:val="00671045"/>
    <w:rsid w:val="0067277E"/>
    <w:rsid w:val="006732EE"/>
    <w:rsid w:val="006734AA"/>
    <w:rsid w:val="00674ACF"/>
    <w:rsid w:val="00674EF3"/>
    <w:rsid w:val="006765BA"/>
    <w:rsid w:val="00680512"/>
    <w:rsid w:val="00682425"/>
    <w:rsid w:val="00684D3B"/>
    <w:rsid w:val="006853DD"/>
    <w:rsid w:val="00685400"/>
    <w:rsid w:val="00686210"/>
    <w:rsid w:val="00687D05"/>
    <w:rsid w:val="00693E43"/>
    <w:rsid w:val="006945A1"/>
    <w:rsid w:val="006949BE"/>
    <w:rsid w:val="006953C9"/>
    <w:rsid w:val="00697979"/>
    <w:rsid w:val="006A03F2"/>
    <w:rsid w:val="006A0969"/>
    <w:rsid w:val="006A17F4"/>
    <w:rsid w:val="006A1C4C"/>
    <w:rsid w:val="006A5062"/>
    <w:rsid w:val="006A53F3"/>
    <w:rsid w:val="006A6EEA"/>
    <w:rsid w:val="006A75CD"/>
    <w:rsid w:val="006B0671"/>
    <w:rsid w:val="006B18CB"/>
    <w:rsid w:val="006B260C"/>
    <w:rsid w:val="006B6C68"/>
    <w:rsid w:val="006C1793"/>
    <w:rsid w:val="006C1968"/>
    <w:rsid w:val="006C32A3"/>
    <w:rsid w:val="006C5E9B"/>
    <w:rsid w:val="006C646A"/>
    <w:rsid w:val="006D2B63"/>
    <w:rsid w:val="006D4E74"/>
    <w:rsid w:val="006D5223"/>
    <w:rsid w:val="006D62DF"/>
    <w:rsid w:val="006D648A"/>
    <w:rsid w:val="006E0779"/>
    <w:rsid w:val="006E43A9"/>
    <w:rsid w:val="006E5012"/>
    <w:rsid w:val="006E7029"/>
    <w:rsid w:val="006E783B"/>
    <w:rsid w:val="006F0C19"/>
    <w:rsid w:val="006F26C0"/>
    <w:rsid w:val="006F2A42"/>
    <w:rsid w:val="006F489B"/>
    <w:rsid w:val="006F53E0"/>
    <w:rsid w:val="006F5FB3"/>
    <w:rsid w:val="006F62CE"/>
    <w:rsid w:val="006F7E7A"/>
    <w:rsid w:val="00700656"/>
    <w:rsid w:val="00703C0D"/>
    <w:rsid w:val="00706914"/>
    <w:rsid w:val="00707739"/>
    <w:rsid w:val="00707ABF"/>
    <w:rsid w:val="00710314"/>
    <w:rsid w:val="00711558"/>
    <w:rsid w:val="007137D6"/>
    <w:rsid w:val="00713941"/>
    <w:rsid w:val="007145E6"/>
    <w:rsid w:val="00714C2E"/>
    <w:rsid w:val="00715D2C"/>
    <w:rsid w:val="00717DEE"/>
    <w:rsid w:val="00724DA5"/>
    <w:rsid w:val="0072527E"/>
    <w:rsid w:val="00725443"/>
    <w:rsid w:val="00727909"/>
    <w:rsid w:val="00730347"/>
    <w:rsid w:val="00732CD4"/>
    <w:rsid w:val="00732E97"/>
    <w:rsid w:val="00735C99"/>
    <w:rsid w:val="00735FC3"/>
    <w:rsid w:val="007415EC"/>
    <w:rsid w:val="00742149"/>
    <w:rsid w:val="00743A57"/>
    <w:rsid w:val="00744069"/>
    <w:rsid w:val="00744FFC"/>
    <w:rsid w:val="007475AB"/>
    <w:rsid w:val="007478F6"/>
    <w:rsid w:val="007479A5"/>
    <w:rsid w:val="007552C8"/>
    <w:rsid w:val="00761788"/>
    <w:rsid w:val="00762152"/>
    <w:rsid w:val="00764086"/>
    <w:rsid w:val="0077028D"/>
    <w:rsid w:val="007708D7"/>
    <w:rsid w:val="00773ED6"/>
    <w:rsid w:val="00776FDF"/>
    <w:rsid w:val="00780D2D"/>
    <w:rsid w:val="0078265A"/>
    <w:rsid w:val="007830C1"/>
    <w:rsid w:val="00784880"/>
    <w:rsid w:val="00790243"/>
    <w:rsid w:val="0079295F"/>
    <w:rsid w:val="00793E31"/>
    <w:rsid w:val="0079514C"/>
    <w:rsid w:val="00795735"/>
    <w:rsid w:val="00795A27"/>
    <w:rsid w:val="007A0510"/>
    <w:rsid w:val="007A385C"/>
    <w:rsid w:val="007A3ACE"/>
    <w:rsid w:val="007A5A0C"/>
    <w:rsid w:val="007A62F6"/>
    <w:rsid w:val="007A746A"/>
    <w:rsid w:val="007B09C4"/>
    <w:rsid w:val="007B168F"/>
    <w:rsid w:val="007B4D86"/>
    <w:rsid w:val="007B5425"/>
    <w:rsid w:val="007B6167"/>
    <w:rsid w:val="007B664A"/>
    <w:rsid w:val="007C0CE3"/>
    <w:rsid w:val="007C1EFF"/>
    <w:rsid w:val="007C403E"/>
    <w:rsid w:val="007C408C"/>
    <w:rsid w:val="007C4B93"/>
    <w:rsid w:val="007D0264"/>
    <w:rsid w:val="007D24A6"/>
    <w:rsid w:val="007D2CD3"/>
    <w:rsid w:val="007D42B1"/>
    <w:rsid w:val="007D538C"/>
    <w:rsid w:val="007E29A7"/>
    <w:rsid w:val="007E40A0"/>
    <w:rsid w:val="007E5DA8"/>
    <w:rsid w:val="007E7515"/>
    <w:rsid w:val="007F01A2"/>
    <w:rsid w:val="007F3A6F"/>
    <w:rsid w:val="007F42F2"/>
    <w:rsid w:val="007F4FFE"/>
    <w:rsid w:val="007F5330"/>
    <w:rsid w:val="007F603E"/>
    <w:rsid w:val="007F6908"/>
    <w:rsid w:val="00801345"/>
    <w:rsid w:val="008022E6"/>
    <w:rsid w:val="00802E2B"/>
    <w:rsid w:val="008042BB"/>
    <w:rsid w:val="008051C8"/>
    <w:rsid w:val="00806D76"/>
    <w:rsid w:val="00807FD1"/>
    <w:rsid w:val="008127B4"/>
    <w:rsid w:val="008146CA"/>
    <w:rsid w:val="0081475B"/>
    <w:rsid w:val="0081693F"/>
    <w:rsid w:val="00820F0C"/>
    <w:rsid w:val="008230E9"/>
    <w:rsid w:val="008236B9"/>
    <w:rsid w:val="00825F02"/>
    <w:rsid w:val="00826506"/>
    <w:rsid w:val="00827C82"/>
    <w:rsid w:val="008302A2"/>
    <w:rsid w:val="00830ACB"/>
    <w:rsid w:val="00831E86"/>
    <w:rsid w:val="00833173"/>
    <w:rsid w:val="008332B6"/>
    <w:rsid w:val="0083359A"/>
    <w:rsid w:val="00834876"/>
    <w:rsid w:val="008372C5"/>
    <w:rsid w:val="008378ED"/>
    <w:rsid w:val="00841901"/>
    <w:rsid w:val="00843F86"/>
    <w:rsid w:val="00844AA6"/>
    <w:rsid w:val="0085023F"/>
    <w:rsid w:val="00850D72"/>
    <w:rsid w:val="00851815"/>
    <w:rsid w:val="00853FEF"/>
    <w:rsid w:val="0085415E"/>
    <w:rsid w:val="008575C6"/>
    <w:rsid w:val="00857B5D"/>
    <w:rsid w:val="00861F5A"/>
    <w:rsid w:val="00862248"/>
    <w:rsid w:val="00862486"/>
    <w:rsid w:val="00862D2E"/>
    <w:rsid w:val="00863625"/>
    <w:rsid w:val="008672BA"/>
    <w:rsid w:val="00870B46"/>
    <w:rsid w:val="00871A56"/>
    <w:rsid w:val="00875CB0"/>
    <w:rsid w:val="008771A5"/>
    <w:rsid w:val="00881320"/>
    <w:rsid w:val="008832B2"/>
    <w:rsid w:val="00884537"/>
    <w:rsid w:val="008869AA"/>
    <w:rsid w:val="008905D0"/>
    <w:rsid w:val="00890C38"/>
    <w:rsid w:val="00890E88"/>
    <w:rsid w:val="00892D81"/>
    <w:rsid w:val="00893901"/>
    <w:rsid w:val="00893FA8"/>
    <w:rsid w:val="008A4F50"/>
    <w:rsid w:val="008A5823"/>
    <w:rsid w:val="008A5A8A"/>
    <w:rsid w:val="008B245B"/>
    <w:rsid w:val="008B5DF6"/>
    <w:rsid w:val="008C0745"/>
    <w:rsid w:val="008C3DE7"/>
    <w:rsid w:val="008C4536"/>
    <w:rsid w:val="008C4619"/>
    <w:rsid w:val="008C73E8"/>
    <w:rsid w:val="008C7DEC"/>
    <w:rsid w:val="008D108D"/>
    <w:rsid w:val="008D3629"/>
    <w:rsid w:val="008D426F"/>
    <w:rsid w:val="008D4FC5"/>
    <w:rsid w:val="008D56E7"/>
    <w:rsid w:val="008E1A91"/>
    <w:rsid w:val="008E6818"/>
    <w:rsid w:val="008F22AA"/>
    <w:rsid w:val="008F321E"/>
    <w:rsid w:val="008F4276"/>
    <w:rsid w:val="008F53B6"/>
    <w:rsid w:val="008F792D"/>
    <w:rsid w:val="00900265"/>
    <w:rsid w:val="009009A7"/>
    <w:rsid w:val="0090108E"/>
    <w:rsid w:val="0090372E"/>
    <w:rsid w:val="00904560"/>
    <w:rsid w:val="0090520C"/>
    <w:rsid w:val="009058EA"/>
    <w:rsid w:val="00906730"/>
    <w:rsid w:val="00911033"/>
    <w:rsid w:val="009133E4"/>
    <w:rsid w:val="00914254"/>
    <w:rsid w:val="00915C9D"/>
    <w:rsid w:val="00916721"/>
    <w:rsid w:val="00917352"/>
    <w:rsid w:val="00917732"/>
    <w:rsid w:val="00920F83"/>
    <w:rsid w:val="00921A1B"/>
    <w:rsid w:val="00921E6C"/>
    <w:rsid w:val="00921F0B"/>
    <w:rsid w:val="0092336E"/>
    <w:rsid w:val="009301BF"/>
    <w:rsid w:val="009350FF"/>
    <w:rsid w:val="00935829"/>
    <w:rsid w:val="009365E6"/>
    <w:rsid w:val="00940431"/>
    <w:rsid w:val="0094742A"/>
    <w:rsid w:val="00947E93"/>
    <w:rsid w:val="009505B2"/>
    <w:rsid w:val="00950AC4"/>
    <w:rsid w:val="00951E81"/>
    <w:rsid w:val="009540DD"/>
    <w:rsid w:val="00954450"/>
    <w:rsid w:val="00955C82"/>
    <w:rsid w:val="00957ED1"/>
    <w:rsid w:val="009603B6"/>
    <w:rsid w:val="00962C77"/>
    <w:rsid w:val="0096506F"/>
    <w:rsid w:val="0096642C"/>
    <w:rsid w:val="009751DE"/>
    <w:rsid w:val="00975738"/>
    <w:rsid w:val="00980ABA"/>
    <w:rsid w:val="00985A87"/>
    <w:rsid w:val="00986582"/>
    <w:rsid w:val="009868BE"/>
    <w:rsid w:val="009871BB"/>
    <w:rsid w:val="00987644"/>
    <w:rsid w:val="00987796"/>
    <w:rsid w:val="0098787B"/>
    <w:rsid w:val="00987972"/>
    <w:rsid w:val="00990AB0"/>
    <w:rsid w:val="00996555"/>
    <w:rsid w:val="00996862"/>
    <w:rsid w:val="00997DD1"/>
    <w:rsid w:val="00997E8B"/>
    <w:rsid w:val="009A2676"/>
    <w:rsid w:val="009A28A9"/>
    <w:rsid w:val="009A50F2"/>
    <w:rsid w:val="009A603B"/>
    <w:rsid w:val="009A6279"/>
    <w:rsid w:val="009A677A"/>
    <w:rsid w:val="009B0FB6"/>
    <w:rsid w:val="009B318D"/>
    <w:rsid w:val="009B43DB"/>
    <w:rsid w:val="009B4450"/>
    <w:rsid w:val="009B5BE3"/>
    <w:rsid w:val="009B5C4F"/>
    <w:rsid w:val="009B63C9"/>
    <w:rsid w:val="009C2CB0"/>
    <w:rsid w:val="009C360C"/>
    <w:rsid w:val="009D45A1"/>
    <w:rsid w:val="009D5BF6"/>
    <w:rsid w:val="009D6A42"/>
    <w:rsid w:val="009D70B2"/>
    <w:rsid w:val="009E0F16"/>
    <w:rsid w:val="009E1502"/>
    <w:rsid w:val="009E1E0F"/>
    <w:rsid w:val="009E2D5D"/>
    <w:rsid w:val="009E712F"/>
    <w:rsid w:val="009E7671"/>
    <w:rsid w:val="009F0024"/>
    <w:rsid w:val="009F0A0C"/>
    <w:rsid w:val="009F1544"/>
    <w:rsid w:val="009F67ED"/>
    <w:rsid w:val="00A01BCD"/>
    <w:rsid w:val="00A07582"/>
    <w:rsid w:val="00A10E37"/>
    <w:rsid w:val="00A10E59"/>
    <w:rsid w:val="00A14F71"/>
    <w:rsid w:val="00A150A7"/>
    <w:rsid w:val="00A160CD"/>
    <w:rsid w:val="00A16617"/>
    <w:rsid w:val="00A217C9"/>
    <w:rsid w:val="00A2265F"/>
    <w:rsid w:val="00A22D50"/>
    <w:rsid w:val="00A259EF"/>
    <w:rsid w:val="00A269A6"/>
    <w:rsid w:val="00A316C8"/>
    <w:rsid w:val="00A3206E"/>
    <w:rsid w:val="00A321DF"/>
    <w:rsid w:val="00A33549"/>
    <w:rsid w:val="00A33A91"/>
    <w:rsid w:val="00A35B6D"/>
    <w:rsid w:val="00A37A06"/>
    <w:rsid w:val="00A40696"/>
    <w:rsid w:val="00A44F33"/>
    <w:rsid w:val="00A45CBF"/>
    <w:rsid w:val="00A464E3"/>
    <w:rsid w:val="00A47EFD"/>
    <w:rsid w:val="00A53808"/>
    <w:rsid w:val="00A53875"/>
    <w:rsid w:val="00A56442"/>
    <w:rsid w:val="00A57F7C"/>
    <w:rsid w:val="00A602F3"/>
    <w:rsid w:val="00A610F4"/>
    <w:rsid w:val="00A62764"/>
    <w:rsid w:val="00A6738C"/>
    <w:rsid w:val="00A70097"/>
    <w:rsid w:val="00A70466"/>
    <w:rsid w:val="00A70A64"/>
    <w:rsid w:val="00A70BC2"/>
    <w:rsid w:val="00A713CE"/>
    <w:rsid w:val="00A71DFA"/>
    <w:rsid w:val="00A75067"/>
    <w:rsid w:val="00A7597D"/>
    <w:rsid w:val="00A814F5"/>
    <w:rsid w:val="00A81805"/>
    <w:rsid w:val="00A8379C"/>
    <w:rsid w:val="00A84A0D"/>
    <w:rsid w:val="00A91110"/>
    <w:rsid w:val="00A9141F"/>
    <w:rsid w:val="00A944C9"/>
    <w:rsid w:val="00A95799"/>
    <w:rsid w:val="00A963B6"/>
    <w:rsid w:val="00AA0502"/>
    <w:rsid w:val="00AA08C9"/>
    <w:rsid w:val="00AA3607"/>
    <w:rsid w:val="00AA3E15"/>
    <w:rsid w:val="00AB197B"/>
    <w:rsid w:val="00AB22EE"/>
    <w:rsid w:val="00AB32AC"/>
    <w:rsid w:val="00AB3873"/>
    <w:rsid w:val="00AB6AFF"/>
    <w:rsid w:val="00AB7C82"/>
    <w:rsid w:val="00AC0169"/>
    <w:rsid w:val="00AC77F2"/>
    <w:rsid w:val="00AD0B8E"/>
    <w:rsid w:val="00AD5016"/>
    <w:rsid w:val="00AD62E0"/>
    <w:rsid w:val="00AD7FFC"/>
    <w:rsid w:val="00AE0B1C"/>
    <w:rsid w:val="00AE1823"/>
    <w:rsid w:val="00AE1D35"/>
    <w:rsid w:val="00AE234B"/>
    <w:rsid w:val="00AE3909"/>
    <w:rsid w:val="00AE3E73"/>
    <w:rsid w:val="00AE49ED"/>
    <w:rsid w:val="00AE647C"/>
    <w:rsid w:val="00AE715D"/>
    <w:rsid w:val="00AF0504"/>
    <w:rsid w:val="00AF0F8D"/>
    <w:rsid w:val="00AF1608"/>
    <w:rsid w:val="00AF3DDD"/>
    <w:rsid w:val="00AF4458"/>
    <w:rsid w:val="00AF6128"/>
    <w:rsid w:val="00AF72D3"/>
    <w:rsid w:val="00B00AE8"/>
    <w:rsid w:val="00B013F4"/>
    <w:rsid w:val="00B017D2"/>
    <w:rsid w:val="00B01C0B"/>
    <w:rsid w:val="00B038ED"/>
    <w:rsid w:val="00B043E9"/>
    <w:rsid w:val="00B05AD6"/>
    <w:rsid w:val="00B10478"/>
    <w:rsid w:val="00B1154C"/>
    <w:rsid w:val="00B11B0C"/>
    <w:rsid w:val="00B11D46"/>
    <w:rsid w:val="00B12363"/>
    <w:rsid w:val="00B142EE"/>
    <w:rsid w:val="00B14D0D"/>
    <w:rsid w:val="00B1545E"/>
    <w:rsid w:val="00B158B7"/>
    <w:rsid w:val="00B15E65"/>
    <w:rsid w:val="00B16D88"/>
    <w:rsid w:val="00B20F15"/>
    <w:rsid w:val="00B239F6"/>
    <w:rsid w:val="00B23F6C"/>
    <w:rsid w:val="00B25F29"/>
    <w:rsid w:val="00B30010"/>
    <w:rsid w:val="00B33131"/>
    <w:rsid w:val="00B349C9"/>
    <w:rsid w:val="00B36611"/>
    <w:rsid w:val="00B36E07"/>
    <w:rsid w:val="00B4284F"/>
    <w:rsid w:val="00B4360F"/>
    <w:rsid w:val="00B46B4A"/>
    <w:rsid w:val="00B50416"/>
    <w:rsid w:val="00B5479A"/>
    <w:rsid w:val="00B57028"/>
    <w:rsid w:val="00B5777D"/>
    <w:rsid w:val="00B64F66"/>
    <w:rsid w:val="00B6625B"/>
    <w:rsid w:val="00B66D39"/>
    <w:rsid w:val="00B66E57"/>
    <w:rsid w:val="00B678AB"/>
    <w:rsid w:val="00B67930"/>
    <w:rsid w:val="00B67A31"/>
    <w:rsid w:val="00B7035A"/>
    <w:rsid w:val="00B72127"/>
    <w:rsid w:val="00B73A25"/>
    <w:rsid w:val="00B77070"/>
    <w:rsid w:val="00B77225"/>
    <w:rsid w:val="00B80F83"/>
    <w:rsid w:val="00B811C5"/>
    <w:rsid w:val="00B86174"/>
    <w:rsid w:val="00B86BE3"/>
    <w:rsid w:val="00B910ED"/>
    <w:rsid w:val="00B91BB8"/>
    <w:rsid w:val="00B91C14"/>
    <w:rsid w:val="00B92E68"/>
    <w:rsid w:val="00B95212"/>
    <w:rsid w:val="00B96CB7"/>
    <w:rsid w:val="00B970E9"/>
    <w:rsid w:val="00B97100"/>
    <w:rsid w:val="00BA04CF"/>
    <w:rsid w:val="00BA1914"/>
    <w:rsid w:val="00BA3C0E"/>
    <w:rsid w:val="00BB12DC"/>
    <w:rsid w:val="00BB1F77"/>
    <w:rsid w:val="00BB7851"/>
    <w:rsid w:val="00BC04A9"/>
    <w:rsid w:val="00BC0921"/>
    <w:rsid w:val="00BC23E6"/>
    <w:rsid w:val="00BC339E"/>
    <w:rsid w:val="00BC354D"/>
    <w:rsid w:val="00BC53A0"/>
    <w:rsid w:val="00BC7AD3"/>
    <w:rsid w:val="00BD0271"/>
    <w:rsid w:val="00BD12BC"/>
    <w:rsid w:val="00BD42CD"/>
    <w:rsid w:val="00BD7BE7"/>
    <w:rsid w:val="00BD7D2C"/>
    <w:rsid w:val="00BE1031"/>
    <w:rsid w:val="00BE105D"/>
    <w:rsid w:val="00BE70C7"/>
    <w:rsid w:val="00BF11E4"/>
    <w:rsid w:val="00BF57AE"/>
    <w:rsid w:val="00BF6B7A"/>
    <w:rsid w:val="00BF79AE"/>
    <w:rsid w:val="00C00F57"/>
    <w:rsid w:val="00C02662"/>
    <w:rsid w:val="00C040FA"/>
    <w:rsid w:val="00C04F86"/>
    <w:rsid w:val="00C053DB"/>
    <w:rsid w:val="00C055B5"/>
    <w:rsid w:val="00C061A1"/>
    <w:rsid w:val="00C06C2F"/>
    <w:rsid w:val="00C108D1"/>
    <w:rsid w:val="00C114EA"/>
    <w:rsid w:val="00C11B1C"/>
    <w:rsid w:val="00C125BA"/>
    <w:rsid w:val="00C12646"/>
    <w:rsid w:val="00C12BE3"/>
    <w:rsid w:val="00C12E47"/>
    <w:rsid w:val="00C16F7D"/>
    <w:rsid w:val="00C16FC4"/>
    <w:rsid w:val="00C201EF"/>
    <w:rsid w:val="00C21592"/>
    <w:rsid w:val="00C23D6A"/>
    <w:rsid w:val="00C24332"/>
    <w:rsid w:val="00C24782"/>
    <w:rsid w:val="00C251F8"/>
    <w:rsid w:val="00C252EE"/>
    <w:rsid w:val="00C25995"/>
    <w:rsid w:val="00C276FE"/>
    <w:rsid w:val="00C307A4"/>
    <w:rsid w:val="00C34D88"/>
    <w:rsid w:val="00C356BB"/>
    <w:rsid w:val="00C35C79"/>
    <w:rsid w:val="00C35F90"/>
    <w:rsid w:val="00C37E84"/>
    <w:rsid w:val="00C42C1A"/>
    <w:rsid w:val="00C42E41"/>
    <w:rsid w:val="00C442B6"/>
    <w:rsid w:val="00C45541"/>
    <w:rsid w:val="00C458E1"/>
    <w:rsid w:val="00C53B76"/>
    <w:rsid w:val="00C60A78"/>
    <w:rsid w:val="00C6651F"/>
    <w:rsid w:val="00C66C42"/>
    <w:rsid w:val="00C674F3"/>
    <w:rsid w:val="00C7328D"/>
    <w:rsid w:val="00C73A43"/>
    <w:rsid w:val="00C74548"/>
    <w:rsid w:val="00C74A4E"/>
    <w:rsid w:val="00C750C1"/>
    <w:rsid w:val="00C766D6"/>
    <w:rsid w:val="00C768FC"/>
    <w:rsid w:val="00C806ED"/>
    <w:rsid w:val="00C819A9"/>
    <w:rsid w:val="00C8206F"/>
    <w:rsid w:val="00C836DC"/>
    <w:rsid w:val="00C83AA2"/>
    <w:rsid w:val="00C846B0"/>
    <w:rsid w:val="00C84B36"/>
    <w:rsid w:val="00C85618"/>
    <w:rsid w:val="00C863F0"/>
    <w:rsid w:val="00C87AF5"/>
    <w:rsid w:val="00C903F8"/>
    <w:rsid w:val="00C90719"/>
    <w:rsid w:val="00C91C2B"/>
    <w:rsid w:val="00C92B5C"/>
    <w:rsid w:val="00C93237"/>
    <w:rsid w:val="00C95930"/>
    <w:rsid w:val="00CA2D0E"/>
    <w:rsid w:val="00CA50AD"/>
    <w:rsid w:val="00CA5919"/>
    <w:rsid w:val="00CA6056"/>
    <w:rsid w:val="00CA6244"/>
    <w:rsid w:val="00CA7AF3"/>
    <w:rsid w:val="00CB0ACF"/>
    <w:rsid w:val="00CB3282"/>
    <w:rsid w:val="00CC0B26"/>
    <w:rsid w:val="00CC1BA0"/>
    <w:rsid w:val="00CC3836"/>
    <w:rsid w:val="00CC3C8B"/>
    <w:rsid w:val="00CC4224"/>
    <w:rsid w:val="00CC6C0B"/>
    <w:rsid w:val="00CD1CB6"/>
    <w:rsid w:val="00CD31F9"/>
    <w:rsid w:val="00CD3BC7"/>
    <w:rsid w:val="00CD41CD"/>
    <w:rsid w:val="00CD4650"/>
    <w:rsid w:val="00CD613D"/>
    <w:rsid w:val="00CD7361"/>
    <w:rsid w:val="00CD7F1C"/>
    <w:rsid w:val="00CE08DE"/>
    <w:rsid w:val="00CE2885"/>
    <w:rsid w:val="00CE383E"/>
    <w:rsid w:val="00CE39E9"/>
    <w:rsid w:val="00CF23B0"/>
    <w:rsid w:val="00CF482B"/>
    <w:rsid w:val="00CF5E46"/>
    <w:rsid w:val="00CF7C60"/>
    <w:rsid w:val="00D02E2A"/>
    <w:rsid w:val="00D03159"/>
    <w:rsid w:val="00D03F53"/>
    <w:rsid w:val="00D05698"/>
    <w:rsid w:val="00D05BC2"/>
    <w:rsid w:val="00D06AA3"/>
    <w:rsid w:val="00D06B13"/>
    <w:rsid w:val="00D14885"/>
    <w:rsid w:val="00D17B29"/>
    <w:rsid w:val="00D2393E"/>
    <w:rsid w:val="00D23D9B"/>
    <w:rsid w:val="00D23E81"/>
    <w:rsid w:val="00D2451D"/>
    <w:rsid w:val="00D24973"/>
    <w:rsid w:val="00D26B76"/>
    <w:rsid w:val="00D30C25"/>
    <w:rsid w:val="00D31134"/>
    <w:rsid w:val="00D33200"/>
    <w:rsid w:val="00D356EB"/>
    <w:rsid w:val="00D361DD"/>
    <w:rsid w:val="00D36963"/>
    <w:rsid w:val="00D36FB0"/>
    <w:rsid w:val="00D37CF5"/>
    <w:rsid w:val="00D4051F"/>
    <w:rsid w:val="00D41A3A"/>
    <w:rsid w:val="00D42DF6"/>
    <w:rsid w:val="00D4367C"/>
    <w:rsid w:val="00D446B3"/>
    <w:rsid w:val="00D4527C"/>
    <w:rsid w:val="00D45D65"/>
    <w:rsid w:val="00D45E53"/>
    <w:rsid w:val="00D47693"/>
    <w:rsid w:val="00D47B69"/>
    <w:rsid w:val="00D50528"/>
    <w:rsid w:val="00D51D51"/>
    <w:rsid w:val="00D54F2B"/>
    <w:rsid w:val="00D602E1"/>
    <w:rsid w:val="00D608A1"/>
    <w:rsid w:val="00D626B7"/>
    <w:rsid w:val="00D66A3B"/>
    <w:rsid w:val="00D71D17"/>
    <w:rsid w:val="00D725C1"/>
    <w:rsid w:val="00D73116"/>
    <w:rsid w:val="00D74145"/>
    <w:rsid w:val="00D75298"/>
    <w:rsid w:val="00D75974"/>
    <w:rsid w:val="00D75B8D"/>
    <w:rsid w:val="00D7650C"/>
    <w:rsid w:val="00D76BFC"/>
    <w:rsid w:val="00D82DB2"/>
    <w:rsid w:val="00D86A0B"/>
    <w:rsid w:val="00D93B38"/>
    <w:rsid w:val="00D968E4"/>
    <w:rsid w:val="00D973D5"/>
    <w:rsid w:val="00D97740"/>
    <w:rsid w:val="00D978A4"/>
    <w:rsid w:val="00DA2567"/>
    <w:rsid w:val="00DA2F6B"/>
    <w:rsid w:val="00DA40C4"/>
    <w:rsid w:val="00DA4BF0"/>
    <w:rsid w:val="00DA788A"/>
    <w:rsid w:val="00DB03D6"/>
    <w:rsid w:val="00DB4467"/>
    <w:rsid w:val="00DB588B"/>
    <w:rsid w:val="00DB66B4"/>
    <w:rsid w:val="00DB6834"/>
    <w:rsid w:val="00DB753D"/>
    <w:rsid w:val="00DC04F3"/>
    <w:rsid w:val="00DC336D"/>
    <w:rsid w:val="00DC34C7"/>
    <w:rsid w:val="00DC63F9"/>
    <w:rsid w:val="00DD47D7"/>
    <w:rsid w:val="00DE181B"/>
    <w:rsid w:val="00DE2C1B"/>
    <w:rsid w:val="00DE3262"/>
    <w:rsid w:val="00DE35E5"/>
    <w:rsid w:val="00DE445F"/>
    <w:rsid w:val="00DE475A"/>
    <w:rsid w:val="00DE55F3"/>
    <w:rsid w:val="00DE561F"/>
    <w:rsid w:val="00DE6680"/>
    <w:rsid w:val="00DE7B59"/>
    <w:rsid w:val="00DF0803"/>
    <w:rsid w:val="00DF0884"/>
    <w:rsid w:val="00DF0CED"/>
    <w:rsid w:val="00DF1D36"/>
    <w:rsid w:val="00DF24C3"/>
    <w:rsid w:val="00DF312E"/>
    <w:rsid w:val="00DF41F1"/>
    <w:rsid w:val="00DF42E5"/>
    <w:rsid w:val="00DF509B"/>
    <w:rsid w:val="00DF628F"/>
    <w:rsid w:val="00DF7F4C"/>
    <w:rsid w:val="00E001D4"/>
    <w:rsid w:val="00E02B0C"/>
    <w:rsid w:val="00E02B26"/>
    <w:rsid w:val="00E02B58"/>
    <w:rsid w:val="00E049B5"/>
    <w:rsid w:val="00E05B7B"/>
    <w:rsid w:val="00E06358"/>
    <w:rsid w:val="00E10F6C"/>
    <w:rsid w:val="00E10FEA"/>
    <w:rsid w:val="00E1198A"/>
    <w:rsid w:val="00E14761"/>
    <w:rsid w:val="00E16811"/>
    <w:rsid w:val="00E17C81"/>
    <w:rsid w:val="00E17D62"/>
    <w:rsid w:val="00E2149B"/>
    <w:rsid w:val="00E23E31"/>
    <w:rsid w:val="00E24A19"/>
    <w:rsid w:val="00E25E2D"/>
    <w:rsid w:val="00E31361"/>
    <w:rsid w:val="00E331B8"/>
    <w:rsid w:val="00E33894"/>
    <w:rsid w:val="00E34F2B"/>
    <w:rsid w:val="00E36DBB"/>
    <w:rsid w:val="00E374D9"/>
    <w:rsid w:val="00E37DC4"/>
    <w:rsid w:val="00E41155"/>
    <w:rsid w:val="00E43E54"/>
    <w:rsid w:val="00E442E8"/>
    <w:rsid w:val="00E44DF3"/>
    <w:rsid w:val="00E4558E"/>
    <w:rsid w:val="00E47513"/>
    <w:rsid w:val="00E47CCB"/>
    <w:rsid w:val="00E5150A"/>
    <w:rsid w:val="00E56133"/>
    <w:rsid w:val="00E56335"/>
    <w:rsid w:val="00E577F8"/>
    <w:rsid w:val="00E600F2"/>
    <w:rsid w:val="00E62E89"/>
    <w:rsid w:val="00E63E72"/>
    <w:rsid w:val="00E64DC9"/>
    <w:rsid w:val="00E6580D"/>
    <w:rsid w:val="00E66672"/>
    <w:rsid w:val="00E70602"/>
    <w:rsid w:val="00E70BB3"/>
    <w:rsid w:val="00E716B1"/>
    <w:rsid w:val="00E71E0B"/>
    <w:rsid w:val="00E828C9"/>
    <w:rsid w:val="00E831A7"/>
    <w:rsid w:val="00E833AA"/>
    <w:rsid w:val="00E8388E"/>
    <w:rsid w:val="00E90593"/>
    <w:rsid w:val="00E915FE"/>
    <w:rsid w:val="00E916C5"/>
    <w:rsid w:val="00E94290"/>
    <w:rsid w:val="00E95814"/>
    <w:rsid w:val="00E961E7"/>
    <w:rsid w:val="00E96C96"/>
    <w:rsid w:val="00EA02CE"/>
    <w:rsid w:val="00EA6EF2"/>
    <w:rsid w:val="00EA72A1"/>
    <w:rsid w:val="00EB3530"/>
    <w:rsid w:val="00EB5C4B"/>
    <w:rsid w:val="00EB5E98"/>
    <w:rsid w:val="00EB65AD"/>
    <w:rsid w:val="00EB7DAB"/>
    <w:rsid w:val="00EC0746"/>
    <w:rsid w:val="00EC1DA6"/>
    <w:rsid w:val="00EC548A"/>
    <w:rsid w:val="00EC6D7E"/>
    <w:rsid w:val="00EC7E80"/>
    <w:rsid w:val="00ED1137"/>
    <w:rsid w:val="00ED129D"/>
    <w:rsid w:val="00ED18C6"/>
    <w:rsid w:val="00ED1BF9"/>
    <w:rsid w:val="00ED22D2"/>
    <w:rsid w:val="00ED2BB5"/>
    <w:rsid w:val="00ED35B8"/>
    <w:rsid w:val="00ED51E6"/>
    <w:rsid w:val="00ED5853"/>
    <w:rsid w:val="00ED59D0"/>
    <w:rsid w:val="00ED7194"/>
    <w:rsid w:val="00ED7445"/>
    <w:rsid w:val="00ED7736"/>
    <w:rsid w:val="00EE213E"/>
    <w:rsid w:val="00EE4016"/>
    <w:rsid w:val="00EE5A1D"/>
    <w:rsid w:val="00EE7042"/>
    <w:rsid w:val="00EE7C35"/>
    <w:rsid w:val="00EF041C"/>
    <w:rsid w:val="00EF1925"/>
    <w:rsid w:val="00EF28E2"/>
    <w:rsid w:val="00EF2CC0"/>
    <w:rsid w:val="00EF697B"/>
    <w:rsid w:val="00F009C0"/>
    <w:rsid w:val="00F01071"/>
    <w:rsid w:val="00F029E0"/>
    <w:rsid w:val="00F02A46"/>
    <w:rsid w:val="00F05754"/>
    <w:rsid w:val="00F061EB"/>
    <w:rsid w:val="00F1155B"/>
    <w:rsid w:val="00F16927"/>
    <w:rsid w:val="00F16E77"/>
    <w:rsid w:val="00F17FA2"/>
    <w:rsid w:val="00F210EF"/>
    <w:rsid w:val="00F2597F"/>
    <w:rsid w:val="00F2686C"/>
    <w:rsid w:val="00F3770B"/>
    <w:rsid w:val="00F41FDA"/>
    <w:rsid w:val="00F43F5F"/>
    <w:rsid w:val="00F444A3"/>
    <w:rsid w:val="00F45632"/>
    <w:rsid w:val="00F45A57"/>
    <w:rsid w:val="00F4669E"/>
    <w:rsid w:val="00F53346"/>
    <w:rsid w:val="00F55944"/>
    <w:rsid w:val="00F5615F"/>
    <w:rsid w:val="00F60E5B"/>
    <w:rsid w:val="00F61932"/>
    <w:rsid w:val="00F62D4D"/>
    <w:rsid w:val="00F64A4A"/>
    <w:rsid w:val="00F6549A"/>
    <w:rsid w:val="00F6558A"/>
    <w:rsid w:val="00F65BEA"/>
    <w:rsid w:val="00F65D75"/>
    <w:rsid w:val="00F66591"/>
    <w:rsid w:val="00F714DB"/>
    <w:rsid w:val="00F7150B"/>
    <w:rsid w:val="00F75373"/>
    <w:rsid w:val="00F77F21"/>
    <w:rsid w:val="00F80148"/>
    <w:rsid w:val="00F810EE"/>
    <w:rsid w:val="00F83353"/>
    <w:rsid w:val="00F83CB9"/>
    <w:rsid w:val="00F856E0"/>
    <w:rsid w:val="00F8682F"/>
    <w:rsid w:val="00F87DC3"/>
    <w:rsid w:val="00F90503"/>
    <w:rsid w:val="00F9337C"/>
    <w:rsid w:val="00F933CA"/>
    <w:rsid w:val="00F9363A"/>
    <w:rsid w:val="00F93971"/>
    <w:rsid w:val="00F94EDB"/>
    <w:rsid w:val="00F95EA3"/>
    <w:rsid w:val="00F9676D"/>
    <w:rsid w:val="00F96916"/>
    <w:rsid w:val="00FA2E42"/>
    <w:rsid w:val="00FA40C8"/>
    <w:rsid w:val="00FA40EA"/>
    <w:rsid w:val="00FA4214"/>
    <w:rsid w:val="00FA66B2"/>
    <w:rsid w:val="00FB0ED2"/>
    <w:rsid w:val="00FB1C52"/>
    <w:rsid w:val="00FB1DD3"/>
    <w:rsid w:val="00FB4E6A"/>
    <w:rsid w:val="00FB5320"/>
    <w:rsid w:val="00FB550D"/>
    <w:rsid w:val="00FC12C8"/>
    <w:rsid w:val="00FC3CBC"/>
    <w:rsid w:val="00FC4F28"/>
    <w:rsid w:val="00FC5534"/>
    <w:rsid w:val="00FC6974"/>
    <w:rsid w:val="00FD16CA"/>
    <w:rsid w:val="00FD45E3"/>
    <w:rsid w:val="00FD4AD7"/>
    <w:rsid w:val="00FD4EEF"/>
    <w:rsid w:val="00FE2439"/>
    <w:rsid w:val="00FE3EB4"/>
    <w:rsid w:val="00FE629B"/>
    <w:rsid w:val="00FF024E"/>
    <w:rsid w:val="00FF1D8E"/>
    <w:rsid w:val="00FF1FA7"/>
    <w:rsid w:val="00FF3E61"/>
    <w:rsid w:val="00FF5D3F"/>
    <w:rsid w:val="00FF6855"/>
    <w:rsid w:val="00FF6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46577"/>
  <w15:docId w15:val="{4F028DDD-D931-43DA-8300-5147715C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unhideWhenUsed="1" w:qFormat="1"/>
    <w:lsdException w:name="heading 7"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1D"/>
    <w:rPr>
      <w:sz w:val="24"/>
      <w:szCs w:val="24"/>
    </w:rPr>
  </w:style>
  <w:style w:type="paragraph" w:styleId="Ttulo1">
    <w:name w:val="heading 1"/>
    <w:basedOn w:val="Normal"/>
    <w:next w:val="Normal"/>
    <w:link w:val="Ttulo1Car"/>
    <w:uiPriority w:val="99"/>
    <w:qFormat/>
    <w:rsid w:val="00BF79AE"/>
    <w:pPr>
      <w:keepNext/>
      <w:outlineLvl w:val="0"/>
    </w:pPr>
    <w:rPr>
      <w:b/>
      <w:bCs/>
      <w:sz w:val="28"/>
      <w:szCs w:val="28"/>
    </w:rPr>
  </w:style>
  <w:style w:type="paragraph" w:styleId="Ttulo2">
    <w:name w:val="heading 2"/>
    <w:basedOn w:val="Normal"/>
    <w:next w:val="Normal"/>
    <w:link w:val="Ttulo2Car"/>
    <w:uiPriority w:val="99"/>
    <w:qFormat/>
    <w:rsid w:val="00BF79AE"/>
    <w:pPr>
      <w:keepNext/>
      <w:pBdr>
        <w:top w:val="single" w:sz="4" w:space="0" w:color="auto"/>
        <w:left w:val="single" w:sz="4" w:space="4" w:color="auto"/>
        <w:bottom w:val="single" w:sz="4" w:space="1" w:color="auto"/>
        <w:right w:val="single" w:sz="4" w:space="4" w:color="auto"/>
      </w:pBdr>
      <w:autoSpaceDE w:val="0"/>
      <w:autoSpaceDN w:val="0"/>
      <w:jc w:val="both"/>
      <w:outlineLvl w:val="1"/>
    </w:pPr>
    <w:rPr>
      <w:b/>
      <w:bCs/>
      <w:sz w:val="28"/>
      <w:szCs w:val="28"/>
    </w:rPr>
  </w:style>
  <w:style w:type="paragraph" w:styleId="Ttulo3">
    <w:name w:val="heading 3"/>
    <w:basedOn w:val="Normal"/>
    <w:next w:val="Normal"/>
    <w:link w:val="Ttulo3Car"/>
    <w:uiPriority w:val="99"/>
    <w:qFormat/>
    <w:rsid w:val="00BF79AE"/>
    <w:pPr>
      <w:keepNext/>
      <w:autoSpaceDE w:val="0"/>
      <w:autoSpaceDN w:val="0"/>
      <w:jc w:val="both"/>
      <w:outlineLvl w:val="2"/>
    </w:pPr>
    <w:rPr>
      <w:b/>
      <w:bCs/>
      <w:sz w:val="22"/>
      <w:szCs w:val="22"/>
    </w:rPr>
  </w:style>
  <w:style w:type="paragraph" w:styleId="Ttulo4">
    <w:name w:val="heading 4"/>
    <w:basedOn w:val="Normal"/>
    <w:next w:val="Normal"/>
    <w:link w:val="Ttulo4Car"/>
    <w:uiPriority w:val="99"/>
    <w:qFormat/>
    <w:rsid w:val="00BF79AE"/>
    <w:pPr>
      <w:keepNext/>
      <w:jc w:val="both"/>
      <w:outlineLvl w:val="3"/>
    </w:pPr>
    <w:rPr>
      <w:b/>
      <w:bCs/>
    </w:rPr>
  </w:style>
  <w:style w:type="paragraph" w:styleId="Ttulo5">
    <w:name w:val="heading 5"/>
    <w:basedOn w:val="Normal"/>
    <w:next w:val="Normal"/>
    <w:link w:val="Ttulo5Car"/>
    <w:uiPriority w:val="99"/>
    <w:qFormat/>
    <w:rsid w:val="00BF79AE"/>
    <w:pPr>
      <w:keepNext/>
      <w:autoSpaceDE w:val="0"/>
      <w:autoSpaceDN w:val="0"/>
      <w:outlineLvl w:val="4"/>
    </w:pPr>
    <w:rPr>
      <w:b/>
      <w:bCs/>
      <w:sz w:val="20"/>
      <w:szCs w:val="20"/>
    </w:rPr>
  </w:style>
  <w:style w:type="paragraph" w:styleId="Ttulo6">
    <w:name w:val="heading 6"/>
    <w:basedOn w:val="Normal"/>
    <w:next w:val="Normal"/>
    <w:link w:val="Ttulo6Car"/>
    <w:uiPriority w:val="99"/>
    <w:qFormat/>
    <w:rsid w:val="00BF79AE"/>
    <w:pPr>
      <w:keepNext/>
      <w:jc w:val="both"/>
      <w:outlineLvl w:val="5"/>
    </w:pPr>
    <w:rPr>
      <w:u w:val="single"/>
    </w:rPr>
  </w:style>
  <w:style w:type="paragraph" w:styleId="Ttulo7">
    <w:name w:val="heading 7"/>
    <w:basedOn w:val="Normal"/>
    <w:next w:val="Normal"/>
    <w:link w:val="Ttulo7Car"/>
    <w:uiPriority w:val="99"/>
    <w:qFormat/>
    <w:rsid w:val="00BF79AE"/>
    <w:pPr>
      <w:keepNext/>
      <w:jc w:val="both"/>
      <w:outlineLvl w:val="6"/>
    </w:pPr>
    <w:rPr>
      <w:b/>
      <w:bCs/>
      <w:color w:val="800000"/>
      <w:lang w:val="es-ES_tradnl"/>
    </w:rPr>
  </w:style>
  <w:style w:type="paragraph" w:styleId="Ttulo8">
    <w:name w:val="heading 8"/>
    <w:basedOn w:val="Normal"/>
    <w:next w:val="Normal"/>
    <w:link w:val="Ttulo8Car"/>
    <w:uiPriority w:val="99"/>
    <w:qFormat/>
    <w:rsid w:val="00BF79AE"/>
    <w:pPr>
      <w:keepNext/>
      <w:outlineLvl w:val="7"/>
    </w:pPr>
    <w:rPr>
      <w:b/>
      <w:bCs/>
      <w:color w:val="800000"/>
    </w:rPr>
  </w:style>
  <w:style w:type="paragraph" w:styleId="Ttulo9">
    <w:name w:val="heading 9"/>
    <w:basedOn w:val="Normal"/>
    <w:next w:val="Normal"/>
    <w:link w:val="Ttulo9Car"/>
    <w:uiPriority w:val="99"/>
    <w:qFormat/>
    <w:rsid w:val="00BF79AE"/>
    <w:pPr>
      <w:keepNext/>
      <w:jc w:val="center"/>
      <w:outlineLvl w:val="8"/>
    </w:pPr>
    <w:rPr>
      <w:b/>
      <w:bCs/>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E43A9"/>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6E43A9"/>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6E43A9"/>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6E43A9"/>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6E43A9"/>
    <w:rPr>
      <w:rFonts w:ascii="Calibri" w:hAnsi="Calibri" w:cs="Times New Roman"/>
      <w:b/>
      <w:bCs/>
      <w:i/>
      <w:iCs/>
      <w:sz w:val="26"/>
      <w:szCs w:val="26"/>
    </w:rPr>
  </w:style>
  <w:style w:type="character" w:customStyle="1" w:styleId="Ttulo6Car">
    <w:name w:val="Título 6 Car"/>
    <w:basedOn w:val="Fuentedeprrafopredeter"/>
    <w:link w:val="Ttulo6"/>
    <w:uiPriority w:val="99"/>
    <w:semiHidden/>
    <w:locked/>
    <w:rsid w:val="006E43A9"/>
    <w:rPr>
      <w:rFonts w:ascii="Calibri" w:hAnsi="Calibri" w:cs="Times New Roman"/>
      <w:b/>
      <w:bCs/>
    </w:rPr>
  </w:style>
  <w:style w:type="character" w:customStyle="1" w:styleId="Ttulo7Car">
    <w:name w:val="Título 7 Car"/>
    <w:basedOn w:val="Fuentedeprrafopredeter"/>
    <w:link w:val="Ttulo7"/>
    <w:uiPriority w:val="99"/>
    <w:semiHidden/>
    <w:locked/>
    <w:rsid w:val="006E43A9"/>
    <w:rPr>
      <w:rFonts w:ascii="Calibri" w:hAnsi="Calibri" w:cs="Times New Roman"/>
      <w:sz w:val="24"/>
      <w:szCs w:val="24"/>
    </w:rPr>
  </w:style>
  <w:style w:type="character" w:customStyle="1" w:styleId="Ttulo8Car">
    <w:name w:val="Título 8 Car"/>
    <w:basedOn w:val="Fuentedeprrafopredeter"/>
    <w:link w:val="Ttulo8"/>
    <w:uiPriority w:val="99"/>
    <w:semiHidden/>
    <w:locked/>
    <w:rsid w:val="006E43A9"/>
    <w:rPr>
      <w:rFonts w:ascii="Calibri" w:hAnsi="Calibri" w:cs="Times New Roman"/>
      <w:i/>
      <w:iCs/>
      <w:sz w:val="24"/>
      <w:szCs w:val="24"/>
    </w:rPr>
  </w:style>
  <w:style w:type="character" w:customStyle="1" w:styleId="Ttulo9Car">
    <w:name w:val="Título 9 Car"/>
    <w:basedOn w:val="Fuentedeprrafopredeter"/>
    <w:link w:val="Ttulo9"/>
    <w:uiPriority w:val="99"/>
    <w:semiHidden/>
    <w:locked/>
    <w:rsid w:val="006E43A9"/>
    <w:rPr>
      <w:rFonts w:ascii="Cambria" w:hAnsi="Cambria" w:cs="Times New Roman"/>
    </w:rPr>
  </w:style>
  <w:style w:type="paragraph" w:styleId="Textoindependiente">
    <w:name w:val="Body Text"/>
    <w:basedOn w:val="Normal"/>
    <w:link w:val="TextoindependienteCar"/>
    <w:uiPriority w:val="99"/>
    <w:rsid w:val="00BF79AE"/>
    <w:rPr>
      <w:b/>
      <w:bCs/>
    </w:rPr>
  </w:style>
  <w:style w:type="character" w:customStyle="1" w:styleId="TextoindependienteCar">
    <w:name w:val="Texto independiente Car"/>
    <w:basedOn w:val="Fuentedeprrafopredeter"/>
    <w:link w:val="Textoindependiente"/>
    <w:uiPriority w:val="99"/>
    <w:locked/>
    <w:rsid w:val="006E43A9"/>
    <w:rPr>
      <w:rFonts w:cs="Times New Roman"/>
      <w:sz w:val="24"/>
      <w:szCs w:val="24"/>
    </w:rPr>
  </w:style>
  <w:style w:type="paragraph" w:styleId="Textoindependiente2">
    <w:name w:val="Body Text 2"/>
    <w:basedOn w:val="Normal"/>
    <w:link w:val="Textoindependiente2Car"/>
    <w:uiPriority w:val="99"/>
    <w:rsid w:val="00BF79AE"/>
    <w:pPr>
      <w:pBdr>
        <w:top w:val="single" w:sz="4" w:space="1" w:color="auto"/>
        <w:left w:val="single" w:sz="4" w:space="4" w:color="auto"/>
        <w:bottom w:val="single" w:sz="4" w:space="1" w:color="auto"/>
        <w:right w:val="single" w:sz="4" w:space="4" w:color="auto"/>
      </w:pBdr>
      <w:jc w:val="both"/>
    </w:pPr>
    <w:rPr>
      <w:b/>
      <w:bCs/>
      <w:sz w:val="28"/>
    </w:rPr>
  </w:style>
  <w:style w:type="character" w:customStyle="1" w:styleId="Textoindependiente2Car">
    <w:name w:val="Texto independiente 2 Car"/>
    <w:basedOn w:val="Fuentedeprrafopredeter"/>
    <w:link w:val="Textoindependiente2"/>
    <w:uiPriority w:val="99"/>
    <w:semiHidden/>
    <w:locked/>
    <w:rsid w:val="006E43A9"/>
    <w:rPr>
      <w:rFonts w:cs="Times New Roman"/>
      <w:sz w:val="24"/>
      <w:szCs w:val="24"/>
    </w:rPr>
  </w:style>
  <w:style w:type="paragraph" w:styleId="Textoindependiente3">
    <w:name w:val="Body Text 3"/>
    <w:basedOn w:val="Normal"/>
    <w:link w:val="Textoindependiente3Car"/>
    <w:uiPriority w:val="99"/>
    <w:rsid w:val="00BF79AE"/>
    <w:pPr>
      <w:jc w:val="both"/>
    </w:pPr>
    <w:rPr>
      <w:i/>
      <w:iCs/>
    </w:rPr>
  </w:style>
  <w:style w:type="character" w:customStyle="1" w:styleId="Textoindependiente3Car">
    <w:name w:val="Texto independiente 3 Car"/>
    <w:basedOn w:val="Fuentedeprrafopredeter"/>
    <w:link w:val="Textoindependiente3"/>
    <w:uiPriority w:val="99"/>
    <w:semiHidden/>
    <w:locked/>
    <w:rsid w:val="006E43A9"/>
    <w:rPr>
      <w:rFonts w:cs="Times New Roman"/>
      <w:sz w:val="16"/>
      <w:szCs w:val="16"/>
    </w:rPr>
  </w:style>
  <w:style w:type="paragraph" w:styleId="Sangradetextonormal">
    <w:name w:val="Body Text Indent"/>
    <w:basedOn w:val="Normal"/>
    <w:link w:val="SangradetextonormalCar"/>
    <w:uiPriority w:val="99"/>
    <w:rsid w:val="00BF79AE"/>
    <w:pPr>
      <w:ind w:left="708"/>
      <w:jc w:val="both"/>
    </w:pPr>
  </w:style>
  <w:style w:type="character" w:customStyle="1" w:styleId="SangradetextonormalCar">
    <w:name w:val="Sangría de texto normal Car"/>
    <w:basedOn w:val="Fuentedeprrafopredeter"/>
    <w:link w:val="Sangradetextonormal"/>
    <w:uiPriority w:val="99"/>
    <w:semiHidden/>
    <w:locked/>
    <w:rsid w:val="006E43A9"/>
    <w:rPr>
      <w:rFonts w:cs="Times New Roman"/>
      <w:sz w:val="24"/>
      <w:szCs w:val="24"/>
    </w:rPr>
  </w:style>
  <w:style w:type="paragraph" w:styleId="Encabezado">
    <w:name w:val="header"/>
    <w:basedOn w:val="Normal"/>
    <w:link w:val="EncabezadoCar"/>
    <w:uiPriority w:val="99"/>
    <w:rsid w:val="00BF79AE"/>
    <w:pPr>
      <w:tabs>
        <w:tab w:val="center" w:pos="4252"/>
        <w:tab w:val="right" w:pos="8504"/>
      </w:tabs>
    </w:pPr>
  </w:style>
  <w:style w:type="character" w:customStyle="1" w:styleId="EncabezadoCar">
    <w:name w:val="Encabezado Car"/>
    <w:basedOn w:val="Fuentedeprrafopredeter"/>
    <w:link w:val="Encabezado"/>
    <w:uiPriority w:val="99"/>
    <w:semiHidden/>
    <w:locked/>
    <w:rsid w:val="006E43A9"/>
    <w:rPr>
      <w:rFonts w:cs="Times New Roman"/>
      <w:sz w:val="24"/>
      <w:szCs w:val="24"/>
    </w:rPr>
  </w:style>
  <w:style w:type="paragraph" w:styleId="Piedepgina">
    <w:name w:val="footer"/>
    <w:basedOn w:val="Normal"/>
    <w:link w:val="PiedepginaCar"/>
    <w:uiPriority w:val="99"/>
    <w:rsid w:val="00BF79AE"/>
    <w:pPr>
      <w:tabs>
        <w:tab w:val="center" w:pos="4252"/>
        <w:tab w:val="right" w:pos="8504"/>
      </w:tabs>
    </w:pPr>
  </w:style>
  <w:style w:type="character" w:customStyle="1" w:styleId="PiedepginaCar">
    <w:name w:val="Pie de página Car"/>
    <w:basedOn w:val="Fuentedeprrafopredeter"/>
    <w:link w:val="Piedepgina"/>
    <w:uiPriority w:val="99"/>
    <w:locked/>
    <w:rsid w:val="00616F63"/>
    <w:rPr>
      <w:rFonts w:cs="Times New Roman"/>
      <w:sz w:val="24"/>
    </w:rPr>
  </w:style>
  <w:style w:type="character" w:styleId="Nmerodepgina">
    <w:name w:val="page number"/>
    <w:basedOn w:val="Fuentedeprrafopredeter"/>
    <w:uiPriority w:val="99"/>
    <w:rsid w:val="00BF79AE"/>
    <w:rPr>
      <w:rFonts w:cs="Times New Roman"/>
    </w:rPr>
  </w:style>
  <w:style w:type="paragraph" w:styleId="Ttulo">
    <w:name w:val="Title"/>
    <w:basedOn w:val="Normal"/>
    <w:link w:val="TtuloCar"/>
    <w:uiPriority w:val="99"/>
    <w:qFormat/>
    <w:rsid w:val="00BF79AE"/>
    <w:pPr>
      <w:pBdr>
        <w:top w:val="single" w:sz="6" w:space="1" w:color="auto"/>
        <w:left w:val="single" w:sz="6" w:space="1" w:color="auto"/>
        <w:bottom w:val="single" w:sz="6" w:space="1" w:color="auto"/>
        <w:right w:val="single" w:sz="6" w:space="1" w:color="auto"/>
      </w:pBdr>
      <w:shd w:val="pct5" w:color="auto" w:fill="auto"/>
      <w:jc w:val="center"/>
    </w:pPr>
    <w:rPr>
      <w:b/>
      <w:bCs/>
      <w:sz w:val="36"/>
      <w:szCs w:val="36"/>
    </w:rPr>
  </w:style>
  <w:style w:type="character" w:customStyle="1" w:styleId="TtuloCar">
    <w:name w:val="Título Car"/>
    <w:basedOn w:val="Fuentedeprrafopredeter"/>
    <w:link w:val="Ttulo"/>
    <w:uiPriority w:val="99"/>
    <w:locked/>
    <w:rsid w:val="006E43A9"/>
    <w:rPr>
      <w:rFonts w:ascii="Cambria" w:hAnsi="Cambria" w:cs="Times New Roman"/>
      <w:b/>
      <w:bCs/>
      <w:kern w:val="28"/>
      <w:sz w:val="32"/>
      <w:szCs w:val="32"/>
    </w:rPr>
  </w:style>
  <w:style w:type="paragraph" w:styleId="Sangra2detindependiente">
    <w:name w:val="Body Text Indent 2"/>
    <w:basedOn w:val="Normal"/>
    <w:link w:val="Sangra2detindependienteCar"/>
    <w:uiPriority w:val="99"/>
    <w:rsid w:val="00BF79AE"/>
    <w:pPr>
      <w:ind w:left="180"/>
      <w:jc w:val="both"/>
    </w:pPr>
  </w:style>
  <w:style w:type="character" w:customStyle="1" w:styleId="Sangra2detindependienteCar">
    <w:name w:val="Sangría 2 de t. independiente Car"/>
    <w:basedOn w:val="Fuentedeprrafopredeter"/>
    <w:link w:val="Sangra2detindependiente"/>
    <w:uiPriority w:val="99"/>
    <w:semiHidden/>
    <w:locked/>
    <w:rsid w:val="006E43A9"/>
    <w:rPr>
      <w:rFonts w:cs="Times New Roman"/>
      <w:sz w:val="24"/>
      <w:szCs w:val="24"/>
    </w:rPr>
  </w:style>
  <w:style w:type="paragraph" w:styleId="Sangra3detindependiente">
    <w:name w:val="Body Text Indent 3"/>
    <w:basedOn w:val="Normal"/>
    <w:link w:val="Sangra3detindependienteCar"/>
    <w:uiPriority w:val="99"/>
    <w:rsid w:val="00BF79AE"/>
    <w:pPr>
      <w:ind w:left="360"/>
      <w:jc w:val="both"/>
    </w:pPr>
  </w:style>
  <w:style w:type="character" w:customStyle="1" w:styleId="Sangra3detindependienteCar">
    <w:name w:val="Sangría 3 de t. independiente Car"/>
    <w:basedOn w:val="Fuentedeprrafopredeter"/>
    <w:link w:val="Sangra3detindependiente"/>
    <w:uiPriority w:val="99"/>
    <w:semiHidden/>
    <w:locked/>
    <w:rsid w:val="006E43A9"/>
    <w:rPr>
      <w:rFonts w:cs="Times New Roman"/>
      <w:sz w:val="16"/>
      <w:szCs w:val="16"/>
    </w:rPr>
  </w:style>
  <w:style w:type="character" w:styleId="Refdecomentario">
    <w:name w:val="annotation reference"/>
    <w:basedOn w:val="Fuentedeprrafopredeter"/>
    <w:uiPriority w:val="99"/>
    <w:semiHidden/>
    <w:rsid w:val="00BF79AE"/>
    <w:rPr>
      <w:rFonts w:cs="Times New Roman"/>
      <w:sz w:val="16"/>
    </w:rPr>
  </w:style>
  <w:style w:type="paragraph" w:styleId="Textocomentario">
    <w:name w:val="annotation text"/>
    <w:basedOn w:val="Normal"/>
    <w:link w:val="TextocomentarioCar"/>
    <w:uiPriority w:val="99"/>
    <w:semiHidden/>
    <w:rsid w:val="00BF79AE"/>
    <w:rPr>
      <w:sz w:val="20"/>
      <w:szCs w:val="20"/>
    </w:rPr>
  </w:style>
  <w:style w:type="character" w:customStyle="1" w:styleId="TextocomentarioCar">
    <w:name w:val="Texto comentario Car"/>
    <w:basedOn w:val="Fuentedeprrafopredeter"/>
    <w:link w:val="Textocomentario"/>
    <w:uiPriority w:val="99"/>
    <w:semiHidden/>
    <w:locked/>
    <w:rsid w:val="006E43A9"/>
    <w:rPr>
      <w:rFonts w:cs="Times New Roman"/>
      <w:sz w:val="20"/>
      <w:szCs w:val="20"/>
    </w:rPr>
  </w:style>
  <w:style w:type="paragraph" w:customStyle="1" w:styleId="textodestacado">
    <w:name w:val="textodestacado"/>
    <w:basedOn w:val="Normal"/>
    <w:uiPriority w:val="99"/>
    <w:rsid w:val="00BF79AE"/>
    <w:pPr>
      <w:spacing w:before="100" w:beforeAutospacing="1" w:after="100" w:afterAutospacing="1"/>
    </w:pPr>
    <w:rPr>
      <w:rFonts w:ascii="Arial" w:eastAsia="Arial Unicode MS" w:hAnsi="Arial" w:cs="Arial"/>
      <w:color w:val="E60200"/>
      <w:sz w:val="18"/>
      <w:szCs w:val="18"/>
    </w:rPr>
  </w:style>
  <w:style w:type="paragraph" w:styleId="NormalWeb">
    <w:name w:val="Normal (Web)"/>
    <w:basedOn w:val="Normal"/>
    <w:uiPriority w:val="99"/>
    <w:rsid w:val="00BF79AE"/>
    <w:pPr>
      <w:spacing w:before="100" w:beforeAutospacing="1" w:after="100" w:afterAutospacing="1"/>
    </w:pPr>
    <w:rPr>
      <w:rFonts w:ascii="Arial Unicode MS" w:eastAsia="Arial Unicode MS" w:hAnsi="Arial Unicode MS" w:cs="Arial Unicode MS"/>
    </w:rPr>
  </w:style>
  <w:style w:type="paragraph" w:customStyle="1" w:styleId="textonormalrojo">
    <w:name w:val="textonormalrojo"/>
    <w:basedOn w:val="Normal"/>
    <w:uiPriority w:val="99"/>
    <w:rsid w:val="00BF79AE"/>
    <w:pPr>
      <w:spacing w:before="100" w:beforeAutospacing="1" w:after="100" w:afterAutospacing="1"/>
    </w:pPr>
    <w:rPr>
      <w:rFonts w:ascii="Verdana" w:eastAsia="Arial Unicode MS" w:hAnsi="Verdana" w:cs="Arial Unicode MS"/>
      <w:color w:val="E60200"/>
      <w:sz w:val="15"/>
      <w:szCs w:val="15"/>
    </w:rPr>
  </w:style>
  <w:style w:type="character" w:styleId="Hipervnculo">
    <w:name w:val="Hyperlink"/>
    <w:basedOn w:val="Fuentedeprrafopredeter"/>
    <w:uiPriority w:val="99"/>
    <w:rsid w:val="00BF79AE"/>
    <w:rPr>
      <w:rFonts w:cs="Times New Roman"/>
      <w:color w:val="0248B0"/>
      <w:u w:val="single"/>
    </w:rPr>
  </w:style>
  <w:style w:type="character" w:styleId="Fuerte">
    <w:name w:val="Strong"/>
    <w:basedOn w:val="Fuentedeprrafopredeter"/>
    <w:uiPriority w:val="99"/>
    <w:qFormat/>
    <w:rsid w:val="00BF79AE"/>
    <w:rPr>
      <w:rFonts w:cs="Times New Roman"/>
      <w:b/>
    </w:rPr>
  </w:style>
  <w:style w:type="paragraph" w:styleId="Mapadeldocumento">
    <w:name w:val="Document Map"/>
    <w:basedOn w:val="Normal"/>
    <w:link w:val="MapadeldocumentoCar"/>
    <w:uiPriority w:val="99"/>
    <w:semiHidden/>
    <w:rsid w:val="00BF79AE"/>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6E43A9"/>
    <w:rPr>
      <w:rFonts w:cs="Times New Roman"/>
      <w:sz w:val="2"/>
    </w:rPr>
  </w:style>
  <w:style w:type="paragraph" w:styleId="Asuntodelcomentario">
    <w:name w:val="annotation subject"/>
    <w:basedOn w:val="Textocomentario"/>
    <w:next w:val="Textocomentario"/>
    <w:link w:val="AsuntodelcomentarioCar1"/>
    <w:uiPriority w:val="99"/>
    <w:rsid w:val="00BF79AE"/>
    <w:rPr>
      <w:b/>
      <w:bCs/>
    </w:rPr>
  </w:style>
  <w:style w:type="character" w:customStyle="1" w:styleId="AsuntodelcomentarioCar1">
    <w:name w:val="Asunto del comentario Car1"/>
    <w:basedOn w:val="TextocomentarioCar"/>
    <w:link w:val="Asuntodelcomentario"/>
    <w:uiPriority w:val="99"/>
    <w:semiHidden/>
    <w:locked/>
    <w:rsid w:val="006E43A9"/>
    <w:rPr>
      <w:rFonts w:cs="Times New Roman"/>
      <w:b/>
      <w:bCs/>
      <w:sz w:val="20"/>
      <w:szCs w:val="20"/>
    </w:rPr>
  </w:style>
  <w:style w:type="character" w:customStyle="1" w:styleId="CarCar1">
    <w:name w:val="Car Car1"/>
    <w:basedOn w:val="Fuentedeprrafopredeter"/>
    <w:uiPriority w:val="99"/>
    <w:semiHidden/>
    <w:rsid w:val="00BF79AE"/>
    <w:rPr>
      <w:rFonts w:cs="Times New Roman"/>
    </w:rPr>
  </w:style>
  <w:style w:type="character" w:customStyle="1" w:styleId="AsuntodelcomentarioCar">
    <w:name w:val="Asunto del comentario Car"/>
    <w:basedOn w:val="CarCar1"/>
    <w:uiPriority w:val="99"/>
    <w:rsid w:val="00BF79AE"/>
    <w:rPr>
      <w:rFonts w:cs="Times New Roman"/>
    </w:rPr>
  </w:style>
  <w:style w:type="paragraph" w:styleId="Textodeglobo">
    <w:name w:val="Balloon Text"/>
    <w:basedOn w:val="Normal"/>
    <w:link w:val="TextodegloboCar"/>
    <w:uiPriority w:val="99"/>
    <w:rsid w:val="00BF79A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E43A9"/>
    <w:rPr>
      <w:rFonts w:cs="Times New Roman"/>
      <w:sz w:val="2"/>
    </w:rPr>
  </w:style>
  <w:style w:type="character" w:customStyle="1" w:styleId="CarCar">
    <w:name w:val="Car Car"/>
    <w:uiPriority w:val="99"/>
    <w:rsid w:val="00BF79AE"/>
    <w:rPr>
      <w:rFonts w:ascii="Tahoma" w:hAnsi="Tahoma"/>
      <w:sz w:val="16"/>
    </w:rPr>
  </w:style>
  <w:style w:type="character" w:styleId="nfasis">
    <w:name w:val="Emphasis"/>
    <w:basedOn w:val="Fuentedeprrafopredeter"/>
    <w:uiPriority w:val="99"/>
    <w:qFormat/>
    <w:rsid w:val="00BF79AE"/>
    <w:rPr>
      <w:rFonts w:cs="Times New Roman"/>
      <w:i/>
    </w:rPr>
  </w:style>
  <w:style w:type="paragraph" w:styleId="Prrafodelista">
    <w:name w:val="List Paragraph"/>
    <w:basedOn w:val="Normal"/>
    <w:uiPriority w:val="34"/>
    <w:qFormat/>
    <w:rsid w:val="00B05AD6"/>
    <w:pPr>
      <w:ind w:left="720"/>
      <w:contextualSpacing/>
    </w:pPr>
  </w:style>
  <w:style w:type="paragraph" w:customStyle="1" w:styleId="a">
    <w:name w:val="a"/>
    <w:basedOn w:val="Normal"/>
    <w:rsid w:val="007478F6"/>
    <w:pPr>
      <w:spacing w:before="100" w:beforeAutospacing="1" w:after="100" w:afterAutospacing="1"/>
    </w:pPr>
  </w:style>
  <w:style w:type="paragraph" w:styleId="Textonotaalfinal">
    <w:name w:val="endnote text"/>
    <w:basedOn w:val="Normal"/>
    <w:link w:val="TextonotaalfinalCar"/>
    <w:uiPriority w:val="99"/>
    <w:semiHidden/>
    <w:unhideWhenUsed/>
    <w:locked/>
    <w:rsid w:val="004F37DC"/>
    <w:rPr>
      <w:sz w:val="20"/>
      <w:szCs w:val="20"/>
    </w:rPr>
  </w:style>
  <w:style w:type="character" w:customStyle="1" w:styleId="TextonotaalfinalCar">
    <w:name w:val="Texto nota al final Car"/>
    <w:basedOn w:val="Fuentedeprrafopredeter"/>
    <w:link w:val="Textonotaalfinal"/>
    <w:uiPriority w:val="99"/>
    <w:semiHidden/>
    <w:rsid w:val="004F37DC"/>
    <w:rPr>
      <w:sz w:val="20"/>
      <w:szCs w:val="20"/>
    </w:rPr>
  </w:style>
  <w:style w:type="character" w:styleId="Refdenotaalfinal">
    <w:name w:val="endnote reference"/>
    <w:basedOn w:val="Fuentedeprrafopredeter"/>
    <w:uiPriority w:val="99"/>
    <w:semiHidden/>
    <w:unhideWhenUsed/>
    <w:locked/>
    <w:rsid w:val="004F37DC"/>
    <w:rPr>
      <w:vertAlign w:val="superscript"/>
    </w:rPr>
  </w:style>
  <w:style w:type="paragraph" w:styleId="Textonotapie">
    <w:name w:val="footnote text"/>
    <w:basedOn w:val="Normal"/>
    <w:link w:val="TextonotapieCar"/>
    <w:uiPriority w:val="99"/>
    <w:semiHidden/>
    <w:unhideWhenUsed/>
    <w:locked/>
    <w:rsid w:val="004F37DC"/>
    <w:rPr>
      <w:sz w:val="20"/>
      <w:szCs w:val="20"/>
    </w:rPr>
  </w:style>
  <w:style w:type="character" w:customStyle="1" w:styleId="TextonotapieCar">
    <w:name w:val="Texto nota pie Car"/>
    <w:basedOn w:val="Fuentedeprrafopredeter"/>
    <w:link w:val="Textonotapie"/>
    <w:uiPriority w:val="99"/>
    <w:semiHidden/>
    <w:rsid w:val="004F37DC"/>
    <w:rPr>
      <w:sz w:val="20"/>
      <w:szCs w:val="20"/>
    </w:rPr>
  </w:style>
  <w:style w:type="character" w:styleId="Refdenotaalpie">
    <w:name w:val="footnote reference"/>
    <w:basedOn w:val="Fuentedeprrafopredeter"/>
    <w:uiPriority w:val="99"/>
    <w:semiHidden/>
    <w:unhideWhenUsed/>
    <w:locked/>
    <w:rsid w:val="004F37DC"/>
    <w:rPr>
      <w:vertAlign w:val="superscript"/>
    </w:rPr>
  </w:style>
  <w:style w:type="table" w:styleId="Tablaconcuadrcula">
    <w:name w:val="Table Grid"/>
    <w:basedOn w:val="Tablanormal"/>
    <w:rsid w:val="00DB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E60B2"/>
    <w:rPr>
      <w:color w:val="605E5C"/>
      <w:shd w:val="clear" w:color="auto" w:fill="E1DFDD"/>
    </w:rPr>
  </w:style>
  <w:style w:type="paragraph" w:styleId="Revisin">
    <w:name w:val="Revision"/>
    <w:hidden/>
    <w:uiPriority w:val="99"/>
    <w:semiHidden/>
    <w:rsid w:val="00A37A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103">
      <w:bodyDiv w:val="1"/>
      <w:marLeft w:val="0"/>
      <w:marRight w:val="0"/>
      <w:marTop w:val="0"/>
      <w:marBottom w:val="0"/>
      <w:divBdr>
        <w:top w:val="none" w:sz="0" w:space="0" w:color="auto"/>
        <w:left w:val="none" w:sz="0" w:space="0" w:color="auto"/>
        <w:bottom w:val="none" w:sz="0" w:space="0" w:color="auto"/>
        <w:right w:val="none" w:sz="0" w:space="0" w:color="auto"/>
      </w:divBdr>
    </w:div>
    <w:div w:id="40324641">
      <w:bodyDiv w:val="1"/>
      <w:marLeft w:val="0"/>
      <w:marRight w:val="0"/>
      <w:marTop w:val="0"/>
      <w:marBottom w:val="0"/>
      <w:divBdr>
        <w:top w:val="none" w:sz="0" w:space="0" w:color="auto"/>
        <w:left w:val="none" w:sz="0" w:space="0" w:color="auto"/>
        <w:bottom w:val="none" w:sz="0" w:space="0" w:color="auto"/>
        <w:right w:val="none" w:sz="0" w:space="0" w:color="auto"/>
      </w:divBdr>
    </w:div>
    <w:div w:id="75053021">
      <w:bodyDiv w:val="1"/>
      <w:marLeft w:val="0"/>
      <w:marRight w:val="0"/>
      <w:marTop w:val="0"/>
      <w:marBottom w:val="0"/>
      <w:divBdr>
        <w:top w:val="none" w:sz="0" w:space="0" w:color="auto"/>
        <w:left w:val="none" w:sz="0" w:space="0" w:color="auto"/>
        <w:bottom w:val="none" w:sz="0" w:space="0" w:color="auto"/>
        <w:right w:val="none" w:sz="0" w:space="0" w:color="auto"/>
      </w:divBdr>
    </w:div>
    <w:div w:id="86773433">
      <w:bodyDiv w:val="1"/>
      <w:marLeft w:val="0"/>
      <w:marRight w:val="0"/>
      <w:marTop w:val="0"/>
      <w:marBottom w:val="0"/>
      <w:divBdr>
        <w:top w:val="none" w:sz="0" w:space="0" w:color="auto"/>
        <w:left w:val="none" w:sz="0" w:space="0" w:color="auto"/>
        <w:bottom w:val="none" w:sz="0" w:space="0" w:color="auto"/>
        <w:right w:val="none" w:sz="0" w:space="0" w:color="auto"/>
      </w:divBdr>
    </w:div>
    <w:div w:id="191310138">
      <w:bodyDiv w:val="1"/>
      <w:marLeft w:val="0"/>
      <w:marRight w:val="0"/>
      <w:marTop w:val="0"/>
      <w:marBottom w:val="0"/>
      <w:divBdr>
        <w:top w:val="none" w:sz="0" w:space="0" w:color="auto"/>
        <w:left w:val="none" w:sz="0" w:space="0" w:color="auto"/>
        <w:bottom w:val="none" w:sz="0" w:space="0" w:color="auto"/>
        <w:right w:val="none" w:sz="0" w:space="0" w:color="auto"/>
      </w:divBdr>
    </w:div>
    <w:div w:id="273103234">
      <w:bodyDiv w:val="1"/>
      <w:marLeft w:val="0"/>
      <w:marRight w:val="0"/>
      <w:marTop w:val="0"/>
      <w:marBottom w:val="0"/>
      <w:divBdr>
        <w:top w:val="none" w:sz="0" w:space="0" w:color="auto"/>
        <w:left w:val="none" w:sz="0" w:space="0" w:color="auto"/>
        <w:bottom w:val="none" w:sz="0" w:space="0" w:color="auto"/>
        <w:right w:val="none" w:sz="0" w:space="0" w:color="auto"/>
      </w:divBdr>
    </w:div>
    <w:div w:id="337929265">
      <w:bodyDiv w:val="1"/>
      <w:marLeft w:val="0"/>
      <w:marRight w:val="0"/>
      <w:marTop w:val="0"/>
      <w:marBottom w:val="0"/>
      <w:divBdr>
        <w:top w:val="none" w:sz="0" w:space="0" w:color="auto"/>
        <w:left w:val="none" w:sz="0" w:space="0" w:color="auto"/>
        <w:bottom w:val="none" w:sz="0" w:space="0" w:color="auto"/>
        <w:right w:val="none" w:sz="0" w:space="0" w:color="auto"/>
      </w:divBdr>
    </w:div>
    <w:div w:id="459693651">
      <w:bodyDiv w:val="1"/>
      <w:marLeft w:val="0"/>
      <w:marRight w:val="0"/>
      <w:marTop w:val="0"/>
      <w:marBottom w:val="0"/>
      <w:divBdr>
        <w:top w:val="none" w:sz="0" w:space="0" w:color="auto"/>
        <w:left w:val="none" w:sz="0" w:space="0" w:color="auto"/>
        <w:bottom w:val="none" w:sz="0" w:space="0" w:color="auto"/>
        <w:right w:val="none" w:sz="0" w:space="0" w:color="auto"/>
      </w:divBdr>
    </w:div>
    <w:div w:id="473565552">
      <w:bodyDiv w:val="1"/>
      <w:marLeft w:val="0"/>
      <w:marRight w:val="0"/>
      <w:marTop w:val="0"/>
      <w:marBottom w:val="0"/>
      <w:divBdr>
        <w:top w:val="none" w:sz="0" w:space="0" w:color="auto"/>
        <w:left w:val="none" w:sz="0" w:space="0" w:color="auto"/>
        <w:bottom w:val="none" w:sz="0" w:space="0" w:color="auto"/>
        <w:right w:val="none" w:sz="0" w:space="0" w:color="auto"/>
      </w:divBdr>
    </w:div>
    <w:div w:id="484705232">
      <w:bodyDiv w:val="1"/>
      <w:marLeft w:val="0"/>
      <w:marRight w:val="0"/>
      <w:marTop w:val="0"/>
      <w:marBottom w:val="0"/>
      <w:divBdr>
        <w:top w:val="none" w:sz="0" w:space="0" w:color="auto"/>
        <w:left w:val="none" w:sz="0" w:space="0" w:color="auto"/>
        <w:bottom w:val="none" w:sz="0" w:space="0" w:color="auto"/>
        <w:right w:val="none" w:sz="0" w:space="0" w:color="auto"/>
      </w:divBdr>
    </w:div>
    <w:div w:id="496653111">
      <w:bodyDiv w:val="1"/>
      <w:marLeft w:val="0"/>
      <w:marRight w:val="0"/>
      <w:marTop w:val="0"/>
      <w:marBottom w:val="0"/>
      <w:divBdr>
        <w:top w:val="none" w:sz="0" w:space="0" w:color="auto"/>
        <w:left w:val="none" w:sz="0" w:space="0" w:color="auto"/>
        <w:bottom w:val="none" w:sz="0" w:space="0" w:color="auto"/>
        <w:right w:val="none" w:sz="0" w:space="0" w:color="auto"/>
      </w:divBdr>
    </w:div>
    <w:div w:id="515536691">
      <w:bodyDiv w:val="1"/>
      <w:marLeft w:val="0"/>
      <w:marRight w:val="0"/>
      <w:marTop w:val="0"/>
      <w:marBottom w:val="0"/>
      <w:divBdr>
        <w:top w:val="none" w:sz="0" w:space="0" w:color="auto"/>
        <w:left w:val="none" w:sz="0" w:space="0" w:color="auto"/>
        <w:bottom w:val="none" w:sz="0" w:space="0" w:color="auto"/>
        <w:right w:val="none" w:sz="0" w:space="0" w:color="auto"/>
      </w:divBdr>
    </w:div>
    <w:div w:id="548884699">
      <w:marLeft w:val="0"/>
      <w:marRight w:val="0"/>
      <w:marTop w:val="0"/>
      <w:marBottom w:val="0"/>
      <w:divBdr>
        <w:top w:val="none" w:sz="0" w:space="0" w:color="auto"/>
        <w:left w:val="none" w:sz="0" w:space="0" w:color="auto"/>
        <w:bottom w:val="none" w:sz="0" w:space="0" w:color="auto"/>
        <w:right w:val="none" w:sz="0" w:space="0" w:color="auto"/>
      </w:divBdr>
    </w:div>
    <w:div w:id="548884703">
      <w:marLeft w:val="0"/>
      <w:marRight w:val="0"/>
      <w:marTop w:val="0"/>
      <w:marBottom w:val="0"/>
      <w:divBdr>
        <w:top w:val="none" w:sz="0" w:space="0" w:color="auto"/>
        <w:left w:val="none" w:sz="0" w:space="0" w:color="auto"/>
        <w:bottom w:val="none" w:sz="0" w:space="0" w:color="auto"/>
        <w:right w:val="none" w:sz="0" w:space="0" w:color="auto"/>
      </w:divBdr>
    </w:div>
    <w:div w:id="548884705">
      <w:marLeft w:val="0"/>
      <w:marRight w:val="0"/>
      <w:marTop w:val="0"/>
      <w:marBottom w:val="0"/>
      <w:divBdr>
        <w:top w:val="none" w:sz="0" w:space="0" w:color="auto"/>
        <w:left w:val="none" w:sz="0" w:space="0" w:color="auto"/>
        <w:bottom w:val="none" w:sz="0" w:space="0" w:color="auto"/>
        <w:right w:val="none" w:sz="0" w:space="0" w:color="auto"/>
      </w:divBdr>
    </w:div>
    <w:div w:id="548884706">
      <w:marLeft w:val="0"/>
      <w:marRight w:val="0"/>
      <w:marTop w:val="0"/>
      <w:marBottom w:val="0"/>
      <w:divBdr>
        <w:top w:val="none" w:sz="0" w:space="0" w:color="auto"/>
        <w:left w:val="none" w:sz="0" w:space="0" w:color="auto"/>
        <w:bottom w:val="none" w:sz="0" w:space="0" w:color="auto"/>
        <w:right w:val="none" w:sz="0" w:space="0" w:color="auto"/>
      </w:divBdr>
    </w:div>
    <w:div w:id="548884708">
      <w:marLeft w:val="0"/>
      <w:marRight w:val="0"/>
      <w:marTop w:val="0"/>
      <w:marBottom w:val="0"/>
      <w:divBdr>
        <w:top w:val="none" w:sz="0" w:space="0" w:color="auto"/>
        <w:left w:val="none" w:sz="0" w:space="0" w:color="auto"/>
        <w:bottom w:val="none" w:sz="0" w:space="0" w:color="auto"/>
        <w:right w:val="none" w:sz="0" w:space="0" w:color="auto"/>
      </w:divBdr>
    </w:div>
    <w:div w:id="548884709">
      <w:marLeft w:val="0"/>
      <w:marRight w:val="0"/>
      <w:marTop w:val="0"/>
      <w:marBottom w:val="0"/>
      <w:divBdr>
        <w:top w:val="single" w:sz="2" w:space="0" w:color="CC3640"/>
        <w:left w:val="none" w:sz="0" w:space="0" w:color="auto"/>
        <w:bottom w:val="none" w:sz="0" w:space="0" w:color="auto"/>
        <w:right w:val="none" w:sz="0" w:space="0" w:color="auto"/>
      </w:divBdr>
      <w:divsChild>
        <w:div w:id="548884723">
          <w:marLeft w:val="0"/>
          <w:marRight w:val="0"/>
          <w:marTop w:val="0"/>
          <w:marBottom w:val="0"/>
          <w:divBdr>
            <w:top w:val="single" w:sz="2" w:space="0" w:color="FF0000"/>
            <w:left w:val="single" w:sz="2" w:space="0" w:color="FF0000"/>
            <w:bottom w:val="single" w:sz="2" w:space="0" w:color="FF0000"/>
            <w:right w:val="single" w:sz="2" w:space="0" w:color="FF0000"/>
          </w:divBdr>
          <w:divsChild>
            <w:div w:id="548884704">
              <w:marLeft w:val="0"/>
              <w:marRight w:val="0"/>
              <w:marTop w:val="0"/>
              <w:marBottom w:val="0"/>
              <w:divBdr>
                <w:top w:val="none" w:sz="0" w:space="0" w:color="auto"/>
                <w:left w:val="single" w:sz="6" w:space="0" w:color="DDDDDD"/>
                <w:bottom w:val="none" w:sz="0" w:space="0" w:color="auto"/>
                <w:right w:val="none" w:sz="0" w:space="0" w:color="auto"/>
              </w:divBdr>
              <w:divsChild>
                <w:div w:id="548884701">
                  <w:marLeft w:val="0"/>
                  <w:marRight w:val="0"/>
                  <w:marTop w:val="0"/>
                  <w:marBottom w:val="0"/>
                  <w:divBdr>
                    <w:top w:val="single" w:sz="2" w:space="0" w:color="008000"/>
                    <w:left w:val="single" w:sz="2" w:space="0" w:color="008000"/>
                    <w:bottom w:val="single" w:sz="2" w:space="0" w:color="008000"/>
                    <w:right w:val="single" w:sz="2" w:space="0" w:color="008000"/>
                  </w:divBdr>
                  <w:divsChild>
                    <w:div w:id="548884724">
                      <w:marLeft w:val="0"/>
                      <w:marRight w:val="0"/>
                      <w:marTop w:val="0"/>
                      <w:marBottom w:val="0"/>
                      <w:divBdr>
                        <w:top w:val="none" w:sz="0" w:space="0" w:color="auto"/>
                        <w:left w:val="none" w:sz="0" w:space="0" w:color="auto"/>
                        <w:bottom w:val="none" w:sz="0" w:space="0" w:color="auto"/>
                        <w:right w:val="none" w:sz="0" w:space="0" w:color="auto"/>
                      </w:divBdr>
                      <w:divsChild>
                        <w:div w:id="548884711">
                          <w:marLeft w:val="0"/>
                          <w:marRight w:val="0"/>
                          <w:marTop w:val="0"/>
                          <w:marBottom w:val="0"/>
                          <w:divBdr>
                            <w:top w:val="none" w:sz="0" w:space="0" w:color="auto"/>
                            <w:left w:val="none" w:sz="0" w:space="0" w:color="auto"/>
                            <w:bottom w:val="none" w:sz="0" w:space="0" w:color="auto"/>
                            <w:right w:val="none" w:sz="0" w:space="0" w:color="auto"/>
                          </w:divBdr>
                          <w:divsChild>
                            <w:div w:id="54888469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8884710">
      <w:marLeft w:val="0"/>
      <w:marRight w:val="0"/>
      <w:marTop w:val="0"/>
      <w:marBottom w:val="0"/>
      <w:divBdr>
        <w:top w:val="none" w:sz="0" w:space="0" w:color="auto"/>
        <w:left w:val="none" w:sz="0" w:space="0" w:color="auto"/>
        <w:bottom w:val="none" w:sz="0" w:space="0" w:color="auto"/>
        <w:right w:val="none" w:sz="0" w:space="0" w:color="auto"/>
      </w:divBdr>
    </w:div>
    <w:div w:id="548884712">
      <w:marLeft w:val="0"/>
      <w:marRight w:val="0"/>
      <w:marTop w:val="0"/>
      <w:marBottom w:val="0"/>
      <w:divBdr>
        <w:top w:val="none" w:sz="0" w:space="0" w:color="auto"/>
        <w:left w:val="none" w:sz="0" w:space="0" w:color="auto"/>
        <w:bottom w:val="none" w:sz="0" w:space="0" w:color="auto"/>
        <w:right w:val="none" w:sz="0" w:space="0" w:color="auto"/>
      </w:divBdr>
    </w:div>
    <w:div w:id="548884713">
      <w:marLeft w:val="0"/>
      <w:marRight w:val="0"/>
      <w:marTop w:val="0"/>
      <w:marBottom w:val="0"/>
      <w:divBdr>
        <w:top w:val="none" w:sz="0" w:space="0" w:color="auto"/>
        <w:left w:val="none" w:sz="0" w:space="0" w:color="auto"/>
        <w:bottom w:val="none" w:sz="0" w:space="0" w:color="auto"/>
        <w:right w:val="none" w:sz="0" w:space="0" w:color="auto"/>
      </w:divBdr>
    </w:div>
    <w:div w:id="548884715">
      <w:marLeft w:val="0"/>
      <w:marRight w:val="0"/>
      <w:marTop w:val="0"/>
      <w:marBottom w:val="0"/>
      <w:divBdr>
        <w:top w:val="none" w:sz="0" w:space="0" w:color="auto"/>
        <w:left w:val="none" w:sz="0" w:space="0" w:color="auto"/>
        <w:bottom w:val="none" w:sz="0" w:space="0" w:color="auto"/>
        <w:right w:val="none" w:sz="0" w:space="0" w:color="auto"/>
      </w:divBdr>
    </w:div>
    <w:div w:id="548884716">
      <w:marLeft w:val="0"/>
      <w:marRight w:val="0"/>
      <w:marTop w:val="0"/>
      <w:marBottom w:val="0"/>
      <w:divBdr>
        <w:top w:val="single" w:sz="2" w:space="0" w:color="CC3640"/>
        <w:left w:val="none" w:sz="0" w:space="0" w:color="auto"/>
        <w:bottom w:val="none" w:sz="0" w:space="0" w:color="auto"/>
        <w:right w:val="none" w:sz="0" w:space="0" w:color="auto"/>
      </w:divBdr>
      <w:divsChild>
        <w:div w:id="548884700">
          <w:marLeft w:val="0"/>
          <w:marRight w:val="0"/>
          <w:marTop w:val="0"/>
          <w:marBottom w:val="0"/>
          <w:divBdr>
            <w:top w:val="single" w:sz="2" w:space="0" w:color="FF0000"/>
            <w:left w:val="single" w:sz="2" w:space="0" w:color="FF0000"/>
            <w:bottom w:val="single" w:sz="2" w:space="0" w:color="FF0000"/>
            <w:right w:val="single" w:sz="2" w:space="0" w:color="FF0000"/>
          </w:divBdr>
          <w:divsChild>
            <w:div w:id="548884720">
              <w:marLeft w:val="0"/>
              <w:marRight w:val="0"/>
              <w:marTop w:val="0"/>
              <w:marBottom w:val="0"/>
              <w:divBdr>
                <w:top w:val="none" w:sz="0" w:space="0" w:color="auto"/>
                <w:left w:val="single" w:sz="6" w:space="0" w:color="DDDDDD"/>
                <w:bottom w:val="none" w:sz="0" w:space="0" w:color="auto"/>
                <w:right w:val="none" w:sz="0" w:space="0" w:color="auto"/>
              </w:divBdr>
              <w:divsChild>
                <w:div w:id="548884719">
                  <w:marLeft w:val="0"/>
                  <w:marRight w:val="0"/>
                  <w:marTop w:val="0"/>
                  <w:marBottom w:val="0"/>
                  <w:divBdr>
                    <w:top w:val="single" w:sz="2" w:space="0" w:color="008000"/>
                    <w:left w:val="single" w:sz="2" w:space="0" w:color="008000"/>
                    <w:bottom w:val="single" w:sz="2" w:space="0" w:color="008000"/>
                    <w:right w:val="single" w:sz="2" w:space="0" w:color="008000"/>
                  </w:divBdr>
                  <w:divsChild>
                    <w:div w:id="548884714">
                      <w:marLeft w:val="0"/>
                      <w:marRight w:val="0"/>
                      <w:marTop w:val="0"/>
                      <w:marBottom w:val="0"/>
                      <w:divBdr>
                        <w:top w:val="none" w:sz="0" w:space="0" w:color="auto"/>
                        <w:left w:val="none" w:sz="0" w:space="0" w:color="auto"/>
                        <w:bottom w:val="none" w:sz="0" w:space="0" w:color="auto"/>
                        <w:right w:val="none" w:sz="0" w:space="0" w:color="auto"/>
                      </w:divBdr>
                      <w:divsChild>
                        <w:div w:id="548884722">
                          <w:marLeft w:val="0"/>
                          <w:marRight w:val="0"/>
                          <w:marTop w:val="0"/>
                          <w:marBottom w:val="0"/>
                          <w:divBdr>
                            <w:top w:val="none" w:sz="0" w:space="0" w:color="auto"/>
                            <w:left w:val="none" w:sz="0" w:space="0" w:color="auto"/>
                            <w:bottom w:val="none" w:sz="0" w:space="0" w:color="auto"/>
                            <w:right w:val="none" w:sz="0" w:space="0" w:color="auto"/>
                          </w:divBdr>
                          <w:divsChild>
                            <w:div w:id="54888470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8884721">
      <w:marLeft w:val="0"/>
      <w:marRight w:val="0"/>
      <w:marTop w:val="0"/>
      <w:marBottom w:val="0"/>
      <w:divBdr>
        <w:top w:val="single" w:sz="2" w:space="0" w:color="CC3640"/>
        <w:left w:val="none" w:sz="0" w:space="0" w:color="auto"/>
        <w:bottom w:val="none" w:sz="0" w:space="0" w:color="auto"/>
        <w:right w:val="none" w:sz="0" w:space="0" w:color="auto"/>
      </w:divBdr>
      <w:divsChild>
        <w:div w:id="548884725">
          <w:marLeft w:val="0"/>
          <w:marRight w:val="0"/>
          <w:marTop w:val="0"/>
          <w:marBottom w:val="0"/>
          <w:divBdr>
            <w:top w:val="single" w:sz="2" w:space="0" w:color="FF0000"/>
            <w:left w:val="single" w:sz="2" w:space="0" w:color="FF0000"/>
            <w:bottom w:val="single" w:sz="2" w:space="0" w:color="FF0000"/>
            <w:right w:val="single" w:sz="2" w:space="0" w:color="FF0000"/>
          </w:divBdr>
          <w:divsChild>
            <w:div w:id="548884698">
              <w:marLeft w:val="0"/>
              <w:marRight w:val="0"/>
              <w:marTop w:val="0"/>
              <w:marBottom w:val="0"/>
              <w:divBdr>
                <w:top w:val="none" w:sz="0" w:space="0" w:color="auto"/>
                <w:left w:val="single" w:sz="6" w:space="0" w:color="DDDDDD"/>
                <w:bottom w:val="none" w:sz="0" w:space="0" w:color="auto"/>
                <w:right w:val="none" w:sz="0" w:space="0" w:color="auto"/>
              </w:divBdr>
              <w:divsChild>
                <w:div w:id="548884702">
                  <w:marLeft w:val="0"/>
                  <w:marRight w:val="0"/>
                  <w:marTop w:val="0"/>
                  <w:marBottom w:val="0"/>
                  <w:divBdr>
                    <w:top w:val="single" w:sz="2" w:space="0" w:color="008000"/>
                    <w:left w:val="single" w:sz="2" w:space="0" w:color="008000"/>
                    <w:bottom w:val="single" w:sz="2" w:space="0" w:color="008000"/>
                    <w:right w:val="single" w:sz="2" w:space="0" w:color="008000"/>
                  </w:divBdr>
                  <w:divsChild>
                    <w:div w:id="548884717">
                      <w:marLeft w:val="0"/>
                      <w:marRight w:val="0"/>
                      <w:marTop w:val="0"/>
                      <w:marBottom w:val="0"/>
                      <w:divBdr>
                        <w:top w:val="none" w:sz="0" w:space="0" w:color="auto"/>
                        <w:left w:val="none" w:sz="0" w:space="0" w:color="auto"/>
                        <w:bottom w:val="none" w:sz="0" w:space="0" w:color="auto"/>
                        <w:right w:val="none" w:sz="0" w:space="0" w:color="auto"/>
                      </w:divBdr>
                      <w:divsChild>
                        <w:div w:id="548884718">
                          <w:marLeft w:val="0"/>
                          <w:marRight w:val="0"/>
                          <w:marTop w:val="0"/>
                          <w:marBottom w:val="0"/>
                          <w:divBdr>
                            <w:top w:val="none" w:sz="0" w:space="0" w:color="auto"/>
                            <w:left w:val="none" w:sz="0" w:space="0" w:color="auto"/>
                            <w:bottom w:val="none" w:sz="0" w:space="0" w:color="auto"/>
                            <w:right w:val="none" w:sz="0" w:space="0" w:color="auto"/>
                          </w:divBdr>
                          <w:divsChild>
                            <w:div w:id="54888472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8884727">
      <w:marLeft w:val="0"/>
      <w:marRight w:val="0"/>
      <w:marTop w:val="0"/>
      <w:marBottom w:val="0"/>
      <w:divBdr>
        <w:top w:val="none" w:sz="0" w:space="0" w:color="auto"/>
        <w:left w:val="none" w:sz="0" w:space="0" w:color="auto"/>
        <w:bottom w:val="none" w:sz="0" w:space="0" w:color="auto"/>
        <w:right w:val="none" w:sz="0" w:space="0" w:color="auto"/>
      </w:divBdr>
    </w:div>
    <w:div w:id="552741574">
      <w:bodyDiv w:val="1"/>
      <w:marLeft w:val="0"/>
      <w:marRight w:val="0"/>
      <w:marTop w:val="0"/>
      <w:marBottom w:val="0"/>
      <w:divBdr>
        <w:top w:val="none" w:sz="0" w:space="0" w:color="auto"/>
        <w:left w:val="none" w:sz="0" w:space="0" w:color="auto"/>
        <w:bottom w:val="none" w:sz="0" w:space="0" w:color="auto"/>
        <w:right w:val="none" w:sz="0" w:space="0" w:color="auto"/>
      </w:divBdr>
      <w:divsChild>
        <w:div w:id="1349284937">
          <w:marLeft w:val="0"/>
          <w:marRight w:val="0"/>
          <w:marTop w:val="0"/>
          <w:marBottom w:val="0"/>
          <w:divBdr>
            <w:top w:val="none" w:sz="0" w:space="0" w:color="auto"/>
            <w:left w:val="none" w:sz="0" w:space="0" w:color="auto"/>
            <w:bottom w:val="none" w:sz="0" w:space="0" w:color="auto"/>
            <w:right w:val="none" w:sz="0" w:space="0" w:color="auto"/>
          </w:divBdr>
          <w:divsChild>
            <w:div w:id="1148941549">
              <w:marLeft w:val="0"/>
              <w:marRight w:val="0"/>
              <w:marTop w:val="615"/>
              <w:marBottom w:val="0"/>
              <w:divBdr>
                <w:top w:val="none" w:sz="0" w:space="0" w:color="auto"/>
                <w:left w:val="none" w:sz="0" w:space="0" w:color="auto"/>
                <w:bottom w:val="none" w:sz="0" w:space="0" w:color="auto"/>
                <w:right w:val="none" w:sz="0" w:space="0" w:color="auto"/>
              </w:divBdr>
              <w:divsChild>
                <w:div w:id="1644771274">
                  <w:marLeft w:val="0"/>
                  <w:marRight w:val="0"/>
                  <w:marTop w:val="0"/>
                  <w:marBottom w:val="0"/>
                  <w:divBdr>
                    <w:top w:val="none" w:sz="0" w:space="0" w:color="auto"/>
                    <w:left w:val="none" w:sz="0" w:space="0" w:color="auto"/>
                    <w:bottom w:val="none" w:sz="0" w:space="0" w:color="auto"/>
                    <w:right w:val="none" w:sz="0" w:space="0" w:color="auto"/>
                  </w:divBdr>
                </w:div>
                <w:div w:id="1785464493">
                  <w:marLeft w:val="0"/>
                  <w:marRight w:val="0"/>
                  <w:marTop w:val="0"/>
                  <w:marBottom w:val="0"/>
                  <w:divBdr>
                    <w:top w:val="none" w:sz="0" w:space="0" w:color="auto"/>
                    <w:left w:val="none" w:sz="0" w:space="0" w:color="auto"/>
                    <w:bottom w:val="none" w:sz="0" w:space="0" w:color="auto"/>
                    <w:right w:val="none" w:sz="0" w:space="0" w:color="auto"/>
                  </w:divBdr>
                </w:div>
                <w:div w:id="722019218">
                  <w:marLeft w:val="0"/>
                  <w:marRight w:val="0"/>
                  <w:marTop w:val="0"/>
                  <w:marBottom w:val="0"/>
                  <w:divBdr>
                    <w:top w:val="none" w:sz="0" w:space="0" w:color="auto"/>
                    <w:left w:val="none" w:sz="0" w:space="0" w:color="auto"/>
                    <w:bottom w:val="none" w:sz="0" w:space="0" w:color="auto"/>
                    <w:right w:val="none" w:sz="0" w:space="0" w:color="auto"/>
                  </w:divBdr>
                </w:div>
                <w:div w:id="856964363">
                  <w:marLeft w:val="0"/>
                  <w:marRight w:val="0"/>
                  <w:marTop w:val="0"/>
                  <w:marBottom w:val="0"/>
                  <w:divBdr>
                    <w:top w:val="none" w:sz="0" w:space="0" w:color="auto"/>
                    <w:left w:val="none" w:sz="0" w:space="0" w:color="auto"/>
                    <w:bottom w:val="none" w:sz="0" w:space="0" w:color="auto"/>
                    <w:right w:val="none" w:sz="0" w:space="0" w:color="auto"/>
                  </w:divBdr>
                </w:div>
                <w:div w:id="2048336779">
                  <w:marLeft w:val="0"/>
                  <w:marRight w:val="0"/>
                  <w:marTop w:val="0"/>
                  <w:marBottom w:val="0"/>
                  <w:divBdr>
                    <w:top w:val="none" w:sz="0" w:space="0" w:color="auto"/>
                    <w:left w:val="none" w:sz="0" w:space="0" w:color="auto"/>
                    <w:bottom w:val="none" w:sz="0" w:space="0" w:color="auto"/>
                    <w:right w:val="none" w:sz="0" w:space="0" w:color="auto"/>
                  </w:divBdr>
                </w:div>
                <w:div w:id="331106348">
                  <w:marLeft w:val="0"/>
                  <w:marRight w:val="0"/>
                  <w:marTop w:val="0"/>
                  <w:marBottom w:val="0"/>
                  <w:divBdr>
                    <w:top w:val="none" w:sz="0" w:space="0" w:color="auto"/>
                    <w:left w:val="none" w:sz="0" w:space="0" w:color="auto"/>
                    <w:bottom w:val="none" w:sz="0" w:space="0" w:color="auto"/>
                    <w:right w:val="none" w:sz="0" w:space="0" w:color="auto"/>
                  </w:divBdr>
                </w:div>
                <w:div w:id="1588071326">
                  <w:marLeft w:val="0"/>
                  <w:marRight w:val="0"/>
                  <w:marTop w:val="0"/>
                  <w:marBottom w:val="0"/>
                  <w:divBdr>
                    <w:top w:val="none" w:sz="0" w:space="0" w:color="auto"/>
                    <w:left w:val="none" w:sz="0" w:space="0" w:color="auto"/>
                    <w:bottom w:val="none" w:sz="0" w:space="0" w:color="auto"/>
                    <w:right w:val="none" w:sz="0" w:space="0" w:color="auto"/>
                  </w:divBdr>
                </w:div>
                <w:div w:id="739450549">
                  <w:marLeft w:val="0"/>
                  <w:marRight w:val="0"/>
                  <w:marTop w:val="0"/>
                  <w:marBottom w:val="0"/>
                  <w:divBdr>
                    <w:top w:val="none" w:sz="0" w:space="0" w:color="auto"/>
                    <w:left w:val="none" w:sz="0" w:space="0" w:color="auto"/>
                    <w:bottom w:val="none" w:sz="0" w:space="0" w:color="auto"/>
                    <w:right w:val="none" w:sz="0" w:space="0" w:color="auto"/>
                  </w:divBdr>
                </w:div>
                <w:div w:id="572619225">
                  <w:marLeft w:val="0"/>
                  <w:marRight w:val="0"/>
                  <w:marTop w:val="0"/>
                  <w:marBottom w:val="0"/>
                  <w:divBdr>
                    <w:top w:val="none" w:sz="0" w:space="0" w:color="auto"/>
                    <w:left w:val="none" w:sz="0" w:space="0" w:color="auto"/>
                    <w:bottom w:val="none" w:sz="0" w:space="0" w:color="auto"/>
                    <w:right w:val="none" w:sz="0" w:space="0" w:color="auto"/>
                  </w:divBdr>
                </w:div>
                <w:div w:id="449592835">
                  <w:marLeft w:val="0"/>
                  <w:marRight w:val="0"/>
                  <w:marTop w:val="0"/>
                  <w:marBottom w:val="0"/>
                  <w:divBdr>
                    <w:top w:val="none" w:sz="0" w:space="0" w:color="auto"/>
                    <w:left w:val="none" w:sz="0" w:space="0" w:color="auto"/>
                    <w:bottom w:val="none" w:sz="0" w:space="0" w:color="auto"/>
                    <w:right w:val="none" w:sz="0" w:space="0" w:color="auto"/>
                  </w:divBdr>
                </w:div>
                <w:div w:id="5426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5597">
          <w:marLeft w:val="0"/>
          <w:marRight w:val="0"/>
          <w:marTop w:val="0"/>
          <w:marBottom w:val="0"/>
          <w:divBdr>
            <w:top w:val="none" w:sz="0" w:space="0" w:color="auto"/>
            <w:left w:val="none" w:sz="0" w:space="0" w:color="auto"/>
            <w:bottom w:val="none" w:sz="0" w:space="0" w:color="auto"/>
            <w:right w:val="none" w:sz="0" w:space="0" w:color="auto"/>
          </w:divBdr>
          <w:divsChild>
            <w:div w:id="494762776">
              <w:marLeft w:val="0"/>
              <w:marRight w:val="0"/>
              <w:marTop w:val="0"/>
              <w:marBottom w:val="120"/>
              <w:divBdr>
                <w:top w:val="none" w:sz="0" w:space="0" w:color="auto"/>
                <w:left w:val="none" w:sz="0" w:space="0" w:color="auto"/>
                <w:bottom w:val="none" w:sz="0" w:space="0" w:color="auto"/>
                <w:right w:val="none" w:sz="0" w:space="0" w:color="auto"/>
              </w:divBdr>
              <w:divsChild>
                <w:div w:id="104648694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49958505">
          <w:marLeft w:val="0"/>
          <w:marRight w:val="0"/>
          <w:marTop w:val="0"/>
          <w:marBottom w:val="0"/>
          <w:divBdr>
            <w:top w:val="none" w:sz="0" w:space="0" w:color="auto"/>
            <w:left w:val="none" w:sz="0" w:space="0" w:color="auto"/>
            <w:bottom w:val="none" w:sz="0" w:space="0" w:color="auto"/>
            <w:right w:val="none" w:sz="0" w:space="0" w:color="auto"/>
          </w:divBdr>
          <w:divsChild>
            <w:div w:id="1893805624">
              <w:marLeft w:val="0"/>
              <w:marRight w:val="0"/>
              <w:marTop w:val="0"/>
              <w:marBottom w:val="0"/>
              <w:divBdr>
                <w:top w:val="none" w:sz="0" w:space="0" w:color="auto"/>
                <w:left w:val="none" w:sz="0" w:space="0" w:color="auto"/>
                <w:bottom w:val="none" w:sz="0" w:space="0" w:color="auto"/>
                <w:right w:val="none" w:sz="0" w:space="0" w:color="auto"/>
              </w:divBdr>
            </w:div>
            <w:div w:id="123818347">
              <w:marLeft w:val="0"/>
              <w:marRight w:val="0"/>
              <w:marTop w:val="0"/>
              <w:marBottom w:val="0"/>
              <w:divBdr>
                <w:top w:val="none" w:sz="0" w:space="0" w:color="auto"/>
                <w:left w:val="none" w:sz="0" w:space="0" w:color="auto"/>
                <w:bottom w:val="none" w:sz="0" w:space="0" w:color="auto"/>
                <w:right w:val="none" w:sz="0" w:space="0" w:color="auto"/>
              </w:divBdr>
            </w:div>
            <w:div w:id="363094779">
              <w:marLeft w:val="0"/>
              <w:marRight w:val="0"/>
              <w:marTop w:val="0"/>
              <w:marBottom w:val="0"/>
              <w:divBdr>
                <w:top w:val="none" w:sz="0" w:space="0" w:color="auto"/>
                <w:left w:val="none" w:sz="0" w:space="0" w:color="auto"/>
                <w:bottom w:val="none" w:sz="0" w:space="0" w:color="auto"/>
                <w:right w:val="none" w:sz="0" w:space="0" w:color="auto"/>
              </w:divBdr>
            </w:div>
            <w:div w:id="1182620878">
              <w:marLeft w:val="0"/>
              <w:marRight w:val="0"/>
              <w:marTop w:val="0"/>
              <w:marBottom w:val="0"/>
              <w:divBdr>
                <w:top w:val="none" w:sz="0" w:space="0" w:color="auto"/>
                <w:left w:val="none" w:sz="0" w:space="0" w:color="auto"/>
                <w:bottom w:val="none" w:sz="0" w:space="0" w:color="auto"/>
                <w:right w:val="none" w:sz="0" w:space="0" w:color="auto"/>
              </w:divBdr>
            </w:div>
            <w:div w:id="2135446199">
              <w:marLeft w:val="0"/>
              <w:marRight w:val="0"/>
              <w:marTop w:val="0"/>
              <w:marBottom w:val="0"/>
              <w:divBdr>
                <w:top w:val="none" w:sz="0" w:space="0" w:color="auto"/>
                <w:left w:val="none" w:sz="0" w:space="0" w:color="auto"/>
                <w:bottom w:val="none" w:sz="0" w:space="0" w:color="auto"/>
                <w:right w:val="none" w:sz="0" w:space="0" w:color="auto"/>
              </w:divBdr>
            </w:div>
            <w:div w:id="1731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65113">
      <w:bodyDiv w:val="1"/>
      <w:marLeft w:val="0"/>
      <w:marRight w:val="0"/>
      <w:marTop w:val="0"/>
      <w:marBottom w:val="0"/>
      <w:divBdr>
        <w:top w:val="none" w:sz="0" w:space="0" w:color="auto"/>
        <w:left w:val="none" w:sz="0" w:space="0" w:color="auto"/>
        <w:bottom w:val="none" w:sz="0" w:space="0" w:color="auto"/>
        <w:right w:val="none" w:sz="0" w:space="0" w:color="auto"/>
      </w:divBdr>
    </w:div>
    <w:div w:id="772821995">
      <w:bodyDiv w:val="1"/>
      <w:marLeft w:val="0"/>
      <w:marRight w:val="0"/>
      <w:marTop w:val="0"/>
      <w:marBottom w:val="0"/>
      <w:divBdr>
        <w:top w:val="none" w:sz="0" w:space="0" w:color="auto"/>
        <w:left w:val="none" w:sz="0" w:space="0" w:color="auto"/>
        <w:bottom w:val="none" w:sz="0" w:space="0" w:color="auto"/>
        <w:right w:val="none" w:sz="0" w:space="0" w:color="auto"/>
      </w:divBdr>
    </w:div>
    <w:div w:id="804155725">
      <w:bodyDiv w:val="1"/>
      <w:marLeft w:val="0"/>
      <w:marRight w:val="0"/>
      <w:marTop w:val="0"/>
      <w:marBottom w:val="0"/>
      <w:divBdr>
        <w:top w:val="none" w:sz="0" w:space="0" w:color="auto"/>
        <w:left w:val="none" w:sz="0" w:space="0" w:color="auto"/>
        <w:bottom w:val="none" w:sz="0" w:space="0" w:color="auto"/>
        <w:right w:val="none" w:sz="0" w:space="0" w:color="auto"/>
      </w:divBdr>
    </w:div>
    <w:div w:id="820466289">
      <w:bodyDiv w:val="1"/>
      <w:marLeft w:val="0"/>
      <w:marRight w:val="0"/>
      <w:marTop w:val="0"/>
      <w:marBottom w:val="0"/>
      <w:divBdr>
        <w:top w:val="none" w:sz="0" w:space="0" w:color="auto"/>
        <w:left w:val="none" w:sz="0" w:space="0" w:color="auto"/>
        <w:bottom w:val="none" w:sz="0" w:space="0" w:color="auto"/>
        <w:right w:val="none" w:sz="0" w:space="0" w:color="auto"/>
      </w:divBdr>
    </w:div>
    <w:div w:id="847595348">
      <w:bodyDiv w:val="1"/>
      <w:marLeft w:val="0"/>
      <w:marRight w:val="0"/>
      <w:marTop w:val="0"/>
      <w:marBottom w:val="0"/>
      <w:divBdr>
        <w:top w:val="none" w:sz="0" w:space="0" w:color="auto"/>
        <w:left w:val="none" w:sz="0" w:space="0" w:color="auto"/>
        <w:bottom w:val="none" w:sz="0" w:space="0" w:color="auto"/>
        <w:right w:val="none" w:sz="0" w:space="0" w:color="auto"/>
      </w:divBdr>
    </w:div>
    <w:div w:id="864367556">
      <w:bodyDiv w:val="1"/>
      <w:marLeft w:val="0"/>
      <w:marRight w:val="0"/>
      <w:marTop w:val="0"/>
      <w:marBottom w:val="0"/>
      <w:divBdr>
        <w:top w:val="none" w:sz="0" w:space="0" w:color="auto"/>
        <w:left w:val="none" w:sz="0" w:space="0" w:color="auto"/>
        <w:bottom w:val="none" w:sz="0" w:space="0" w:color="auto"/>
        <w:right w:val="none" w:sz="0" w:space="0" w:color="auto"/>
      </w:divBdr>
    </w:div>
    <w:div w:id="868491807">
      <w:bodyDiv w:val="1"/>
      <w:marLeft w:val="0"/>
      <w:marRight w:val="0"/>
      <w:marTop w:val="0"/>
      <w:marBottom w:val="0"/>
      <w:divBdr>
        <w:top w:val="none" w:sz="0" w:space="0" w:color="auto"/>
        <w:left w:val="none" w:sz="0" w:space="0" w:color="auto"/>
        <w:bottom w:val="none" w:sz="0" w:space="0" w:color="auto"/>
        <w:right w:val="none" w:sz="0" w:space="0" w:color="auto"/>
      </w:divBdr>
    </w:div>
    <w:div w:id="870918571">
      <w:bodyDiv w:val="1"/>
      <w:marLeft w:val="0"/>
      <w:marRight w:val="0"/>
      <w:marTop w:val="0"/>
      <w:marBottom w:val="0"/>
      <w:divBdr>
        <w:top w:val="none" w:sz="0" w:space="0" w:color="auto"/>
        <w:left w:val="none" w:sz="0" w:space="0" w:color="auto"/>
        <w:bottom w:val="none" w:sz="0" w:space="0" w:color="auto"/>
        <w:right w:val="none" w:sz="0" w:space="0" w:color="auto"/>
      </w:divBdr>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983969439">
      <w:bodyDiv w:val="1"/>
      <w:marLeft w:val="0"/>
      <w:marRight w:val="0"/>
      <w:marTop w:val="0"/>
      <w:marBottom w:val="0"/>
      <w:divBdr>
        <w:top w:val="none" w:sz="0" w:space="0" w:color="auto"/>
        <w:left w:val="none" w:sz="0" w:space="0" w:color="auto"/>
        <w:bottom w:val="none" w:sz="0" w:space="0" w:color="auto"/>
        <w:right w:val="none" w:sz="0" w:space="0" w:color="auto"/>
      </w:divBdr>
    </w:div>
    <w:div w:id="1044863216">
      <w:bodyDiv w:val="1"/>
      <w:marLeft w:val="0"/>
      <w:marRight w:val="0"/>
      <w:marTop w:val="0"/>
      <w:marBottom w:val="0"/>
      <w:divBdr>
        <w:top w:val="none" w:sz="0" w:space="0" w:color="auto"/>
        <w:left w:val="none" w:sz="0" w:space="0" w:color="auto"/>
        <w:bottom w:val="none" w:sz="0" w:space="0" w:color="auto"/>
        <w:right w:val="none" w:sz="0" w:space="0" w:color="auto"/>
      </w:divBdr>
    </w:div>
    <w:div w:id="1048728574">
      <w:bodyDiv w:val="1"/>
      <w:marLeft w:val="0"/>
      <w:marRight w:val="0"/>
      <w:marTop w:val="0"/>
      <w:marBottom w:val="0"/>
      <w:divBdr>
        <w:top w:val="none" w:sz="0" w:space="0" w:color="auto"/>
        <w:left w:val="none" w:sz="0" w:space="0" w:color="auto"/>
        <w:bottom w:val="none" w:sz="0" w:space="0" w:color="auto"/>
        <w:right w:val="none" w:sz="0" w:space="0" w:color="auto"/>
      </w:divBdr>
    </w:div>
    <w:div w:id="1073627280">
      <w:bodyDiv w:val="1"/>
      <w:marLeft w:val="0"/>
      <w:marRight w:val="0"/>
      <w:marTop w:val="0"/>
      <w:marBottom w:val="0"/>
      <w:divBdr>
        <w:top w:val="none" w:sz="0" w:space="0" w:color="auto"/>
        <w:left w:val="none" w:sz="0" w:space="0" w:color="auto"/>
        <w:bottom w:val="none" w:sz="0" w:space="0" w:color="auto"/>
        <w:right w:val="none" w:sz="0" w:space="0" w:color="auto"/>
      </w:divBdr>
    </w:div>
    <w:div w:id="1090733348">
      <w:bodyDiv w:val="1"/>
      <w:marLeft w:val="0"/>
      <w:marRight w:val="0"/>
      <w:marTop w:val="0"/>
      <w:marBottom w:val="0"/>
      <w:divBdr>
        <w:top w:val="none" w:sz="0" w:space="0" w:color="auto"/>
        <w:left w:val="none" w:sz="0" w:space="0" w:color="auto"/>
        <w:bottom w:val="none" w:sz="0" w:space="0" w:color="auto"/>
        <w:right w:val="none" w:sz="0" w:space="0" w:color="auto"/>
      </w:divBdr>
    </w:div>
    <w:div w:id="1215508946">
      <w:bodyDiv w:val="1"/>
      <w:marLeft w:val="0"/>
      <w:marRight w:val="0"/>
      <w:marTop w:val="0"/>
      <w:marBottom w:val="0"/>
      <w:divBdr>
        <w:top w:val="none" w:sz="0" w:space="0" w:color="auto"/>
        <w:left w:val="none" w:sz="0" w:space="0" w:color="auto"/>
        <w:bottom w:val="none" w:sz="0" w:space="0" w:color="auto"/>
        <w:right w:val="none" w:sz="0" w:space="0" w:color="auto"/>
      </w:divBdr>
    </w:div>
    <w:div w:id="1249997535">
      <w:bodyDiv w:val="1"/>
      <w:marLeft w:val="0"/>
      <w:marRight w:val="0"/>
      <w:marTop w:val="0"/>
      <w:marBottom w:val="0"/>
      <w:divBdr>
        <w:top w:val="none" w:sz="0" w:space="0" w:color="auto"/>
        <w:left w:val="none" w:sz="0" w:space="0" w:color="auto"/>
        <w:bottom w:val="none" w:sz="0" w:space="0" w:color="auto"/>
        <w:right w:val="none" w:sz="0" w:space="0" w:color="auto"/>
      </w:divBdr>
    </w:div>
    <w:div w:id="1350913767">
      <w:bodyDiv w:val="1"/>
      <w:marLeft w:val="0"/>
      <w:marRight w:val="0"/>
      <w:marTop w:val="0"/>
      <w:marBottom w:val="0"/>
      <w:divBdr>
        <w:top w:val="none" w:sz="0" w:space="0" w:color="auto"/>
        <w:left w:val="none" w:sz="0" w:space="0" w:color="auto"/>
        <w:bottom w:val="none" w:sz="0" w:space="0" w:color="auto"/>
        <w:right w:val="none" w:sz="0" w:space="0" w:color="auto"/>
      </w:divBdr>
    </w:div>
    <w:div w:id="1353461321">
      <w:bodyDiv w:val="1"/>
      <w:marLeft w:val="0"/>
      <w:marRight w:val="0"/>
      <w:marTop w:val="0"/>
      <w:marBottom w:val="0"/>
      <w:divBdr>
        <w:top w:val="none" w:sz="0" w:space="0" w:color="auto"/>
        <w:left w:val="none" w:sz="0" w:space="0" w:color="auto"/>
        <w:bottom w:val="none" w:sz="0" w:space="0" w:color="auto"/>
        <w:right w:val="none" w:sz="0" w:space="0" w:color="auto"/>
      </w:divBdr>
    </w:div>
    <w:div w:id="1361280143">
      <w:bodyDiv w:val="1"/>
      <w:marLeft w:val="0"/>
      <w:marRight w:val="0"/>
      <w:marTop w:val="0"/>
      <w:marBottom w:val="0"/>
      <w:divBdr>
        <w:top w:val="none" w:sz="0" w:space="0" w:color="auto"/>
        <w:left w:val="none" w:sz="0" w:space="0" w:color="auto"/>
        <w:bottom w:val="none" w:sz="0" w:space="0" w:color="auto"/>
        <w:right w:val="none" w:sz="0" w:space="0" w:color="auto"/>
      </w:divBdr>
    </w:div>
    <w:div w:id="1384406011">
      <w:bodyDiv w:val="1"/>
      <w:marLeft w:val="0"/>
      <w:marRight w:val="0"/>
      <w:marTop w:val="0"/>
      <w:marBottom w:val="0"/>
      <w:divBdr>
        <w:top w:val="none" w:sz="0" w:space="0" w:color="auto"/>
        <w:left w:val="none" w:sz="0" w:space="0" w:color="auto"/>
        <w:bottom w:val="none" w:sz="0" w:space="0" w:color="auto"/>
        <w:right w:val="none" w:sz="0" w:space="0" w:color="auto"/>
      </w:divBdr>
    </w:div>
    <w:div w:id="1422603669">
      <w:bodyDiv w:val="1"/>
      <w:marLeft w:val="0"/>
      <w:marRight w:val="0"/>
      <w:marTop w:val="0"/>
      <w:marBottom w:val="0"/>
      <w:divBdr>
        <w:top w:val="none" w:sz="0" w:space="0" w:color="auto"/>
        <w:left w:val="none" w:sz="0" w:space="0" w:color="auto"/>
        <w:bottom w:val="none" w:sz="0" w:space="0" w:color="auto"/>
        <w:right w:val="none" w:sz="0" w:space="0" w:color="auto"/>
      </w:divBdr>
    </w:div>
    <w:div w:id="1539053042">
      <w:bodyDiv w:val="1"/>
      <w:marLeft w:val="0"/>
      <w:marRight w:val="0"/>
      <w:marTop w:val="0"/>
      <w:marBottom w:val="0"/>
      <w:divBdr>
        <w:top w:val="none" w:sz="0" w:space="0" w:color="auto"/>
        <w:left w:val="none" w:sz="0" w:space="0" w:color="auto"/>
        <w:bottom w:val="none" w:sz="0" w:space="0" w:color="auto"/>
        <w:right w:val="none" w:sz="0" w:space="0" w:color="auto"/>
      </w:divBdr>
    </w:div>
    <w:div w:id="1547185421">
      <w:bodyDiv w:val="1"/>
      <w:marLeft w:val="0"/>
      <w:marRight w:val="0"/>
      <w:marTop w:val="0"/>
      <w:marBottom w:val="0"/>
      <w:divBdr>
        <w:top w:val="none" w:sz="0" w:space="0" w:color="auto"/>
        <w:left w:val="none" w:sz="0" w:space="0" w:color="auto"/>
        <w:bottom w:val="none" w:sz="0" w:space="0" w:color="auto"/>
        <w:right w:val="none" w:sz="0" w:space="0" w:color="auto"/>
      </w:divBdr>
    </w:div>
    <w:div w:id="1579248937">
      <w:bodyDiv w:val="1"/>
      <w:marLeft w:val="0"/>
      <w:marRight w:val="0"/>
      <w:marTop w:val="0"/>
      <w:marBottom w:val="0"/>
      <w:divBdr>
        <w:top w:val="none" w:sz="0" w:space="0" w:color="auto"/>
        <w:left w:val="none" w:sz="0" w:space="0" w:color="auto"/>
        <w:bottom w:val="none" w:sz="0" w:space="0" w:color="auto"/>
        <w:right w:val="none" w:sz="0" w:space="0" w:color="auto"/>
      </w:divBdr>
    </w:div>
    <w:div w:id="1643580251">
      <w:bodyDiv w:val="1"/>
      <w:marLeft w:val="0"/>
      <w:marRight w:val="0"/>
      <w:marTop w:val="0"/>
      <w:marBottom w:val="0"/>
      <w:divBdr>
        <w:top w:val="none" w:sz="0" w:space="0" w:color="auto"/>
        <w:left w:val="none" w:sz="0" w:space="0" w:color="auto"/>
        <w:bottom w:val="none" w:sz="0" w:space="0" w:color="auto"/>
        <w:right w:val="none" w:sz="0" w:space="0" w:color="auto"/>
      </w:divBdr>
    </w:div>
    <w:div w:id="1667905057">
      <w:bodyDiv w:val="1"/>
      <w:marLeft w:val="0"/>
      <w:marRight w:val="0"/>
      <w:marTop w:val="0"/>
      <w:marBottom w:val="0"/>
      <w:divBdr>
        <w:top w:val="none" w:sz="0" w:space="0" w:color="auto"/>
        <w:left w:val="none" w:sz="0" w:space="0" w:color="auto"/>
        <w:bottom w:val="none" w:sz="0" w:space="0" w:color="auto"/>
        <w:right w:val="none" w:sz="0" w:space="0" w:color="auto"/>
      </w:divBdr>
    </w:div>
    <w:div w:id="1676568715">
      <w:bodyDiv w:val="1"/>
      <w:marLeft w:val="0"/>
      <w:marRight w:val="0"/>
      <w:marTop w:val="0"/>
      <w:marBottom w:val="0"/>
      <w:divBdr>
        <w:top w:val="none" w:sz="0" w:space="0" w:color="auto"/>
        <w:left w:val="none" w:sz="0" w:space="0" w:color="auto"/>
        <w:bottom w:val="none" w:sz="0" w:space="0" w:color="auto"/>
        <w:right w:val="none" w:sz="0" w:space="0" w:color="auto"/>
      </w:divBdr>
    </w:div>
    <w:div w:id="1717272331">
      <w:bodyDiv w:val="1"/>
      <w:marLeft w:val="0"/>
      <w:marRight w:val="0"/>
      <w:marTop w:val="0"/>
      <w:marBottom w:val="0"/>
      <w:divBdr>
        <w:top w:val="none" w:sz="0" w:space="0" w:color="auto"/>
        <w:left w:val="none" w:sz="0" w:space="0" w:color="auto"/>
        <w:bottom w:val="none" w:sz="0" w:space="0" w:color="auto"/>
        <w:right w:val="none" w:sz="0" w:space="0" w:color="auto"/>
      </w:divBdr>
    </w:div>
    <w:div w:id="1794900619">
      <w:bodyDiv w:val="1"/>
      <w:marLeft w:val="0"/>
      <w:marRight w:val="0"/>
      <w:marTop w:val="0"/>
      <w:marBottom w:val="0"/>
      <w:divBdr>
        <w:top w:val="none" w:sz="0" w:space="0" w:color="auto"/>
        <w:left w:val="none" w:sz="0" w:space="0" w:color="auto"/>
        <w:bottom w:val="none" w:sz="0" w:space="0" w:color="auto"/>
        <w:right w:val="none" w:sz="0" w:space="0" w:color="auto"/>
      </w:divBdr>
    </w:div>
    <w:div w:id="1868062556">
      <w:bodyDiv w:val="1"/>
      <w:marLeft w:val="0"/>
      <w:marRight w:val="0"/>
      <w:marTop w:val="0"/>
      <w:marBottom w:val="0"/>
      <w:divBdr>
        <w:top w:val="none" w:sz="0" w:space="0" w:color="auto"/>
        <w:left w:val="none" w:sz="0" w:space="0" w:color="auto"/>
        <w:bottom w:val="none" w:sz="0" w:space="0" w:color="auto"/>
        <w:right w:val="none" w:sz="0" w:space="0" w:color="auto"/>
      </w:divBdr>
    </w:div>
    <w:div w:id="1890412199">
      <w:bodyDiv w:val="1"/>
      <w:marLeft w:val="0"/>
      <w:marRight w:val="0"/>
      <w:marTop w:val="0"/>
      <w:marBottom w:val="0"/>
      <w:divBdr>
        <w:top w:val="none" w:sz="0" w:space="0" w:color="auto"/>
        <w:left w:val="none" w:sz="0" w:space="0" w:color="auto"/>
        <w:bottom w:val="none" w:sz="0" w:space="0" w:color="auto"/>
        <w:right w:val="none" w:sz="0" w:space="0" w:color="auto"/>
      </w:divBdr>
    </w:div>
    <w:div w:id="1982801929">
      <w:bodyDiv w:val="1"/>
      <w:marLeft w:val="0"/>
      <w:marRight w:val="0"/>
      <w:marTop w:val="0"/>
      <w:marBottom w:val="0"/>
      <w:divBdr>
        <w:top w:val="none" w:sz="0" w:space="0" w:color="auto"/>
        <w:left w:val="none" w:sz="0" w:space="0" w:color="auto"/>
        <w:bottom w:val="none" w:sz="0" w:space="0" w:color="auto"/>
        <w:right w:val="none" w:sz="0" w:space="0" w:color="auto"/>
      </w:divBdr>
    </w:div>
    <w:div w:id="2097356513">
      <w:bodyDiv w:val="1"/>
      <w:marLeft w:val="0"/>
      <w:marRight w:val="0"/>
      <w:marTop w:val="0"/>
      <w:marBottom w:val="0"/>
      <w:divBdr>
        <w:top w:val="none" w:sz="0" w:space="0" w:color="auto"/>
        <w:left w:val="none" w:sz="0" w:space="0" w:color="auto"/>
        <w:bottom w:val="none" w:sz="0" w:space="0" w:color="auto"/>
        <w:right w:val="none" w:sz="0" w:space="0" w:color="auto"/>
      </w:divBdr>
    </w:div>
    <w:div w:id="2114472724">
      <w:bodyDiv w:val="1"/>
      <w:marLeft w:val="0"/>
      <w:marRight w:val="0"/>
      <w:marTop w:val="0"/>
      <w:marBottom w:val="0"/>
      <w:divBdr>
        <w:top w:val="none" w:sz="0" w:space="0" w:color="auto"/>
        <w:left w:val="none" w:sz="0" w:space="0" w:color="auto"/>
        <w:bottom w:val="none" w:sz="0" w:space="0" w:color="auto"/>
        <w:right w:val="none" w:sz="0" w:space="0" w:color="auto"/>
      </w:divBdr>
      <w:divsChild>
        <w:div w:id="323708626">
          <w:marLeft w:val="0"/>
          <w:marRight w:val="0"/>
          <w:marTop w:val="0"/>
          <w:marBottom w:val="240"/>
          <w:divBdr>
            <w:top w:val="none" w:sz="0" w:space="0" w:color="auto"/>
            <w:left w:val="none" w:sz="0" w:space="0" w:color="auto"/>
            <w:bottom w:val="single" w:sz="2" w:space="12" w:color="DFE8F0"/>
            <w:right w:val="none" w:sz="0" w:space="0" w:color="auto"/>
          </w:divBdr>
        </w:div>
        <w:div w:id="1210611226">
          <w:marLeft w:val="480"/>
          <w:marRight w:val="48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53D1-E441-4B3A-9DB3-46DDEA3F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7902</Words>
  <Characters>45518</Characters>
  <Application>Microsoft Office Word</Application>
  <DocSecurity>0</DocSecurity>
  <Lines>1034</Lines>
  <Paragraphs>414</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Diplover S.L.</Company>
  <LinksUpToDate>false</LinksUpToDate>
  <CharactersWithSpaces>53006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Juan Lorente</dc:creator>
  <cp:lastModifiedBy>Jose Luis Chico Bersabe</cp:lastModifiedBy>
  <cp:revision>4</cp:revision>
  <cp:lastPrinted>2013-07-08T11:35:00Z</cp:lastPrinted>
  <dcterms:created xsi:type="dcterms:W3CDTF">2026-06-29T08:54:00Z</dcterms:created>
  <dcterms:modified xsi:type="dcterms:W3CDTF">2026-06-30T12:11:00Z</dcterms:modified>
</cp:coreProperties>
</file>