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505" w:type="dxa"/>
        <w:tblLayout w:type="fixed"/>
        <w:tblCellMar>
          <w:left w:w="70" w:type="dxa"/>
          <w:right w:w="70" w:type="dxa"/>
        </w:tblCellMar>
        <w:tblLook w:val="0000" w:firstRow="0" w:lastRow="0" w:firstColumn="0" w:lastColumn="0" w:noHBand="0" w:noVBand="0"/>
      </w:tblPr>
      <w:tblGrid>
        <w:gridCol w:w="2410"/>
        <w:gridCol w:w="6095"/>
      </w:tblGrid>
      <w:tr w:rsidR="00382E0C" w14:paraId="7F3AFBC3" w14:textId="77777777" w:rsidTr="0058158C">
        <w:trPr>
          <w:trHeight w:val="889"/>
        </w:trPr>
        <w:tc>
          <w:tcPr>
            <w:tcW w:w="2410" w:type="dxa"/>
            <w:shd w:val="clear" w:color="auto" w:fill="000000"/>
            <w:vAlign w:val="center"/>
          </w:tcPr>
          <w:p w14:paraId="61053A68" w14:textId="6B3B7449" w:rsidR="00382E0C" w:rsidRDefault="00382E0C" w:rsidP="0058158C">
            <w:pPr>
              <w:jc w:val="center"/>
              <w:rPr>
                <w:rFonts w:ascii="Verdana" w:hAnsi="Verdana"/>
                <w:b/>
                <w:bCs/>
                <w:szCs w:val="32"/>
              </w:rPr>
            </w:pPr>
            <w:r>
              <w:rPr>
                <w:rFonts w:ascii="Verdana" w:hAnsi="Verdana"/>
                <w:b/>
                <w:bCs/>
                <w:sz w:val="22"/>
                <w:szCs w:val="22"/>
              </w:rPr>
              <w:t>JULIO</w:t>
            </w:r>
            <w:r w:rsidR="0058158C">
              <w:rPr>
                <w:rFonts w:ascii="Verdana" w:hAnsi="Verdana"/>
                <w:b/>
                <w:bCs/>
                <w:sz w:val="22"/>
                <w:szCs w:val="22"/>
              </w:rPr>
              <w:t xml:space="preserve"> - </w:t>
            </w:r>
            <w:r>
              <w:rPr>
                <w:rFonts w:ascii="Verdana" w:hAnsi="Verdana"/>
                <w:b/>
                <w:bCs/>
                <w:sz w:val="22"/>
                <w:szCs w:val="22"/>
              </w:rPr>
              <w:t>AGOSTO 20</w:t>
            </w:r>
            <w:r w:rsidR="004C2F6B">
              <w:rPr>
                <w:rFonts w:ascii="Verdana" w:hAnsi="Verdana"/>
                <w:b/>
                <w:bCs/>
                <w:sz w:val="22"/>
                <w:szCs w:val="22"/>
              </w:rPr>
              <w:t>2</w:t>
            </w:r>
            <w:r w:rsidR="00A602F3">
              <w:rPr>
                <w:rFonts w:ascii="Verdana" w:hAnsi="Verdana"/>
                <w:b/>
                <w:bCs/>
                <w:sz w:val="22"/>
                <w:szCs w:val="22"/>
              </w:rPr>
              <w:t>5</w:t>
            </w:r>
          </w:p>
        </w:tc>
        <w:tc>
          <w:tcPr>
            <w:tcW w:w="6095" w:type="dxa"/>
            <w:shd w:val="clear" w:color="auto" w:fill="993300"/>
            <w:vAlign w:val="center"/>
          </w:tcPr>
          <w:p w14:paraId="209E9807" w14:textId="77777777" w:rsidR="00382E0C" w:rsidRPr="00C16FC4" w:rsidRDefault="00382E0C">
            <w:pPr>
              <w:jc w:val="center"/>
              <w:rPr>
                <w:rFonts w:ascii="Verdana" w:hAnsi="Verdana"/>
                <w:b/>
                <w:bCs/>
                <w:color w:val="FFFFFF"/>
              </w:rPr>
            </w:pPr>
            <w:r w:rsidRPr="00C16FC4">
              <w:rPr>
                <w:rFonts w:ascii="Verdana" w:hAnsi="Verdana"/>
                <w:b/>
                <w:bCs/>
                <w:color w:val="FFFFFF"/>
              </w:rPr>
              <w:t>APUNTES SOBRE LA ACTUALIDAD FISCAL</w:t>
            </w:r>
          </w:p>
        </w:tc>
      </w:tr>
    </w:tbl>
    <w:p w14:paraId="72B8A854" w14:textId="47B803B7" w:rsidR="00C42E41" w:rsidRDefault="009871BB">
      <w:pPr>
        <w:pStyle w:val="Ttulo3"/>
        <w:jc w:val="center"/>
        <w:rPr>
          <w:rFonts w:ascii="Verdana" w:hAnsi="Verdana"/>
          <w:i/>
          <w:color w:val="800000"/>
          <w:sz w:val="18"/>
          <w:szCs w:val="18"/>
          <w:u w:val="single"/>
        </w:rPr>
      </w:pPr>
      <w:r>
        <w:rPr>
          <w:rFonts w:ascii="Verdana" w:hAnsi="Verdana"/>
          <w:i/>
          <w:color w:val="800000"/>
          <w:sz w:val="18"/>
          <w:szCs w:val="18"/>
          <w:u w:val="single"/>
        </w:rPr>
        <w:t xml:space="preserve">  </w:t>
      </w:r>
    </w:p>
    <w:p w14:paraId="79735406" w14:textId="77777777" w:rsidR="00F5615F" w:rsidRPr="00F5615F" w:rsidRDefault="00F5615F" w:rsidP="00F5615F"/>
    <w:p w14:paraId="311EA5D6" w14:textId="77777777" w:rsidR="00382E0C" w:rsidRPr="00C16FC4" w:rsidRDefault="00382E0C">
      <w:pPr>
        <w:pStyle w:val="Ttulo3"/>
        <w:jc w:val="center"/>
        <w:rPr>
          <w:rFonts w:ascii="Verdana" w:hAnsi="Verdana"/>
          <w:i/>
          <w:color w:val="800000"/>
          <w:sz w:val="18"/>
          <w:szCs w:val="18"/>
          <w:u w:val="single"/>
        </w:rPr>
      </w:pPr>
      <w:r w:rsidRPr="00C16FC4">
        <w:rPr>
          <w:rFonts w:ascii="Verdana" w:hAnsi="Verdana"/>
          <w:i/>
          <w:color w:val="800000"/>
          <w:sz w:val="18"/>
          <w:szCs w:val="18"/>
          <w:u w:val="single"/>
        </w:rPr>
        <w:t>SUMARIO</w:t>
      </w:r>
    </w:p>
    <w:p w14:paraId="7FCCDE60" w14:textId="77777777" w:rsidR="00382E0C" w:rsidRPr="00C16FC4" w:rsidRDefault="00382E0C" w:rsidP="00334CEE">
      <w:pPr>
        <w:tabs>
          <w:tab w:val="num" w:pos="426"/>
        </w:tabs>
        <w:ind w:left="426"/>
        <w:jc w:val="both"/>
        <w:rPr>
          <w:rFonts w:ascii="Verdana" w:hAnsi="Verdana"/>
          <w:b/>
          <w:bCs/>
          <w:i/>
          <w:color w:val="800000"/>
          <w:sz w:val="18"/>
          <w:szCs w:val="18"/>
        </w:rPr>
      </w:pPr>
    </w:p>
    <w:p w14:paraId="70D85A03" w14:textId="39C84A3E" w:rsidR="003F1BD0" w:rsidRPr="003F1BD0" w:rsidRDefault="003F1BD0">
      <w:pPr>
        <w:pStyle w:val="Prrafodelista"/>
        <w:numPr>
          <w:ilvl w:val="0"/>
          <w:numId w:val="1"/>
        </w:numPr>
        <w:tabs>
          <w:tab w:val="num" w:pos="284"/>
        </w:tabs>
        <w:ind w:left="284" w:hanging="284"/>
        <w:jc w:val="both"/>
        <w:rPr>
          <w:rFonts w:ascii="Verdana" w:hAnsi="Verdana"/>
          <w:b/>
          <w:bCs/>
          <w:i/>
          <w:iCs/>
          <w:color w:val="800000"/>
          <w:sz w:val="18"/>
          <w:szCs w:val="18"/>
        </w:rPr>
      </w:pPr>
      <w:r w:rsidRPr="003F1BD0">
        <w:rPr>
          <w:rFonts w:ascii="Verdana" w:hAnsi="Verdana"/>
          <w:b/>
          <w:bCs/>
          <w:i/>
          <w:iCs/>
          <w:color w:val="800000"/>
          <w:sz w:val="18"/>
          <w:szCs w:val="18"/>
        </w:rPr>
        <w:t>IS.- DEDUCIBILIDAD EN EL IS DE LA RETRIBUCIÓN A LOS ADMINISTRADORES POR SUS SERVICIOS</w:t>
      </w:r>
    </w:p>
    <w:p w14:paraId="1757F522" w14:textId="39FF6408" w:rsidR="00D06B13" w:rsidRDefault="000F2B15" w:rsidP="000F2B15">
      <w:pPr>
        <w:tabs>
          <w:tab w:val="num" w:pos="284"/>
        </w:tabs>
        <w:ind w:left="284"/>
        <w:jc w:val="both"/>
        <w:rPr>
          <w:rFonts w:ascii="Verdana" w:hAnsi="Verdana"/>
          <w:b/>
          <w:bCs/>
          <w:i/>
          <w:iCs/>
          <w:color w:val="800000"/>
          <w:sz w:val="18"/>
          <w:szCs w:val="18"/>
        </w:rPr>
      </w:pPr>
      <w:r w:rsidRPr="000F2B15">
        <w:rPr>
          <w:rFonts w:ascii="Verdana" w:hAnsi="Verdana"/>
          <w:b/>
          <w:bCs/>
          <w:i/>
          <w:iCs/>
          <w:color w:val="800000"/>
          <w:sz w:val="18"/>
          <w:szCs w:val="18"/>
        </w:rPr>
        <w:t>El Tribunal Supremo emite una nueva sentencia en la que extiende su doctrina sobre la deducibilidad en el IS de los gastos correspondientes a las retribuciones satisfechos por una sociedad a sus socios-administradores.</w:t>
      </w:r>
    </w:p>
    <w:p w14:paraId="675F125A" w14:textId="77777777" w:rsidR="004E793E" w:rsidRDefault="004E793E" w:rsidP="000F2B15">
      <w:pPr>
        <w:tabs>
          <w:tab w:val="num" w:pos="284"/>
        </w:tabs>
        <w:ind w:left="284"/>
        <w:jc w:val="both"/>
        <w:rPr>
          <w:rFonts w:ascii="Verdana" w:hAnsi="Verdana"/>
          <w:b/>
          <w:bCs/>
          <w:i/>
          <w:iCs/>
          <w:color w:val="800000"/>
          <w:sz w:val="18"/>
          <w:szCs w:val="18"/>
        </w:rPr>
      </w:pPr>
    </w:p>
    <w:p w14:paraId="25D2C905" w14:textId="502D2E8E" w:rsidR="004E793E" w:rsidRPr="004E793E" w:rsidRDefault="004E793E" w:rsidP="004E793E">
      <w:pPr>
        <w:pStyle w:val="Prrafodelista"/>
        <w:numPr>
          <w:ilvl w:val="0"/>
          <w:numId w:val="11"/>
        </w:numPr>
        <w:tabs>
          <w:tab w:val="num" w:pos="284"/>
        </w:tabs>
        <w:ind w:left="284" w:hanging="284"/>
        <w:jc w:val="both"/>
        <w:rPr>
          <w:rFonts w:ascii="Verdana" w:hAnsi="Verdana"/>
          <w:b/>
          <w:bCs/>
          <w:i/>
          <w:iCs/>
          <w:color w:val="800000"/>
          <w:sz w:val="18"/>
          <w:szCs w:val="18"/>
        </w:rPr>
      </w:pPr>
      <w:r>
        <w:rPr>
          <w:rFonts w:ascii="Verdana" w:hAnsi="Verdana"/>
          <w:b/>
          <w:bCs/>
          <w:i/>
          <w:iCs/>
          <w:color w:val="800000"/>
          <w:sz w:val="18"/>
          <w:szCs w:val="18"/>
        </w:rPr>
        <w:t>IS.-</w:t>
      </w:r>
      <w:r w:rsidR="006E019B">
        <w:rPr>
          <w:rFonts w:ascii="Verdana" w:hAnsi="Verdana"/>
          <w:b/>
          <w:bCs/>
          <w:i/>
          <w:iCs/>
          <w:color w:val="800000"/>
          <w:sz w:val="18"/>
          <w:szCs w:val="18"/>
        </w:rPr>
        <w:t xml:space="preserve"> </w:t>
      </w:r>
      <w:r w:rsidRPr="004E793E">
        <w:rPr>
          <w:rFonts w:ascii="Verdana" w:hAnsi="Verdana"/>
          <w:b/>
          <w:bCs/>
          <w:i/>
          <w:iCs/>
          <w:color w:val="800000"/>
          <w:sz w:val="18"/>
          <w:szCs w:val="18"/>
        </w:rPr>
        <w:t>CAMBIOS EN EL IMPUESTO SOBRE SOCIEDADES 2025</w:t>
      </w:r>
    </w:p>
    <w:p w14:paraId="7608D3CC" w14:textId="47D4C9B7" w:rsidR="00551E1A" w:rsidRDefault="004E793E" w:rsidP="000F2B15">
      <w:pPr>
        <w:tabs>
          <w:tab w:val="num" w:pos="284"/>
        </w:tabs>
        <w:ind w:left="284"/>
        <w:jc w:val="both"/>
        <w:rPr>
          <w:rFonts w:ascii="Verdana" w:hAnsi="Verdana"/>
          <w:b/>
          <w:bCs/>
          <w:i/>
          <w:iCs/>
          <w:color w:val="800000"/>
          <w:sz w:val="18"/>
          <w:szCs w:val="18"/>
        </w:rPr>
      </w:pPr>
      <w:r w:rsidRPr="004E793E">
        <w:rPr>
          <w:rFonts w:ascii="Verdana" w:hAnsi="Verdana"/>
          <w:b/>
          <w:bCs/>
          <w:i/>
          <w:iCs/>
          <w:color w:val="800000"/>
          <w:sz w:val="18"/>
          <w:szCs w:val="18"/>
        </w:rPr>
        <w:t>La declaración del Impuesto</w:t>
      </w:r>
      <w:r w:rsidR="006E019B">
        <w:rPr>
          <w:rFonts w:ascii="Verdana" w:hAnsi="Verdana"/>
          <w:b/>
          <w:bCs/>
          <w:i/>
          <w:iCs/>
          <w:color w:val="800000"/>
          <w:sz w:val="18"/>
          <w:szCs w:val="18"/>
        </w:rPr>
        <w:t xml:space="preserve"> sobre</w:t>
      </w:r>
      <w:r w:rsidRPr="004E793E">
        <w:rPr>
          <w:rFonts w:ascii="Verdana" w:hAnsi="Verdana"/>
          <w:b/>
          <w:bCs/>
          <w:i/>
          <w:iCs/>
          <w:color w:val="800000"/>
          <w:sz w:val="18"/>
          <w:szCs w:val="18"/>
        </w:rPr>
        <w:t xml:space="preserve"> Sociedades 2025, referente al ejercicio 2024, conlleva algunas novedades que las empresas deberán aplicar</w:t>
      </w:r>
      <w:r w:rsidR="00A610F4">
        <w:rPr>
          <w:rFonts w:ascii="Verdana" w:hAnsi="Verdana"/>
          <w:b/>
          <w:bCs/>
          <w:i/>
          <w:iCs/>
          <w:color w:val="800000"/>
          <w:sz w:val="18"/>
          <w:szCs w:val="18"/>
        </w:rPr>
        <w:t>.</w:t>
      </w:r>
    </w:p>
    <w:p w14:paraId="66501D21" w14:textId="77777777" w:rsidR="004E793E" w:rsidRDefault="004E793E" w:rsidP="000F2B15">
      <w:pPr>
        <w:tabs>
          <w:tab w:val="num" w:pos="284"/>
        </w:tabs>
        <w:ind w:left="284"/>
        <w:jc w:val="both"/>
        <w:rPr>
          <w:rFonts w:ascii="Verdana" w:hAnsi="Verdana"/>
          <w:b/>
          <w:bCs/>
          <w:i/>
          <w:iCs/>
          <w:color w:val="800000"/>
          <w:sz w:val="18"/>
          <w:szCs w:val="18"/>
        </w:rPr>
      </w:pPr>
    </w:p>
    <w:p w14:paraId="1AB4BD10" w14:textId="7E95AC4F" w:rsidR="00551E1A" w:rsidRDefault="00551E1A" w:rsidP="004E793E">
      <w:pPr>
        <w:pStyle w:val="Prrafodelista"/>
        <w:numPr>
          <w:ilvl w:val="0"/>
          <w:numId w:val="12"/>
        </w:numPr>
        <w:ind w:left="284" w:hanging="284"/>
        <w:jc w:val="both"/>
        <w:rPr>
          <w:rFonts w:ascii="Verdana" w:hAnsi="Verdana"/>
          <w:b/>
          <w:bCs/>
          <w:i/>
          <w:iCs/>
          <w:color w:val="800000"/>
          <w:sz w:val="18"/>
          <w:szCs w:val="18"/>
        </w:rPr>
      </w:pPr>
      <w:r>
        <w:rPr>
          <w:rFonts w:ascii="Verdana" w:hAnsi="Verdana"/>
          <w:b/>
          <w:bCs/>
          <w:i/>
          <w:iCs/>
          <w:color w:val="800000"/>
          <w:sz w:val="18"/>
          <w:szCs w:val="18"/>
        </w:rPr>
        <w:t>IRPF.-</w:t>
      </w:r>
      <w:r w:rsidRPr="00551E1A">
        <w:rPr>
          <w:rFonts w:ascii="Verdana" w:hAnsi="Verdana"/>
          <w:b/>
          <w:bCs/>
          <w:i/>
          <w:iCs/>
          <w:color w:val="800000"/>
          <w:sz w:val="18"/>
          <w:szCs w:val="18"/>
        </w:rPr>
        <w:t xml:space="preserve"> EN UN PROCEDIMIENTO DE INSPECCIÓN </w:t>
      </w:r>
      <w:r>
        <w:rPr>
          <w:rFonts w:ascii="Verdana" w:hAnsi="Verdana"/>
          <w:b/>
          <w:bCs/>
          <w:i/>
          <w:iCs/>
          <w:color w:val="800000"/>
          <w:sz w:val="18"/>
          <w:szCs w:val="18"/>
        </w:rPr>
        <w:t>¿</w:t>
      </w:r>
      <w:r w:rsidRPr="00551E1A">
        <w:rPr>
          <w:rFonts w:ascii="Verdana" w:hAnsi="Verdana"/>
          <w:b/>
          <w:bCs/>
          <w:i/>
          <w:iCs/>
          <w:color w:val="800000"/>
          <w:sz w:val="18"/>
          <w:szCs w:val="18"/>
        </w:rPr>
        <w:t>DEBE APLICAR LA ADMINISTRACIÓN EN LA LIQUIDACIÓN DEL IRPF QUE DICTE LA DEDUCCIÓN POR LAS RETENCIONES QUE SE DEBIERON PRACTICAR, PERO</w:t>
      </w:r>
      <w:r>
        <w:rPr>
          <w:rFonts w:ascii="Verdana" w:hAnsi="Verdana"/>
          <w:b/>
          <w:bCs/>
          <w:i/>
          <w:iCs/>
          <w:color w:val="800000"/>
          <w:sz w:val="18"/>
          <w:szCs w:val="18"/>
        </w:rPr>
        <w:t xml:space="preserve"> QUE</w:t>
      </w:r>
      <w:r w:rsidRPr="00551E1A">
        <w:rPr>
          <w:rFonts w:ascii="Verdana" w:hAnsi="Verdana"/>
          <w:b/>
          <w:bCs/>
          <w:i/>
          <w:iCs/>
          <w:color w:val="800000"/>
          <w:sz w:val="18"/>
          <w:szCs w:val="18"/>
        </w:rPr>
        <w:t xml:space="preserve"> NO SE PRACTICARON POR PARTE </w:t>
      </w:r>
      <w:r>
        <w:rPr>
          <w:rFonts w:ascii="Verdana" w:hAnsi="Verdana"/>
          <w:b/>
          <w:bCs/>
          <w:i/>
          <w:iCs/>
          <w:color w:val="800000"/>
          <w:sz w:val="18"/>
          <w:szCs w:val="18"/>
        </w:rPr>
        <w:t>D</w:t>
      </w:r>
      <w:r w:rsidRPr="00551E1A">
        <w:rPr>
          <w:rFonts w:ascii="Verdana" w:hAnsi="Verdana"/>
          <w:b/>
          <w:bCs/>
          <w:i/>
          <w:iCs/>
          <w:color w:val="800000"/>
          <w:sz w:val="18"/>
          <w:szCs w:val="18"/>
        </w:rPr>
        <w:t>EL PAGADOR?</w:t>
      </w:r>
    </w:p>
    <w:p w14:paraId="4A58475B" w14:textId="208EC373" w:rsidR="00551E1A" w:rsidRDefault="00551E1A" w:rsidP="00551E1A">
      <w:pPr>
        <w:pStyle w:val="Prrafodelista"/>
        <w:ind w:left="284"/>
        <w:jc w:val="both"/>
        <w:rPr>
          <w:rFonts w:ascii="Verdana" w:hAnsi="Verdana"/>
          <w:b/>
          <w:bCs/>
          <w:i/>
          <w:iCs/>
          <w:color w:val="800000"/>
          <w:sz w:val="18"/>
          <w:szCs w:val="18"/>
        </w:rPr>
      </w:pPr>
      <w:r>
        <w:rPr>
          <w:rFonts w:ascii="Verdana" w:hAnsi="Verdana"/>
          <w:b/>
          <w:bCs/>
          <w:i/>
          <w:iCs/>
          <w:color w:val="800000"/>
          <w:sz w:val="18"/>
          <w:szCs w:val="18"/>
        </w:rPr>
        <w:t>E</w:t>
      </w:r>
      <w:r w:rsidRPr="00551E1A">
        <w:rPr>
          <w:rFonts w:ascii="Verdana" w:hAnsi="Verdana"/>
          <w:b/>
          <w:bCs/>
          <w:i/>
          <w:iCs/>
          <w:color w:val="800000"/>
          <w:sz w:val="18"/>
          <w:szCs w:val="18"/>
        </w:rPr>
        <w:t>l TS deberá reafirmar, reforzar o completar o en su caso, cambiar o corregir la doctrina jurisprudencial sobre si la Administración tributaria tiene la obligación de aplicar, en la liquidación del IRPF que en su caso dicte en un procedimiento de inspección, la deducción por las retenciones que se debieron practicar, pero no se practicaron, por parte del pagador de las rentas.</w:t>
      </w:r>
    </w:p>
    <w:p w14:paraId="5FBA4FFC" w14:textId="77777777" w:rsidR="00EB7DAB" w:rsidRDefault="00EB7DAB" w:rsidP="00551E1A">
      <w:pPr>
        <w:pStyle w:val="Prrafodelista"/>
        <w:ind w:left="284"/>
        <w:jc w:val="both"/>
        <w:rPr>
          <w:rFonts w:ascii="Verdana" w:hAnsi="Verdana"/>
          <w:b/>
          <w:bCs/>
          <w:i/>
          <w:iCs/>
          <w:color w:val="800000"/>
          <w:sz w:val="18"/>
          <w:szCs w:val="18"/>
        </w:rPr>
      </w:pPr>
    </w:p>
    <w:p w14:paraId="5B00882B" w14:textId="0AF596B8" w:rsidR="00EB7DAB" w:rsidRDefault="00EB7DAB" w:rsidP="00EB7DAB">
      <w:pPr>
        <w:pStyle w:val="Prrafodelista"/>
        <w:numPr>
          <w:ilvl w:val="0"/>
          <w:numId w:val="22"/>
        </w:numPr>
        <w:ind w:left="284" w:hanging="284"/>
        <w:jc w:val="both"/>
        <w:rPr>
          <w:rFonts w:ascii="Verdana" w:hAnsi="Verdana"/>
          <w:b/>
          <w:bCs/>
          <w:i/>
          <w:iCs/>
          <w:color w:val="800000"/>
          <w:sz w:val="18"/>
          <w:szCs w:val="18"/>
        </w:rPr>
      </w:pPr>
      <w:r>
        <w:rPr>
          <w:rFonts w:ascii="Verdana" w:hAnsi="Verdana"/>
          <w:b/>
          <w:bCs/>
          <w:i/>
          <w:iCs/>
          <w:color w:val="800000"/>
          <w:sz w:val="18"/>
          <w:szCs w:val="18"/>
        </w:rPr>
        <w:t xml:space="preserve">IRPF.- PERIODO DE DECLARACIÓN DE LOS </w:t>
      </w:r>
      <w:r w:rsidRPr="00EB7DAB">
        <w:rPr>
          <w:rFonts w:ascii="Verdana" w:hAnsi="Verdana"/>
          <w:b/>
          <w:bCs/>
          <w:i/>
          <w:iCs/>
          <w:color w:val="800000"/>
          <w:sz w:val="18"/>
          <w:szCs w:val="18"/>
        </w:rPr>
        <w:t>COMPLEMENTOS POR MATERNIDAD Y PATERNIDAD QUE FIGURAN COMO ATRASOS EN LOS DATOS FISCALES DEL PERÍODO IMPOSITIVO DE 2024</w:t>
      </w:r>
    </w:p>
    <w:p w14:paraId="058F0BE4" w14:textId="5B41D400" w:rsidR="00EB7DAB" w:rsidRDefault="00A610F4" w:rsidP="00EB7DAB">
      <w:pPr>
        <w:ind w:left="284"/>
        <w:jc w:val="both"/>
        <w:rPr>
          <w:rFonts w:ascii="Verdana" w:hAnsi="Verdana"/>
          <w:b/>
          <w:bCs/>
          <w:i/>
          <w:iCs/>
          <w:color w:val="800000"/>
          <w:sz w:val="18"/>
          <w:szCs w:val="18"/>
        </w:rPr>
      </w:pPr>
      <w:r>
        <w:rPr>
          <w:rFonts w:ascii="Verdana" w:hAnsi="Verdana"/>
          <w:b/>
          <w:bCs/>
          <w:i/>
          <w:iCs/>
          <w:color w:val="800000"/>
          <w:sz w:val="18"/>
          <w:szCs w:val="18"/>
        </w:rPr>
        <w:t>L</w:t>
      </w:r>
      <w:r w:rsidR="00EB7DAB" w:rsidRPr="00EB7DAB">
        <w:rPr>
          <w:rFonts w:ascii="Verdana" w:hAnsi="Verdana"/>
          <w:b/>
          <w:bCs/>
          <w:i/>
          <w:iCs/>
          <w:color w:val="800000"/>
          <w:sz w:val="18"/>
          <w:szCs w:val="18"/>
        </w:rPr>
        <w:t>a Dirección General de Tributos, en consulta V0846-24, ha interpretado que al percibirse en un período impositivo posterior al de su exigibilidad, resulta operativa la regla especial de imputación a los períodos de la exigibilidad.</w:t>
      </w:r>
    </w:p>
    <w:p w14:paraId="103EF8F3" w14:textId="3E74B915" w:rsidR="00551E1A" w:rsidRPr="00551E1A" w:rsidRDefault="00551E1A" w:rsidP="00551E1A">
      <w:pPr>
        <w:pStyle w:val="Prrafodelista"/>
        <w:tabs>
          <w:tab w:val="num" w:pos="284"/>
        </w:tabs>
        <w:ind w:left="284"/>
        <w:jc w:val="both"/>
        <w:rPr>
          <w:rFonts w:ascii="Verdana" w:hAnsi="Verdana"/>
          <w:b/>
          <w:bCs/>
          <w:i/>
          <w:iCs/>
          <w:color w:val="800000"/>
          <w:sz w:val="18"/>
          <w:szCs w:val="18"/>
        </w:rPr>
      </w:pPr>
    </w:p>
    <w:p w14:paraId="2184C18C" w14:textId="14CF1882" w:rsidR="000F2B15" w:rsidRPr="000F2B15" w:rsidRDefault="000F2B15" w:rsidP="00EB7DAB">
      <w:pPr>
        <w:pStyle w:val="Prrafodelista"/>
        <w:numPr>
          <w:ilvl w:val="0"/>
          <w:numId w:val="22"/>
        </w:numPr>
        <w:ind w:left="284" w:hanging="284"/>
        <w:jc w:val="both"/>
        <w:rPr>
          <w:rFonts w:ascii="Verdana" w:hAnsi="Verdana"/>
          <w:b/>
          <w:bCs/>
          <w:i/>
          <w:iCs/>
          <w:color w:val="800000"/>
          <w:sz w:val="18"/>
          <w:szCs w:val="18"/>
        </w:rPr>
      </w:pPr>
      <w:r>
        <w:rPr>
          <w:rFonts w:ascii="Verdana" w:hAnsi="Verdana"/>
          <w:b/>
          <w:bCs/>
          <w:i/>
          <w:iCs/>
          <w:color w:val="800000"/>
          <w:sz w:val="18"/>
          <w:szCs w:val="18"/>
        </w:rPr>
        <w:t xml:space="preserve">IP.-  </w:t>
      </w:r>
      <w:r w:rsidRPr="000F2B15">
        <w:rPr>
          <w:rFonts w:ascii="Verdana" w:hAnsi="Verdana"/>
          <w:b/>
          <w:bCs/>
          <w:i/>
          <w:iCs/>
          <w:color w:val="800000"/>
          <w:sz w:val="18"/>
          <w:szCs w:val="18"/>
        </w:rPr>
        <w:t>EL REQUISITO DE CONTAR CON UN EMPLEADO A JORNADA COMPLETA EN LA ACTIVIDAD DE ARRENDAMIENTO INMOBILIARIO, A LOS EFECTOS DE LA EXENCIÓN</w:t>
      </w:r>
      <w:r w:rsidR="00A610F4">
        <w:rPr>
          <w:rFonts w:ascii="Verdana" w:hAnsi="Verdana"/>
          <w:b/>
          <w:bCs/>
          <w:i/>
          <w:iCs/>
          <w:color w:val="800000"/>
          <w:sz w:val="18"/>
          <w:szCs w:val="18"/>
        </w:rPr>
        <w:t xml:space="preserve"> EN</w:t>
      </w:r>
      <w:r w:rsidRPr="000F2B15">
        <w:rPr>
          <w:rFonts w:ascii="Verdana" w:hAnsi="Verdana"/>
          <w:b/>
          <w:bCs/>
          <w:i/>
          <w:iCs/>
          <w:color w:val="800000"/>
          <w:sz w:val="18"/>
          <w:szCs w:val="18"/>
        </w:rPr>
        <w:t xml:space="preserve"> EL IMPUESTO SOBRE EL PATRIMONIO, NO PUEDE ENTENDERSE CUMPLIDO POR EL MERO EJERCICIO DE LA ACTIVIDAD DE FORMA PERSONAL Y DIRECTA POR PARTE DEL PROPIO SUJETO PASIVO</w:t>
      </w:r>
    </w:p>
    <w:p w14:paraId="10A438AB" w14:textId="678476A6" w:rsidR="00551E1A" w:rsidRDefault="000F2B15" w:rsidP="00551E1A">
      <w:pPr>
        <w:ind w:left="284"/>
        <w:jc w:val="both"/>
        <w:rPr>
          <w:rFonts w:ascii="Verdana" w:hAnsi="Verdana"/>
          <w:b/>
          <w:bCs/>
          <w:i/>
          <w:color w:val="800000"/>
          <w:sz w:val="18"/>
          <w:szCs w:val="18"/>
        </w:rPr>
      </w:pPr>
      <w:r w:rsidRPr="000F2B15">
        <w:rPr>
          <w:rFonts w:ascii="Verdana" w:hAnsi="Verdana"/>
          <w:b/>
          <w:bCs/>
          <w:i/>
          <w:color w:val="800000"/>
          <w:sz w:val="18"/>
          <w:szCs w:val="18"/>
        </w:rPr>
        <w:t>La Dirección General de Tributos reitera que, a los efectos de poder considerar como actividad económica el arrendamiento de inmuebles, es necesario contar con un empleado a tiempo completo para la ordenación de la actividad, sin que este requisito pueda ser cumplido en sede del propio empresario individual.</w:t>
      </w:r>
    </w:p>
    <w:p w14:paraId="16A3D5D5" w14:textId="77777777" w:rsidR="00C25995" w:rsidRDefault="00C25995" w:rsidP="000F2B15">
      <w:pPr>
        <w:ind w:left="284"/>
        <w:jc w:val="both"/>
        <w:rPr>
          <w:rFonts w:ascii="Verdana" w:hAnsi="Verdana"/>
          <w:b/>
          <w:bCs/>
          <w:i/>
          <w:color w:val="800000"/>
          <w:sz w:val="18"/>
          <w:szCs w:val="18"/>
        </w:rPr>
      </w:pPr>
    </w:p>
    <w:p w14:paraId="56F44C7B" w14:textId="63FBCDEB" w:rsidR="00C25995" w:rsidRDefault="00C25995" w:rsidP="00EB7DAB">
      <w:pPr>
        <w:pStyle w:val="Prrafodelista"/>
        <w:numPr>
          <w:ilvl w:val="0"/>
          <w:numId w:val="22"/>
        </w:numPr>
        <w:ind w:left="284" w:hanging="284"/>
        <w:jc w:val="both"/>
        <w:rPr>
          <w:rFonts w:ascii="Verdana" w:hAnsi="Verdana"/>
          <w:b/>
          <w:bCs/>
          <w:i/>
          <w:color w:val="800000"/>
          <w:sz w:val="18"/>
          <w:szCs w:val="18"/>
        </w:rPr>
      </w:pPr>
      <w:r>
        <w:rPr>
          <w:rFonts w:ascii="Verdana" w:hAnsi="Verdana"/>
          <w:b/>
          <w:bCs/>
          <w:i/>
          <w:color w:val="800000"/>
          <w:sz w:val="18"/>
          <w:szCs w:val="18"/>
        </w:rPr>
        <w:t xml:space="preserve">IP.- </w:t>
      </w:r>
      <w:r w:rsidRPr="00C25995">
        <w:rPr>
          <w:rFonts w:ascii="Verdana" w:hAnsi="Verdana"/>
          <w:b/>
          <w:bCs/>
          <w:i/>
          <w:color w:val="800000"/>
          <w:sz w:val="18"/>
          <w:szCs w:val="18"/>
        </w:rPr>
        <w:t>UNA SOCIEDAD DEDICADA AL ALQUILER DE INMUEBLES DESARROLLA UNA ACTIVIDAD ECONÓMICA A EFECTOS DEL IP, AUNQUE LA PERSONA CONTRATADA A JORNADA COMPLETA EJERZA TAMBIÉN OTRAS ACTIVIDADES PROFESIONALES</w:t>
      </w:r>
    </w:p>
    <w:p w14:paraId="1CD774C6" w14:textId="4427BAAF" w:rsidR="00C25995" w:rsidRDefault="00C25995" w:rsidP="00C25995">
      <w:pPr>
        <w:pStyle w:val="Prrafodelista"/>
        <w:ind w:left="284"/>
        <w:jc w:val="both"/>
        <w:rPr>
          <w:rFonts w:ascii="Verdana" w:hAnsi="Verdana"/>
          <w:b/>
          <w:bCs/>
          <w:i/>
          <w:color w:val="800000"/>
          <w:sz w:val="18"/>
          <w:szCs w:val="18"/>
        </w:rPr>
      </w:pPr>
      <w:r w:rsidRPr="00C25995">
        <w:rPr>
          <w:rFonts w:ascii="Verdana" w:hAnsi="Verdana"/>
          <w:b/>
          <w:bCs/>
          <w:i/>
          <w:iCs/>
          <w:color w:val="800000"/>
          <w:sz w:val="18"/>
          <w:szCs w:val="18"/>
        </w:rPr>
        <w:t>El requisito de persona empleada mediante contrato laboral a jornada completa en una entidad dedicada al arrendamiento de inmuebles es necesario para poder aplicar la exención en IP en relación con la tenencia de participaciones en dicha entidad.</w:t>
      </w:r>
    </w:p>
    <w:p w14:paraId="781E0B49" w14:textId="77777777" w:rsidR="00C25995" w:rsidRDefault="00C25995" w:rsidP="00C25995">
      <w:pPr>
        <w:pStyle w:val="Prrafodelista"/>
        <w:ind w:left="284"/>
        <w:jc w:val="both"/>
        <w:rPr>
          <w:rFonts w:ascii="Verdana" w:hAnsi="Verdana"/>
          <w:b/>
          <w:bCs/>
          <w:i/>
          <w:color w:val="800000"/>
          <w:sz w:val="18"/>
          <w:szCs w:val="18"/>
        </w:rPr>
      </w:pPr>
    </w:p>
    <w:p w14:paraId="1F28D56F" w14:textId="77777777" w:rsidR="00C25995" w:rsidRPr="005261EE" w:rsidRDefault="00C25995" w:rsidP="00EB7DAB">
      <w:pPr>
        <w:pStyle w:val="Prrafodelista"/>
        <w:numPr>
          <w:ilvl w:val="0"/>
          <w:numId w:val="22"/>
        </w:numPr>
        <w:ind w:left="284" w:hanging="284"/>
        <w:jc w:val="both"/>
        <w:rPr>
          <w:rFonts w:ascii="Verdana" w:hAnsi="Verdana"/>
          <w:b/>
          <w:bCs/>
          <w:i/>
          <w:color w:val="800000"/>
          <w:sz w:val="18"/>
          <w:szCs w:val="18"/>
        </w:rPr>
      </w:pPr>
      <w:r>
        <w:rPr>
          <w:rFonts w:ascii="Verdana" w:hAnsi="Verdana"/>
          <w:b/>
          <w:bCs/>
          <w:i/>
          <w:color w:val="800000"/>
          <w:sz w:val="18"/>
          <w:szCs w:val="18"/>
        </w:rPr>
        <w:t>A</w:t>
      </w:r>
      <w:r w:rsidRPr="005261EE">
        <w:rPr>
          <w:rFonts w:ascii="Verdana" w:hAnsi="Verdana"/>
          <w:b/>
          <w:bCs/>
          <w:i/>
          <w:color w:val="800000"/>
          <w:sz w:val="18"/>
          <w:szCs w:val="18"/>
        </w:rPr>
        <w:t xml:space="preserve"> PARTIR DEL PRÓXIMO AÑO, LA AGENCIA TRIBUTARIA ELIMINA LOS LÍMITES EMPRESARIALES Y PODRÁ ACCEDER A CUALQUIER OPERACIÓN DE BIZUM, INDEPENDIENTEMENTE DE SU IMPORTE</w:t>
      </w:r>
    </w:p>
    <w:p w14:paraId="7C90B692" w14:textId="77777777" w:rsidR="00C25995" w:rsidRDefault="00C25995" w:rsidP="00C25995">
      <w:pPr>
        <w:ind w:left="284"/>
        <w:jc w:val="both"/>
        <w:rPr>
          <w:rFonts w:ascii="Verdana" w:hAnsi="Verdana"/>
          <w:b/>
          <w:bCs/>
          <w:i/>
          <w:color w:val="800000"/>
          <w:sz w:val="18"/>
          <w:szCs w:val="18"/>
        </w:rPr>
      </w:pPr>
      <w:r w:rsidRPr="005261EE">
        <w:rPr>
          <w:rFonts w:ascii="Verdana" w:hAnsi="Verdana" w:hint="cs"/>
          <w:b/>
          <w:bCs/>
          <w:i/>
          <w:color w:val="800000"/>
          <w:sz w:val="18"/>
          <w:szCs w:val="18"/>
        </w:rPr>
        <w:t xml:space="preserve">Hacienda tendrá, a partir del 1 de enero de 2026, acceso total a las transferencias de dinero que las empresas y profesionales envíen o reciban a través de </w:t>
      </w:r>
      <w:proofErr w:type="spellStart"/>
      <w:r w:rsidRPr="005261EE">
        <w:rPr>
          <w:rFonts w:ascii="Verdana" w:hAnsi="Verdana" w:hint="cs"/>
          <w:b/>
          <w:bCs/>
          <w:i/>
          <w:color w:val="800000"/>
          <w:sz w:val="18"/>
          <w:szCs w:val="18"/>
        </w:rPr>
        <w:t>Bizum</w:t>
      </w:r>
      <w:proofErr w:type="spellEnd"/>
      <w:r>
        <w:rPr>
          <w:rFonts w:ascii="Verdana" w:hAnsi="Verdana"/>
          <w:b/>
          <w:bCs/>
          <w:i/>
          <w:color w:val="800000"/>
          <w:sz w:val="18"/>
          <w:szCs w:val="18"/>
        </w:rPr>
        <w:t>.</w:t>
      </w:r>
    </w:p>
    <w:p w14:paraId="412B75C6" w14:textId="77777777" w:rsidR="008051C8" w:rsidRDefault="008051C8" w:rsidP="00C25995">
      <w:pPr>
        <w:ind w:left="284"/>
        <w:jc w:val="both"/>
        <w:rPr>
          <w:rFonts w:ascii="Verdana" w:hAnsi="Verdana"/>
          <w:b/>
          <w:bCs/>
          <w:i/>
          <w:color w:val="800000"/>
          <w:sz w:val="18"/>
          <w:szCs w:val="18"/>
        </w:rPr>
      </w:pPr>
    </w:p>
    <w:p w14:paraId="56A6708C" w14:textId="1B246F11" w:rsidR="008051C8" w:rsidRPr="008051C8" w:rsidRDefault="008051C8" w:rsidP="002E245A">
      <w:pPr>
        <w:pStyle w:val="Prrafodelista"/>
        <w:numPr>
          <w:ilvl w:val="0"/>
          <w:numId w:val="9"/>
        </w:numPr>
        <w:ind w:left="284" w:hanging="284"/>
        <w:jc w:val="both"/>
        <w:rPr>
          <w:rFonts w:ascii="Verdana" w:hAnsi="Verdana"/>
          <w:b/>
          <w:bCs/>
          <w:i/>
          <w:color w:val="800000"/>
          <w:sz w:val="18"/>
          <w:szCs w:val="18"/>
        </w:rPr>
      </w:pPr>
      <w:r w:rsidRPr="008051C8">
        <w:rPr>
          <w:rFonts w:ascii="Verdana" w:hAnsi="Verdana"/>
          <w:b/>
          <w:bCs/>
          <w:i/>
          <w:color w:val="800000"/>
          <w:sz w:val="18"/>
          <w:szCs w:val="18"/>
        </w:rPr>
        <w:lastRenderedPageBreak/>
        <w:t>APROBADOS LOS NUEVOS MODELOS PARA EL DEPÓSITO DE CUENTAS ANUALES INDIVIDUALES Y CONSOLIDADAS</w:t>
      </w:r>
    </w:p>
    <w:p w14:paraId="429A2520" w14:textId="076EDD05" w:rsidR="00C25995" w:rsidRDefault="008051C8" w:rsidP="00C25995">
      <w:pPr>
        <w:pStyle w:val="Prrafodelista"/>
        <w:ind w:left="284"/>
        <w:jc w:val="both"/>
        <w:rPr>
          <w:rFonts w:ascii="Verdana" w:hAnsi="Verdana"/>
          <w:b/>
          <w:bCs/>
          <w:i/>
          <w:color w:val="800000"/>
          <w:sz w:val="18"/>
          <w:szCs w:val="18"/>
        </w:rPr>
      </w:pPr>
      <w:r w:rsidRPr="008051C8">
        <w:rPr>
          <w:rFonts w:ascii="Verdana" w:hAnsi="Verdana"/>
          <w:b/>
          <w:bCs/>
          <w:i/>
          <w:color w:val="800000"/>
          <w:sz w:val="18"/>
          <w:szCs w:val="18"/>
        </w:rPr>
        <w:t xml:space="preserve">En el Boletín Oficial del Estado de 3 de junio se </w:t>
      </w:r>
      <w:r>
        <w:rPr>
          <w:rFonts w:ascii="Verdana" w:hAnsi="Verdana"/>
          <w:b/>
          <w:bCs/>
          <w:i/>
          <w:color w:val="800000"/>
          <w:sz w:val="18"/>
          <w:szCs w:val="18"/>
        </w:rPr>
        <w:t>han publicado</w:t>
      </w:r>
      <w:r w:rsidRPr="008051C8">
        <w:rPr>
          <w:rFonts w:ascii="Verdana" w:hAnsi="Verdana"/>
          <w:b/>
          <w:bCs/>
          <w:i/>
          <w:color w:val="800000"/>
          <w:sz w:val="18"/>
          <w:szCs w:val="18"/>
        </w:rPr>
        <w:t xml:space="preserve"> nuevos modelos para la presentación de cuentas anuales individuales y cuentas anuales consolidadas en el Registro Mercantil. Estos nuevos modelos deberán utilizarse para las cuentas que sean depositadas en el Registro a partir del 3 de junio de 2025.</w:t>
      </w:r>
    </w:p>
    <w:p w14:paraId="1500869E" w14:textId="77777777" w:rsidR="002E245A" w:rsidRDefault="002E245A" w:rsidP="00C25995">
      <w:pPr>
        <w:pStyle w:val="Prrafodelista"/>
        <w:ind w:left="284"/>
        <w:jc w:val="both"/>
        <w:rPr>
          <w:rFonts w:ascii="Verdana" w:hAnsi="Verdana"/>
          <w:b/>
          <w:bCs/>
          <w:i/>
          <w:color w:val="800000"/>
          <w:sz w:val="18"/>
          <w:szCs w:val="18"/>
        </w:rPr>
      </w:pPr>
    </w:p>
    <w:p w14:paraId="36C32725" w14:textId="1C46960E" w:rsidR="002E245A" w:rsidRDefault="002E245A" w:rsidP="002E245A">
      <w:pPr>
        <w:pStyle w:val="Prrafodelista"/>
        <w:numPr>
          <w:ilvl w:val="0"/>
          <w:numId w:val="9"/>
        </w:numPr>
        <w:ind w:left="284" w:hanging="284"/>
        <w:jc w:val="both"/>
        <w:rPr>
          <w:rFonts w:ascii="Verdana" w:hAnsi="Verdana"/>
          <w:b/>
          <w:bCs/>
          <w:i/>
          <w:color w:val="800000"/>
          <w:sz w:val="18"/>
          <w:szCs w:val="18"/>
        </w:rPr>
      </w:pPr>
      <w:r>
        <w:rPr>
          <w:rFonts w:ascii="Verdana" w:hAnsi="Verdana"/>
          <w:b/>
          <w:bCs/>
          <w:i/>
          <w:color w:val="800000"/>
          <w:sz w:val="18"/>
          <w:szCs w:val="18"/>
        </w:rPr>
        <w:t>MODIFICACIÓN DE</w:t>
      </w:r>
      <w:r w:rsidRPr="002E245A">
        <w:rPr>
          <w:rFonts w:ascii="Verdana" w:hAnsi="Verdana"/>
          <w:b/>
          <w:bCs/>
          <w:i/>
          <w:color w:val="800000"/>
          <w:sz w:val="18"/>
          <w:szCs w:val="18"/>
        </w:rPr>
        <w:t xml:space="preserve"> LAS NORMAS DE VALORACIÓN DE BIENES INMUEBLES Y DE DETERMINADOS DERECHOS REALES CON FINES FINANCIEROS, INCLUYENDO EL PRINCIPIO DE SOSTENIBILIDAD MEDIOAMBIENTAL Y ADAPTARLAS A LAS NUEVAS FIGURAS ADMINISTRATIVAS DE GESTIÓN URBANÍSTICA</w:t>
      </w:r>
    </w:p>
    <w:p w14:paraId="08B38C48" w14:textId="6A49DE96" w:rsidR="002E245A" w:rsidRDefault="002E245A" w:rsidP="002E245A">
      <w:pPr>
        <w:pStyle w:val="Prrafodelista"/>
        <w:ind w:left="284"/>
        <w:jc w:val="both"/>
        <w:rPr>
          <w:rFonts w:ascii="Verdana" w:hAnsi="Verdana"/>
          <w:b/>
          <w:bCs/>
          <w:i/>
          <w:color w:val="800000"/>
          <w:sz w:val="18"/>
          <w:szCs w:val="18"/>
        </w:rPr>
      </w:pPr>
      <w:r w:rsidRPr="002E245A">
        <w:rPr>
          <w:rFonts w:ascii="Verdana" w:hAnsi="Verdana"/>
          <w:b/>
          <w:bCs/>
          <w:i/>
          <w:color w:val="800000"/>
          <w:sz w:val="18"/>
          <w:szCs w:val="18"/>
        </w:rPr>
        <w:t>Se modifican las normas de valoración de bienes inmuebles y de determinados derechos reales con fines financieros</w:t>
      </w:r>
      <w:r w:rsidR="00A610F4">
        <w:rPr>
          <w:rFonts w:ascii="Verdana" w:hAnsi="Verdana"/>
          <w:b/>
          <w:bCs/>
          <w:i/>
          <w:color w:val="800000"/>
          <w:sz w:val="18"/>
          <w:szCs w:val="18"/>
        </w:rPr>
        <w:t>.</w:t>
      </w:r>
      <w:r w:rsidRPr="002E245A">
        <w:rPr>
          <w:rFonts w:ascii="Verdana" w:hAnsi="Verdana"/>
          <w:b/>
          <w:bCs/>
          <w:i/>
          <w:color w:val="800000"/>
          <w:sz w:val="18"/>
          <w:szCs w:val="18"/>
        </w:rPr>
        <w:t xml:space="preserve"> </w:t>
      </w:r>
    </w:p>
    <w:p w14:paraId="1348100B" w14:textId="77777777" w:rsidR="002E245A" w:rsidRDefault="002E245A" w:rsidP="002E245A">
      <w:pPr>
        <w:pStyle w:val="Prrafodelista"/>
        <w:ind w:left="284"/>
        <w:jc w:val="both"/>
        <w:rPr>
          <w:rFonts w:ascii="Verdana" w:hAnsi="Verdana"/>
          <w:b/>
          <w:bCs/>
          <w:i/>
          <w:color w:val="800000"/>
          <w:sz w:val="18"/>
          <w:szCs w:val="18"/>
        </w:rPr>
      </w:pPr>
    </w:p>
    <w:p w14:paraId="569CA7E3" w14:textId="77777777" w:rsidR="002E245A" w:rsidRPr="002E245A" w:rsidRDefault="002E245A" w:rsidP="002E245A">
      <w:pPr>
        <w:pStyle w:val="Prrafodelista"/>
        <w:ind w:left="284"/>
        <w:jc w:val="both"/>
        <w:rPr>
          <w:rFonts w:ascii="Verdana" w:hAnsi="Verdana"/>
          <w:b/>
          <w:bCs/>
          <w:i/>
          <w:color w:val="800000"/>
          <w:sz w:val="18"/>
          <w:szCs w:val="18"/>
        </w:rPr>
      </w:pPr>
    </w:p>
    <w:p w14:paraId="0ED3C0D0" w14:textId="2C5EFF01" w:rsidR="000A7345" w:rsidRPr="004E793E" w:rsidRDefault="000A7345" w:rsidP="004E793E">
      <w:pPr>
        <w:jc w:val="both"/>
        <w:rPr>
          <w:rFonts w:ascii="Verdana" w:hAnsi="Verdana"/>
          <w:b/>
          <w:bCs/>
          <w:i/>
          <w:color w:val="800000"/>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350774" w:rsidRPr="003F1BD0" w14:paraId="0DCB6959" w14:textId="77777777" w:rsidTr="000E7181">
        <w:tc>
          <w:tcPr>
            <w:tcW w:w="180" w:type="dxa"/>
            <w:shd w:val="clear" w:color="auto" w:fill="FF6600"/>
          </w:tcPr>
          <w:p w14:paraId="7DC6ED64" w14:textId="77777777" w:rsidR="00350774" w:rsidRPr="003F1BD0" w:rsidRDefault="00350774" w:rsidP="00350774">
            <w:pPr>
              <w:rPr>
                <w:rFonts w:ascii="Verdana" w:hAnsi="Verdana"/>
                <w:b/>
                <w:bCs/>
                <w:color w:val="800000"/>
                <w:sz w:val="18"/>
                <w:szCs w:val="18"/>
              </w:rPr>
            </w:pPr>
            <w:bookmarkStart w:id="0" w:name="_Hlk11578402"/>
          </w:p>
        </w:tc>
        <w:tc>
          <w:tcPr>
            <w:tcW w:w="8460" w:type="dxa"/>
          </w:tcPr>
          <w:p w14:paraId="538E1BC0" w14:textId="289AA93C" w:rsidR="00350774" w:rsidRPr="003F1BD0" w:rsidRDefault="003F1BD0">
            <w:pPr>
              <w:pStyle w:val="Prrafodelista"/>
              <w:numPr>
                <w:ilvl w:val="0"/>
                <w:numId w:val="2"/>
              </w:numPr>
              <w:tabs>
                <w:tab w:val="num" w:pos="284"/>
              </w:tabs>
              <w:ind w:left="382" w:hanging="283"/>
              <w:jc w:val="both"/>
              <w:rPr>
                <w:rFonts w:ascii="Verdana" w:hAnsi="Verdana"/>
                <w:b/>
                <w:bCs/>
                <w:color w:val="800000"/>
                <w:sz w:val="18"/>
                <w:szCs w:val="18"/>
              </w:rPr>
            </w:pPr>
            <w:r w:rsidRPr="003F1BD0">
              <w:rPr>
                <w:rFonts w:ascii="Verdana" w:hAnsi="Verdana"/>
                <w:b/>
                <w:bCs/>
                <w:color w:val="800000"/>
                <w:sz w:val="18"/>
                <w:szCs w:val="18"/>
              </w:rPr>
              <w:t>IS.- DEDUCIBILIDAD EN EL IS DE LA RETRIBUCIÓN A LOS ADMINISTRADORES POR SUS SERVICIOS</w:t>
            </w:r>
          </w:p>
        </w:tc>
      </w:tr>
      <w:bookmarkEnd w:id="0"/>
    </w:tbl>
    <w:p w14:paraId="29DCA3B4" w14:textId="77777777" w:rsidR="00D06B13" w:rsidRDefault="00D06B13" w:rsidP="00DA2567">
      <w:pPr>
        <w:tabs>
          <w:tab w:val="left" w:pos="284"/>
        </w:tabs>
        <w:ind w:left="284"/>
        <w:jc w:val="both"/>
        <w:rPr>
          <w:rFonts w:ascii="Verdana" w:hAnsi="Verdana"/>
          <w:sz w:val="18"/>
          <w:szCs w:val="18"/>
        </w:rPr>
      </w:pPr>
    </w:p>
    <w:p w14:paraId="343E124D" w14:textId="524332A1" w:rsidR="003F1BD0" w:rsidRDefault="003F1BD0" w:rsidP="003F1BD0">
      <w:pPr>
        <w:tabs>
          <w:tab w:val="left" w:pos="284"/>
        </w:tabs>
        <w:ind w:left="284"/>
        <w:jc w:val="both"/>
        <w:rPr>
          <w:rFonts w:ascii="Verdana" w:hAnsi="Verdana"/>
          <w:sz w:val="18"/>
          <w:szCs w:val="18"/>
        </w:rPr>
      </w:pPr>
      <w:r w:rsidRPr="003F1BD0">
        <w:rPr>
          <w:rFonts w:ascii="Verdana" w:hAnsi="Verdana"/>
          <w:sz w:val="18"/>
          <w:szCs w:val="18"/>
        </w:rPr>
        <w:t>El </w:t>
      </w:r>
      <w:r w:rsidRPr="003F1BD0">
        <w:rPr>
          <w:rFonts w:ascii="Verdana" w:hAnsi="Verdana"/>
          <w:b/>
          <w:bCs/>
          <w:sz w:val="18"/>
          <w:szCs w:val="18"/>
        </w:rPr>
        <w:t>Tribunal Supremo</w:t>
      </w:r>
      <w:r w:rsidRPr="003F1BD0">
        <w:rPr>
          <w:rFonts w:ascii="Verdana" w:hAnsi="Verdana"/>
          <w:sz w:val="18"/>
          <w:szCs w:val="18"/>
        </w:rPr>
        <w:t>, en un</w:t>
      </w:r>
      <w:r w:rsidR="002111AF">
        <w:rPr>
          <w:rFonts w:ascii="Verdana" w:hAnsi="Verdana"/>
          <w:sz w:val="18"/>
          <w:szCs w:val="18"/>
        </w:rPr>
        <w:t>a</w:t>
      </w:r>
      <w:r w:rsidRPr="003F1BD0">
        <w:rPr>
          <w:rFonts w:ascii="Verdana" w:hAnsi="Verdana"/>
          <w:sz w:val="18"/>
          <w:szCs w:val="18"/>
        </w:rPr>
        <w:t xml:space="preserve"> sentencia de 9 de mayo de 2025, recaída en el </w:t>
      </w:r>
      <w:r>
        <w:rPr>
          <w:rFonts w:ascii="Verdana" w:hAnsi="Verdana"/>
          <w:sz w:val="18"/>
          <w:szCs w:val="18"/>
        </w:rPr>
        <w:t xml:space="preserve">recurso 6392/2022, </w:t>
      </w:r>
      <w:r w:rsidRPr="003F1BD0">
        <w:rPr>
          <w:rFonts w:ascii="Verdana" w:hAnsi="Verdana"/>
          <w:b/>
          <w:bCs/>
          <w:sz w:val="18"/>
          <w:szCs w:val="18"/>
        </w:rPr>
        <w:t>establece como doctrina que careciendo de contrato de trabajo, las retribuciones por la prestación de servicios que como administradores perciben los también socios con una participación del 25% en la sociedad, no constituyen una liberalidad no deducible por el hecho de que no estuvieran previstas en los estatutos sociales, siempre que el gasto esté contabilizado, correctamente imputado y justificado</w:t>
      </w:r>
      <w:r w:rsidRPr="003F1BD0">
        <w:rPr>
          <w:rFonts w:ascii="Verdana" w:hAnsi="Verdana"/>
          <w:sz w:val="18"/>
          <w:szCs w:val="18"/>
        </w:rPr>
        <w:t> y</w:t>
      </w:r>
      <w:r w:rsidR="00831120">
        <w:rPr>
          <w:rFonts w:ascii="Verdana" w:hAnsi="Verdana"/>
          <w:sz w:val="18"/>
          <w:szCs w:val="18"/>
        </w:rPr>
        <w:t>,</w:t>
      </w:r>
      <w:r w:rsidRPr="003F1BD0">
        <w:rPr>
          <w:rFonts w:ascii="Verdana" w:hAnsi="Verdana"/>
          <w:sz w:val="18"/>
          <w:szCs w:val="18"/>
        </w:rPr>
        <w:t xml:space="preserve"> por tanto</w:t>
      </w:r>
      <w:r w:rsidR="00831120">
        <w:rPr>
          <w:rFonts w:ascii="Verdana" w:hAnsi="Verdana"/>
          <w:sz w:val="18"/>
          <w:szCs w:val="18"/>
        </w:rPr>
        <w:t>,</w:t>
      </w:r>
      <w:r w:rsidRPr="003F1BD0">
        <w:rPr>
          <w:rFonts w:ascii="Verdana" w:hAnsi="Verdana"/>
          <w:sz w:val="18"/>
          <w:szCs w:val="18"/>
        </w:rPr>
        <w:t xml:space="preserve"> no puede calificarse un gasto como donativo o liberalidad -art 14.1.e) del TRLIS- por la retribución a los administradores de la sociedad de servicios efectivamente prestados, los cuales están directamente correlacionados con la actividad empresarial.</w:t>
      </w:r>
    </w:p>
    <w:p w14:paraId="3D447B4A" w14:textId="77777777" w:rsidR="003F1BD0" w:rsidRPr="003F1BD0" w:rsidRDefault="003F1BD0" w:rsidP="003F1BD0">
      <w:pPr>
        <w:tabs>
          <w:tab w:val="left" w:pos="284"/>
        </w:tabs>
        <w:ind w:left="284"/>
        <w:jc w:val="both"/>
        <w:rPr>
          <w:rFonts w:ascii="Verdana" w:hAnsi="Verdana"/>
          <w:sz w:val="18"/>
          <w:szCs w:val="18"/>
        </w:rPr>
      </w:pPr>
    </w:p>
    <w:p w14:paraId="4C50E438" w14:textId="625CCF25" w:rsidR="003F1BD0" w:rsidRDefault="003F1BD0" w:rsidP="003F1BD0">
      <w:pPr>
        <w:tabs>
          <w:tab w:val="left" w:pos="284"/>
        </w:tabs>
        <w:ind w:left="284"/>
        <w:jc w:val="both"/>
        <w:rPr>
          <w:rFonts w:ascii="Verdana" w:hAnsi="Verdana"/>
          <w:sz w:val="18"/>
          <w:szCs w:val="18"/>
        </w:rPr>
      </w:pPr>
      <w:r w:rsidRPr="003F1BD0">
        <w:rPr>
          <w:rFonts w:ascii="Verdana" w:hAnsi="Verdana"/>
          <w:b/>
          <w:bCs/>
          <w:sz w:val="18"/>
          <w:szCs w:val="18"/>
        </w:rPr>
        <w:t>El núcleo de la regularización se centra en la aplicación al caso de autos de la teoría del vínculo</w:t>
      </w:r>
      <w:r w:rsidRPr="003F1BD0">
        <w:rPr>
          <w:rFonts w:ascii="Verdana" w:hAnsi="Verdana"/>
          <w:sz w:val="18"/>
          <w:szCs w:val="18"/>
        </w:rPr>
        <w:t>, para, una vez aplicada la misma, afirmar que estamos ante un</w:t>
      </w:r>
      <w:r w:rsidR="00A610F4">
        <w:rPr>
          <w:rFonts w:ascii="Verdana" w:hAnsi="Verdana"/>
          <w:sz w:val="18"/>
          <w:szCs w:val="18"/>
        </w:rPr>
        <w:t>a</w:t>
      </w:r>
      <w:r w:rsidRPr="003F1BD0">
        <w:rPr>
          <w:rFonts w:ascii="Verdana" w:hAnsi="Verdana"/>
          <w:sz w:val="18"/>
          <w:szCs w:val="18"/>
        </w:rPr>
        <w:t xml:space="preserve"> donación o liberalidad. La Sala debe centrarse en si </w:t>
      </w:r>
      <w:r w:rsidRPr="003F1BD0">
        <w:rPr>
          <w:rFonts w:ascii="Verdana" w:hAnsi="Verdana"/>
          <w:b/>
          <w:bCs/>
          <w:sz w:val="18"/>
          <w:szCs w:val="18"/>
        </w:rPr>
        <w:t>la retribución a un socio/administrador por prestar servicios para la sociedad, servicios cuya realidad no son discutidos, constituye un gasto deducible cuando los estatutos de la sociedad establecen que el cargo de administrador es gratuito o no retribuido</w:t>
      </w:r>
      <w:r w:rsidRPr="003F1BD0">
        <w:rPr>
          <w:rFonts w:ascii="Verdana" w:hAnsi="Verdana"/>
          <w:sz w:val="18"/>
          <w:szCs w:val="18"/>
        </w:rPr>
        <w:t xml:space="preserve">, a la vista de que la Administración, a la hora de proceder a la regularización, se ha centrado exclusivamente en la retribución percibida por los administradores, no en la condición de socios que también concurría en aquellos. La norma fiscal no contiene una definición de qué debe entenderse por "gasto", por lo que debe acudirse al art. 10.3 </w:t>
      </w:r>
      <w:r w:rsidR="0046528A">
        <w:rPr>
          <w:rFonts w:ascii="Verdana" w:hAnsi="Verdana"/>
          <w:sz w:val="18"/>
          <w:szCs w:val="18"/>
        </w:rPr>
        <w:t>del Código de Comercio.</w:t>
      </w:r>
    </w:p>
    <w:p w14:paraId="6BA75510" w14:textId="77777777" w:rsidR="003F1BD0" w:rsidRPr="003F1BD0" w:rsidRDefault="003F1BD0" w:rsidP="003F1BD0">
      <w:pPr>
        <w:tabs>
          <w:tab w:val="left" w:pos="284"/>
        </w:tabs>
        <w:ind w:left="284"/>
        <w:jc w:val="both"/>
        <w:rPr>
          <w:rFonts w:ascii="Verdana" w:hAnsi="Verdana"/>
          <w:sz w:val="18"/>
          <w:szCs w:val="18"/>
        </w:rPr>
      </w:pPr>
    </w:p>
    <w:p w14:paraId="565026C9" w14:textId="77777777" w:rsidR="003F1BD0" w:rsidRDefault="003F1BD0" w:rsidP="003F1BD0">
      <w:pPr>
        <w:tabs>
          <w:tab w:val="left" w:pos="284"/>
        </w:tabs>
        <w:ind w:left="284"/>
        <w:jc w:val="both"/>
        <w:rPr>
          <w:rFonts w:ascii="Verdana" w:hAnsi="Verdana"/>
          <w:sz w:val="18"/>
          <w:szCs w:val="18"/>
        </w:rPr>
      </w:pPr>
      <w:r w:rsidRPr="003F1BD0">
        <w:rPr>
          <w:rFonts w:ascii="Verdana" w:hAnsi="Verdana"/>
          <w:sz w:val="18"/>
          <w:szCs w:val="18"/>
        </w:rPr>
        <w:t>No estamos ante una "distribución a los socios o propietarios", sino ante un supuesto de retribución a los administradores. </w:t>
      </w:r>
      <w:r w:rsidRPr="003F1BD0">
        <w:rPr>
          <w:rFonts w:ascii="Verdana" w:hAnsi="Verdana"/>
          <w:b/>
          <w:bCs/>
          <w:sz w:val="18"/>
          <w:szCs w:val="18"/>
        </w:rPr>
        <w:t>La Administración no ha discutido que estemos ante un gasto contable ni que se cumplan los requisitos generales para la deducción del gasto: inscripción contable, imputación y justificación</w:t>
      </w:r>
      <w:r w:rsidRPr="003F1BD0">
        <w:rPr>
          <w:rFonts w:ascii="Verdana" w:hAnsi="Verdana"/>
          <w:sz w:val="18"/>
          <w:szCs w:val="18"/>
        </w:rPr>
        <w:t>.</w:t>
      </w:r>
    </w:p>
    <w:p w14:paraId="3142F4ED" w14:textId="77777777" w:rsidR="003F1BD0" w:rsidRPr="003F1BD0" w:rsidRDefault="003F1BD0" w:rsidP="003F1BD0">
      <w:pPr>
        <w:tabs>
          <w:tab w:val="left" w:pos="284"/>
        </w:tabs>
        <w:ind w:left="284"/>
        <w:jc w:val="both"/>
        <w:rPr>
          <w:rFonts w:ascii="Verdana" w:hAnsi="Verdana"/>
          <w:sz w:val="18"/>
          <w:szCs w:val="18"/>
        </w:rPr>
      </w:pPr>
    </w:p>
    <w:p w14:paraId="5BECE32E" w14:textId="77777777" w:rsidR="003F1BD0" w:rsidRDefault="003F1BD0" w:rsidP="003F1BD0">
      <w:pPr>
        <w:tabs>
          <w:tab w:val="left" w:pos="284"/>
        </w:tabs>
        <w:ind w:left="284"/>
        <w:jc w:val="both"/>
        <w:rPr>
          <w:rFonts w:ascii="Verdana" w:hAnsi="Verdana"/>
          <w:sz w:val="18"/>
          <w:szCs w:val="18"/>
        </w:rPr>
      </w:pPr>
      <w:r w:rsidRPr="003F1BD0">
        <w:rPr>
          <w:rFonts w:ascii="Verdana" w:hAnsi="Verdana"/>
          <w:sz w:val="18"/>
          <w:szCs w:val="18"/>
        </w:rPr>
        <w:t>La </w:t>
      </w:r>
      <w:r w:rsidRPr="003F1BD0">
        <w:rPr>
          <w:rFonts w:ascii="Verdana" w:hAnsi="Verdana"/>
          <w:b/>
          <w:bCs/>
          <w:sz w:val="18"/>
          <w:szCs w:val="18"/>
        </w:rPr>
        <w:t>Administración debe justificar la concurrencia de alguno de los supuestos descritos en el art 14 TRLIS para rechazar que, a efectos del IS, el gasto contable sea gasto deducible fiscalmente, dando lugar al correspondiente ajuste</w:t>
      </w:r>
      <w:r w:rsidRPr="003F1BD0">
        <w:rPr>
          <w:rFonts w:ascii="Verdana" w:hAnsi="Verdana"/>
          <w:sz w:val="18"/>
          <w:szCs w:val="18"/>
        </w:rPr>
        <w:t>. En este caso, </w:t>
      </w:r>
      <w:r w:rsidRPr="003F1BD0">
        <w:rPr>
          <w:rFonts w:ascii="Verdana" w:hAnsi="Verdana"/>
          <w:b/>
          <w:bCs/>
          <w:sz w:val="18"/>
          <w:szCs w:val="18"/>
        </w:rPr>
        <w:t>la Administración y la sentencia impugnada se basan en una interpretación ya superada del concepto de donativo y liberalidad</w:t>
      </w:r>
      <w:r w:rsidRPr="003F1BD0">
        <w:rPr>
          <w:rFonts w:ascii="Verdana" w:hAnsi="Verdana"/>
          <w:sz w:val="18"/>
          <w:szCs w:val="18"/>
        </w:rPr>
        <w:t>, conforma a la cual, cuando un gasto no es legal -en nuestro caso por contravenir los estatutos de la sociedad- estamos ante una liberalidad. Así, la STS de 30 de marzo de 2021, recurso n.º 3454/2019. Si es cierto, sin embargo, que </w:t>
      </w:r>
      <w:r w:rsidRPr="003F1BD0">
        <w:rPr>
          <w:rFonts w:ascii="Verdana" w:hAnsi="Verdana"/>
          <w:b/>
          <w:bCs/>
          <w:sz w:val="18"/>
          <w:szCs w:val="18"/>
        </w:rPr>
        <w:t>la actuación de la sociedad ha infringido lo establecido en los estatutos</w:t>
      </w:r>
      <w:r w:rsidRPr="003F1BD0">
        <w:rPr>
          <w:rFonts w:ascii="Verdana" w:hAnsi="Verdana"/>
          <w:sz w:val="18"/>
          <w:szCs w:val="18"/>
        </w:rPr>
        <w:t>, pues el cargo de administrador no es remunerado.</w:t>
      </w:r>
    </w:p>
    <w:p w14:paraId="502F5267" w14:textId="77777777" w:rsidR="003F1BD0" w:rsidRPr="003F1BD0" w:rsidRDefault="003F1BD0" w:rsidP="003F1BD0">
      <w:pPr>
        <w:tabs>
          <w:tab w:val="left" w:pos="284"/>
        </w:tabs>
        <w:ind w:left="284"/>
        <w:jc w:val="both"/>
        <w:rPr>
          <w:rFonts w:ascii="Verdana" w:hAnsi="Verdana"/>
          <w:sz w:val="18"/>
          <w:szCs w:val="18"/>
        </w:rPr>
      </w:pPr>
    </w:p>
    <w:p w14:paraId="29D446B6" w14:textId="77777777" w:rsidR="003F1BD0" w:rsidRDefault="003F1BD0" w:rsidP="003F1BD0">
      <w:pPr>
        <w:tabs>
          <w:tab w:val="left" w:pos="284"/>
        </w:tabs>
        <w:ind w:left="284"/>
        <w:jc w:val="both"/>
        <w:rPr>
          <w:rFonts w:ascii="Verdana" w:hAnsi="Verdana"/>
          <w:sz w:val="18"/>
          <w:szCs w:val="18"/>
        </w:rPr>
      </w:pPr>
      <w:r w:rsidRPr="003F1BD0">
        <w:rPr>
          <w:rFonts w:ascii="Verdana" w:hAnsi="Verdana"/>
          <w:sz w:val="18"/>
          <w:szCs w:val="18"/>
        </w:rPr>
        <w:lastRenderedPageBreak/>
        <w:t>En el caso de autos, </w:t>
      </w:r>
      <w:r w:rsidRPr="003F1BD0">
        <w:rPr>
          <w:rFonts w:ascii="Verdana" w:hAnsi="Verdana"/>
          <w:b/>
          <w:bCs/>
          <w:sz w:val="18"/>
          <w:szCs w:val="18"/>
        </w:rPr>
        <w:t>resulta imposible que estemos ante una retribución de los fondos propios cuando la propia Administración tributaria no ha negado la prestación de servicios por los administradores</w:t>
      </w:r>
      <w:r w:rsidRPr="003F1BD0">
        <w:rPr>
          <w:rFonts w:ascii="Verdana" w:hAnsi="Verdana"/>
          <w:sz w:val="18"/>
          <w:szCs w:val="18"/>
        </w:rPr>
        <w:t> -la retribución se ha percibido por la condición de administrador no de socio- y la corrección en la cuantía de la remuneración no ha sido nunca cuestionada. Considera la Sala que </w:t>
      </w:r>
      <w:r w:rsidRPr="003F1BD0">
        <w:rPr>
          <w:rFonts w:ascii="Verdana" w:hAnsi="Verdana"/>
          <w:b/>
          <w:bCs/>
          <w:sz w:val="18"/>
          <w:szCs w:val="18"/>
        </w:rPr>
        <w:t>la retribución de los administradores correctamente contabilizada, imputada y justificada por la prestación de servicios efectivamente realizados es un gasto deducible</w:t>
      </w:r>
      <w:r w:rsidRPr="003F1BD0">
        <w:rPr>
          <w:rFonts w:ascii="Verdana" w:hAnsi="Verdana"/>
          <w:sz w:val="18"/>
          <w:szCs w:val="18"/>
        </w:rPr>
        <w:t>.</w:t>
      </w:r>
    </w:p>
    <w:p w14:paraId="3C40417E" w14:textId="77777777" w:rsidR="003F1BD0" w:rsidRPr="003F1BD0" w:rsidRDefault="003F1BD0" w:rsidP="003F1BD0">
      <w:pPr>
        <w:tabs>
          <w:tab w:val="left" w:pos="284"/>
        </w:tabs>
        <w:ind w:left="284"/>
        <w:jc w:val="both"/>
        <w:rPr>
          <w:rFonts w:ascii="Verdana" w:hAnsi="Verdana"/>
          <w:sz w:val="18"/>
          <w:szCs w:val="18"/>
        </w:rPr>
      </w:pPr>
    </w:p>
    <w:p w14:paraId="4FA97647" w14:textId="77777777" w:rsidR="003F1BD0" w:rsidRDefault="003F1BD0" w:rsidP="003F1BD0">
      <w:pPr>
        <w:tabs>
          <w:tab w:val="left" w:pos="284"/>
        </w:tabs>
        <w:ind w:left="284"/>
        <w:jc w:val="both"/>
        <w:rPr>
          <w:rFonts w:ascii="Verdana" w:hAnsi="Verdana"/>
          <w:sz w:val="18"/>
          <w:szCs w:val="18"/>
        </w:rPr>
      </w:pPr>
      <w:r w:rsidRPr="003F1BD0">
        <w:rPr>
          <w:rFonts w:ascii="Verdana" w:hAnsi="Verdana"/>
          <w:sz w:val="18"/>
          <w:szCs w:val="18"/>
        </w:rPr>
        <w:t>Corresponde a la Administración tributaria justificar que, pese a encontrarnos ante un gasto contable, no cabe la deducción de aquel al concurrir alguna de las causas establecidas en la norma fiscal que impiden la deducción del gasto. La retribución de los administradores, en la medida en que tiene por objeto el enriquecimiento de la empresa y, por lo tanto, la generación de ingresos, </w:t>
      </w:r>
      <w:r w:rsidRPr="003F1BD0">
        <w:rPr>
          <w:rFonts w:ascii="Verdana" w:hAnsi="Verdana"/>
          <w:b/>
          <w:bCs/>
          <w:sz w:val="18"/>
          <w:szCs w:val="18"/>
        </w:rPr>
        <w:t>no es una donación o liberalidad. La infracción de lo establecido en los estatutos de la sociedad al retribuir a los administradores, no constituye, en principio, un incumplimiento del ordenamiento jurídico relevante que impida la deducción del gasto</w:t>
      </w:r>
      <w:r w:rsidRPr="003F1BD0">
        <w:rPr>
          <w:rFonts w:ascii="Verdana" w:hAnsi="Verdana"/>
          <w:sz w:val="18"/>
          <w:szCs w:val="18"/>
        </w:rPr>
        <w:t>.</w:t>
      </w:r>
    </w:p>
    <w:p w14:paraId="5B0589D8" w14:textId="77777777" w:rsidR="004E793E" w:rsidRDefault="004E793E" w:rsidP="003F1BD0">
      <w:pPr>
        <w:tabs>
          <w:tab w:val="left" w:pos="284"/>
        </w:tabs>
        <w:ind w:left="284"/>
        <w:jc w:val="both"/>
        <w:rPr>
          <w:rFonts w:ascii="Verdana" w:hAnsi="Verdana"/>
          <w:sz w:val="18"/>
          <w:szCs w:val="18"/>
        </w:rPr>
      </w:pPr>
    </w:p>
    <w:p w14:paraId="796CC22A" w14:textId="77777777" w:rsidR="004E793E" w:rsidRDefault="004E793E" w:rsidP="003F1BD0">
      <w:pPr>
        <w:tabs>
          <w:tab w:val="left" w:pos="284"/>
        </w:tabs>
        <w:ind w:left="284"/>
        <w:jc w:val="both"/>
        <w:rPr>
          <w:rFonts w:ascii="Verdana" w:hAnsi="Verdana"/>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24191D" w:rsidRPr="0024191D" w14:paraId="7D723132" w14:textId="77777777" w:rsidTr="00B60E45">
        <w:tc>
          <w:tcPr>
            <w:tcW w:w="180" w:type="dxa"/>
            <w:shd w:val="clear" w:color="auto" w:fill="FF6600"/>
          </w:tcPr>
          <w:p w14:paraId="05F23AAE" w14:textId="77777777" w:rsidR="0024191D" w:rsidRPr="0024191D" w:rsidRDefault="0024191D" w:rsidP="00B60E45">
            <w:pPr>
              <w:rPr>
                <w:rFonts w:ascii="Verdana" w:hAnsi="Verdana"/>
                <w:b/>
                <w:bCs/>
                <w:color w:val="800000"/>
                <w:sz w:val="18"/>
                <w:szCs w:val="18"/>
              </w:rPr>
            </w:pPr>
          </w:p>
        </w:tc>
        <w:tc>
          <w:tcPr>
            <w:tcW w:w="8460" w:type="dxa"/>
          </w:tcPr>
          <w:p w14:paraId="38C1CA14" w14:textId="575D75E4" w:rsidR="0024191D" w:rsidRPr="0024191D" w:rsidRDefault="0024191D" w:rsidP="00B60E45">
            <w:pPr>
              <w:pStyle w:val="Prrafodelista"/>
              <w:numPr>
                <w:ilvl w:val="0"/>
                <w:numId w:val="2"/>
              </w:numPr>
              <w:tabs>
                <w:tab w:val="num" w:pos="284"/>
              </w:tabs>
              <w:ind w:left="382" w:hanging="283"/>
              <w:jc w:val="both"/>
              <w:rPr>
                <w:rFonts w:ascii="Verdana" w:hAnsi="Verdana"/>
                <w:b/>
                <w:bCs/>
                <w:color w:val="800000"/>
                <w:sz w:val="18"/>
                <w:szCs w:val="18"/>
              </w:rPr>
            </w:pPr>
            <w:r w:rsidRPr="0024191D">
              <w:rPr>
                <w:rFonts w:ascii="Verdana" w:hAnsi="Verdana"/>
                <w:b/>
                <w:bCs/>
                <w:color w:val="800000"/>
                <w:sz w:val="18"/>
                <w:szCs w:val="18"/>
              </w:rPr>
              <w:t>IS.-CAMBIOS EN EL IMPUESTO SOBRE SOCIEDADES 2025</w:t>
            </w:r>
          </w:p>
        </w:tc>
      </w:tr>
    </w:tbl>
    <w:p w14:paraId="1417710D" w14:textId="77777777" w:rsidR="004E793E" w:rsidRDefault="004E793E" w:rsidP="003F1BD0">
      <w:pPr>
        <w:tabs>
          <w:tab w:val="left" w:pos="284"/>
        </w:tabs>
        <w:ind w:left="284"/>
        <w:jc w:val="both"/>
        <w:rPr>
          <w:rFonts w:ascii="Verdana" w:hAnsi="Verdana"/>
          <w:sz w:val="18"/>
          <w:szCs w:val="18"/>
        </w:rPr>
      </w:pPr>
    </w:p>
    <w:p w14:paraId="6CADDF0D" w14:textId="4AF30BAE" w:rsidR="0024191D" w:rsidRDefault="0024191D" w:rsidP="0024191D">
      <w:pPr>
        <w:tabs>
          <w:tab w:val="left" w:pos="284"/>
        </w:tabs>
        <w:ind w:left="284"/>
        <w:jc w:val="both"/>
        <w:rPr>
          <w:rFonts w:ascii="Verdana" w:hAnsi="Verdana"/>
          <w:sz w:val="18"/>
          <w:szCs w:val="18"/>
        </w:rPr>
      </w:pPr>
      <w:r w:rsidRPr="0024191D">
        <w:rPr>
          <w:rFonts w:ascii="Verdana" w:hAnsi="Verdana"/>
          <w:sz w:val="18"/>
          <w:szCs w:val="18"/>
        </w:rPr>
        <w:t>La declaración del</w:t>
      </w:r>
      <w:r>
        <w:rPr>
          <w:rFonts w:ascii="Verdana" w:hAnsi="Verdana"/>
          <w:sz w:val="18"/>
          <w:szCs w:val="18"/>
        </w:rPr>
        <w:t xml:space="preserve"> Impuesto sobre Sociedades 2025</w:t>
      </w:r>
      <w:r w:rsidRPr="0024191D">
        <w:rPr>
          <w:rFonts w:ascii="Verdana" w:hAnsi="Verdana"/>
          <w:sz w:val="18"/>
          <w:szCs w:val="18"/>
        </w:rPr>
        <w:t xml:space="preserve">, referente al ejercicio 2024, conlleva algunas novedades que las empresas deberán aplicar. </w:t>
      </w:r>
      <w:r>
        <w:rPr>
          <w:rFonts w:ascii="Verdana" w:hAnsi="Verdana"/>
          <w:sz w:val="18"/>
          <w:szCs w:val="18"/>
        </w:rPr>
        <w:t xml:space="preserve">Resumimos </w:t>
      </w:r>
      <w:r w:rsidRPr="0024191D">
        <w:rPr>
          <w:rFonts w:ascii="Verdana" w:hAnsi="Verdana"/>
          <w:sz w:val="18"/>
          <w:szCs w:val="18"/>
        </w:rPr>
        <w:t>algunas de ellas: </w:t>
      </w:r>
    </w:p>
    <w:p w14:paraId="3F643D17" w14:textId="77777777" w:rsidR="0024191D" w:rsidRPr="0024191D" w:rsidRDefault="0024191D" w:rsidP="0024191D">
      <w:pPr>
        <w:tabs>
          <w:tab w:val="left" w:pos="284"/>
        </w:tabs>
        <w:ind w:left="284"/>
        <w:jc w:val="both"/>
        <w:rPr>
          <w:rFonts w:ascii="Verdana" w:hAnsi="Verdana"/>
          <w:sz w:val="18"/>
          <w:szCs w:val="18"/>
        </w:rPr>
      </w:pPr>
    </w:p>
    <w:p w14:paraId="6552E66A" w14:textId="4550E578" w:rsidR="0024191D" w:rsidRDefault="0024191D" w:rsidP="004817F2">
      <w:pPr>
        <w:tabs>
          <w:tab w:val="left" w:pos="284"/>
        </w:tabs>
        <w:ind w:left="360"/>
        <w:jc w:val="both"/>
        <w:rPr>
          <w:rFonts w:ascii="Verdana" w:hAnsi="Verdana"/>
          <w:sz w:val="18"/>
          <w:szCs w:val="18"/>
        </w:rPr>
      </w:pPr>
      <w:r w:rsidRPr="0024191D">
        <w:rPr>
          <w:rFonts w:ascii="Verdana" w:hAnsi="Verdana"/>
          <w:b/>
          <w:bCs/>
          <w:sz w:val="18"/>
          <w:szCs w:val="18"/>
        </w:rPr>
        <w:t>Reserva de capitalización</w:t>
      </w:r>
      <w:r w:rsidRPr="0024191D">
        <w:rPr>
          <w:rFonts w:ascii="Verdana" w:hAnsi="Verdana"/>
          <w:sz w:val="18"/>
          <w:szCs w:val="18"/>
        </w:rPr>
        <w:t xml:space="preserve">. Para los ejercicios que comienzan el 01/01/2024 el porcentaje de reducción en la base imponible </w:t>
      </w:r>
      <w:r w:rsidRPr="0024191D">
        <w:rPr>
          <w:rFonts w:ascii="Verdana" w:hAnsi="Verdana"/>
          <w:b/>
          <w:bCs/>
          <w:sz w:val="18"/>
          <w:szCs w:val="18"/>
        </w:rPr>
        <w:t>será del 15% del incremento de los fondos propios</w:t>
      </w:r>
      <w:r w:rsidRPr="0024191D">
        <w:rPr>
          <w:rFonts w:ascii="Verdana" w:hAnsi="Verdana"/>
          <w:sz w:val="18"/>
          <w:szCs w:val="18"/>
        </w:rPr>
        <w:t xml:space="preserve"> (en los ejercicios anteriores este porcentaje era del 10%). El incremento de los fondos propios se debe mantener durante un plazo de 3 años.</w:t>
      </w:r>
    </w:p>
    <w:p w14:paraId="5A85B6D6" w14:textId="77777777" w:rsidR="0024191D" w:rsidRDefault="0024191D" w:rsidP="0024191D">
      <w:pPr>
        <w:tabs>
          <w:tab w:val="left" w:pos="284"/>
        </w:tabs>
        <w:ind w:left="284"/>
        <w:jc w:val="both"/>
        <w:rPr>
          <w:rFonts w:ascii="Verdana" w:hAnsi="Verdana"/>
          <w:sz w:val="18"/>
          <w:szCs w:val="18"/>
        </w:rPr>
      </w:pPr>
    </w:p>
    <w:p w14:paraId="385E518A" w14:textId="17C7839D" w:rsidR="0024191D" w:rsidRPr="0024191D" w:rsidRDefault="0024191D" w:rsidP="0024191D">
      <w:pPr>
        <w:tabs>
          <w:tab w:val="left" w:pos="284"/>
        </w:tabs>
        <w:ind w:left="284"/>
        <w:jc w:val="both"/>
        <w:rPr>
          <w:rFonts w:ascii="Verdana" w:hAnsi="Verdana"/>
          <w:sz w:val="18"/>
          <w:szCs w:val="18"/>
        </w:rPr>
      </w:pPr>
      <w:r w:rsidRPr="0024191D">
        <w:rPr>
          <w:rFonts w:ascii="Verdana" w:hAnsi="Verdana"/>
          <w:b/>
          <w:bCs/>
          <w:sz w:val="18"/>
          <w:szCs w:val="18"/>
        </w:rPr>
        <w:t xml:space="preserve">A partir del 1 de </w:t>
      </w:r>
      <w:r w:rsidR="004817F2" w:rsidRPr="0024191D">
        <w:rPr>
          <w:rFonts w:ascii="Verdana" w:hAnsi="Verdana"/>
          <w:b/>
          <w:bCs/>
          <w:sz w:val="18"/>
          <w:szCs w:val="18"/>
        </w:rPr>
        <w:t>enero</w:t>
      </w:r>
      <w:r w:rsidRPr="0024191D">
        <w:rPr>
          <w:rFonts w:ascii="Verdana" w:hAnsi="Verdana"/>
          <w:b/>
          <w:bCs/>
          <w:sz w:val="18"/>
          <w:szCs w:val="18"/>
        </w:rPr>
        <w:t xml:space="preserve"> de 2025</w:t>
      </w:r>
      <w:r w:rsidRPr="0024191D">
        <w:rPr>
          <w:rFonts w:ascii="Verdana" w:hAnsi="Verdana"/>
          <w:sz w:val="18"/>
          <w:szCs w:val="18"/>
        </w:rPr>
        <w:t xml:space="preserve"> el porcentaje de reducción será:</w:t>
      </w:r>
    </w:p>
    <w:p w14:paraId="156AFD97" w14:textId="77777777" w:rsidR="0024191D" w:rsidRPr="0024191D" w:rsidRDefault="0024191D" w:rsidP="0024191D">
      <w:pPr>
        <w:numPr>
          <w:ilvl w:val="0"/>
          <w:numId w:val="14"/>
        </w:numPr>
        <w:tabs>
          <w:tab w:val="left" w:pos="284"/>
        </w:tabs>
        <w:jc w:val="both"/>
        <w:rPr>
          <w:rFonts w:ascii="Verdana" w:hAnsi="Verdana"/>
          <w:sz w:val="18"/>
          <w:szCs w:val="18"/>
        </w:rPr>
      </w:pPr>
      <w:r w:rsidRPr="0024191D">
        <w:rPr>
          <w:rFonts w:ascii="Verdana" w:hAnsi="Verdana"/>
          <w:sz w:val="18"/>
          <w:szCs w:val="18"/>
        </w:rPr>
        <w:t>20% con carácter general.</w:t>
      </w:r>
    </w:p>
    <w:p w14:paraId="448F5742" w14:textId="77777777" w:rsidR="0024191D" w:rsidRPr="0024191D" w:rsidRDefault="0024191D" w:rsidP="0024191D">
      <w:pPr>
        <w:numPr>
          <w:ilvl w:val="0"/>
          <w:numId w:val="15"/>
        </w:numPr>
        <w:tabs>
          <w:tab w:val="left" w:pos="284"/>
        </w:tabs>
        <w:jc w:val="both"/>
        <w:rPr>
          <w:rFonts w:ascii="Verdana" w:hAnsi="Verdana"/>
          <w:sz w:val="18"/>
          <w:szCs w:val="18"/>
        </w:rPr>
      </w:pPr>
      <w:r w:rsidRPr="0024191D">
        <w:rPr>
          <w:rFonts w:ascii="Verdana" w:hAnsi="Verdana"/>
          <w:sz w:val="18"/>
          <w:szCs w:val="18"/>
        </w:rPr>
        <w:t>Si la plantilla media total en el período impositivo se incrementa respecto de la plantilla media total del período impositivo inmediato anterior:</w:t>
      </w:r>
    </w:p>
    <w:p w14:paraId="4A134ACE" w14:textId="77777777" w:rsidR="0024191D" w:rsidRPr="0024191D" w:rsidRDefault="0024191D" w:rsidP="0024191D">
      <w:pPr>
        <w:numPr>
          <w:ilvl w:val="1"/>
          <w:numId w:val="15"/>
        </w:numPr>
        <w:tabs>
          <w:tab w:val="left" w:pos="284"/>
        </w:tabs>
        <w:jc w:val="both"/>
        <w:rPr>
          <w:rFonts w:ascii="Verdana" w:hAnsi="Verdana"/>
          <w:sz w:val="18"/>
          <w:szCs w:val="18"/>
        </w:rPr>
      </w:pPr>
      <w:r w:rsidRPr="0024191D">
        <w:rPr>
          <w:rFonts w:ascii="Verdana" w:hAnsi="Verdana"/>
          <w:sz w:val="18"/>
          <w:szCs w:val="18"/>
        </w:rPr>
        <w:t>Entre el 2% y el 5%: 23%</w:t>
      </w:r>
    </w:p>
    <w:p w14:paraId="612993C8" w14:textId="77777777" w:rsidR="0024191D" w:rsidRPr="0024191D" w:rsidRDefault="0024191D" w:rsidP="0024191D">
      <w:pPr>
        <w:numPr>
          <w:ilvl w:val="1"/>
          <w:numId w:val="15"/>
        </w:numPr>
        <w:tabs>
          <w:tab w:val="left" w:pos="284"/>
        </w:tabs>
        <w:jc w:val="both"/>
        <w:rPr>
          <w:rFonts w:ascii="Verdana" w:hAnsi="Verdana"/>
          <w:sz w:val="18"/>
          <w:szCs w:val="18"/>
        </w:rPr>
      </w:pPr>
      <w:r w:rsidRPr="0024191D">
        <w:rPr>
          <w:rFonts w:ascii="Verdana" w:hAnsi="Verdana"/>
          <w:sz w:val="18"/>
          <w:szCs w:val="18"/>
        </w:rPr>
        <w:t>Entre el 5% y el 10%: 26,5%</w:t>
      </w:r>
    </w:p>
    <w:p w14:paraId="13173C6C" w14:textId="77777777" w:rsidR="0024191D" w:rsidRPr="0024191D" w:rsidRDefault="0024191D" w:rsidP="0024191D">
      <w:pPr>
        <w:numPr>
          <w:ilvl w:val="1"/>
          <w:numId w:val="15"/>
        </w:numPr>
        <w:tabs>
          <w:tab w:val="left" w:pos="284"/>
        </w:tabs>
        <w:jc w:val="both"/>
        <w:rPr>
          <w:rFonts w:ascii="Verdana" w:hAnsi="Verdana"/>
          <w:sz w:val="18"/>
          <w:szCs w:val="18"/>
        </w:rPr>
      </w:pPr>
      <w:r w:rsidRPr="0024191D">
        <w:rPr>
          <w:rFonts w:ascii="Verdana" w:hAnsi="Verdana"/>
          <w:sz w:val="18"/>
          <w:szCs w:val="18"/>
        </w:rPr>
        <w:t>Mayor del 10%: 30%</w:t>
      </w:r>
    </w:p>
    <w:p w14:paraId="7D75A9C3" w14:textId="77777777" w:rsidR="0024191D" w:rsidRPr="0024191D" w:rsidRDefault="0024191D" w:rsidP="0024191D">
      <w:pPr>
        <w:tabs>
          <w:tab w:val="left" w:pos="284"/>
        </w:tabs>
        <w:ind w:left="284"/>
        <w:jc w:val="both"/>
        <w:rPr>
          <w:rFonts w:ascii="Verdana" w:hAnsi="Verdana"/>
          <w:b/>
          <w:bCs/>
          <w:sz w:val="18"/>
          <w:szCs w:val="18"/>
        </w:rPr>
      </w:pPr>
      <w:r w:rsidRPr="0024191D">
        <w:rPr>
          <w:rFonts w:ascii="Verdana" w:hAnsi="Verdana"/>
          <w:sz w:val="18"/>
          <w:szCs w:val="18"/>
        </w:rPr>
        <w:t>El incremento de los fondos propios se debe mantener durante un plazo de 3 años.</w:t>
      </w:r>
      <w:r w:rsidRPr="0024191D">
        <w:rPr>
          <w:rFonts w:ascii="Verdana" w:hAnsi="Verdana"/>
          <w:sz w:val="18"/>
          <w:szCs w:val="18"/>
        </w:rPr>
        <w:br/>
      </w:r>
      <w:r w:rsidRPr="0024191D">
        <w:rPr>
          <w:rFonts w:ascii="Verdana" w:hAnsi="Verdana"/>
          <w:sz w:val="18"/>
          <w:szCs w:val="18"/>
        </w:rPr>
        <w:br/>
      </w:r>
      <w:r w:rsidRPr="0024191D">
        <w:rPr>
          <w:rFonts w:ascii="Verdana" w:hAnsi="Verdana"/>
          <w:b/>
          <w:bCs/>
          <w:sz w:val="18"/>
          <w:szCs w:val="18"/>
          <w:u w:val="single"/>
        </w:rPr>
        <w:t>Límites de la reducción</w:t>
      </w:r>
      <w:r w:rsidRPr="0024191D">
        <w:rPr>
          <w:rFonts w:ascii="Verdana" w:hAnsi="Verdana"/>
          <w:b/>
          <w:bCs/>
          <w:sz w:val="18"/>
          <w:szCs w:val="18"/>
        </w:rPr>
        <w:t>:</w:t>
      </w:r>
    </w:p>
    <w:p w14:paraId="25FE9654" w14:textId="77777777" w:rsidR="0024191D" w:rsidRPr="0024191D" w:rsidRDefault="0024191D" w:rsidP="0024191D">
      <w:pPr>
        <w:numPr>
          <w:ilvl w:val="0"/>
          <w:numId w:val="16"/>
        </w:numPr>
        <w:tabs>
          <w:tab w:val="left" w:pos="284"/>
        </w:tabs>
        <w:jc w:val="both"/>
        <w:rPr>
          <w:rFonts w:ascii="Verdana" w:hAnsi="Verdana"/>
          <w:sz w:val="18"/>
          <w:szCs w:val="18"/>
        </w:rPr>
      </w:pPr>
      <w:r w:rsidRPr="0024191D">
        <w:rPr>
          <w:rFonts w:ascii="Verdana" w:hAnsi="Verdana"/>
          <w:sz w:val="18"/>
          <w:szCs w:val="18"/>
        </w:rPr>
        <w:t>20% de la base imponible o 25% si la facturación es inferior a 1 millón de euros.</w:t>
      </w:r>
    </w:p>
    <w:p w14:paraId="32D9CAFD" w14:textId="77777777" w:rsidR="0024191D" w:rsidRPr="0024191D" w:rsidRDefault="0024191D" w:rsidP="0024191D">
      <w:pPr>
        <w:numPr>
          <w:ilvl w:val="0"/>
          <w:numId w:val="17"/>
        </w:numPr>
        <w:tabs>
          <w:tab w:val="left" w:pos="284"/>
        </w:tabs>
        <w:jc w:val="both"/>
        <w:rPr>
          <w:rFonts w:ascii="Verdana" w:hAnsi="Verdana"/>
          <w:sz w:val="18"/>
          <w:szCs w:val="18"/>
        </w:rPr>
      </w:pPr>
      <w:r w:rsidRPr="0024191D">
        <w:rPr>
          <w:rFonts w:ascii="Verdana" w:hAnsi="Verdana"/>
          <w:sz w:val="18"/>
          <w:szCs w:val="18"/>
        </w:rPr>
        <w:t>Las cantidades pendientes por insuficiencia de base imponible podrán aplicarse en los dos ejercicios siguientes.</w:t>
      </w:r>
    </w:p>
    <w:p w14:paraId="684D27C5" w14:textId="3A5A13FE" w:rsidR="0024191D" w:rsidRPr="0024191D" w:rsidRDefault="0024191D" w:rsidP="0024191D">
      <w:pPr>
        <w:tabs>
          <w:tab w:val="left" w:pos="284"/>
        </w:tabs>
        <w:ind w:left="284"/>
        <w:jc w:val="both"/>
        <w:rPr>
          <w:rFonts w:ascii="Verdana" w:hAnsi="Verdana"/>
          <w:sz w:val="18"/>
          <w:szCs w:val="18"/>
        </w:rPr>
      </w:pPr>
    </w:p>
    <w:p w14:paraId="72FBA4ED" w14:textId="77777777" w:rsidR="0024191D" w:rsidRDefault="0024191D" w:rsidP="00CA5919">
      <w:pPr>
        <w:tabs>
          <w:tab w:val="left" w:pos="142"/>
        </w:tabs>
        <w:ind w:left="284"/>
        <w:jc w:val="both"/>
        <w:rPr>
          <w:rFonts w:ascii="Verdana" w:hAnsi="Verdana"/>
          <w:sz w:val="18"/>
          <w:szCs w:val="18"/>
        </w:rPr>
      </w:pPr>
      <w:r w:rsidRPr="0024191D">
        <w:rPr>
          <w:rFonts w:ascii="Verdana" w:hAnsi="Verdana"/>
          <w:b/>
          <w:bCs/>
          <w:sz w:val="18"/>
          <w:szCs w:val="18"/>
        </w:rPr>
        <w:t>Incremento de los porcentajes y límites de deducción por donativos</w:t>
      </w:r>
      <w:r w:rsidRPr="0024191D">
        <w:rPr>
          <w:rFonts w:ascii="Verdana" w:hAnsi="Verdana"/>
          <w:sz w:val="18"/>
          <w:szCs w:val="18"/>
        </w:rPr>
        <w:t>, tanto para las de carácter general como las de actividades prioritarias de mecenazgo. Por ejemplo, las donaciones a entidades sin fines de lucro pasan del 35% al 40% y del 40% al 50% en el caso de donaciones a entidades sin fines de lucro con reiteración. El límite de la base de la deducción de ambas pasa a ser el 15% de la Base Imponible. En cambio, las donaciones a actividades prioritarias de mecenazgo pasan del 40% al 45% y del 45% al 55%, en el caso de donaciones a actividades prioritarias de mecenazgo con reiteración. El límite de la base de deducción de ambas pasa a ser el 20% de la Base Imponible.</w:t>
      </w:r>
    </w:p>
    <w:p w14:paraId="17BEAAB2" w14:textId="77777777" w:rsidR="0024191D" w:rsidRPr="0024191D" w:rsidRDefault="0024191D" w:rsidP="00CA5919">
      <w:pPr>
        <w:tabs>
          <w:tab w:val="left" w:pos="142"/>
        </w:tabs>
        <w:ind w:left="284"/>
        <w:jc w:val="both"/>
        <w:rPr>
          <w:rFonts w:ascii="Verdana" w:hAnsi="Verdana"/>
          <w:sz w:val="18"/>
          <w:szCs w:val="18"/>
        </w:rPr>
      </w:pPr>
    </w:p>
    <w:p w14:paraId="3AF31BAC" w14:textId="4321B433" w:rsidR="0024191D" w:rsidRDefault="0024191D" w:rsidP="00CA5919">
      <w:pPr>
        <w:tabs>
          <w:tab w:val="left" w:pos="142"/>
        </w:tabs>
        <w:ind w:left="284"/>
        <w:jc w:val="both"/>
        <w:rPr>
          <w:rFonts w:ascii="Verdana" w:hAnsi="Verdana"/>
          <w:sz w:val="18"/>
          <w:szCs w:val="18"/>
        </w:rPr>
      </w:pPr>
      <w:r w:rsidRPr="0024191D">
        <w:rPr>
          <w:rFonts w:ascii="Verdana" w:hAnsi="Verdana"/>
          <w:b/>
          <w:bCs/>
          <w:sz w:val="18"/>
          <w:szCs w:val="18"/>
        </w:rPr>
        <w:t>Compensación de bases imponibles negativas</w:t>
      </w:r>
      <w:r w:rsidRPr="0024191D">
        <w:rPr>
          <w:rFonts w:ascii="Verdana" w:hAnsi="Verdana"/>
          <w:sz w:val="18"/>
          <w:szCs w:val="18"/>
        </w:rPr>
        <w:t>. Desde el 1 de enero de 2024 se reestablecen los límites más restrictivos en función del importe neto de la cifra de negocios o INCN (70 % cuando sea inferi</w:t>
      </w:r>
      <w:r w:rsidR="00097231">
        <w:rPr>
          <w:rFonts w:ascii="Verdana" w:hAnsi="Verdana"/>
          <w:sz w:val="18"/>
          <w:szCs w:val="18"/>
        </w:rPr>
        <w:t>o</w:t>
      </w:r>
      <w:r w:rsidRPr="0024191D">
        <w:rPr>
          <w:rFonts w:ascii="Verdana" w:hAnsi="Verdana"/>
          <w:sz w:val="18"/>
          <w:szCs w:val="18"/>
        </w:rPr>
        <w:t>r a 20 millones de euros, 50 % entre 20 y 60 millones, y 25 % para más de 60 millones).  Además, se reintroduce la limitación específica para la aplicación de deducciones por doble imposición, tanto interna como internacional, que afecta a los contribuyentes con un INCN igual o superior a 20 millones de euros, que no podrá exceder del 50 % de la cuota íntegra del contribuyente. </w:t>
      </w:r>
    </w:p>
    <w:p w14:paraId="0FE52CB6" w14:textId="77777777" w:rsidR="0024191D" w:rsidRPr="0024191D" w:rsidRDefault="0024191D" w:rsidP="00CA5919">
      <w:pPr>
        <w:tabs>
          <w:tab w:val="left" w:pos="142"/>
        </w:tabs>
        <w:ind w:left="284"/>
        <w:jc w:val="both"/>
        <w:rPr>
          <w:rFonts w:ascii="Verdana" w:hAnsi="Verdana"/>
          <w:sz w:val="18"/>
          <w:szCs w:val="18"/>
        </w:rPr>
      </w:pPr>
    </w:p>
    <w:p w14:paraId="1B796DD4" w14:textId="77777777" w:rsidR="0024191D" w:rsidRDefault="0024191D" w:rsidP="00CA5919">
      <w:pPr>
        <w:tabs>
          <w:tab w:val="left" w:pos="142"/>
        </w:tabs>
        <w:ind w:left="284"/>
        <w:jc w:val="both"/>
        <w:rPr>
          <w:rFonts w:ascii="Verdana" w:hAnsi="Verdana"/>
          <w:sz w:val="18"/>
          <w:szCs w:val="18"/>
        </w:rPr>
      </w:pPr>
      <w:r w:rsidRPr="0024191D">
        <w:rPr>
          <w:rFonts w:ascii="Verdana" w:hAnsi="Verdana"/>
          <w:sz w:val="18"/>
          <w:szCs w:val="18"/>
        </w:rPr>
        <w:lastRenderedPageBreak/>
        <w:t>Para los grupos fiscales, se prorroga hasta 2025 la medida que limita la compensación de bases imponibles negativas al 50% de las bases individuales. Las cantidades no compensadas se podrán integrar de forma escalonada en los años siguientes.</w:t>
      </w:r>
    </w:p>
    <w:p w14:paraId="2C705200" w14:textId="77777777" w:rsidR="0024191D" w:rsidRPr="0024191D" w:rsidRDefault="0024191D" w:rsidP="00CA5919">
      <w:pPr>
        <w:tabs>
          <w:tab w:val="left" w:pos="142"/>
        </w:tabs>
        <w:ind w:left="284"/>
        <w:jc w:val="both"/>
        <w:rPr>
          <w:rFonts w:ascii="Verdana" w:hAnsi="Verdana"/>
          <w:sz w:val="18"/>
          <w:szCs w:val="18"/>
        </w:rPr>
      </w:pPr>
    </w:p>
    <w:p w14:paraId="1C77176A" w14:textId="77777777" w:rsidR="0024191D" w:rsidRDefault="0024191D" w:rsidP="00CA5919">
      <w:pPr>
        <w:tabs>
          <w:tab w:val="left" w:pos="142"/>
        </w:tabs>
        <w:ind w:left="284"/>
        <w:jc w:val="both"/>
        <w:rPr>
          <w:rFonts w:ascii="Verdana" w:hAnsi="Verdana"/>
          <w:sz w:val="18"/>
          <w:szCs w:val="18"/>
        </w:rPr>
      </w:pPr>
      <w:hyperlink r:id="rId8" w:history="1">
        <w:r w:rsidRPr="0024191D">
          <w:rPr>
            <w:rStyle w:val="Hipervnculo"/>
            <w:rFonts w:ascii="Verdana" w:hAnsi="Verdana"/>
            <w:b/>
            <w:bCs/>
            <w:color w:val="auto"/>
            <w:sz w:val="18"/>
            <w:szCs w:val="18"/>
          </w:rPr>
          <w:t>Casilla Empresa Solidaria</w:t>
        </w:r>
      </w:hyperlink>
      <w:r w:rsidRPr="0024191D">
        <w:rPr>
          <w:rFonts w:ascii="Verdana" w:hAnsi="Verdana"/>
          <w:sz w:val="18"/>
          <w:szCs w:val="18"/>
        </w:rPr>
        <w:t>. Esta casilla permite que las empresas se involucren en la transformación social destinando el 0,7 % de la cuota íntegra del IS a subvencionar proyectos sociales, sin coste para ella. Tras su primera aplicación en el ejercicio 2023, vuelve a aplicarse en el ejercicio 2024. La casilla se encuentra en el apartado ‘Otros caracteres - fines sociales’ del Impuesto de Sociedades, en la casilla 00073 del modelo 200 o la 069 del modelo 220.</w:t>
      </w:r>
    </w:p>
    <w:p w14:paraId="5B712129" w14:textId="77777777" w:rsidR="0024191D" w:rsidRPr="0024191D" w:rsidRDefault="0024191D" w:rsidP="0024191D">
      <w:pPr>
        <w:tabs>
          <w:tab w:val="left" w:pos="284"/>
        </w:tabs>
        <w:ind w:left="142"/>
        <w:jc w:val="both"/>
        <w:rPr>
          <w:rFonts w:ascii="Verdana" w:hAnsi="Verdana"/>
          <w:sz w:val="18"/>
          <w:szCs w:val="18"/>
        </w:rPr>
      </w:pPr>
    </w:p>
    <w:p w14:paraId="1FC9F63B" w14:textId="77777777" w:rsidR="0024191D" w:rsidRPr="0024191D" w:rsidRDefault="0024191D" w:rsidP="004817F2">
      <w:pPr>
        <w:tabs>
          <w:tab w:val="left" w:pos="284"/>
        </w:tabs>
        <w:ind w:left="284"/>
        <w:jc w:val="both"/>
        <w:rPr>
          <w:rFonts w:ascii="Verdana" w:hAnsi="Verdana"/>
          <w:sz w:val="18"/>
          <w:szCs w:val="18"/>
        </w:rPr>
      </w:pPr>
      <w:r w:rsidRPr="0024191D">
        <w:rPr>
          <w:rFonts w:ascii="Verdana" w:hAnsi="Verdana"/>
          <w:sz w:val="18"/>
          <w:szCs w:val="18"/>
        </w:rPr>
        <w:t xml:space="preserve">En cuanto al IS 2025, </w:t>
      </w:r>
      <w:r w:rsidRPr="0024191D">
        <w:rPr>
          <w:rFonts w:ascii="Verdana" w:hAnsi="Verdana"/>
          <w:b/>
          <w:bCs/>
          <w:sz w:val="18"/>
          <w:szCs w:val="18"/>
        </w:rPr>
        <w:t>con efectos de 1 de enero de 2025</w:t>
      </w:r>
      <w:r w:rsidRPr="0024191D">
        <w:rPr>
          <w:rFonts w:ascii="Verdana" w:hAnsi="Verdana"/>
          <w:sz w:val="18"/>
          <w:szCs w:val="18"/>
        </w:rPr>
        <w:t xml:space="preserve"> se prorroga al ejercicio 2025 la libertad de amortización para aquellas inversiones que </w:t>
      </w:r>
      <w:r w:rsidRPr="0024191D">
        <w:rPr>
          <w:rFonts w:ascii="Verdana" w:hAnsi="Verdana"/>
          <w:b/>
          <w:bCs/>
          <w:sz w:val="18"/>
          <w:szCs w:val="18"/>
        </w:rPr>
        <w:t>utilicen energía procedente de fuentes renovables</w:t>
      </w:r>
      <w:r w:rsidRPr="0024191D">
        <w:rPr>
          <w:rFonts w:ascii="Verdana" w:hAnsi="Verdana"/>
          <w:sz w:val="18"/>
          <w:szCs w:val="18"/>
        </w:rPr>
        <w:t>.</w:t>
      </w:r>
    </w:p>
    <w:p w14:paraId="02A29D64" w14:textId="77777777" w:rsidR="004E793E" w:rsidRDefault="004E793E" w:rsidP="003F1BD0">
      <w:pPr>
        <w:tabs>
          <w:tab w:val="left" w:pos="284"/>
        </w:tabs>
        <w:ind w:left="284"/>
        <w:jc w:val="both"/>
        <w:rPr>
          <w:rFonts w:ascii="Verdana" w:hAnsi="Verdana"/>
          <w:sz w:val="18"/>
          <w:szCs w:val="18"/>
        </w:rPr>
      </w:pPr>
    </w:p>
    <w:p w14:paraId="0FD25283" w14:textId="77777777" w:rsidR="007B168F" w:rsidRDefault="007B168F" w:rsidP="003F1BD0">
      <w:pPr>
        <w:tabs>
          <w:tab w:val="left" w:pos="284"/>
        </w:tabs>
        <w:ind w:left="284"/>
        <w:jc w:val="both"/>
        <w:rPr>
          <w:rFonts w:ascii="Verdana" w:hAnsi="Verdana"/>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7B168F" w:rsidRPr="00A07582" w14:paraId="1E025256" w14:textId="77777777" w:rsidTr="001D5D27">
        <w:tc>
          <w:tcPr>
            <w:tcW w:w="180" w:type="dxa"/>
            <w:shd w:val="clear" w:color="auto" w:fill="FF6600"/>
          </w:tcPr>
          <w:p w14:paraId="5E7D4F5F" w14:textId="77777777" w:rsidR="007B168F" w:rsidRPr="00A07582" w:rsidRDefault="007B168F" w:rsidP="001D5D27">
            <w:pPr>
              <w:rPr>
                <w:rFonts w:ascii="Verdana" w:hAnsi="Verdana"/>
                <w:b/>
                <w:bCs/>
                <w:color w:val="800000"/>
                <w:sz w:val="18"/>
                <w:szCs w:val="18"/>
              </w:rPr>
            </w:pPr>
            <w:bookmarkStart w:id="1" w:name="_Hlk201078351"/>
          </w:p>
        </w:tc>
        <w:tc>
          <w:tcPr>
            <w:tcW w:w="8460" w:type="dxa"/>
          </w:tcPr>
          <w:p w14:paraId="085AC9F4" w14:textId="538DB641" w:rsidR="007B168F" w:rsidRPr="00A07582" w:rsidRDefault="007B168F" w:rsidP="001D5D27">
            <w:pPr>
              <w:pStyle w:val="Prrafodelista"/>
              <w:numPr>
                <w:ilvl w:val="0"/>
                <w:numId w:val="2"/>
              </w:numPr>
              <w:tabs>
                <w:tab w:val="num" w:pos="284"/>
              </w:tabs>
              <w:ind w:left="382" w:hanging="283"/>
              <w:jc w:val="both"/>
              <w:rPr>
                <w:rFonts w:ascii="Verdana" w:hAnsi="Verdana"/>
                <w:b/>
                <w:bCs/>
                <w:color w:val="800000"/>
                <w:sz w:val="18"/>
                <w:szCs w:val="18"/>
              </w:rPr>
            </w:pPr>
            <w:r w:rsidRPr="00A07582">
              <w:rPr>
                <w:rFonts w:ascii="Verdana" w:hAnsi="Verdana"/>
                <w:b/>
                <w:bCs/>
                <w:color w:val="800000"/>
                <w:sz w:val="18"/>
                <w:szCs w:val="18"/>
              </w:rPr>
              <w:t>IRPF.- EN UN PROCEDIMIENTO DE INSPECCIÓN ¿DEBE APLICAR LA ADMINISTRACIÓN EN LA LIQUIDACIÓN DEL IRPF QUE DICTE LA DEDUCCIÓN POR LAS RETENCIONES QUE SE DEBIERON PRACTICAR, PERO QUE NO SE PRACTICARON POR PARTE DEL PAGADOR?</w:t>
            </w:r>
          </w:p>
        </w:tc>
      </w:tr>
      <w:bookmarkEnd w:id="1"/>
    </w:tbl>
    <w:p w14:paraId="2537E868" w14:textId="77777777" w:rsidR="007B168F" w:rsidRDefault="007B168F" w:rsidP="003F1BD0">
      <w:pPr>
        <w:tabs>
          <w:tab w:val="left" w:pos="284"/>
        </w:tabs>
        <w:ind w:left="284"/>
        <w:jc w:val="both"/>
        <w:rPr>
          <w:rFonts w:ascii="Verdana" w:hAnsi="Verdana"/>
          <w:sz w:val="18"/>
          <w:szCs w:val="18"/>
        </w:rPr>
      </w:pPr>
    </w:p>
    <w:p w14:paraId="611B40D7" w14:textId="0FF35474" w:rsidR="007B168F" w:rsidRDefault="007B168F" w:rsidP="007B168F">
      <w:pPr>
        <w:tabs>
          <w:tab w:val="left" w:pos="284"/>
        </w:tabs>
        <w:ind w:left="284"/>
        <w:jc w:val="both"/>
        <w:rPr>
          <w:rFonts w:ascii="Verdana" w:hAnsi="Verdana"/>
          <w:sz w:val="18"/>
          <w:szCs w:val="18"/>
        </w:rPr>
      </w:pPr>
      <w:r w:rsidRPr="007B168F">
        <w:rPr>
          <w:rFonts w:ascii="Verdana" w:hAnsi="Verdana"/>
          <w:sz w:val="18"/>
          <w:szCs w:val="18"/>
        </w:rPr>
        <w:t>En el Auto del </w:t>
      </w:r>
      <w:r w:rsidRPr="007B168F">
        <w:rPr>
          <w:rFonts w:ascii="Verdana" w:hAnsi="Verdana"/>
          <w:b/>
          <w:bCs/>
          <w:sz w:val="18"/>
          <w:szCs w:val="18"/>
        </w:rPr>
        <w:t>Tribunal Supremo</w:t>
      </w:r>
      <w:r w:rsidRPr="007B168F">
        <w:rPr>
          <w:rFonts w:ascii="Verdana" w:hAnsi="Verdana"/>
          <w:sz w:val="18"/>
          <w:szCs w:val="18"/>
        </w:rPr>
        <w:t> de 14 de mayo de 2025, recurso n.º</w:t>
      </w:r>
      <w:r>
        <w:rPr>
          <w:rFonts w:ascii="Verdana" w:hAnsi="Verdana"/>
          <w:sz w:val="18"/>
          <w:szCs w:val="18"/>
        </w:rPr>
        <w:t xml:space="preserve"> 3725/2024</w:t>
      </w:r>
      <w:r w:rsidRPr="007B168F">
        <w:rPr>
          <w:rFonts w:ascii="Verdana" w:hAnsi="Verdana"/>
          <w:sz w:val="18"/>
          <w:szCs w:val="18"/>
        </w:rPr>
        <w:t> se considera necesario que el Tribunal concrete, complete o refuerce la jurisprudencia sobre si </w:t>
      </w:r>
      <w:r w:rsidRPr="007B168F">
        <w:rPr>
          <w:rFonts w:ascii="Verdana" w:hAnsi="Verdana"/>
          <w:b/>
          <w:bCs/>
          <w:sz w:val="18"/>
          <w:szCs w:val="18"/>
        </w:rPr>
        <w:t>la Administración tributaria tiene la obligación de aplicar, en la liquidación del IRPF</w:t>
      </w:r>
      <w:r w:rsidRPr="007B168F">
        <w:rPr>
          <w:rFonts w:ascii="Verdana" w:hAnsi="Verdana"/>
          <w:sz w:val="18"/>
          <w:szCs w:val="18"/>
        </w:rPr>
        <w:t> que en su caso dicte en un </w:t>
      </w:r>
      <w:r w:rsidRPr="007B168F">
        <w:rPr>
          <w:rFonts w:ascii="Verdana" w:hAnsi="Verdana"/>
          <w:b/>
          <w:bCs/>
          <w:sz w:val="18"/>
          <w:szCs w:val="18"/>
        </w:rPr>
        <w:t>procedimiento de inspección, la</w:t>
      </w:r>
      <w:r w:rsidRPr="007B168F">
        <w:rPr>
          <w:rFonts w:ascii="Verdana" w:hAnsi="Verdana"/>
          <w:sz w:val="18"/>
          <w:szCs w:val="18"/>
        </w:rPr>
        <w:t> </w:t>
      </w:r>
      <w:r w:rsidRPr="007B168F">
        <w:rPr>
          <w:rFonts w:ascii="Verdana" w:hAnsi="Verdana"/>
          <w:b/>
          <w:bCs/>
          <w:sz w:val="18"/>
          <w:szCs w:val="18"/>
        </w:rPr>
        <w:t>deducción por las retenciones que se debieron practicar, pero no se practicaron</w:t>
      </w:r>
      <w:r w:rsidRPr="007B168F">
        <w:rPr>
          <w:rFonts w:ascii="Verdana" w:hAnsi="Verdana"/>
          <w:sz w:val="18"/>
          <w:szCs w:val="18"/>
        </w:rPr>
        <w:t>, por parte del pagador de las rentas.</w:t>
      </w:r>
    </w:p>
    <w:p w14:paraId="235D830F" w14:textId="77777777" w:rsidR="007B168F" w:rsidRPr="007B168F" w:rsidRDefault="007B168F" w:rsidP="007B168F">
      <w:pPr>
        <w:tabs>
          <w:tab w:val="left" w:pos="284"/>
        </w:tabs>
        <w:ind w:left="284"/>
        <w:jc w:val="both"/>
        <w:rPr>
          <w:rFonts w:ascii="Verdana" w:hAnsi="Verdana"/>
          <w:sz w:val="18"/>
          <w:szCs w:val="18"/>
        </w:rPr>
      </w:pPr>
    </w:p>
    <w:p w14:paraId="6D936A25" w14:textId="77777777" w:rsidR="007B168F" w:rsidRDefault="007B168F" w:rsidP="007B168F">
      <w:pPr>
        <w:tabs>
          <w:tab w:val="left" w:pos="284"/>
        </w:tabs>
        <w:ind w:left="284"/>
        <w:jc w:val="both"/>
        <w:rPr>
          <w:rFonts w:ascii="Verdana" w:hAnsi="Verdana"/>
          <w:sz w:val="18"/>
          <w:szCs w:val="18"/>
        </w:rPr>
      </w:pPr>
      <w:r w:rsidRPr="007B168F">
        <w:rPr>
          <w:rFonts w:ascii="Verdana" w:hAnsi="Verdana"/>
          <w:sz w:val="18"/>
          <w:szCs w:val="18"/>
        </w:rPr>
        <w:t>La cuestión con interés casacional que plantea el presente recurso se refiere a </w:t>
      </w:r>
      <w:r w:rsidRPr="007B168F">
        <w:rPr>
          <w:rFonts w:ascii="Verdana" w:hAnsi="Verdana"/>
          <w:b/>
          <w:bCs/>
          <w:sz w:val="18"/>
          <w:szCs w:val="18"/>
        </w:rPr>
        <w:t>si la Administración tiene la obligación de aplicar, en la liquidación del IRPF que en su caso dicte, la deducción de las retenciones que debió practicar, pero no practicó, el pagador de las rentas</w:t>
      </w:r>
      <w:r w:rsidRPr="007B168F">
        <w:rPr>
          <w:rFonts w:ascii="Verdana" w:hAnsi="Verdana"/>
          <w:sz w:val="18"/>
          <w:szCs w:val="18"/>
        </w:rPr>
        <w:t>. La </w:t>
      </w:r>
      <w:r w:rsidRPr="007B168F">
        <w:rPr>
          <w:rFonts w:ascii="Verdana" w:hAnsi="Verdana"/>
          <w:b/>
          <w:bCs/>
          <w:sz w:val="18"/>
          <w:szCs w:val="18"/>
        </w:rPr>
        <w:t>STS de 4 de noviembre de 2010, recurso n.º 4366/2005</w:t>
      </w:r>
      <w:r w:rsidRPr="007B168F">
        <w:rPr>
          <w:rFonts w:ascii="Verdana" w:hAnsi="Verdana"/>
          <w:sz w:val="18"/>
          <w:szCs w:val="18"/>
        </w:rPr>
        <w:t> resolvió que cuando la retención no se hubiera practicado o lo hubiera sido por importe inferior al debido, el perceptor deducirá de la cuota la cantidad que debió ser retenida. Sin embargo, </w:t>
      </w:r>
      <w:r w:rsidRPr="007B168F">
        <w:rPr>
          <w:rFonts w:ascii="Verdana" w:hAnsi="Verdana"/>
          <w:b/>
          <w:bCs/>
          <w:sz w:val="18"/>
          <w:szCs w:val="18"/>
        </w:rPr>
        <w:t>el Tribunal Supremo ha matizado el criterio mantenido</w:t>
      </w:r>
      <w:r w:rsidRPr="007B168F">
        <w:rPr>
          <w:rFonts w:ascii="Verdana" w:hAnsi="Verdana"/>
          <w:sz w:val="18"/>
          <w:szCs w:val="18"/>
        </w:rPr>
        <w:t> y así la </w:t>
      </w:r>
      <w:r w:rsidRPr="007B168F">
        <w:rPr>
          <w:rFonts w:ascii="Verdana" w:hAnsi="Verdana"/>
          <w:b/>
          <w:bCs/>
          <w:sz w:val="18"/>
          <w:szCs w:val="18"/>
        </w:rPr>
        <w:t>STS de 25 de marzo de 2021</w:t>
      </w:r>
      <w:r w:rsidRPr="007B168F">
        <w:rPr>
          <w:rFonts w:ascii="Verdana" w:hAnsi="Verdana"/>
          <w:sz w:val="18"/>
          <w:szCs w:val="18"/>
        </w:rPr>
        <w:t>, recurso n.º 8296/2019 ha fijado como doctrina que </w:t>
      </w:r>
      <w:r w:rsidRPr="007B168F">
        <w:rPr>
          <w:rFonts w:ascii="Verdana" w:hAnsi="Verdana"/>
          <w:b/>
          <w:bCs/>
          <w:sz w:val="18"/>
          <w:szCs w:val="18"/>
        </w:rPr>
        <w:t>un contribuyente del IRPF que percibe unos ingresos de una persona o entidad que está obligada a practicar la correspondiente retención y el ingreso en la Hacienda Pública puede deducirse las cantidades que debieron ser retenidas e ingresadas</w:t>
      </w:r>
      <w:r w:rsidRPr="007B168F">
        <w:rPr>
          <w:rFonts w:ascii="Verdana" w:hAnsi="Verdana"/>
          <w:sz w:val="18"/>
          <w:szCs w:val="18"/>
        </w:rPr>
        <w:t>.</w:t>
      </w:r>
    </w:p>
    <w:p w14:paraId="367B8EEE" w14:textId="77777777" w:rsidR="007B168F" w:rsidRPr="007B168F" w:rsidRDefault="007B168F" w:rsidP="007B168F">
      <w:pPr>
        <w:tabs>
          <w:tab w:val="left" w:pos="284"/>
        </w:tabs>
        <w:ind w:left="284"/>
        <w:jc w:val="both"/>
        <w:rPr>
          <w:rFonts w:ascii="Verdana" w:hAnsi="Verdana"/>
          <w:sz w:val="18"/>
          <w:szCs w:val="18"/>
        </w:rPr>
      </w:pPr>
    </w:p>
    <w:p w14:paraId="4B5BF8D0" w14:textId="77777777" w:rsidR="007B168F" w:rsidRPr="007B168F" w:rsidRDefault="007B168F" w:rsidP="007B168F">
      <w:pPr>
        <w:tabs>
          <w:tab w:val="left" w:pos="284"/>
        </w:tabs>
        <w:ind w:left="284"/>
        <w:jc w:val="both"/>
        <w:rPr>
          <w:rFonts w:ascii="Verdana" w:hAnsi="Verdana"/>
          <w:sz w:val="18"/>
          <w:szCs w:val="18"/>
        </w:rPr>
      </w:pPr>
      <w:r w:rsidRPr="007B168F">
        <w:rPr>
          <w:rFonts w:ascii="Verdana" w:hAnsi="Verdana"/>
          <w:sz w:val="18"/>
          <w:szCs w:val="18"/>
        </w:rPr>
        <w:t>A pesar de ello </w:t>
      </w:r>
      <w:r w:rsidRPr="007B168F">
        <w:rPr>
          <w:rFonts w:ascii="Verdana" w:hAnsi="Verdana"/>
          <w:b/>
          <w:bCs/>
          <w:sz w:val="18"/>
          <w:szCs w:val="18"/>
        </w:rPr>
        <w:t>resulta aconsejable un nuevo pronunciamiento del Tribunal Supremo </w:t>
      </w:r>
      <w:r w:rsidRPr="007B168F">
        <w:rPr>
          <w:rFonts w:ascii="Verdana" w:hAnsi="Verdana"/>
          <w:sz w:val="18"/>
          <w:szCs w:val="18"/>
        </w:rPr>
        <w:t>para dar respuesta a la cuestión nuclear que suscita este recurso de casación a fin de reafirmar, reforzar o completar o en su caso, cambiar o corregir la doctrina jurisprudencial.</w:t>
      </w:r>
    </w:p>
    <w:p w14:paraId="42515541" w14:textId="77777777" w:rsidR="007B168F" w:rsidRDefault="007B168F" w:rsidP="003F1BD0">
      <w:pPr>
        <w:tabs>
          <w:tab w:val="left" w:pos="284"/>
        </w:tabs>
        <w:ind w:left="284"/>
        <w:jc w:val="both"/>
        <w:rPr>
          <w:rFonts w:ascii="Verdana" w:hAnsi="Verdana"/>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EB7DAB" w:rsidRPr="00EB7DAB" w14:paraId="50AB67ED" w14:textId="77777777" w:rsidTr="00490455">
        <w:tc>
          <w:tcPr>
            <w:tcW w:w="180" w:type="dxa"/>
            <w:shd w:val="clear" w:color="auto" w:fill="FF6600"/>
          </w:tcPr>
          <w:p w14:paraId="54402231" w14:textId="77777777" w:rsidR="00EB7DAB" w:rsidRPr="00EB7DAB" w:rsidRDefault="00EB7DAB" w:rsidP="00490455">
            <w:pPr>
              <w:rPr>
                <w:rFonts w:ascii="Verdana" w:hAnsi="Verdana"/>
                <w:b/>
                <w:bCs/>
                <w:color w:val="800000"/>
                <w:sz w:val="18"/>
                <w:szCs w:val="18"/>
              </w:rPr>
            </w:pPr>
          </w:p>
        </w:tc>
        <w:tc>
          <w:tcPr>
            <w:tcW w:w="8460" w:type="dxa"/>
          </w:tcPr>
          <w:p w14:paraId="3B6C9C0D" w14:textId="7D14ACBD" w:rsidR="00EB7DAB" w:rsidRPr="00EB7DAB" w:rsidRDefault="00EB7DAB" w:rsidP="00490455">
            <w:pPr>
              <w:pStyle w:val="Prrafodelista"/>
              <w:numPr>
                <w:ilvl w:val="0"/>
                <w:numId w:val="2"/>
              </w:numPr>
              <w:tabs>
                <w:tab w:val="num" w:pos="284"/>
              </w:tabs>
              <w:ind w:left="382" w:hanging="283"/>
              <w:jc w:val="both"/>
              <w:rPr>
                <w:rFonts w:ascii="Verdana" w:hAnsi="Verdana"/>
                <w:b/>
                <w:bCs/>
                <w:color w:val="800000"/>
                <w:sz w:val="18"/>
                <w:szCs w:val="18"/>
              </w:rPr>
            </w:pPr>
            <w:r w:rsidRPr="00EB7DAB">
              <w:rPr>
                <w:rFonts w:ascii="Verdana" w:hAnsi="Verdana"/>
                <w:b/>
                <w:bCs/>
                <w:color w:val="800000"/>
                <w:sz w:val="18"/>
                <w:szCs w:val="18"/>
              </w:rPr>
              <w:t>IRPF.- PERIODO DE DECLARACIÓN DE LOS COMPLEMENTOS POR MATERNIDAD Y PATERNIDAD QUE FIGURAN COMO ATRASOS EN LOS DATOS FISCALES DEL PERÍODO IMPOSITIVO DE 2024</w:t>
            </w:r>
          </w:p>
        </w:tc>
      </w:tr>
    </w:tbl>
    <w:p w14:paraId="587BD3C9" w14:textId="77777777" w:rsidR="002748C3" w:rsidRDefault="002748C3" w:rsidP="00DA2567">
      <w:pPr>
        <w:tabs>
          <w:tab w:val="left" w:pos="284"/>
        </w:tabs>
        <w:ind w:left="284"/>
        <w:jc w:val="both"/>
        <w:rPr>
          <w:rFonts w:ascii="Verdana" w:hAnsi="Verdana"/>
          <w:sz w:val="18"/>
          <w:szCs w:val="18"/>
        </w:rPr>
      </w:pPr>
    </w:p>
    <w:p w14:paraId="4A313327" w14:textId="4F0599F2" w:rsidR="00EB7DAB" w:rsidRPr="00EB7DAB" w:rsidRDefault="00097231" w:rsidP="00EB7DAB">
      <w:pPr>
        <w:tabs>
          <w:tab w:val="left" w:pos="284"/>
        </w:tabs>
        <w:ind w:left="284"/>
        <w:jc w:val="both"/>
        <w:rPr>
          <w:rFonts w:ascii="Verdana" w:hAnsi="Verdana"/>
          <w:sz w:val="18"/>
          <w:szCs w:val="18"/>
        </w:rPr>
      </w:pPr>
      <w:r>
        <w:rPr>
          <w:rFonts w:ascii="Verdana" w:hAnsi="Verdana"/>
          <w:sz w:val="18"/>
          <w:szCs w:val="18"/>
        </w:rPr>
        <w:t>Con respecto a l</w:t>
      </w:r>
      <w:r w:rsidR="00EB7DAB" w:rsidRPr="00EB7DAB">
        <w:rPr>
          <w:rFonts w:ascii="Verdana" w:hAnsi="Verdana"/>
          <w:sz w:val="18"/>
          <w:szCs w:val="18"/>
        </w:rPr>
        <w:t xml:space="preserve">os complementos por maternidad y paternidad que figuran como atrasos en los datos fiscales del período impositivo de 2024, la Dirección General de Tributos, en consulta V0846-24, ha interpretado que al percibirse en un período impositivo posterior al de su exigibilidad, resulta operativa </w:t>
      </w:r>
      <w:r w:rsidR="00EB7DAB" w:rsidRPr="00EB7DAB">
        <w:rPr>
          <w:rFonts w:ascii="Verdana" w:hAnsi="Verdana"/>
          <w:b/>
          <w:bCs/>
          <w:sz w:val="18"/>
          <w:szCs w:val="18"/>
        </w:rPr>
        <w:t>la regla especial de imputación a los períodos de la exigibilidad</w:t>
      </w:r>
      <w:r w:rsidR="00EB7DAB" w:rsidRPr="00EB7DAB">
        <w:rPr>
          <w:rFonts w:ascii="Verdana" w:hAnsi="Verdana"/>
          <w:sz w:val="18"/>
          <w:szCs w:val="18"/>
        </w:rPr>
        <w:t>.</w:t>
      </w:r>
    </w:p>
    <w:p w14:paraId="5C844033" w14:textId="77777777" w:rsidR="00EB7DAB" w:rsidRPr="00EB7DAB" w:rsidRDefault="00EB7DAB" w:rsidP="00EB7DAB">
      <w:pPr>
        <w:tabs>
          <w:tab w:val="left" w:pos="284"/>
        </w:tabs>
        <w:ind w:left="284"/>
        <w:jc w:val="both"/>
        <w:rPr>
          <w:rFonts w:ascii="Verdana" w:hAnsi="Verdana"/>
          <w:sz w:val="18"/>
          <w:szCs w:val="18"/>
        </w:rPr>
      </w:pPr>
    </w:p>
    <w:p w14:paraId="589FC6FB" w14:textId="77777777" w:rsidR="00EB7DAB" w:rsidRDefault="00EB7DAB" w:rsidP="00EB7DAB">
      <w:pPr>
        <w:tabs>
          <w:tab w:val="left" w:pos="284"/>
        </w:tabs>
        <w:ind w:left="284"/>
        <w:jc w:val="both"/>
        <w:rPr>
          <w:rFonts w:ascii="Verdana" w:hAnsi="Verdana"/>
          <w:sz w:val="18"/>
          <w:szCs w:val="18"/>
        </w:rPr>
      </w:pPr>
      <w:r w:rsidRPr="00EB7DAB">
        <w:rPr>
          <w:rFonts w:ascii="Verdana" w:hAnsi="Verdana"/>
          <w:sz w:val="18"/>
          <w:szCs w:val="18"/>
        </w:rPr>
        <w:t xml:space="preserve">Por lo que se tendrán que presentar autoliquidaciones complementarias de todos los períodos prescritos o no prescritos en el plazo que media entre la fecha en que se perciben y el final del inmediato siguiente plazo de declaración por el impuesto, es decir, </w:t>
      </w:r>
      <w:r w:rsidRPr="00EB7DAB">
        <w:rPr>
          <w:rFonts w:ascii="Verdana" w:hAnsi="Verdana"/>
          <w:b/>
          <w:bCs/>
          <w:sz w:val="18"/>
          <w:szCs w:val="18"/>
        </w:rPr>
        <w:t>se tendrá hasta el 30 de junio de 2025 para presentar las declaraciones complementarias</w:t>
      </w:r>
      <w:r w:rsidRPr="00EB7DAB">
        <w:rPr>
          <w:rFonts w:ascii="Verdana" w:hAnsi="Verdana"/>
          <w:sz w:val="18"/>
          <w:szCs w:val="18"/>
        </w:rPr>
        <w:t>.</w:t>
      </w:r>
    </w:p>
    <w:p w14:paraId="352E9B0A" w14:textId="77777777" w:rsidR="002E245A" w:rsidRDefault="002E245A" w:rsidP="00EB7DAB">
      <w:pPr>
        <w:tabs>
          <w:tab w:val="left" w:pos="284"/>
        </w:tabs>
        <w:ind w:left="284"/>
        <w:jc w:val="both"/>
        <w:rPr>
          <w:rFonts w:ascii="Verdana" w:hAnsi="Verdana"/>
          <w:sz w:val="18"/>
          <w:szCs w:val="18"/>
        </w:rPr>
      </w:pPr>
    </w:p>
    <w:p w14:paraId="5C7E5F10" w14:textId="77777777" w:rsidR="002E245A" w:rsidRPr="00EB7DAB" w:rsidRDefault="002E245A" w:rsidP="00EB7DAB">
      <w:pPr>
        <w:tabs>
          <w:tab w:val="left" w:pos="284"/>
        </w:tabs>
        <w:ind w:left="284"/>
        <w:jc w:val="both"/>
        <w:rPr>
          <w:rFonts w:ascii="Verdana" w:hAnsi="Verdana"/>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0F2B15" w:rsidRPr="000F2B15" w14:paraId="577627AD" w14:textId="77777777" w:rsidTr="00C77289">
        <w:tc>
          <w:tcPr>
            <w:tcW w:w="180" w:type="dxa"/>
            <w:shd w:val="clear" w:color="auto" w:fill="FF6600"/>
          </w:tcPr>
          <w:p w14:paraId="08D95D4C" w14:textId="77777777" w:rsidR="000F2B15" w:rsidRPr="000F2B15" w:rsidRDefault="000F2B15" w:rsidP="00C77289">
            <w:pPr>
              <w:rPr>
                <w:rFonts w:ascii="Verdana" w:hAnsi="Verdana"/>
                <w:b/>
                <w:bCs/>
                <w:color w:val="800000"/>
                <w:sz w:val="18"/>
                <w:szCs w:val="18"/>
              </w:rPr>
            </w:pPr>
            <w:bookmarkStart w:id="2" w:name="_Hlk200642485"/>
          </w:p>
        </w:tc>
        <w:tc>
          <w:tcPr>
            <w:tcW w:w="8460" w:type="dxa"/>
          </w:tcPr>
          <w:p w14:paraId="15DCECD3" w14:textId="11778615" w:rsidR="000F2B15" w:rsidRPr="000F2B15" w:rsidRDefault="000F2B15">
            <w:pPr>
              <w:pStyle w:val="Prrafodelista"/>
              <w:numPr>
                <w:ilvl w:val="0"/>
                <w:numId w:val="2"/>
              </w:numPr>
              <w:tabs>
                <w:tab w:val="num" w:pos="284"/>
              </w:tabs>
              <w:ind w:left="382" w:hanging="283"/>
              <w:jc w:val="both"/>
              <w:rPr>
                <w:rFonts w:ascii="Verdana" w:hAnsi="Verdana"/>
                <w:b/>
                <w:bCs/>
                <w:color w:val="800000"/>
                <w:sz w:val="18"/>
                <w:szCs w:val="18"/>
              </w:rPr>
            </w:pPr>
            <w:r w:rsidRPr="000F2B15">
              <w:rPr>
                <w:rFonts w:ascii="Verdana" w:hAnsi="Verdana"/>
                <w:b/>
                <w:bCs/>
                <w:color w:val="800000"/>
                <w:sz w:val="18"/>
                <w:szCs w:val="18"/>
              </w:rPr>
              <w:t xml:space="preserve">IP.-  EL REQUISITO DE CONTAR CON UN EMPLEADO A JORNADA COMPLETA EN LA ACTIVIDAD DE ARRENDAMIENTO INMOBILIARIO, A LOS EFECTOS DE LA EXENCIÓN </w:t>
            </w:r>
            <w:r w:rsidR="00A610F4">
              <w:rPr>
                <w:rFonts w:ascii="Verdana" w:hAnsi="Verdana"/>
                <w:b/>
                <w:bCs/>
                <w:color w:val="800000"/>
                <w:sz w:val="18"/>
                <w:szCs w:val="18"/>
              </w:rPr>
              <w:t xml:space="preserve">EN </w:t>
            </w:r>
            <w:r w:rsidRPr="000F2B15">
              <w:rPr>
                <w:rFonts w:ascii="Verdana" w:hAnsi="Verdana"/>
                <w:b/>
                <w:bCs/>
                <w:color w:val="800000"/>
                <w:sz w:val="18"/>
                <w:szCs w:val="18"/>
              </w:rPr>
              <w:t>EL IMPUESTO SOBRE EL PATRIMONIO, NO PUEDE ENTENDERSE CUMPLIDO POR EL MERO EJERCICIO DE LA ACTIVIDAD DE FORMA PERSONAL Y DIRECTA POR PARTE DEL PROPIO SUJETO PASIVO</w:t>
            </w:r>
          </w:p>
        </w:tc>
      </w:tr>
      <w:bookmarkEnd w:id="2"/>
    </w:tbl>
    <w:p w14:paraId="76C1DCAB" w14:textId="77777777" w:rsidR="000F7FE2" w:rsidRDefault="000F7FE2" w:rsidP="00DA2567">
      <w:pPr>
        <w:tabs>
          <w:tab w:val="left" w:pos="284"/>
        </w:tabs>
        <w:ind w:left="284"/>
        <w:jc w:val="both"/>
        <w:rPr>
          <w:rFonts w:ascii="Verdana" w:hAnsi="Verdana"/>
          <w:sz w:val="18"/>
          <w:szCs w:val="18"/>
        </w:rPr>
      </w:pPr>
    </w:p>
    <w:p w14:paraId="7DF621D9" w14:textId="77777777" w:rsidR="000F2B15" w:rsidRPr="000F2B15" w:rsidRDefault="000F2B15" w:rsidP="000F2B15">
      <w:pPr>
        <w:tabs>
          <w:tab w:val="left" w:pos="284"/>
        </w:tabs>
        <w:ind w:left="284"/>
        <w:jc w:val="both"/>
        <w:rPr>
          <w:rFonts w:ascii="Verdana" w:hAnsi="Verdana"/>
          <w:sz w:val="18"/>
          <w:szCs w:val="18"/>
        </w:rPr>
      </w:pPr>
      <w:r w:rsidRPr="000F2B15">
        <w:rPr>
          <w:rFonts w:ascii="Verdana" w:hAnsi="Verdana"/>
          <w:sz w:val="18"/>
          <w:szCs w:val="18"/>
        </w:rPr>
        <w:t>El consultante preguntaba si, en el ejercicio de su actividad empresarial individual de arrendamiento de inmuebles, podría cumplir por sí mismo con el requisito de contar con un empleado con dedicación exclusiva y a tiempo completo para la ordenación de la actividad de arrendamiento.</w:t>
      </w:r>
    </w:p>
    <w:p w14:paraId="667D74D8" w14:textId="77777777" w:rsidR="000F2B15" w:rsidRPr="000F2B15" w:rsidRDefault="000F2B15" w:rsidP="000F2B15">
      <w:pPr>
        <w:tabs>
          <w:tab w:val="left" w:pos="284"/>
        </w:tabs>
        <w:ind w:left="284"/>
        <w:jc w:val="both"/>
        <w:rPr>
          <w:rFonts w:ascii="Verdana" w:hAnsi="Verdana"/>
          <w:sz w:val="18"/>
          <w:szCs w:val="18"/>
        </w:rPr>
      </w:pPr>
    </w:p>
    <w:p w14:paraId="75F87BC6" w14:textId="7F70D0CD" w:rsidR="000F2B15" w:rsidRPr="000F2B15" w:rsidRDefault="000F2B15" w:rsidP="000F2B15">
      <w:pPr>
        <w:tabs>
          <w:tab w:val="left" w:pos="284"/>
        </w:tabs>
        <w:ind w:left="284"/>
        <w:jc w:val="both"/>
        <w:rPr>
          <w:rFonts w:ascii="Verdana" w:hAnsi="Verdana"/>
          <w:sz w:val="18"/>
          <w:szCs w:val="18"/>
        </w:rPr>
      </w:pPr>
      <w:r w:rsidRPr="000F2B15">
        <w:rPr>
          <w:rFonts w:ascii="Verdana" w:hAnsi="Verdana"/>
          <w:sz w:val="18"/>
          <w:szCs w:val="18"/>
        </w:rPr>
        <w:t>En su contestación, Consulta de la DGT </w:t>
      </w:r>
      <w:r>
        <w:rPr>
          <w:rFonts w:ascii="Verdana" w:hAnsi="Verdana"/>
          <w:sz w:val="18"/>
          <w:szCs w:val="18"/>
        </w:rPr>
        <w:t>V0326-25, de 18 de marzo,</w:t>
      </w:r>
      <w:r w:rsidRPr="000F2B15">
        <w:rPr>
          <w:rFonts w:ascii="Verdana" w:hAnsi="Verdana"/>
          <w:sz w:val="18"/>
          <w:szCs w:val="18"/>
        </w:rPr>
        <w:t xml:space="preserve"> </w:t>
      </w:r>
      <w:r>
        <w:rPr>
          <w:rFonts w:ascii="Verdana" w:hAnsi="Verdana"/>
          <w:sz w:val="18"/>
          <w:szCs w:val="18"/>
        </w:rPr>
        <w:t>l</w:t>
      </w:r>
      <w:r w:rsidRPr="000F2B15">
        <w:rPr>
          <w:rFonts w:ascii="Verdana" w:hAnsi="Verdana"/>
          <w:sz w:val="18"/>
          <w:szCs w:val="18"/>
        </w:rPr>
        <w:t xml:space="preserve">a Dirección General de Tributos recuerda que, a los efectos de acceder a la exención del artículo 4. Ocho. Uno de la Ley del Impuesto sobre el Patrimonio en el ejercicio de una actividad económica de arrendamiento de inmuebles, es necesario, por remisión al artículo 27.2 de la Ley del IRPF, cumplir con el requisito de </w:t>
      </w:r>
      <w:r w:rsidRPr="000F2B15">
        <w:rPr>
          <w:rFonts w:ascii="Verdana" w:hAnsi="Verdana"/>
          <w:b/>
          <w:bCs/>
          <w:sz w:val="18"/>
          <w:szCs w:val="18"/>
        </w:rPr>
        <w:t>contar con una persona empleada con contrato laboral y a jornada completa dedicada a la gestión de esta actividad</w:t>
      </w:r>
      <w:r w:rsidRPr="000F2B15">
        <w:rPr>
          <w:rFonts w:ascii="Verdana" w:hAnsi="Verdana"/>
          <w:sz w:val="18"/>
          <w:szCs w:val="18"/>
        </w:rPr>
        <w:t>.</w:t>
      </w:r>
    </w:p>
    <w:p w14:paraId="58B15E0E" w14:textId="77777777" w:rsidR="000F2B15" w:rsidRPr="000F2B15" w:rsidRDefault="000F2B15" w:rsidP="000F2B15">
      <w:pPr>
        <w:tabs>
          <w:tab w:val="left" w:pos="284"/>
        </w:tabs>
        <w:ind w:left="284"/>
        <w:jc w:val="both"/>
        <w:rPr>
          <w:rFonts w:ascii="Verdana" w:hAnsi="Verdana"/>
          <w:sz w:val="18"/>
          <w:szCs w:val="18"/>
        </w:rPr>
      </w:pPr>
    </w:p>
    <w:p w14:paraId="27721422" w14:textId="77777777" w:rsidR="000F2B15" w:rsidRPr="000F2B15" w:rsidRDefault="000F2B15" w:rsidP="000F2B15">
      <w:pPr>
        <w:tabs>
          <w:tab w:val="left" w:pos="284"/>
        </w:tabs>
        <w:ind w:left="284"/>
        <w:jc w:val="both"/>
        <w:rPr>
          <w:rFonts w:ascii="Verdana" w:hAnsi="Verdana"/>
          <w:sz w:val="18"/>
          <w:szCs w:val="18"/>
        </w:rPr>
      </w:pPr>
      <w:r w:rsidRPr="000F2B15">
        <w:rPr>
          <w:rFonts w:ascii="Verdana" w:hAnsi="Verdana"/>
          <w:sz w:val="18"/>
          <w:szCs w:val="18"/>
        </w:rPr>
        <w:t>A estos efectos, la Dirección General de Tributos entiende que no cabe compatibilizar en el seno de la misma persona el ejercicio de la actividad de forma personal y directa, en el sentido del artículo 27.2 de la Ley del IRPF, y la ordenación de la actividad de arrendamiento</w:t>
      </w:r>
      <w:r w:rsidRPr="000F2B15">
        <w:rPr>
          <w:rFonts w:ascii="Verdana" w:hAnsi="Verdana"/>
          <w:b/>
          <w:bCs/>
          <w:sz w:val="18"/>
          <w:szCs w:val="18"/>
        </w:rPr>
        <w:t>, función que es propia del empleado</w:t>
      </w:r>
      <w:r w:rsidRPr="000F2B15">
        <w:rPr>
          <w:rFonts w:ascii="Verdana" w:hAnsi="Verdana"/>
          <w:sz w:val="18"/>
          <w:szCs w:val="18"/>
        </w:rPr>
        <w:t>.</w:t>
      </w:r>
    </w:p>
    <w:p w14:paraId="5E7B160B" w14:textId="77777777" w:rsidR="000F2B15" w:rsidRPr="000F2B15" w:rsidRDefault="000F2B15" w:rsidP="000F2B15">
      <w:pPr>
        <w:tabs>
          <w:tab w:val="left" w:pos="284"/>
        </w:tabs>
        <w:ind w:left="284"/>
        <w:jc w:val="both"/>
        <w:rPr>
          <w:rFonts w:ascii="Verdana" w:hAnsi="Verdana"/>
          <w:sz w:val="18"/>
          <w:szCs w:val="18"/>
        </w:rPr>
      </w:pPr>
    </w:p>
    <w:p w14:paraId="27DAD180" w14:textId="33099EF4" w:rsidR="000F7FE2" w:rsidRDefault="000F2B15" w:rsidP="000F2B15">
      <w:pPr>
        <w:tabs>
          <w:tab w:val="left" w:pos="284"/>
        </w:tabs>
        <w:ind w:left="284"/>
        <w:jc w:val="both"/>
        <w:rPr>
          <w:rFonts w:ascii="Verdana" w:hAnsi="Verdana"/>
          <w:sz w:val="18"/>
          <w:szCs w:val="18"/>
        </w:rPr>
      </w:pPr>
      <w:r w:rsidRPr="000F2B15">
        <w:rPr>
          <w:rFonts w:ascii="Verdana" w:hAnsi="Verdana"/>
          <w:sz w:val="18"/>
          <w:szCs w:val="18"/>
        </w:rPr>
        <w:t xml:space="preserve">En consecuencia, para aplicar la exención en el Impuesto sobre el Patrimonio por la actividad económica de arrendamiento de inmuebles, </w:t>
      </w:r>
      <w:r w:rsidRPr="000F2B15">
        <w:rPr>
          <w:rFonts w:ascii="Verdana" w:hAnsi="Verdana"/>
          <w:b/>
          <w:bCs/>
          <w:sz w:val="18"/>
          <w:szCs w:val="18"/>
        </w:rPr>
        <w:t>rechaza que el ejercicio de la actividad de forma personal y directa y la gestión de la actividad de arrendamiento recaigan sobre el propio empresario individual</w:t>
      </w:r>
      <w:r w:rsidRPr="000F2B15">
        <w:rPr>
          <w:rFonts w:ascii="Verdana" w:hAnsi="Verdana"/>
          <w:sz w:val="18"/>
          <w:szCs w:val="18"/>
        </w:rPr>
        <w:t>.</w:t>
      </w:r>
    </w:p>
    <w:p w14:paraId="285FDC2E" w14:textId="77777777" w:rsidR="00551E1A" w:rsidRDefault="00551E1A" w:rsidP="000F2B15">
      <w:pPr>
        <w:tabs>
          <w:tab w:val="left" w:pos="284"/>
        </w:tabs>
        <w:ind w:left="284"/>
        <w:jc w:val="both"/>
        <w:rPr>
          <w:rFonts w:ascii="Verdana" w:hAnsi="Verdana"/>
          <w:sz w:val="18"/>
          <w:szCs w:val="18"/>
        </w:rPr>
      </w:pPr>
    </w:p>
    <w:p w14:paraId="76CB1319" w14:textId="77777777" w:rsidR="00551E1A" w:rsidRDefault="00551E1A" w:rsidP="000F2B15">
      <w:pPr>
        <w:tabs>
          <w:tab w:val="left" w:pos="284"/>
        </w:tabs>
        <w:ind w:left="284"/>
        <w:jc w:val="both"/>
        <w:rPr>
          <w:rFonts w:ascii="Verdana" w:hAnsi="Verdana"/>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C25995" w:rsidRPr="00C25995" w14:paraId="27CEDDB7" w14:textId="77777777" w:rsidTr="001D5D27">
        <w:tc>
          <w:tcPr>
            <w:tcW w:w="180" w:type="dxa"/>
            <w:shd w:val="clear" w:color="auto" w:fill="FF6600"/>
          </w:tcPr>
          <w:p w14:paraId="6D58B0CF" w14:textId="77777777" w:rsidR="00C25995" w:rsidRPr="00C25995" w:rsidRDefault="00C25995" w:rsidP="001D5D27">
            <w:pPr>
              <w:rPr>
                <w:rFonts w:ascii="Verdana" w:hAnsi="Verdana"/>
                <w:b/>
                <w:bCs/>
                <w:iCs/>
                <w:color w:val="800000"/>
                <w:sz w:val="18"/>
                <w:szCs w:val="18"/>
              </w:rPr>
            </w:pPr>
            <w:bookmarkStart w:id="3" w:name="_Hlk200818730"/>
          </w:p>
        </w:tc>
        <w:tc>
          <w:tcPr>
            <w:tcW w:w="8460" w:type="dxa"/>
          </w:tcPr>
          <w:p w14:paraId="7E83F805" w14:textId="5B75882C" w:rsidR="00C25995" w:rsidRPr="00C25995" w:rsidRDefault="00C25995" w:rsidP="001D5D27">
            <w:pPr>
              <w:pStyle w:val="Prrafodelista"/>
              <w:numPr>
                <w:ilvl w:val="0"/>
                <w:numId w:val="2"/>
              </w:numPr>
              <w:tabs>
                <w:tab w:val="num" w:pos="284"/>
              </w:tabs>
              <w:ind w:left="382" w:hanging="283"/>
              <w:jc w:val="both"/>
              <w:rPr>
                <w:rFonts w:ascii="Verdana" w:hAnsi="Verdana"/>
                <w:b/>
                <w:bCs/>
                <w:iCs/>
                <w:color w:val="800000"/>
                <w:sz w:val="18"/>
                <w:szCs w:val="18"/>
              </w:rPr>
            </w:pPr>
            <w:r w:rsidRPr="00C25995">
              <w:rPr>
                <w:rFonts w:ascii="Verdana" w:hAnsi="Verdana"/>
                <w:b/>
                <w:bCs/>
                <w:iCs/>
                <w:color w:val="800000"/>
                <w:sz w:val="18"/>
                <w:szCs w:val="18"/>
              </w:rPr>
              <w:t>IP.- UNA SOCIEDAD DEDICADA AL ALQUILER DE INMUEBLES DESARROLLA UNA ACTIVIDAD ECONÓMICA A EFECTOS DEL IP, AUNQUE LA PERSONA CONTRATADA A JORNADA COMPLETA EJERZA TAMBIÉN OTRAS ACTIVIDADES PROFESIONALES</w:t>
            </w:r>
          </w:p>
        </w:tc>
      </w:tr>
      <w:bookmarkEnd w:id="3"/>
    </w:tbl>
    <w:p w14:paraId="0CBEFDF8" w14:textId="77777777" w:rsidR="00C25995" w:rsidRDefault="00C25995" w:rsidP="000F2B15">
      <w:pPr>
        <w:tabs>
          <w:tab w:val="left" w:pos="284"/>
        </w:tabs>
        <w:ind w:left="284"/>
        <w:jc w:val="both"/>
        <w:rPr>
          <w:rFonts w:ascii="Verdana" w:hAnsi="Verdana"/>
          <w:sz w:val="18"/>
          <w:szCs w:val="18"/>
        </w:rPr>
      </w:pPr>
    </w:p>
    <w:p w14:paraId="28F3DEE7" w14:textId="025D2562" w:rsidR="00C25995" w:rsidRDefault="00C25995" w:rsidP="000F2B15">
      <w:pPr>
        <w:tabs>
          <w:tab w:val="left" w:pos="284"/>
        </w:tabs>
        <w:ind w:left="284"/>
        <w:jc w:val="both"/>
        <w:rPr>
          <w:rFonts w:ascii="Verdana" w:hAnsi="Verdana"/>
          <w:sz w:val="18"/>
          <w:szCs w:val="18"/>
        </w:rPr>
      </w:pPr>
      <w:r>
        <w:rPr>
          <w:rFonts w:ascii="Verdana" w:hAnsi="Verdana"/>
          <w:sz w:val="18"/>
          <w:szCs w:val="18"/>
        </w:rPr>
        <w:t>Analizamos la</w:t>
      </w:r>
      <w:r w:rsidRPr="00C25995">
        <w:rPr>
          <w:rFonts w:ascii="Verdana" w:hAnsi="Verdana"/>
          <w:sz w:val="18"/>
          <w:szCs w:val="18"/>
        </w:rPr>
        <w:t xml:space="preserve"> consulta tributaria V0259/2025, de 5 de marzo de 2025</w:t>
      </w:r>
      <w:r>
        <w:rPr>
          <w:rFonts w:ascii="Verdana" w:hAnsi="Verdana"/>
          <w:sz w:val="18"/>
          <w:szCs w:val="18"/>
        </w:rPr>
        <w:t xml:space="preserve"> en la que </w:t>
      </w:r>
      <w:r w:rsidR="00A610F4">
        <w:rPr>
          <w:rFonts w:ascii="Verdana" w:hAnsi="Verdana"/>
          <w:sz w:val="18"/>
          <w:szCs w:val="18"/>
        </w:rPr>
        <w:t>u</w:t>
      </w:r>
      <w:r w:rsidRPr="00C25995">
        <w:rPr>
          <w:rFonts w:ascii="Verdana" w:hAnsi="Verdana"/>
          <w:sz w:val="18"/>
          <w:szCs w:val="18"/>
        </w:rPr>
        <w:t>n contribuyente ostenta, de forma indirecta, el 90% del capital social de una entidad mercantil (</w:t>
      </w:r>
      <w:r w:rsidRPr="00C25995">
        <w:rPr>
          <w:rFonts w:ascii="Verdana" w:hAnsi="Verdana"/>
          <w:b/>
          <w:bCs/>
          <w:sz w:val="18"/>
          <w:szCs w:val="18"/>
        </w:rPr>
        <w:t>sociedad V</w:t>
      </w:r>
      <w:r w:rsidRPr="00C25995">
        <w:rPr>
          <w:rFonts w:ascii="Verdana" w:hAnsi="Verdana"/>
          <w:sz w:val="18"/>
          <w:szCs w:val="18"/>
        </w:rPr>
        <w:t>), cuya actividad consiste en el arrendamiento de bienes inmuebles. Esta sociedad cuenta con una persona empleada mediante </w:t>
      </w:r>
      <w:r w:rsidRPr="00C25995">
        <w:rPr>
          <w:rFonts w:ascii="Verdana" w:hAnsi="Verdana"/>
          <w:b/>
          <w:bCs/>
          <w:sz w:val="18"/>
          <w:szCs w:val="18"/>
        </w:rPr>
        <w:t>contrato laboral a jornada completa</w:t>
      </w:r>
      <w:r w:rsidRPr="00C25995">
        <w:rPr>
          <w:rFonts w:ascii="Verdana" w:hAnsi="Verdana"/>
          <w:sz w:val="18"/>
          <w:szCs w:val="18"/>
        </w:rPr>
        <w:t>, que se encarga de la </w:t>
      </w:r>
      <w:r w:rsidRPr="00C25995">
        <w:rPr>
          <w:rFonts w:ascii="Verdana" w:hAnsi="Verdana"/>
          <w:b/>
          <w:bCs/>
          <w:sz w:val="18"/>
          <w:szCs w:val="18"/>
        </w:rPr>
        <w:t>ordenación y gestión de la actividad de arrendamiento</w:t>
      </w:r>
      <w:r w:rsidRPr="00C25995">
        <w:rPr>
          <w:rFonts w:ascii="Verdana" w:hAnsi="Verdana"/>
          <w:sz w:val="18"/>
          <w:szCs w:val="18"/>
        </w:rPr>
        <w:t>.</w:t>
      </w:r>
    </w:p>
    <w:p w14:paraId="1252C090" w14:textId="77777777" w:rsidR="00C25995" w:rsidRDefault="00C25995" w:rsidP="000F2B15">
      <w:pPr>
        <w:tabs>
          <w:tab w:val="left" w:pos="284"/>
        </w:tabs>
        <w:ind w:left="284"/>
        <w:jc w:val="both"/>
        <w:rPr>
          <w:rFonts w:ascii="Verdana" w:hAnsi="Verdana"/>
          <w:sz w:val="18"/>
          <w:szCs w:val="18"/>
        </w:rPr>
      </w:pPr>
    </w:p>
    <w:p w14:paraId="480140A2" w14:textId="2AD8C1A3" w:rsidR="00C25995" w:rsidRDefault="00C25995" w:rsidP="000F2B15">
      <w:pPr>
        <w:tabs>
          <w:tab w:val="left" w:pos="284"/>
        </w:tabs>
        <w:ind w:left="284"/>
        <w:jc w:val="both"/>
        <w:rPr>
          <w:rFonts w:ascii="Verdana" w:hAnsi="Verdana"/>
          <w:sz w:val="18"/>
          <w:szCs w:val="18"/>
        </w:rPr>
      </w:pPr>
      <w:r>
        <w:rPr>
          <w:rFonts w:ascii="Verdana" w:hAnsi="Verdana"/>
          <w:sz w:val="18"/>
          <w:szCs w:val="18"/>
        </w:rPr>
        <w:t>Recordemos que e</w:t>
      </w:r>
      <w:r w:rsidRPr="00C25995">
        <w:rPr>
          <w:rFonts w:ascii="Verdana" w:hAnsi="Verdana"/>
          <w:sz w:val="18"/>
          <w:szCs w:val="18"/>
        </w:rPr>
        <w:t>l requisito de persona empleada mediante contrato laboral a jornada completa en una entidad dedicada al arrendamiento de inmuebles es necesario para poder aplicar la exención en IP en relación con la tenencia de participaciones en dicha entidad.</w:t>
      </w:r>
    </w:p>
    <w:p w14:paraId="2A37BA1B" w14:textId="77777777" w:rsidR="00C25995" w:rsidRDefault="00C25995" w:rsidP="000F2B15">
      <w:pPr>
        <w:tabs>
          <w:tab w:val="left" w:pos="284"/>
        </w:tabs>
        <w:ind w:left="284"/>
        <w:jc w:val="both"/>
        <w:rPr>
          <w:rFonts w:ascii="Verdana" w:hAnsi="Verdana"/>
          <w:sz w:val="18"/>
          <w:szCs w:val="18"/>
        </w:rPr>
      </w:pPr>
    </w:p>
    <w:p w14:paraId="46B41804" w14:textId="77777777" w:rsidR="00C25995" w:rsidRDefault="00C25995" w:rsidP="00C25995">
      <w:pPr>
        <w:tabs>
          <w:tab w:val="left" w:pos="284"/>
        </w:tabs>
        <w:ind w:left="284"/>
        <w:jc w:val="both"/>
        <w:rPr>
          <w:rFonts w:ascii="Verdana" w:hAnsi="Verdana"/>
          <w:sz w:val="18"/>
          <w:szCs w:val="18"/>
        </w:rPr>
      </w:pPr>
      <w:r w:rsidRPr="00C25995">
        <w:rPr>
          <w:rFonts w:ascii="Verdana" w:hAnsi="Verdana"/>
          <w:sz w:val="18"/>
          <w:szCs w:val="18"/>
        </w:rPr>
        <w:t>Sin embargo, esta empleada realiza, fuera de su jornada laboral en la sociedad V, </w:t>
      </w:r>
      <w:r w:rsidRPr="00C25995">
        <w:rPr>
          <w:rFonts w:ascii="Verdana" w:hAnsi="Verdana"/>
          <w:b/>
          <w:bCs/>
          <w:sz w:val="18"/>
          <w:szCs w:val="18"/>
        </w:rPr>
        <w:t>otras actividades profesionales y empresariales</w:t>
      </w:r>
      <w:r w:rsidRPr="00C25995">
        <w:rPr>
          <w:rFonts w:ascii="Verdana" w:hAnsi="Verdana"/>
          <w:sz w:val="18"/>
          <w:szCs w:val="18"/>
        </w:rPr>
        <w:t>: </w:t>
      </w:r>
      <w:r w:rsidRPr="00C25995">
        <w:rPr>
          <w:rFonts w:ascii="Verdana" w:hAnsi="Verdana"/>
          <w:b/>
          <w:bCs/>
          <w:sz w:val="18"/>
          <w:szCs w:val="18"/>
        </w:rPr>
        <w:t>administradora remunerada</w:t>
      </w:r>
      <w:r w:rsidRPr="00C25995">
        <w:rPr>
          <w:rFonts w:ascii="Verdana" w:hAnsi="Verdana"/>
          <w:sz w:val="18"/>
          <w:szCs w:val="18"/>
        </w:rPr>
        <w:t> en otra entidad no vinculada y </w:t>
      </w:r>
      <w:r w:rsidRPr="00C25995">
        <w:rPr>
          <w:rFonts w:ascii="Verdana" w:hAnsi="Verdana"/>
          <w:b/>
          <w:bCs/>
          <w:sz w:val="18"/>
          <w:szCs w:val="18"/>
        </w:rPr>
        <w:t>autónoma</w:t>
      </w:r>
      <w:r w:rsidRPr="00C25995">
        <w:rPr>
          <w:rFonts w:ascii="Verdana" w:hAnsi="Verdana"/>
          <w:sz w:val="18"/>
          <w:szCs w:val="18"/>
        </w:rPr>
        <w:t> en una correduría de seguros.</w:t>
      </w:r>
    </w:p>
    <w:p w14:paraId="1AD827D3" w14:textId="77777777" w:rsidR="00C25995" w:rsidRPr="00C25995" w:rsidRDefault="00C25995" w:rsidP="00C25995">
      <w:pPr>
        <w:tabs>
          <w:tab w:val="left" w:pos="284"/>
        </w:tabs>
        <w:ind w:left="284"/>
        <w:jc w:val="both"/>
        <w:rPr>
          <w:rFonts w:ascii="Verdana" w:hAnsi="Verdana"/>
          <w:sz w:val="18"/>
          <w:szCs w:val="18"/>
        </w:rPr>
      </w:pPr>
    </w:p>
    <w:p w14:paraId="060A2407" w14:textId="0A998995" w:rsidR="00C25995" w:rsidRDefault="00C25995" w:rsidP="00C25995">
      <w:pPr>
        <w:tabs>
          <w:tab w:val="left" w:pos="284"/>
        </w:tabs>
        <w:ind w:left="284"/>
        <w:jc w:val="both"/>
        <w:rPr>
          <w:rFonts w:ascii="Verdana" w:hAnsi="Verdana"/>
          <w:sz w:val="18"/>
          <w:szCs w:val="18"/>
        </w:rPr>
      </w:pPr>
      <w:r w:rsidRPr="00C25995">
        <w:rPr>
          <w:rFonts w:ascii="Verdana" w:hAnsi="Verdana"/>
          <w:sz w:val="18"/>
          <w:szCs w:val="18"/>
        </w:rPr>
        <w:t>La cuestión que se plantea en la </w:t>
      </w:r>
      <w:r>
        <w:rPr>
          <w:rFonts w:ascii="Verdana" w:hAnsi="Verdana"/>
          <w:sz w:val="18"/>
          <w:szCs w:val="18"/>
        </w:rPr>
        <w:t xml:space="preserve">consulta tributaria </w:t>
      </w:r>
      <w:r w:rsidR="00F45A57">
        <w:rPr>
          <w:rFonts w:ascii="Verdana" w:hAnsi="Verdana"/>
          <w:sz w:val="18"/>
          <w:szCs w:val="18"/>
        </w:rPr>
        <w:t>reseñada</w:t>
      </w:r>
      <w:r w:rsidRPr="00C25995">
        <w:rPr>
          <w:rFonts w:ascii="Verdana" w:hAnsi="Verdana"/>
          <w:sz w:val="18"/>
          <w:szCs w:val="18"/>
        </w:rPr>
        <w:t xml:space="preserve"> es si, en estas circunstancias, </w:t>
      </w:r>
      <w:r w:rsidRPr="00C25995">
        <w:rPr>
          <w:rFonts w:ascii="Verdana" w:hAnsi="Verdana"/>
          <w:b/>
          <w:bCs/>
          <w:sz w:val="18"/>
          <w:szCs w:val="18"/>
        </w:rPr>
        <w:t>se cumple el requisito de actividad económica</w:t>
      </w:r>
      <w:r w:rsidRPr="00C25995">
        <w:rPr>
          <w:rFonts w:ascii="Verdana" w:hAnsi="Verdana"/>
          <w:sz w:val="18"/>
          <w:szCs w:val="18"/>
        </w:rPr>
        <w:t> establecido en la Ley del Impuesto sobre el Patrimonio (Ley IP), a efectos de que el </w:t>
      </w:r>
      <w:r w:rsidRPr="00C25995">
        <w:rPr>
          <w:rFonts w:ascii="Verdana" w:hAnsi="Verdana"/>
          <w:b/>
          <w:bCs/>
          <w:sz w:val="18"/>
          <w:szCs w:val="18"/>
        </w:rPr>
        <w:t>contribuyente pueda aplicar la exención sobre las participaciones que mantiene en la sociedad V</w:t>
      </w:r>
      <w:r w:rsidRPr="00C25995">
        <w:rPr>
          <w:rFonts w:ascii="Verdana" w:hAnsi="Verdana"/>
          <w:sz w:val="18"/>
          <w:szCs w:val="18"/>
        </w:rPr>
        <w:t>.</w:t>
      </w:r>
    </w:p>
    <w:p w14:paraId="6CDDD37E" w14:textId="77777777" w:rsidR="00F45A57" w:rsidRPr="00C25995" w:rsidRDefault="00F45A57" w:rsidP="00C25995">
      <w:pPr>
        <w:tabs>
          <w:tab w:val="left" w:pos="284"/>
        </w:tabs>
        <w:ind w:left="284"/>
        <w:jc w:val="both"/>
        <w:rPr>
          <w:rFonts w:ascii="Verdana" w:hAnsi="Verdana"/>
          <w:sz w:val="18"/>
          <w:szCs w:val="18"/>
        </w:rPr>
      </w:pPr>
    </w:p>
    <w:p w14:paraId="4E14DA76" w14:textId="77777777" w:rsidR="00C25995" w:rsidRDefault="00C25995" w:rsidP="00C25995">
      <w:pPr>
        <w:tabs>
          <w:tab w:val="left" w:pos="284"/>
        </w:tabs>
        <w:ind w:left="284"/>
        <w:jc w:val="both"/>
        <w:rPr>
          <w:rFonts w:ascii="Verdana" w:hAnsi="Verdana"/>
          <w:sz w:val="18"/>
          <w:szCs w:val="18"/>
        </w:rPr>
      </w:pPr>
      <w:r w:rsidRPr="00C25995">
        <w:rPr>
          <w:rFonts w:ascii="Verdana" w:hAnsi="Verdana"/>
          <w:sz w:val="18"/>
          <w:szCs w:val="18"/>
        </w:rPr>
        <w:t>La </w:t>
      </w:r>
      <w:r w:rsidRPr="00C25995">
        <w:rPr>
          <w:rFonts w:ascii="Verdana" w:hAnsi="Verdana"/>
          <w:b/>
          <w:bCs/>
          <w:sz w:val="18"/>
          <w:szCs w:val="18"/>
        </w:rPr>
        <w:t>Ley 19/1991 (Impuesto sobre el Patrimonio)</w:t>
      </w:r>
      <w:r w:rsidRPr="00C25995">
        <w:rPr>
          <w:rFonts w:ascii="Verdana" w:hAnsi="Verdana"/>
          <w:sz w:val="18"/>
          <w:szCs w:val="18"/>
        </w:rPr>
        <w:t>, establece en su artículo </w:t>
      </w:r>
      <w:r w:rsidRPr="00C25995">
        <w:rPr>
          <w:rFonts w:ascii="Verdana" w:hAnsi="Verdana"/>
          <w:b/>
          <w:bCs/>
          <w:sz w:val="18"/>
          <w:szCs w:val="18"/>
        </w:rPr>
        <w:t>4.Ocho.Dos</w:t>
      </w:r>
      <w:r w:rsidRPr="00C25995">
        <w:rPr>
          <w:rFonts w:ascii="Verdana" w:hAnsi="Verdana"/>
          <w:sz w:val="18"/>
          <w:szCs w:val="18"/>
        </w:rPr>
        <w:t> la posibilidad de </w:t>
      </w:r>
      <w:r w:rsidRPr="00C25995">
        <w:rPr>
          <w:rFonts w:ascii="Verdana" w:hAnsi="Verdana"/>
          <w:b/>
          <w:bCs/>
          <w:sz w:val="18"/>
          <w:szCs w:val="18"/>
        </w:rPr>
        <w:t>exención</w:t>
      </w:r>
      <w:r w:rsidRPr="00C25995">
        <w:rPr>
          <w:rFonts w:ascii="Verdana" w:hAnsi="Verdana"/>
          <w:sz w:val="18"/>
          <w:szCs w:val="18"/>
        </w:rPr>
        <w:t> en relación con participaciones en entidades, siempre que se cumplan los siguientes requisitos:</w:t>
      </w:r>
    </w:p>
    <w:p w14:paraId="02A22F4A" w14:textId="77777777" w:rsidR="00C25995" w:rsidRPr="00C25995" w:rsidRDefault="00C25995" w:rsidP="00C25995">
      <w:pPr>
        <w:tabs>
          <w:tab w:val="left" w:pos="284"/>
        </w:tabs>
        <w:ind w:left="284"/>
        <w:jc w:val="both"/>
        <w:rPr>
          <w:rFonts w:ascii="Verdana" w:hAnsi="Verdana"/>
          <w:sz w:val="18"/>
          <w:szCs w:val="18"/>
        </w:rPr>
      </w:pPr>
    </w:p>
    <w:p w14:paraId="110DCA5F" w14:textId="77777777" w:rsidR="00C25995" w:rsidRPr="00C25995" w:rsidRDefault="00C25995" w:rsidP="00C25995">
      <w:pPr>
        <w:numPr>
          <w:ilvl w:val="0"/>
          <w:numId w:val="6"/>
        </w:numPr>
        <w:tabs>
          <w:tab w:val="left" w:pos="284"/>
        </w:tabs>
        <w:jc w:val="both"/>
        <w:rPr>
          <w:rFonts w:ascii="Verdana" w:hAnsi="Verdana"/>
          <w:sz w:val="18"/>
          <w:szCs w:val="18"/>
        </w:rPr>
      </w:pPr>
      <w:r w:rsidRPr="00C25995">
        <w:rPr>
          <w:rFonts w:ascii="Verdana" w:hAnsi="Verdana"/>
          <w:b/>
          <w:bCs/>
          <w:sz w:val="18"/>
          <w:szCs w:val="18"/>
        </w:rPr>
        <w:t>Que la entidad no tenga como actividad principal la gestión de un patrimonio mobiliario o inmobiliario</w:t>
      </w:r>
      <w:r w:rsidRPr="00C25995">
        <w:rPr>
          <w:rFonts w:ascii="Verdana" w:hAnsi="Verdana"/>
          <w:sz w:val="18"/>
          <w:szCs w:val="18"/>
        </w:rPr>
        <w:t>, es decir, que </w:t>
      </w:r>
      <w:r w:rsidRPr="00C25995">
        <w:rPr>
          <w:rFonts w:ascii="Verdana" w:hAnsi="Verdana"/>
          <w:b/>
          <w:bCs/>
          <w:sz w:val="18"/>
          <w:szCs w:val="18"/>
        </w:rPr>
        <w:t>realice una actividad económica</w:t>
      </w:r>
      <w:r w:rsidRPr="00C25995">
        <w:rPr>
          <w:rFonts w:ascii="Verdana" w:hAnsi="Verdana"/>
          <w:sz w:val="18"/>
          <w:szCs w:val="18"/>
        </w:rPr>
        <w:t>.</w:t>
      </w:r>
    </w:p>
    <w:p w14:paraId="59194865" w14:textId="77777777" w:rsidR="00C25995" w:rsidRPr="00C25995" w:rsidRDefault="00C25995" w:rsidP="00C25995">
      <w:pPr>
        <w:numPr>
          <w:ilvl w:val="0"/>
          <w:numId w:val="6"/>
        </w:numPr>
        <w:tabs>
          <w:tab w:val="left" w:pos="284"/>
        </w:tabs>
        <w:jc w:val="both"/>
        <w:rPr>
          <w:rFonts w:ascii="Verdana" w:hAnsi="Verdana"/>
          <w:sz w:val="18"/>
          <w:szCs w:val="18"/>
        </w:rPr>
      </w:pPr>
      <w:r w:rsidRPr="00C25995">
        <w:rPr>
          <w:rFonts w:ascii="Verdana" w:hAnsi="Verdana"/>
          <w:sz w:val="18"/>
          <w:szCs w:val="18"/>
        </w:rPr>
        <w:t>Que el contribuyente posea una </w:t>
      </w:r>
      <w:r w:rsidRPr="00C25995">
        <w:rPr>
          <w:rFonts w:ascii="Verdana" w:hAnsi="Verdana"/>
          <w:b/>
          <w:bCs/>
          <w:sz w:val="18"/>
          <w:szCs w:val="18"/>
        </w:rPr>
        <w:t>participación mínima del 5% individualmente</w:t>
      </w:r>
      <w:r w:rsidRPr="00C25995">
        <w:rPr>
          <w:rFonts w:ascii="Verdana" w:hAnsi="Verdana"/>
          <w:sz w:val="18"/>
          <w:szCs w:val="18"/>
        </w:rPr>
        <w:t> o del </w:t>
      </w:r>
      <w:r w:rsidRPr="00C25995">
        <w:rPr>
          <w:rFonts w:ascii="Verdana" w:hAnsi="Verdana"/>
          <w:b/>
          <w:bCs/>
          <w:sz w:val="18"/>
          <w:szCs w:val="18"/>
        </w:rPr>
        <w:t>20% conjuntamente con su familia directa o colateral de segundo grado</w:t>
      </w:r>
      <w:r w:rsidRPr="00C25995">
        <w:rPr>
          <w:rFonts w:ascii="Verdana" w:hAnsi="Verdana"/>
          <w:sz w:val="18"/>
          <w:szCs w:val="18"/>
        </w:rPr>
        <w:t>.</w:t>
      </w:r>
    </w:p>
    <w:p w14:paraId="39FB3923" w14:textId="77777777" w:rsidR="00C25995" w:rsidRDefault="00C25995" w:rsidP="00C25995">
      <w:pPr>
        <w:numPr>
          <w:ilvl w:val="0"/>
          <w:numId w:val="6"/>
        </w:numPr>
        <w:tabs>
          <w:tab w:val="left" w:pos="284"/>
        </w:tabs>
        <w:jc w:val="both"/>
        <w:rPr>
          <w:rFonts w:ascii="Verdana" w:hAnsi="Verdana"/>
          <w:sz w:val="18"/>
          <w:szCs w:val="18"/>
        </w:rPr>
      </w:pPr>
      <w:r w:rsidRPr="00C25995">
        <w:rPr>
          <w:rFonts w:ascii="Verdana" w:hAnsi="Verdana"/>
          <w:sz w:val="18"/>
          <w:szCs w:val="18"/>
        </w:rPr>
        <w:t>Que el contribuyente </w:t>
      </w:r>
      <w:r w:rsidRPr="00C25995">
        <w:rPr>
          <w:rFonts w:ascii="Verdana" w:hAnsi="Verdana"/>
          <w:b/>
          <w:bCs/>
          <w:sz w:val="18"/>
          <w:szCs w:val="18"/>
        </w:rPr>
        <w:t>ejerza funciones de dirección</w:t>
      </w:r>
      <w:r w:rsidRPr="00C25995">
        <w:rPr>
          <w:rFonts w:ascii="Verdana" w:hAnsi="Verdana"/>
          <w:sz w:val="18"/>
          <w:szCs w:val="18"/>
        </w:rPr>
        <w:t> en la entidad y </w:t>
      </w:r>
      <w:r w:rsidRPr="00C25995">
        <w:rPr>
          <w:rFonts w:ascii="Verdana" w:hAnsi="Verdana"/>
          <w:b/>
          <w:bCs/>
          <w:sz w:val="18"/>
          <w:szCs w:val="18"/>
        </w:rPr>
        <w:t>perciba por ello una remuneración</w:t>
      </w:r>
      <w:r w:rsidRPr="00C25995">
        <w:rPr>
          <w:rFonts w:ascii="Verdana" w:hAnsi="Verdana"/>
          <w:sz w:val="18"/>
          <w:szCs w:val="18"/>
        </w:rPr>
        <w:t> que represente más del 50% de sus rendimientos del trabajo y actividades económicas.</w:t>
      </w:r>
    </w:p>
    <w:p w14:paraId="5A2C5F70" w14:textId="77777777" w:rsidR="00C25995" w:rsidRPr="00C25995" w:rsidRDefault="00C25995" w:rsidP="00C25995">
      <w:pPr>
        <w:tabs>
          <w:tab w:val="left" w:pos="284"/>
        </w:tabs>
        <w:jc w:val="both"/>
        <w:rPr>
          <w:rFonts w:ascii="Verdana" w:hAnsi="Verdana"/>
          <w:sz w:val="18"/>
          <w:szCs w:val="18"/>
        </w:rPr>
      </w:pPr>
    </w:p>
    <w:p w14:paraId="75CBC383" w14:textId="77777777" w:rsidR="00C25995" w:rsidRDefault="00C25995" w:rsidP="00C25995">
      <w:pPr>
        <w:tabs>
          <w:tab w:val="left" w:pos="284"/>
        </w:tabs>
        <w:ind w:left="284"/>
        <w:jc w:val="both"/>
        <w:rPr>
          <w:rFonts w:ascii="Verdana" w:hAnsi="Verdana"/>
          <w:sz w:val="18"/>
          <w:szCs w:val="18"/>
        </w:rPr>
      </w:pPr>
      <w:r w:rsidRPr="00C25995">
        <w:rPr>
          <w:rFonts w:ascii="Verdana" w:hAnsi="Verdana"/>
          <w:sz w:val="18"/>
          <w:szCs w:val="18"/>
        </w:rPr>
        <w:t>En lo que respecta al </w:t>
      </w:r>
      <w:r w:rsidRPr="00C25995">
        <w:rPr>
          <w:rFonts w:ascii="Verdana" w:hAnsi="Verdana"/>
          <w:b/>
          <w:bCs/>
          <w:sz w:val="18"/>
          <w:szCs w:val="18"/>
        </w:rPr>
        <w:t>primer requisito</w:t>
      </w:r>
      <w:r w:rsidRPr="00C25995">
        <w:rPr>
          <w:rFonts w:ascii="Verdana" w:hAnsi="Verdana"/>
          <w:sz w:val="18"/>
          <w:szCs w:val="18"/>
        </w:rPr>
        <w:t> (actividad económica), el artículo 4 remite expresamente a lo dispuesto en la normativa del </w:t>
      </w:r>
      <w:r w:rsidRPr="00C25995">
        <w:rPr>
          <w:rFonts w:ascii="Verdana" w:hAnsi="Verdana"/>
          <w:b/>
          <w:bCs/>
          <w:sz w:val="18"/>
          <w:szCs w:val="18"/>
        </w:rPr>
        <w:t>Impuesto sobre la Renta de las Personas Físicas (IRPF)</w:t>
      </w:r>
      <w:r w:rsidRPr="00C25995">
        <w:rPr>
          <w:rFonts w:ascii="Verdana" w:hAnsi="Verdana"/>
          <w:sz w:val="18"/>
          <w:szCs w:val="18"/>
        </w:rPr>
        <w:t>, concretamente al </w:t>
      </w:r>
      <w:r w:rsidRPr="00C25995">
        <w:rPr>
          <w:rFonts w:ascii="Verdana" w:hAnsi="Verdana"/>
          <w:b/>
          <w:bCs/>
          <w:sz w:val="18"/>
          <w:szCs w:val="18"/>
        </w:rPr>
        <w:t>artículo 27.2</w:t>
      </w:r>
      <w:r w:rsidRPr="00C25995">
        <w:rPr>
          <w:rFonts w:ascii="Verdana" w:hAnsi="Verdana"/>
          <w:sz w:val="18"/>
          <w:szCs w:val="18"/>
        </w:rPr>
        <w:t> de la </w:t>
      </w:r>
      <w:r w:rsidRPr="00C25995">
        <w:rPr>
          <w:rFonts w:ascii="Verdana" w:hAnsi="Verdana"/>
          <w:b/>
          <w:bCs/>
          <w:sz w:val="18"/>
          <w:szCs w:val="18"/>
        </w:rPr>
        <w:t>Ley 35/2006</w:t>
      </w:r>
      <w:r w:rsidRPr="00C25995">
        <w:rPr>
          <w:rFonts w:ascii="Verdana" w:hAnsi="Verdana"/>
          <w:sz w:val="18"/>
          <w:szCs w:val="18"/>
        </w:rPr>
        <w:t>: </w:t>
      </w:r>
      <w:r w:rsidRPr="00C25995">
        <w:rPr>
          <w:rFonts w:ascii="Verdana" w:hAnsi="Verdana"/>
          <w:b/>
          <w:bCs/>
          <w:sz w:val="18"/>
          <w:szCs w:val="18"/>
        </w:rPr>
        <w:t>el arrendamiento de inmuebles se considerará actividad económica únicamente cuando se cuente, al menos, con una persona empleada con contrato laboral y a jornada completa</w:t>
      </w:r>
      <w:r w:rsidRPr="00C25995">
        <w:rPr>
          <w:rFonts w:ascii="Verdana" w:hAnsi="Verdana"/>
          <w:sz w:val="18"/>
          <w:szCs w:val="18"/>
        </w:rPr>
        <w:t>.</w:t>
      </w:r>
    </w:p>
    <w:p w14:paraId="63967D56" w14:textId="77777777" w:rsidR="00C25995" w:rsidRPr="00C25995" w:rsidRDefault="00C25995" w:rsidP="00C25995">
      <w:pPr>
        <w:tabs>
          <w:tab w:val="left" w:pos="284"/>
        </w:tabs>
        <w:ind w:left="284"/>
        <w:jc w:val="both"/>
        <w:rPr>
          <w:rFonts w:ascii="Verdana" w:hAnsi="Verdana"/>
          <w:sz w:val="18"/>
          <w:szCs w:val="18"/>
        </w:rPr>
      </w:pPr>
    </w:p>
    <w:p w14:paraId="25186397" w14:textId="77777777" w:rsidR="00C25995" w:rsidRDefault="00C25995" w:rsidP="00C25995">
      <w:pPr>
        <w:tabs>
          <w:tab w:val="left" w:pos="284"/>
        </w:tabs>
        <w:ind w:left="284"/>
        <w:jc w:val="both"/>
        <w:rPr>
          <w:rFonts w:ascii="Verdana" w:hAnsi="Verdana"/>
          <w:sz w:val="18"/>
          <w:szCs w:val="18"/>
        </w:rPr>
      </w:pPr>
      <w:r w:rsidRPr="00C25995">
        <w:rPr>
          <w:rFonts w:ascii="Verdana" w:hAnsi="Verdana"/>
          <w:sz w:val="18"/>
          <w:szCs w:val="18"/>
        </w:rPr>
        <w:t>Respecto al caso concreto planteado, </w:t>
      </w:r>
      <w:r w:rsidRPr="00C25995">
        <w:rPr>
          <w:rFonts w:ascii="Verdana" w:hAnsi="Verdana"/>
          <w:b/>
          <w:bCs/>
          <w:sz w:val="18"/>
          <w:szCs w:val="18"/>
        </w:rPr>
        <w:t>la DGT valida que se cumple este requisito</w:t>
      </w:r>
      <w:r w:rsidRPr="00C25995">
        <w:rPr>
          <w:rFonts w:ascii="Verdana" w:hAnsi="Verdana"/>
          <w:sz w:val="18"/>
          <w:szCs w:val="18"/>
        </w:rPr>
        <w:t>, a pesar de que la empleada realice otras actividades económicas o profesionales fuera de su horario laboral en la sociedad V.</w:t>
      </w:r>
    </w:p>
    <w:p w14:paraId="54673F9C" w14:textId="77777777" w:rsidR="00C25995" w:rsidRPr="00C25995" w:rsidRDefault="00C25995" w:rsidP="00C25995">
      <w:pPr>
        <w:tabs>
          <w:tab w:val="left" w:pos="284"/>
        </w:tabs>
        <w:ind w:left="284"/>
        <w:jc w:val="both"/>
        <w:rPr>
          <w:rFonts w:ascii="Verdana" w:hAnsi="Verdana"/>
          <w:sz w:val="18"/>
          <w:szCs w:val="18"/>
        </w:rPr>
      </w:pPr>
    </w:p>
    <w:p w14:paraId="33B15A05" w14:textId="77777777" w:rsidR="00C25995" w:rsidRPr="00C25995" w:rsidRDefault="00C25995" w:rsidP="00C25995">
      <w:pPr>
        <w:tabs>
          <w:tab w:val="left" w:pos="284"/>
        </w:tabs>
        <w:ind w:left="284"/>
        <w:jc w:val="both"/>
        <w:rPr>
          <w:rFonts w:ascii="Verdana" w:hAnsi="Verdana"/>
          <w:sz w:val="18"/>
          <w:szCs w:val="18"/>
        </w:rPr>
      </w:pPr>
      <w:r w:rsidRPr="00C25995">
        <w:rPr>
          <w:rFonts w:ascii="Verdana" w:hAnsi="Verdana"/>
          <w:sz w:val="18"/>
          <w:szCs w:val="18"/>
        </w:rPr>
        <w:t>Lo relevante es que:</w:t>
      </w:r>
    </w:p>
    <w:p w14:paraId="35D73434" w14:textId="77777777" w:rsidR="00C25995" w:rsidRPr="00C25995" w:rsidRDefault="00C25995" w:rsidP="00C25995">
      <w:pPr>
        <w:numPr>
          <w:ilvl w:val="0"/>
          <w:numId w:val="7"/>
        </w:numPr>
        <w:tabs>
          <w:tab w:val="left" w:pos="284"/>
        </w:tabs>
        <w:jc w:val="both"/>
        <w:rPr>
          <w:rFonts w:ascii="Verdana" w:hAnsi="Verdana"/>
          <w:sz w:val="18"/>
          <w:szCs w:val="18"/>
        </w:rPr>
      </w:pPr>
      <w:r w:rsidRPr="00C25995">
        <w:rPr>
          <w:rFonts w:ascii="Verdana" w:hAnsi="Verdana"/>
          <w:b/>
          <w:bCs/>
          <w:sz w:val="18"/>
          <w:szCs w:val="18"/>
        </w:rPr>
        <w:t>El contrato laboral esté calificado como tal conforme a la legislación laboral</w:t>
      </w:r>
      <w:r w:rsidRPr="00C25995">
        <w:rPr>
          <w:rFonts w:ascii="Verdana" w:hAnsi="Verdana"/>
          <w:sz w:val="18"/>
          <w:szCs w:val="18"/>
        </w:rPr>
        <w:t>.</w:t>
      </w:r>
    </w:p>
    <w:p w14:paraId="1BFA862F" w14:textId="77777777" w:rsidR="00C25995" w:rsidRPr="00C25995" w:rsidRDefault="00C25995" w:rsidP="00C25995">
      <w:pPr>
        <w:numPr>
          <w:ilvl w:val="0"/>
          <w:numId w:val="7"/>
        </w:numPr>
        <w:tabs>
          <w:tab w:val="left" w:pos="284"/>
        </w:tabs>
        <w:jc w:val="both"/>
        <w:rPr>
          <w:rFonts w:ascii="Verdana" w:hAnsi="Verdana"/>
          <w:sz w:val="18"/>
          <w:szCs w:val="18"/>
        </w:rPr>
      </w:pPr>
      <w:r w:rsidRPr="00C25995">
        <w:rPr>
          <w:rFonts w:ascii="Verdana" w:hAnsi="Verdana"/>
          <w:b/>
          <w:bCs/>
          <w:sz w:val="18"/>
          <w:szCs w:val="18"/>
        </w:rPr>
        <w:t>La jornada completa se cumpla efectivamente en la sociedad V</w:t>
      </w:r>
      <w:r w:rsidRPr="00C25995">
        <w:rPr>
          <w:rFonts w:ascii="Verdana" w:hAnsi="Verdana"/>
          <w:sz w:val="18"/>
          <w:szCs w:val="18"/>
        </w:rPr>
        <w:t>.</w:t>
      </w:r>
    </w:p>
    <w:p w14:paraId="74FA8400" w14:textId="77777777" w:rsidR="00C25995" w:rsidRDefault="00C25995" w:rsidP="00C25995">
      <w:pPr>
        <w:numPr>
          <w:ilvl w:val="0"/>
          <w:numId w:val="7"/>
        </w:numPr>
        <w:tabs>
          <w:tab w:val="left" w:pos="284"/>
        </w:tabs>
        <w:jc w:val="both"/>
        <w:rPr>
          <w:rFonts w:ascii="Verdana" w:hAnsi="Verdana"/>
          <w:sz w:val="18"/>
          <w:szCs w:val="18"/>
        </w:rPr>
      </w:pPr>
      <w:r w:rsidRPr="00C25995">
        <w:rPr>
          <w:rFonts w:ascii="Verdana" w:hAnsi="Verdana"/>
          <w:b/>
          <w:bCs/>
          <w:sz w:val="18"/>
          <w:szCs w:val="18"/>
        </w:rPr>
        <w:t>Las otras actividades profesionales o empresariales</w:t>
      </w:r>
      <w:r w:rsidRPr="00C25995">
        <w:rPr>
          <w:rFonts w:ascii="Verdana" w:hAnsi="Verdana"/>
          <w:sz w:val="18"/>
          <w:szCs w:val="18"/>
        </w:rPr>
        <w:t> (como autónoma o administradora en otra entidad) se realicen </w:t>
      </w:r>
      <w:r w:rsidRPr="00C25995">
        <w:rPr>
          <w:rFonts w:ascii="Verdana" w:hAnsi="Verdana"/>
          <w:b/>
          <w:bCs/>
          <w:sz w:val="18"/>
          <w:szCs w:val="18"/>
        </w:rPr>
        <w:t>fuera del horario laboral</w:t>
      </w:r>
      <w:r w:rsidRPr="00C25995">
        <w:rPr>
          <w:rFonts w:ascii="Verdana" w:hAnsi="Verdana"/>
          <w:sz w:val="18"/>
          <w:szCs w:val="18"/>
        </w:rPr>
        <w:t> de V y </w:t>
      </w:r>
      <w:r w:rsidRPr="00C25995">
        <w:rPr>
          <w:rFonts w:ascii="Verdana" w:hAnsi="Verdana"/>
          <w:b/>
          <w:bCs/>
          <w:sz w:val="18"/>
          <w:szCs w:val="18"/>
        </w:rPr>
        <w:t>no afecten</w:t>
      </w:r>
      <w:r w:rsidRPr="00C25995">
        <w:rPr>
          <w:rFonts w:ascii="Verdana" w:hAnsi="Verdana"/>
          <w:sz w:val="18"/>
          <w:szCs w:val="18"/>
        </w:rPr>
        <w:t> a su dedicación durante la jornada completa establecida contractualmente.</w:t>
      </w:r>
    </w:p>
    <w:p w14:paraId="58FA2AEE" w14:textId="77777777" w:rsidR="00C25995" w:rsidRPr="00C25995" w:rsidRDefault="00C25995" w:rsidP="00C25995">
      <w:pPr>
        <w:tabs>
          <w:tab w:val="left" w:pos="284"/>
        </w:tabs>
        <w:ind w:left="720"/>
        <w:jc w:val="both"/>
        <w:rPr>
          <w:rFonts w:ascii="Verdana" w:hAnsi="Verdana"/>
          <w:sz w:val="18"/>
          <w:szCs w:val="18"/>
        </w:rPr>
      </w:pPr>
    </w:p>
    <w:p w14:paraId="49A6E66A" w14:textId="77777777" w:rsidR="00C25995" w:rsidRPr="00C25995" w:rsidRDefault="00C25995" w:rsidP="00C25995">
      <w:pPr>
        <w:tabs>
          <w:tab w:val="left" w:pos="284"/>
        </w:tabs>
        <w:ind w:left="284"/>
        <w:jc w:val="both"/>
        <w:rPr>
          <w:rFonts w:ascii="Verdana" w:hAnsi="Verdana"/>
          <w:sz w:val="18"/>
          <w:szCs w:val="18"/>
        </w:rPr>
      </w:pPr>
      <w:r w:rsidRPr="00C25995">
        <w:rPr>
          <w:rFonts w:ascii="Verdana" w:hAnsi="Verdana"/>
          <w:sz w:val="18"/>
          <w:szCs w:val="18"/>
        </w:rPr>
        <w:t>La DGT concluye que:</w:t>
      </w:r>
    </w:p>
    <w:p w14:paraId="22E2586F" w14:textId="77777777" w:rsidR="00C25995" w:rsidRDefault="00C25995" w:rsidP="00C25995">
      <w:pPr>
        <w:tabs>
          <w:tab w:val="left" w:pos="284"/>
        </w:tabs>
        <w:ind w:left="284"/>
        <w:jc w:val="both"/>
        <w:rPr>
          <w:rFonts w:ascii="Verdana" w:hAnsi="Verdana"/>
          <w:i/>
          <w:iCs/>
          <w:sz w:val="18"/>
          <w:szCs w:val="18"/>
        </w:rPr>
      </w:pPr>
      <w:r w:rsidRPr="00C25995">
        <w:rPr>
          <w:rFonts w:ascii="Verdana" w:hAnsi="Verdana"/>
          <w:i/>
          <w:iCs/>
          <w:sz w:val="18"/>
          <w:szCs w:val="18"/>
        </w:rPr>
        <w:t>"El requisito de contar con una persona empleada con contrato laboral y a jornada completa se considera cumplido siempre que dicho contrato esté amparado por la normativa laboral vigente y se ejecute durante la jornada completa correspondiente, sin perjuicio de que dicha persona pueda desarrollar otras actividades laborales o profesionales fuera de dicha jornada."</w:t>
      </w:r>
    </w:p>
    <w:p w14:paraId="27FC0F4F" w14:textId="77777777" w:rsidR="00C25995" w:rsidRPr="00C25995" w:rsidRDefault="00C25995" w:rsidP="00C25995">
      <w:pPr>
        <w:tabs>
          <w:tab w:val="left" w:pos="284"/>
        </w:tabs>
        <w:ind w:left="284"/>
        <w:jc w:val="both"/>
        <w:rPr>
          <w:rFonts w:ascii="Verdana" w:hAnsi="Verdana"/>
          <w:sz w:val="18"/>
          <w:szCs w:val="18"/>
        </w:rPr>
      </w:pPr>
    </w:p>
    <w:p w14:paraId="606771B0" w14:textId="1507762C" w:rsidR="00C25995" w:rsidRDefault="00C25995" w:rsidP="00C25995">
      <w:pPr>
        <w:tabs>
          <w:tab w:val="left" w:pos="284"/>
        </w:tabs>
        <w:ind w:left="284"/>
        <w:jc w:val="both"/>
        <w:rPr>
          <w:rFonts w:ascii="Verdana" w:hAnsi="Verdana"/>
          <w:sz w:val="18"/>
          <w:szCs w:val="18"/>
        </w:rPr>
      </w:pPr>
      <w:r w:rsidRPr="00C25995">
        <w:rPr>
          <w:rFonts w:ascii="Verdana" w:hAnsi="Verdana"/>
          <w:sz w:val="18"/>
          <w:szCs w:val="18"/>
        </w:rPr>
        <w:t>Por lo tanto, en el caso analizado, la sociedad V </w:t>
      </w:r>
      <w:r w:rsidRPr="00C25995">
        <w:rPr>
          <w:rFonts w:ascii="Verdana" w:hAnsi="Verdana"/>
          <w:b/>
          <w:bCs/>
          <w:sz w:val="18"/>
          <w:szCs w:val="18"/>
        </w:rPr>
        <w:t>realiza una actividad económica</w:t>
      </w:r>
      <w:r w:rsidRPr="00C25995">
        <w:rPr>
          <w:rFonts w:ascii="Verdana" w:hAnsi="Verdana"/>
          <w:sz w:val="18"/>
          <w:szCs w:val="18"/>
        </w:rPr>
        <w:t>, a efectos del Impuesto sobre el Patrimonio, </w:t>
      </w:r>
      <w:r w:rsidRPr="00C25995">
        <w:rPr>
          <w:rFonts w:ascii="Verdana" w:hAnsi="Verdana"/>
          <w:b/>
          <w:bCs/>
          <w:sz w:val="18"/>
          <w:szCs w:val="18"/>
        </w:rPr>
        <w:t>permitiendo aplicar la exención prevista en el artículo 4.Ocho.Dos de la LIP</w:t>
      </w:r>
      <w:r w:rsidRPr="00C25995">
        <w:rPr>
          <w:rFonts w:ascii="Verdana" w:hAnsi="Verdana"/>
          <w:sz w:val="18"/>
          <w:szCs w:val="18"/>
        </w:rPr>
        <w:t> a las participaciones del contribuyente, siempre y cuando se cumplan también los otros requisitos exigidos (participación mínima y funciones de dirección remuneradas</w:t>
      </w:r>
      <w:r w:rsidR="00A610F4">
        <w:rPr>
          <w:rFonts w:ascii="Verdana" w:hAnsi="Verdana"/>
          <w:sz w:val="18"/>
          <w:szCs w:val="18"/>
        </w:rPr>
        <w:t xml:space="preserve"> y más del 50% rendimientos del trabajo y actividades económicas</w:t>
      </w:r>
      <w:r w:rsidRPr="00C25995">
        <w:rPr>
          <w:rFonts w:ascii="Verdana" w:hAnsi="Verdana"/>
          <w:sz w:val="18"/>
          <w:szCs w:val="18"/>
        </w:rPr>
        <w:t>).</w:t>
      </w:r>
    </w:p>
    <w:p w14:paraId="454D5FEA" w14:textId="77777777" w:rsidR="00C25995" w:rsidRPr="00C25995" w:rsidRDefault="00C25995" w:rsidP="00C25995">
      <w:pPr>
        <w:tabs>
          <w:tab w:val="left" w:pos="284"/>
        </w:tabs>
        <w:ind w:left="284"/>
        <w:jc w:val="both"/>
        <w:rPr>
          <w:rFonts w:ascii="Verdana" w:hAnsi="Verdana"/>
          <w:sz w:val="18"/>
          <w:szCs w:val="18"/>
        </w:rPr>
      </w:pPr>
    </w:p>
    <w:p w14:paraId="7B816532" w14:textId="77777777" w:rsidR="00C25995" w:rsidRPr="00C25995" w:rsidRDefault="00C25995" w:rsidP="00C25995">
      <w:pPr>
        <w:tabs>
          <w:tab w:val="left" w:pos="284"/>
        </w:tabs>
        <w:ind w:left="284"/>
        <w:jc w:val="both"/>
        <w:rPr>
          <w:rFonts w:ascii="Verdana" w:hAnsi="Verdana"/>
          <w:sz w:val="18"/>
          <w:szCs w:val="18"/>
        </w:rPr>
      </w:pPr>
      <w:r w:rsidRPr="00C25995">
        <w:rPr>
          <w:rFonts w:ascii="Verdana" w:hAnsi="Verdana"/>
          <w:sz w:val="18"/>
          <w:szCs w:val="18"/>
        </w:rPr>
        <w:t>Este criterio administrativo es especialmente relevante para aquellas entidades dedicadas al </w:t>
      </w:r>
      <w:r w:rsidRPr="00C25995">
        <w:rPr>
          <w:rFonts w:ascii="Verdana" w:hAnsi="Verdana"/>
          <w:b/>
          <w:bCs/>
          <w:sz w:val="18"/>
          <w:szCs w:val="18"/>
        </w:rPr>
        <w:t>alquiler de inmuebles</w:t>
      </w:r>
      <w:r w:rsidRPr="00C25995">
        <w:rPr>
          <w:rFonts w:ascii="Verdana" w:hAnsi="Verdana"/>
          <w:sz w:val="18"/>
          <w:szCs w:val="18"/>
        </w:rPr>
        <w:t>, ya que delimita con claridad cuándo se puede considerar que </w:t>
      </w:r>
      <w:r w:rsidRPr="00C25995">
        <w:rPr>
          <w:rFonts w:ascii="Verdana" w:hAnsi="Verdana"/>
          <w:b/>
          <w:bCs/>
          <w:sz w:val="18"/>
          <w:szCs w:val="18"/>
        </w:rPr>
        <w:t>existe una actividad económica real</w:t>
      </w:r>
      <w:r w:rsidRPr="00C25995">
        <w:rPr>
          <w:rFonts w:ascii="Verdana" w:hAnsi="Verdana"/>
          <w:sz w:val="18"/>
          <w:szCs w:val="18"/>
        </w:rPr>
        <w:t>, y no simplemente una mera tenencia patrimonial. El cumplimiento formal y material del requisito de contar con una </w:t>
      </w:r>
      <w:r w:rsidRPr="00C25995">
        <w:rPr>
          <w:rFonts w:ascii="Verdana" w:hAnsi="Verdana"/>
          <w:b/>
          <w:bCs/>
          <w:sz w:val="18"/>
          <w:szCs w:val="18"/>
        </w:rPr>
        <w:t>persona empleada a jornada completa</w:t>
      </w:r>
      <w:r w:rsidRPr="00C25995">
        <w:rPr>
          <w:rFonts w:ascii="Verdana" w:hAnsi="Verdana"/>
          <w:sz w:val="18"/>
          <w:szCs w:val="18"/>
        </w:rPr>
        <w:t> es clave para acceder a los beneficios fiscales en el Impuesto sobre el Patrimonio.</w:t>
      </w:r>
    </w:p>
    <w:p w14:paraId="7D4C672B" w14:textId="77777777" w:rsidR="00C25995" w:rsidRDefault="00C25995" w:rsidP="000F2B15">
      <w:pPr>
        <w:tabs>
          <w:tab w:val="left" w:pos="284"/>
        </w:tabs>
        <w:ind w:left="284"/>
        <w:jc w:val="both"/>
        <w:rPr>
          <w:rFonts w:ascii="Verdana" w:hAnsi="Verdana"/>
          <w:sz w:val="18"/>
          <w:szCs w:val="18"/>
        </w:rPr>
      </w:pPr>
    </w:p>
    <w:p w14:paraId="5222F354" w14:textId="77777777" w:rsidR="0083359A" w:rsidRDefault="0083359A" w:rsidP="000F2B15">
      <w:pPr>
        <w:tabs>
          <w:tab w:val="left" w:pos="284"/>
        </w:tabs>
        <w:ind w:left="284"/>
        <w:jc w:val="both"/>
        <w:rPr>
          <w:rFonts w:ascii="Verdana" w:hAnsi="Verdana"/>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83359A" w:rsidRPr="0083359A" w14:paraId="2EB59D96" w14:textId="77777777" w:rsidTr="00C77289">
        <w:tc>
          <w:tcPr>
            <w:tcW w:w="180" w:type="dxa"/>
            <w:shd w:val="clear" w:color="auto" w:fill="FF6600"/>
          </w:tcPr>
          <w:p w14:paraId="50198A75" w14:textId="77777777" w:rsidR="0083359A" w:rsidRPr="0083359A" w:rsidRDefault="0083359A" w:rsidP="00C77289">
            <w:pPr>
              <w:rPr>
                <w:rFonts w:ascii="Verdana" w:hAnsi="Verdana"/>
                <w:b/>
                <w:bCs/>
                <w:iCs/>
                <w:color w:val="800000"/>
                <w:sz w:val="18"/>
                <w:szCs w:val="18"/>
              </w:rPr>
            </w:pPr>
            <w:bookmarkStart w:id="4" w:name="_Hlk200817386"/>
          </w:p>
        </w:tc>
        <w:tc>
          <w:tcPr>
            <w:tcW w:w="8460" w:type="dxa"/>
          </w:tcPr>
          <w:p w14:paraId="7EE19247" w14:textId="31F3153F" w:rsidR="0083359A" w:rsidRPr="0083359A" w:rsidRDefault="0083359A">
            <w:pPr>
              <w:pStyle w:val="Prrafodelista"/>
              <w:numPr>
                <w:ilvl w:val="0"/>
                <w:numId w:val="2"/>
              </w:numPr>
              <w:tabs>
                <w:tab w:val="num" w:pos="284"/>
              </w:tabs>
              <w:ind w:left="382" w:hanging="283"/>
              <w:jc w:val="both"/>
              <w:rPr>
                <w:rFonts w:ascii="Verdana" w:hAnsi="Verdana"/>
                <w:b/>
                <w:bCs/>
                <w:iCs/>
                <w:color w:val="800000"/>
                <w:sz w:val="18"/>
                <w:szCs w:val="18"/>
              </w:rPr>
            </w:pPr>
            <w:r w:rsidRPr="0083359A">
              <w:rPr>
                <w:rFonts w:ascii="Verdana" w:hAnsi="Verdana"/>
                <w:b/>
                <w:bCs/>
                <w:iCs/>
                <w:color w:val="800000"/>
                <w:sz w:val="18"/>
                <w:szCs w:val="18"/>
              </w:rPr>
              <w:t>A PARTIR DEL PRÓXIMO AÑO, LA AGENCIA TRIBUTARIA ELIMINA LOS LÍMITES EMPRESARIALES Y PODRÁ ACCEDER A CUALQUIER OPERACIÓN DE BIZUM, INDEPENDIENTEMENTE DE SU IMPORTE</w:t>
            </w:r>
          </w:p>
        </w:tc>
      </w:tr>
      <w:bookmarkEnd w:id="4"/>
    </w:tbl>
    <w:p w14:paraId="5411B5BC" w14:textId="77777777" w:rsidR="0083359A" w:rsidRPr="000F7FE2" w:rsidRDefault="0083359A" w:rsidP="000F2B15">
      <w:pPr>
        <w:tabs>
          <w:tab w:val="left" w:pos="284"/>
        </w:tabs>
        <w:ind w:left="284"/>
        <w:jc w:val="both"/>
        <w:rPr>
          <w:rFonts w:ascii="Verdana" w:hAnsi="Verdana"/>
          <w:sz w:val="18"/>
          <w:szCs w:val="18"/>
        </w:rPr>
      </w:pPr>
    </w:p>
    <w:p w14:paraId="0FD0795C" w14:textId="77777777" w:rsidR="0083359A" w:rsidRDefault="0083359A" w:rsidP="0083359A">
      <w:pPr>
        <w:tabs>
          <w:tab w:val="left" w:pos="284"/>
        </w:tabs>
        <w:ind w:left="284"/>
        <w:jc w:val="both"/>
        <w:rPr>
          <w:rFonts w:ascii="Verdana" w:hAnsi="Verdana"/>
          <w:sz w:val="18"/>
          <w:szCs w:val="18"/>
        </w:rPr>
      </w:pPr>
      <w:r w:rsidRPr="0083359A">
        <w:rPr>
          <w:rFonts w:ascii="Verdana" w:hAnsi="Verdana"/>
          <w:sz w:val="18"/>
          <w:szCs w:val="18"/>
        </w:rPr>
        <w:t xml:space="preserve">Hacienda tendrá, </w:t>
      </w:r>
      <w:r w:rsidRPr="00C74A4E">
        <w:rPr>
          <w:rFonts w:ascii="Verdana" w:hAnsi="Verdana"/>
          <w:b/>
          <w:bCs/>
          <w:sz w:val="18"/>
          <w:szCs w:val="18"/>
        </w:rPr>
        <w:t>a partir del 1 de enero de 2026</w:t>
      </w:r>
      <w:r w:rsidRPr="0083359A">
        <w:rPr>
          <w:rFonts w:ascii="Verdana" w:hAnsi="Verdana"/>
          <w:sz w:val="18"/>
          <w:szCs w:val="18"/>
        </w:rPr>
        <w:t xml:space="preserve">, acceso total a las transferencias de dinero que las empresas y profesionales envíen o reciban a través de </w:t>
      </w:r>
      <w:proofErr w:type="spellStart"/>
      <w:r w:rsidRPr="0083359A">
        <w:rPr>
          <w:rFonts w:ascii="Verdana" w:hAnsi="Verdana"/>
          <w:sz w:val="18"/>
          <w:szCs w:val="18"/>
        </w:rPr>
        <w:t>Bizum</w:t>
      </w:r>
      <w:proofErr w:type="spellEnd"/>
      <w:r w:rsidRPr="0083359A">
        <w:rPr>
          <w:rFonts w:ascii="Verdana" w:hAnsi="Verdana"/>
          <w:sz w:val="18"/>
          <w:szCs w:val="18"/>
        </w:rPr>
        <w:t xml:space="preserve">. Así se recoge en el Real Decreto 253/2025, publicado en el Boletín Oficial del Estado (BOE) el pasado 2 de abril, donde se elimina el límite por el cual las entidades bancarias están obligadas a informar al Fisco sobre las operaciones realizadas por sus clientes mediante este sistema </w:t>
      </w:r>
      <w:r w:rsidRPr="0083359A">
        <w:rPr>
          <w:rFonts w:ascii="Verdana" w:hAnsi="Verdana"/>
          <w:sz w:val="18"/>
          <w:szCs w:val="18"/>
        </w:rPr>
        <w:lastRenderedPageBreak/>
        <w:t xml:space="preserve">de pago, </w:t>
      </w:r>
      <w:r w:rsidRPr="00C74A4E">
        <w:rPr>
          <w:rFonts w:ascii="Verdana" w:hAnsi="Verdana"/>
          <w:b/>
          <w:bCs/>
          <w:sz w:val="18"/>
          <w:szCs w:val="18"/>
        </w:rPr>
        <w:t>siempre que una de las partes implicadas sea una sociedad o un trabajador por cuenta propia.</w:t>
      </w:r>
    </w:p>
    <w:p w14:paraId="42C4A402" w14:textId="77777777" w:rsidR="0083359A" w:rsidRPr="0083359A" w:rsidRDefault="0083359A" w:rsidP="0083359A">
      <w:pPr>
        <w:tabs>
          <w:tab w:val="left" w:pos="284"/>
        </w:tabs>
        <w:ind w:left="284"/>
        <w:jc w:val="both"/>
        <w:rPr>
          <w:rFonts w:ascii="Verdana" w:hAnsi="Verdana"/>
          <w:sz w:val="18"/>
          <w:szCs w:val="18"/>
        </w:rPr>
      </w:pPr>
    </w:p>
    <w:p w14:paraId="4BCC6622" w14:textId="77777777" w:rsidR="0083359A" w:rsidRDefault="0083359A" w:rsidP="0083359A">
      <w:pPr>
        <w:tabs>
          <w:tab w:val="left" w:pos="284"/>
        </w:tabs>
        <w:ind w:left="284"/>
        <w:jc w:val="both"/>
        <w:rPr>
          <w:rFonts w:ascii="Verdana" w:hAnsi="Verdana"/>
          <w:sz w:val="18"/>
          <w:szCs w:val="18"/>
        </w:rPr>
      </w:pPr>
      <w:r w:rsidRPr="0083359A">
        <w:rPr>
          <w:rFonts w:ascii="Verdana" w:hAnsi="Verdana"/>
          <w:sz w:val="18"/>
          <w:szCs w:val="18"/>
        </w:rPr>
        <w:t xml:space="preserve">Con esta medida, Hacienda busca aumentar el control sobre el fraude en las operaciones realizadas mediante </w:t>
      </w:r>
      <w:proofErr w:type="spellStart"/>
      <w:r w:rsidRPr="0083359A">
        <w:rPr>
          <w:rFonts w:ascii="Verdana" w:hAnsi="Verdana"/>
          <w:sz w:val="18"/>
          <w:szCs w:val="18"/>
        </w:rPr>
        <w:t>Bizum</w:t>
      </w:r>
      <w:proofErr w:type="spellEnd"/>
      <w:r w:rsidRPr="0083359A">
        <w:rPr>
          <w:rFonts w:ascii="Verdana" w:hAnsi="Verdana"/>
          <w:sz w:val="18"/>
          <w:szCs w:val="18"/>
        </w:rPr>
        <w:t>, en un contexto donde la herramienta se ha convertido en una opción recurrente para pagar en comercios, establecimientos de hostelería o actividades del sector servicios, entre otras.</w:t>
      </w:r>
    </w:p>
    <w:p w14:paraId="49BC069D" w14:textId="77777777" w:rsidR="0083359A" w:rsidRPr="0083359A" w:rsidRDefault="0083359A" w:rsidP="0083359A">
      <w:pPr>
        <w:tabs>
          <w:tab w:val="left" w:pos="284"/>
        </w:tabs>
        <w:ind w:left="284"/>
        <w:jc w:val="both"/>
        <w:rPr>
          <w:rFonts w:ascii="Verdana" w:hAnsi="Verdana"/>
          <w:sz w:val="18"/>
          <w:szCs w:val="18"/>
        </w:rPr>
      </w:pPr>
    </w:p>
    <w:p w14:paraId="0A4E9595" w14:textId="77777777" w:rsidR="0083359A" w:rsidRDefault="0083359A" w:rsidP="0083359A">
      <w:pPr>
        <w:tabs>
          <w:tab w:val="left" w:pos="284"/>
        </w:tabs>
        <w:ind w:left="284"/>
        <w:jc w:val="both"/>
        <w:rPr>
          <w:rFonts w:ascii="Verdana" w:hAnsi="Verdana"/>
          <w:sz w:val="18"/>
          <w:szCs w:val="18"/>
        </w:rPr>
      </w:pPr>
      <w:r w:rsidRPr="0083359A">
        <w:rPr>
          <w:rFonts w:ascii="Verdana" w:hAnsi="Verdana"/>
          <w:sz w:val="18"/>
          <w:szCs w:val="18"/>
        </w:rPr>
        <w:t xml:space="preserve">Además, el nuevo texto también modifica la periodicidad con la que los bancos deberán informar de estas operaciones, </w:t>
      </w:r>
      <w:r w:rsidRPr="00ED59D0">
        <w:rPr>
          <w:rFonts w:ascii="Verdana" w:hAnsi="Verdana"/>
          <w:b/>
          <w:bCs/>
          <w:sz w:val="18"/>
          <w:szCs w:val="18"/>
        </w:rPr>
        <w:t>pasando de ser anual a mensual</w:t>
      </w:r>
      <w:r w:rsidRPr="0083359A">
        <w:rPr>
          <w:rFonts w:ascii="Verdana" w:hAnsi="Verdana"/>
          <w:sz w:val="18"/>
          <w:szCs w:val="18"/>
        </w:rPr>
        <w:t>.</w:t>
      </w:r>
    </w:p>
    <w:p w14:paraId="0FB65664" w14:textId="77777777" w:rsidR="0083359A" w:rsidRPr="0083359A" w:rsidRDefault="0083359A" w:rsidP="0083359A">
      <w:pPr>
        <w:tabs>
          <w:tab w:val="left" w:pos="284"/>
        </w:tabs>
        <w:ind w:left="284"/>
        <w:jc w:val="both"/>
        <w:rPr>
          <w:rFonts w:ascii="Verdana" w:hAnsi="Verdana"/>
          <w:sz w:val="18"/>
          <w:szCs w:val="18"/>
        </w:rPr>
      </w:pPr>
    </w:p>
    <w:p w14:paraId="03CD1FB1" w14:textId="77777777" w:rsidR="0083359A" w:rsidRPr="00D37CF5" w:rsidRDefault="0083359A" w:rsidP="0083359A">
      <w:pPr>
        <w:tabs>
          <w:tab w:val="left" w:pos="284"/>
        </w:tabs>
        <w:ind w:left="284"/>
        <w:jc w:val="both"/>
        <w:rPr>
          <w:rFonts w:ascii="Verdana" w:hAnsi="Verdana"/>
          <w:b/>
          <w:bCs/>
          <w:sz w:val="18"/>
          <w:szCs w:val="18"/>
          <w:u w:val="single"/>
        </w:rPr>
      </w:pPr>
      <w:r w:rsidRPr="00D37CF5">
        <w:rPr>
          <w:rFonts w:ascii="Verdana" w:hAnsi="Verdana"/>
          <w:b/>
          <w:bCs/>
          <w:sz w:val="18"/>
          <w:szCs w:val="18"/>
          <w:u w:val="single"/>
        </w:rPr>
        <w:t>Otras medidas de control fiscal que entrarán en vigor en 2026</w:t>
      </w:r>
    </w:p>
    <w:p w14:paraId="6F45835E" w14:textId="77777777" w:rsidR="0083359A" w:rsidRDefault="0083359A" w:rsidP="0083359A">
      <w:pPr>
        <w:tabs>
          <w:tab w:val="left" w:pos="284"/>
        </w:tabs>
        <w:ind w:left="284"/>
        <w:jc w:val="both"/>
        <w:rPr>
          <w:rFonts w:ascii="Verdana" w:hAnsi="Verdana"/>
          <w:sz w:val="18"/>
          <w:szCs w:val="18"/>
        </w:rPr>
      </w:pPr>
      <w:r w:rsidRPr="0083359A">
        <w:rPr>
          <w:rFonts w:ascii="Verdana" w:hAnsi="Verdana"/>
          <w:sz w:val="18"/>
          <w:szCs w:val="18"/>
        </w:rPr>
        <w:t xml:space="preserve">En paralelo al acceso a todas las operaciones de </w:t>
      </w:r>
      <w:proofErr w:type="spellStart"/>
      <w:r w:rsidRPr="0083359A">
        <w:rPr>
          <w:rFonts w:ascii="Verdana" w:hAnsi="Verdana"/>
          <w:sz w:val="18"/>
          <w:szCs w:val="18"/>
        </w:rPr>
        <w:t>Bizum</w:t>
      </w:r>
      <w:proofErr w:type="spellEnd"/>
      <w:r w:rsidRPr="0083359A">
        <w:rPr>
          <w:rFonts w:ascii="Verdana" w:hAnsi="Verdana"/>
          <w:sz w:val="18"/>
          <w:szCs w:val="18"/>
        </w:rPr>
        <w:t xml:space="preserve"> de empresas y profesionales, el nuevo Reglamento General de las actuaciones y los procedimientos de gestión e inspección tributaria recoge otros cambios para 2026.</w:t>
      </w:r>
    </w:p>
    <w:p w14:paraId="2F00FC51" w14:textId="77777777" w:rsidR="0083359A" w:rsidRPr="0083359A" w:rsidRDefault="0083359A" w:rsidP="0083359A">
      <w:pPr>
        <w:tabs>
          <w:tab w:val="left" w:pos="284"/>
        </w:tabs>
        <w:ind w:left="284"/>
        <w:jc w:val="both"/>
        <w:rPr>
          <w:rFonts w:ascii="Verdana" w:hAnsi="Verdana"/>
          <w:sz w:val="18"/>
          <w:szCs w:val="18"/>
        </w:rPr>
      </w:pPr>
    </w:p>
    <w:p w14:paraId="58CDA495" w14:textId="77777777" w:rsidR="0083359A" w:rsidRDefault="0083359A" w:rsidP="0083359A">
      <w:pPr>
        <w:tabs>
          <w:tab w:val="left" w:pos="284"/>
        </w:tabs>
        <w:ind w:left="284"/>
        <w:jc w:val="both"/>
        <w:rPr>
          <w:rFonts w:ascii="Verdana" w:hAnsi="Verdana"/>
          <w:sz w:val="18"/>
          <w:szCs w:val="18"/>
        </w:rPr>
      </w:pPr>
      <w:r w:rsidRPr="0083359A">
        <w:rPr>
          <w:rFonts w:ascii="Verdana" w:hAnsi="Verdana"/>
          <w:sz w:val="18"/>
          <w:szCs w:val="18"/>
        </w:rPr>
        <w:t xml:space="preserve">Entre ellos destaca </w:t>
      </w:r>
      <w:r w:rsidRPr="00ED59D0">
        <w:rPr>
          <w:rFonts w:ascii="Verdana" w:hAnsi="Verdana"/>
          <w:b/>
          <w:bCs/>
          <w:sz w:val="18"/>
          <w:szCs w:val="18"/>
        </w:rPr>
        <w:t>la obligación de los bancos de informar al Fisco sobre cualquier tipo de operaciones realizadas con tarjeta. Por ejemplo, los abonos, los cargos o las retiradas e ingresos de efectivo en los cajeros automáticos</w:t>
      </w:r>
      <w:r w:rsidRPr="0083359A">
        <w:rPr>
          <w:rFonts w:ascii="Verdana" w:hAnsi="Verdana"/>
          <w:sz w:val="18"/>
          <w:szCs w:val="18"/>
        </w:rPr>
        <w:t>.</w:t>
      </w:r>
    </w:p>
    <w:p w14:paraId="4EB8C54E" w14:textId="77777777" w:rsidR="0083359A" w:rsidRPr="0083359A" w:rsidRDefault="0083359A" w:rsidP="0083359A">
      <w:pPr>
        <w:tabs>
          <w:tab w:val="left" w:pos="284"/>
        </w:tabs>
        <w:ind w:left="284"/>
        <w:jc w:val="both"/>
        <w:rPr>
          <w:rFonts w:ascii="Verdana" w:hAnsi="Verdana"/>
          <w:sz w:val="18"/>
          <w:szCs w:val="18"/>
        </w:rPr>
      </w:pPr>
    </w:p>
    <w:p w14:paraId="488BA6BE" w14:textId="77777777" w:rsidR="008051C8" w:rsidRDefault="0083359A" w:rsidP="0083359A">
      <w:pPr>
        <w:tabs>
          <w:tab w:val="left" w:pos="284"/>
        </w:tabs>
        <w:ind w:left="284"/>
        <w:jc w:val="both"/>
        <w:rPr>
          <w:rFonts w:ascii="Verdana" w:hAnsi="Verdana"/>
          <w:sz w:val="18"/>
          <w:szCs w:val="18"/>
        </w:rPr>
      </w:pPr>
      <w:r w:rsidRPr="0083359A">
        <w:rPr>
          <w:rFonts w:ascii="Verdana" w:hAnsi="Verdana"/>
          <w:sz w:val="18"/>
          <w:szCs w:val="18"/>
        </w:rPr>
        <w:t>Por último, se amplía el número de obligados a informar al Fisco. Desde el 1 de enero, también deberán hacerlo las entidades extranjeras, sean o no comunitarias, que operen en España, y las entidades de pago y dinero electrónico, las cuales se suman a las dedicadas al negocio bancario o crediticio, que hasta este ejercicio han sido las únicas obligadas.</w:t>
      </w:r>
    </w:p>
    <w:p w14:paraId="03931B57" w14:textId="77777777" w:rsidR="008051C8" w:rsidRDefault="008051C8" w:rsidP="0083359A">
      <w:pPr>
        <w:tabs>
          <w:tab w:val="left" w:pos="284"/>
        </w:tabs>
        <w:ind w:left="284"/>
        <w:jc w:val="both"/>
        <w:rPr>
          <w:rFonts w:ascii="Verdana" w:hAnsi="Verdana"/>
          <w:sz w:val="18"/>
          <w:szCs w:val="18"/>
        </w:rPr>
      </w:pPr>
    </w:p>
    <w:p w14:paraId="0B5C8C04" w14:textId="77777777" w:rsidR="002E245A" w:rsidRDefault="002E245A" w:rsidP="0083359A">
      <w:pPr>
        <w:tabs>
          <w:tab w:val="left" w:pos="284"/>
        </w:tabs>
        <w:ind w:left="284"/>
        <w:jc w:val="both"/>
        <w:rPr>
          <w:rFonts w:ascii="Verdana" w:hAnsi="Verdana"/>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8051C8" w:rsidRPr="000A00FF" w14:paraId="48F2029A" w14:textId="77777777" w:rsidTr="003F5B5F">
        <w:tc>
          <w:tcPr>
            <w:tcW w:w="180" w:type="dxa"/>
            <w:shd w:val="clear" w:color="auto" w:fill="FF6600"/>
          </w:tcPr>
          <w:p w14:paraId="59664BEB" w14:textId="77777777" w:rsidR="008051C8" w:rsidRPr="000A00FF" w:rsidRDefault="008051C8" w:rsidP="003F5B5F">
            <w:pPr>
              <w:rPr>
                <w:rFonts w:ascii="Verdana" w:hAnsi="Verdana"/>
                <w:b/>
                <w:bCs/>
                <w:iCs/>
                <w:color w:val="800000"/>
                <w:sz w:val="18"/>
                <w:szCs w:val="18"/>
              </w:rPr>
            </w:pPr>
          </w:p>
        </w:tc>
        <w:tc>
          <w:tcPr>
            <w:tcW w:w="8460" w:type="dxa"/>
          </w:tcPr>
          <w:p w14:paraId="447B4AD1" w14:textId="1B2A6753" w:rsidR="008051C8" w:rsidRPr="000A00FF" w:rsidRDefault="000A00FF" w:rsidP="003F5B5F">
            <w:pPr>
              <w:pStyle w:val="Prrafodelista"/>
              <w:numPr>
                <w:ilvl w:val="0"/>
                <w:numId w:val="2"/>
              </w:numPr>
              <w:tabs>
                <w:tab w:val="num" w:pos="284"/>
              </w:tabs>
              <w:ind w:left="382" w:hanging="283"/>
              <w:jc w:val="both"/>
              <w:rPr>
                <w:rFonts w:ascii="Verdana" w:hAnsi="Verdana"/>
                <w:b/>
                <w:bCs/>
                <w:iCs/>
                <w:color w:val="800000"/>
                <w:sz w:val="18"/>
                <w:szCs w:val="18"/>
              </w:rPr>
            </w:pPr>
            <w:r w:rsidRPr="000A00FF">
              <w:rPr>
                <w:rFonts w:ascii="Verdana" w:hAnsi="Verdana"/>
                <w:b/>
                <w:bCs/>
                <w:iCs/>
                <w:color w:val="800000"/>
                <w:sz w:val="18"/>
                <w:szCs w:val="18"/>
              </w:rPr>
              <w:t>APROBADOS LOS NUEVOS MODELOS PARA EL DEPÓSITO DE CUENTAS ANUALES INDIVIDUALES Y CONSOLIDADAS</w:t>
            </w:r>
          </w:p>
        </w:tc>
      </w:tr>
    </w:tbl>
    <w:p w14:paraId="3A4B6E0E" w14:textId="77777777" w:rsidR="008051C8" w:rsidRDefault="008051C8" w:rsidP="0083359A">
      <w:pPr>
        <w:tabs>
          <w:tab w:val="left" w:pos="284"/>
        </w:tabs>
        <w:ind w:left="284"/>
        <w:jc w:val="both"/>
        <w:rPr>
          <w:rFonts w:ascii="Verdana" w:hAnsi="Verdana"/>
          <w:sz w:val="18"/>
          <w:szCs w:val="18"/>
        </w:rPr>
      </w:pPr>
    </w:p>
    <w:p w14:paraId="3A87628D" w14:textId="66AB4FA5" w:rsidR="008051C8" w:rsidRPr="008051C8" w:rsidRDefault="008051C8" w:rsidP="008051C8">
      <w:pPr>
        <w:tabs>
          <w:tab w:val="left" w:pos="284"/>
        </w:tabs>
        <w:ind w:left="284"/>
        <w:jc w:val="both"/>
        <w:rPr>
          <w:rFonts w:ascii="Verdana" w:hAnsi="Verdana"/>
          <w:sz w:val="18"/>
          <w:szCs w:val="18"/>
        </w:rPr>
      </w:pPr>
      <w:r w:rsidRPr="008051C8">
        <w:rPr>
          <w:rFonts w:ascii="Verdana" w:hAnsi="Verdana"/>
          <w:sz w:val="18"/>
          <w:szCs w:val="18"/>
        </w:rPr>
        <w:t xml:space="preserve">En el Boletín Oficial del Estado de 3 de junio se </w:t>
      </w:r>
      <w:r w:rsidR="000A00FF">
        <w:rPr>
          <w:rFonts w:ascii="Verdana" w:hAnsi="Verdana"/>
          <w:sz w:val="18"/>
          <w:szCs w:val="18"/>
        </w:rPr>
        <w:t>han publicado</w:t>
      </w:r>
      <w:r w:rsidR="00A610F4">
        <w:rPr>
          <w:rFonts w:ascii="Verdana" w:hAnsi="Verdana"/>
          <w:sz w:val="18"/>
          <w:szCs w:val="18"/>
        </w:rPr>
        <w:t xml:space="preserve"> los</w:t>
      </w:r>
      <w:r w:rsidRPr="008051C8">
        <w:rPr>
          <w:rFonts w:ascii="Verdana" w:hAnsi="Verdana"/>
          <w:sz w:val="18"/>
          <w:szCs w:val="18"/>
        </w:rPr>
        <w:t xml:space="preserve"> nuevos modelos para la presentación de </w:t>
      </w:r>
      <w:r w:rsidR="002407AA">
        <w:rPr>
          <w:rFonts w:ascii="Verdana" w:hAnsi="Verdana"/>
          <w:sz w:val="18"/>
          <w:szCs w:val="18"/>
        </w:rPr>
        <w:t xml:space="preserve">las </w:t>
      </w:r>
      <w:r w:rsidRPr="008051C8">
        <w:rPr>
          <w:rFonts w:ascii="Verdana" w:hAnsi="Verdana"/>
          <w:sz w:val="18"/>
          <w:szCs w:val="18"/>
        </w:rPr>
        <w:t xml:space="preserve">cuentas anuales individuales y </w:t>
      </w:r>
      <w:r w:rsidR="002407AA">
        <w:rPr>
          <w:rFonts w:ascii="Verdana" w:hAnsi="Verdana"/>
          <w:sz w:val="18"/>
          <w:szCs w:val="18"/>
        </w:rPr>
        <w:t xml:space="preserve">de las </w:t>
      </w:r>
      <w:r w:rsidRPr="008051C8">
        <w:rPr>
          <w:rFonts w:ascii="Verdana" w:hAnsi="Verdana"/>
          <w:sz w:val="18"/>
          <w:szCs w:val="18"/>
        </w:rPr>
        <w:t xml:space="preserve">cuentas anuales consolidadas en el Registro Mercantil. Estos nuevos modelos </w:t>
      </w:r>
      <w:r w:rsidRPr="000A00FF">
        <w:rPr>
          <w:rFonts w:ascii="Verdana" w:hAnsi="Verdana"/>
          <w:b/>
          <w:bCs/>
          <w:sz w:val="18"/>
          <w:szCs w:val="18"/>
        </w:rPr>
        <w:t>deberán utilizarse para las cuentas que sean depositadas en el Registro a partir del 3 de junio de 2025</w:t>
      </w:r>
      <w:r w:rsidRPr="008051C8">
        <w:rPr>
          <w:rFonts w:ascii="Verdana" w:hAnsi="Verdana"/>
          <w:sz w:val="18"/>
          <w:szCs w:val="18"/>
        </w:rPr>
        <w:t>.</w:t>
      </w:r>
    </w:p>
    <w:p w14:paraId="76DC9D3A" w14:textId="77777777" w:rsidR="008051C8" w:rsidRPr="008051C8" w:rsidRDefault="008051C8" w:rsidP="008051C8">
      <w:pPr>
        <w:tabs>
          <w:tab w:val="left" w:pos="284"/>
        </w:tabs>
        <w:ind w:left="284"/>
        <w:jc w:val="both"/>
        <w:rPr>
          <w:rFonts w:ascii="Verdana" w:hAnsi="Verdana"/>
          <w:sz w:val="18"/>
          <w:szCs w:val="18"/>
        </w:rPr>
      </w:pPr>
    </w:p>
    <w:p w14:paraId="0888AA64" w14:textId="77777777" w:rsidR="008051C8" w:rsidRPr="008051C8" w:rsidRDefault="008051C8" w:rsidP="008051C8">
      <w:pPr>
        <w:tabs>
          <w:tab w:val="left" w:pos="284"/>
        </w:tabs>
        <w:ind w:left="284"/>
        <w:jc w:val="both"/>
        <w:rPr>
          <w:rFonts w:ascii="Verdana" w:hAnsi="Verdana"/>
          <w:sz w:val="18"/>
          <w:szCs w:val="18"/>
        </w:rPr>
      </w:pPr>
      <w:r w:rsidRPr="008051C8">
        <w:rPr>
          <w:rFonts w:ascii="Verdana" w:hAnsi="Verdana"/>
          <w:sz w:val="18"/>
          <w:szCs w:val="18"/>
        </w:rPr>
        <w:t>Indicamos a continuación dos modificaciones de los nuevos modelos comparados con los anteriores que todas las sociedades deberán tener en cuenta:</w:t>
      </w:r>
    </w:p>
    <w:p w14:paraId="7DFD7C97" w14:textId="77777777" w:rsidR="008051C8" w:rsidRPr="008051C8" w:rsidRDefault="008051C8" w:rsidP="008051C8">
      <w:pPr>
        <w:tabs>
          <w:tab w:val="left" w:pos="284"/>
        </w:tabs>
        <w:ind w:left="284"/>
        <w:jc w:val="both"/>
        <w:rPr>
          <w:rFonts w:ascii="Verdana" w:hAnsi="Verdana"/>
          <w:sz w:val="18"/>
          <w:szCs w:val="18"/>
        </w:rPr>
      </w:pPr>
    </w:p>
    <w:p w14:paraId="00A1AAE4" w14:textId="77777777" w:rsidR="008051C8" w:rsidRPr="008051C8" w:rsidRDefault="008051C8" w:rsidP="008051C8">
      <w:pPr>
        <w:tabs>
          <w:tab w:val="left" w:pos="284"/>
        </w:tabs>
        <w:ind w:left="284"/>
        <w:jc w:val="both"/>
        <w:rPr>
          <w:rFonts w:ascii="Verdana" w:hAnsi="Verdana"/>
          <w:sz w:val="18"/>
          <w:szCs w:val="18"/>
        </w:rPr>
      </w:pPr>
      <w:r w:rsidRPr="000A00FF">
        <w:rPr>
          <w:rFonts w:ascii="Verdana" w:hAnsi="Verdana"/>
          <w:b/>
          <w:bCs/>
          <w:sz w:val="18"/>
          <w:szCs w:val="18"/>
        </w:rPr>
        <w:t>Código IRUS</w:t>
      </w:r>
      <w:r w:rsidRPr="008051C8">
        <w:rPr>
          <w:rFonts w:ascii="Verdana" w:hAnsi="Verdana"/>
          <w:sz w:val="18"/>
          <w:szCs w:val="18"/>
        </w:rPr>
        <w:t>. El identificador registral único de la sociedad (IRUS) es un código alfanumérico que se asigna automáticamente a cada sociedad. Se puede consultar el IRUS asignado a la sociedad en Directorio de Sociedades.</w:t>
      </w:r>
    </w:p>
    <w:p w14:paraId="55258E05" w14:textId="77777777" w:rsidR="008051C8" w:rsidRPr="008051C8" w:rsidRDefault="008051C8" w:rsidP="008051C8">
      <w:pPr>
        <w:tabs>
          <w:tab w:val="left" w:pos="284"/>
        </w:tabs>
        <w:ind w:left="284"/>
        <w:jc w:val="both"/>
        <w:rPr>
          <w:rFonts w:ascii="Verdana" w:hAnsi="Verdana"/>
          <w:sz w:val="18"/>
          <w:szCs w:val="18"/>
        </w:rPr>
      </w:pPr>
    </w:p>
    <w:p w14:paraId="1CC64191" w14:textId="77777777" w:rsidR="008051C8" w:rsidRDefault="008051C8" w:rsidP="008051C8">
      <w:pPr>
        <w:tabs>
          <w:tab w:val="left" w:pos="284"/>
        </w:tabs>
        <w:ind w:left="284"/>
        <w:jc w:val="both"/>
        <w:rPr>
          <w:rFonts w:ascii="Verdana" w:hAnsi="Verdana"/>
          <w:sz w:val="18"/>
          <w:szCs w:val="18"/>
        </w:rPr>
      </w:pPr>
      <w:r w:rsidRPr="008051C8">
        <w:rPr>
          <w:rFonts w:ascii="Verdana" w:hAnsi="Verdana"/>
          <w:sz w:val="18"/>
          <w:szCs w:val="18"/>
        </w:rPr>
        <w:t>En los impresos ahora aprobados, el Código IRUS se incluye en la solicitud de presentación en el Registro Mercantil y en la hoja de identificación.</w:t>
      </w:r>
    </w:p>
    <w:p w14:paraId="11BAF64F" w14:textId="77777777" w:rsidR="000A00FF" w:rsidRPr="008051C8" w:rsidRDefault="000A00FF" w:rsidP="008051C8">
      <w:pPr>
        <w:tabs>
          <w:tab w:val="left" w:pos="284"/>
        </w:tabs>
        <w:ind w:left="284"/>
        <w:jc w:val="both"/>
        <w:rPr>
          <w:rFonts w:ascii="Verdana" w:hAnsi="Verdana"/>
          <w:sz w:val="18"/>
          <w:szCs w:val="18"/>
        </w:rPr>
      </w:pPr>
    </w:p>
    <w:p w14:paraId="7CCE1E41" w14:textId="77777777" w:rsidR="008051C8" w:rsidRPr="008051C8" w:rsidRDefault="008051C8" w:rsidP="008051C8">
      <w:pPr>
        <w:tabs>
          <w:tab w:val="left" w:pos="284"/>
        </w:tabs>
        <w:ind w:left="284"/>
        <w:jc w:val="both"/>
        <w:rPr>
          <w:rFonts w:ascii="Verdana" w:hAnsi="Verdana"/>
          <w:sz w:val="18"/>
          <w:szCs w:val="18"/>
        </w:rPr>
      </w:pPr>
      <w:r w:rsidRPr="000A00FF">
        <w:rPr>
          <w:rFonts w:ascii="Verdana" w:hAnsi="Verdana"/>
          <w:b/>
          <w:bCs/>
          <w:sz w:val="18"/>
          <w:szCs w:val="18"/>
        </w:rPr>
        <w:t>CNAE de 2025</w:t>
      </w:r>
      <w:r w:rsidRPr="008051C8">
        <w:rPr>
          <w:rFonts w:ascii="Verdana" w:hAnsi="Verdana"/>
          <w:sz w:val="18"/>
          <w:szCs w:val="18"/>
        </w:rPr>
        <w:t>. El Real Decreto 10/2025, de 14 de enero, aprobó la Clasificación Nacional de Actividades Económicas (CNAE) 2025.</w:t>
      </w:r>
    </w:p>
    <w:p w14:paraId="0A6BA7DE" w14:textId="77777777" w:rsidR="008051C8" w:rsidRPr="008051C8" w:rsidRDefault="008051C8" w:rsidP="008051C8">
      <w:pPr>
        <w:tabs>
          <w:tab w:val="left" w:pos="284"/>
        </w:tabs>
        <w:ind w:left="284"/>
        <w:jc w:val="both"/>
        <w:rPr>
          <w:rFonts w:ascii="Verdana" w:hAnsi="Verdana"/>
          <w:sz w:val="18"/>
          <w:szCs w:val="18"/>
        </w:rPr>
      </w:pPr>
    </w:p>
    <w:p w14:paraId="5F1393B0" w14:textId="77777777" w:rsidR="008051C8" w:rsidRDefault="008051C8" w:rsidP="008051C8">
      <w:pPr>
        <w:tabs>
          <w:tab w:val="left" w:pos="284"/>
        </w:tabs>
        <w:ind w:left="284"/>
        <w:jc w:val="both"/>
        <w:rPr>
          <w:rFonts w:ascii="Verdana" w:hAnsi="Verdana"/>
          <w:sz w:val="18"/>
          <w:szCs w:val="18"/>
        </w:rPr>
      </w:pPr>
      <w:r w:rsidRPr="008051C8">
        <w:rPr>
          <w:rFonts w:ascii="Verdana" w:hAnsi="Verdana"/>
          <w:sz w:val="18"/>
          <w:szCs w:val="18"/>
        </w:rPr>
        <w:t>En los nuevos impresos este CNAE de 2025 se incluye en la hoja de identificación. Los modelos electrónicos incorporan una ayuda para que las empresas puedan rellenarlo a partir del CNAE vigente en 2024 (denominado CNAE 2009, aprobado en su momento por el Real Decreto 475/2007).</w:t>
      </w:r>
    </w:p>
    <w:p w14:paraId="54F7E174" w14:textId="77777777" w:rsidR="008051C8" w:rsidRPr="008051C8" w:rsidRDefault="008051C8" w:rsidP="008051C8">
      <w:pPr>
        <w:tabs>
          <w:tab w:val="left" w:pos="284"/>
        </w:tabs>
        <w:ind w:left="284"/>
        <w:jc w:val="both"/>
        <w:rPr>
          <w:rFonts w:ascii="Verdana" w:hAnsi="Verdana"/>
          <w:sz w:val="18"/>
          <w:szCs w:val="18"/>
        </w:rPr>
      </w:pPr>
    </w:p>
    <w:p w14:paraId="29FC7A2D" w14:textId="77777777" w:rsidR="002E245A" w:rsidRDefault="008051C8" w:rsidP="008051C8">
      <w:pPr>
        <w:tabs>
          <w:tab w:val="left" w:pos="284"/>
        </w:tabs>
        <w:ind w:left="284"/>
        <w:jc w:val="both"/>
        <w:rPr>
          <w:rFonts w:ascii="Verdana" w:hAnsi="Verdana"/>
          <w:sz w:val="18"/>
          <w:szCs w:val="18"/>
        </w:rPr>
      </w:pPr>
      <w:r w:rsidRPr="008051C8">
        <w:rPr>
          <w:rFonts w:ascii="Verdana" w:hAnsi="Verdana"/>
          <w:sz w:val="18"/>
          <w:szCs w:val="18"/>
        </w:rPr>
        <w:t xml:space="preserve">Por otro lado, </w:t>
      </w:r>
      <w:r w:rsidR="000A00FF">
        <w:rPr>
          <w:rFonts w:ascii="Verdana" w:hAnsi="Verdana"/>
          <w:sz w:val="18"/>
          <w:szCs w:val="18"/>
        </w:rPr>
        <w:t>e</w:t>
      </w:r>
      <w:r w:rsidRPr="008051C8">
        <w:rPr>
          <w:rFonts w:ascii="Verdana" w:hAnsi="Verdana"/>
          <w:sz w:val="18"/>
          <w:szCs w:val="18"/>
        </w:rPr>
        <w:t xml:space="preserve">l RDL 4/2025 </w:t>
      </w:r>
      <w:r w:rsidRPr="000A00FF">
        <w:rPr>
          <w:rFonts w:ascii="Verdana" w:hAnsi="Verdana"/>
          <w:b/>
          <w:bCs/>
          <w:sz w:val="18"/>
          <w:szCs w:val="18"/>
        </w:rPr>
        <w:t>recupera la "moratoria societaria"</w:t>
      </w:r>
      <w:r w:rsidRPr="008051C8">
        <w:rPr>
          <w:rFonts w:ascii="Verdana" w:hAnsi="Verdana"/>
          <w:sz w:val="18"/>
          <w:szCs w:val="18"/>
        </w:rPr>
        <w:t xml:space="preserve">, el Real Decreto-ley 4/2025, además de prever que hasta el cierre del ejercicio iniciado en 2025 </w:t>
      </w:r>
      <w:r w:rsidRPr="000A00FF">
        <w:rPr>
          <w:rFonts w:ascii="Verdana" w:hAnsi="Verdana"/>
          <w:b/>
          <w:bCs/>
          <w:sz w:val="18"/>
          <w:szCs w:val="18"/>
        </w:rPr>
        <w:t>no se computarán las pérdidas acumuladas correspondientes a 2020 y 2021 para determinar si la sociedad incurre en causa de disolución por pérdidas graves</w:t>
      </w:r>
      <w:r w:rsidRPr="008051C8">
        <w:rPr>
          <w:rFonts w:ascii="Verdana" w:hAnsi="Verdana"/>
          <w:sz w:val="18"/>
          <w:szCs w:val="18"/>
        </w:rPr>
        <w:t xml:space="preserve">, establece plazos extraordinarios para la formulación de las cuentas anuales individuales y consolidadas del ejercicio 2024, y si los administradores ya las hubieran formulado, la posibilidad de reformularlas en un mes máximo a contar desde el 9 de abril de 2025. Pues </w:t>
      </w:r>
      <w:r w:rsidRPr="008051C8">
        <w:rPr>
          <w:rFonts w:ascii="Verdana" w:hAnsi="Verdana"/>
          <w:sz w:val="18"/>
          <w:szCs w:val="18"/>
        </w:rPr>
        <w:lastRenderedPageBreak/>
        <w:t xml:space="preserve">bien, en las resoluciones que aprueban los nuevos modelos se prevé que, si los administradores hubieran usado esta previsión de reformulación de cuentas, </w:t>
      </w:r>
      <w:r w:rsidRPr="000A00FF">
        <w:rPr>
          <w:rFonts w:ascii="Verdana" w:hAnsi="Verdana"/>
          <w:b/>
          <w:bCs/>
          <w:sz w:val="18"/>
          <w:szCs w:val="18"/>
        </w:rPr>
        <w:t>lo hagan constar en la certificación de aprobación de las cuentas anuales que se debe depositar junto con las cuentas anuales</w:t>
      </w:r>
      <w:r w:rsidRPr="008051C8">
        <w:rPr>
          <w:rFonts w:ascii="Verdana" w:hAnsi="Verdana"/>
          <w:sz w:val="18"/>
          <w:szCs w:val="18"/>
        </w:rPr>
        <w:t>.</w:t>
      </w:r>
    </w:p>
    <w:p w14:paraId="3B5B18C4" w14:textId="77777777" w:rsidR="002E245A" w:rsidRDefault="002E245A" w:rsidP="008051C8">
      <w:pPr>
        <w:tabs>
          <w:tab w:val="left" w:pos="284"/>
        </w:tabs>
        <w:ind w:left="284"/>
        <w:jc w:val="both"/>
        <w:rPr>
          <w:rFonts w:ascii="Verdana" w:hAnsi="Verdana"/>
          <w:sz w:val="18"/>
          <w:szCs w:val="18"/>
        </w:rPr>
      </w:pPr>
    </w:p>
    <w:p w14:paraId="02EAAFB9" w14:textId="77777777" w:rsidR="002E245A" w:rsidRDefault="002E245A" w:rsidP="008051C8">
      <w:pPr>
        <w:tabs>
          <w:tab w:val="left" w:pos="284"/>
        </w:tabs>
        <w:ind w:left="284"/>
        <w:jc w:val="both"/>
        <w:rPr>
          <w:rFonts w:ascii="Verdana" w:hAnsi="Verdana"/>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2E245A" w:rsidRPr="005D1A47" w14:paraId="545DE674" w14:textId="77777777" w:rsidTr="00EF60C7">
        <w:tc>
          <w:tcPr>
            <w:tcW w:w="180" w:type="dxa"/>
            <w:shd w:val="clear" w:color="auto" w:fill="FF6600"/>
          </w:tcPr>
          <w:p w14:paraId="0063EFCD" w14:textId="77777777" w:rsidR="002E245A" w:rsidRPr="005D1A47" w:rsidRDefault="002E245A" w:rsidP="00EF60C7">
            <w:pPr>
              <w:rPr>
                <w:rFonts w:ascii="Verdana" w:hAnsi="Verdana"/>
                <w:b/>
                <w:bCs/>
                <w:iCs/>
                <w:color w:val="800000"/>
                <w:sz w:val="18"/>
                <w:szCs w:val="18"/>
              </w:rPr>
            </w:pPr>
          </w:p>
        </w:tc>
        <w:tc>
          <w:tcPr>
            <w:tcW w:w="8460" w:type="dxa"/>
          </w:tcPr>
          <w:p w14:paraId="14F349AB" w14:textId="32377DFF" w:rsidR="002E245A" w:rsidRPr="005D1A47" w:rsidRDefault="002E245A" w:rsidP="00EF60C7">
            <w:pPr>
              <w:pStyle w:val="Prrafodelista"/>
              <w:numPr>
                <w:ilvl w:val="0"/>
                <w:numId w:val="2"/>
              </w:numPr>
              <w:tabs>
                <w:tab w:val="num" w:pos="284"/>
              </w:tabs>
              <w:ind w:left="382" w:hanging="283"/>
              <w:jc w:val="both"/>
              <w:rPr>
                <w:rFonts w:ascii="Verdana" w:hAnsi="Verdana"/>
                <w:b/>
                <w:bCs/>
                <w:iCs/>
                <w:color w:val="800000"/>
                <w:sz w:val="18"/>
                <w:szCs w:val="18"/>
              </w:rPr>
            </w:pPr>
            <w:r w:rsidRPr="005D1A47">
              <w:rPr>
                <w:rFonts w:ascii="Verdana" w:hAnsi="Verdana"/>
                <w:b/>
                <w:bCs/>
                <w:iCs/>
                <w:color w:val="800000"/>
                <w:sz w:val="18"/>
                <w:szCs w:val="18"/>
              </w:rPr>
              <w:t>MODIFICACIÓN DE LAS NORMAS DE VALORACIÓN DE BIENES INMUEBLES Y DE DETERMINADOS DERECHOS REALES CON FINES FINANCIEROS, INCLUYENDO EL PRINCIPIO DE SOSTENIBILIDAD MEDIOAMBIENTAL Y ADAPTARLAS A LAS NUEVAS FIGURAS ADMINISTRATIVAS DE GESTIÓN URBANÍSTICA</w:t>
            </w:r>
          </w:p>
        </w:tc>
      </w:tr>
    </w:tbl>
    <w:p w14:paraId="37B83C92" w14:textId="77777777" w:rsidR="002E245A" w:rsidRDefault="002E245A" w:rsidP="008051C8">
      <w:pPr>
        <w:tabs>
          <w:tab w:val="left" w:pos="284"/>
        </w:tabs>
        <w:ind w:left="284"/>
        <w:jc w:val="both"/>
        <w:rPr>
          <w:rFonts w:ascii="Verdana" w:hAnsi="Verdana"/>
          <w:sz w:val="18"/>
          <w:szCs w:val="18"/>
        </w:rPr>
      </w:pPr>
    </w:p>
    <w:p w14:paraId="65C517BE" w14:textId="551B4B80" w:rsidR="00CF23B0" w:rsidRPr="0046528A" w:rsidRDefault="005D1A47" w:rsidP="008051C8">
      <w:pPr>
        <w:tabs>
          <w:tab w:val="left" w:pos="284"/>
        </w:tabs>
        <w:ind w:left="284"/>
        <w:jc w:val="both"/>
        <w:rPr>
          <w:rFonts w:ascii="Verdana" w:hAnsi="Verdana"/>
          <w:sz w:val="18"/>
          <w:szCs w:val="18"/>
        </w:rPr>
      </w:pPr>
      <w:r w:rsidRPr="0046528A">
        <w:rPr>
          <w:rFonts w:ascii="Verdana" w:hAnsi="Verdana" w:cs="Arial"/>
          <w:color w:val="333333"/>
          <w:sz w:val="18"/>
          <w:szCs w:val="18"/>
          <w:shd w:val="clear" w:color="auto" w:fill="FFFFFF"/>
        </w:rPr>
        <w:t>Mediante la Orden ECM/599/2025 de 10 de junio, publicada en el B.O.E. del pasado 12 de junio de 2025, se </w:t>
      </w:r>
      <w:r w:rsidRPr="0046528A">
        <w:rPr>
          <w:rFonts w:ascii="Verdana" w:hAnsi="Verdana" w:cs="Arial"/>
          <w:b/>
          <w:bCs/>
          <w:color w:val="333333"/>
          <w:sz w:val="18"/>
          <w:szCs w:val="18"/>
          <w:shd w:val="clear" w:color="auto" w:fill="FFFFFF"/>
        </w:rPr>
        <w:t>modifica la Orden ECO/805/2003, de 27 de marzo, sobre normas de valoración de bienes inmuebles y de determinados derechos para ciertas finalidades financieras</w:t>
      </w:r>
      <w:r w:rsidRPr="0046528A">
        <w:rPr>
          <w:rFonts w:ascii="Verdana" w:hAnsi="Verdana" w:cs="Arial"/>
          <w:color w:val="333333"/>
          <w:sz w:val="18"/>
          <w:szCs w:val="18"/>
          <w:shd w:val="clear" w:color="auto" w:fill="FFFFFF"/>
        </w:rPr>
        <w:t>, que establece las normas para el cálculo del </w:t>
      </w:r>
      <w:r w:rsidRPr="0046528A">
        <w:rPr>
          <w:rFonts w:ascii="Verdana" w:hAnsi="Verdana" w:cs="Arial"/>
          <w:b/>
          <w:bCs/>
          <w:color w:val="333333"/>
          <w:sz w:val="18"/>
          <w:szCs w:val="18"/>
          <w:shd w:val="clear" w:color="auto" w:fill="FFFFFF"/>
        </w:rPr>
        <w:t>valor de tasación de bienes inmuebles y de determinados derechos reales</w:t>
      </w:r>
      <w:r w:rsidRPr="0046528A">
        <w:rPr>
          <w:rFonts w:ascii="Verdana" w:hAnsi="Verdana" w:cs="Arial"/>
          <w:color w:val="333333"/>
          <w:sz w:val="18"/>
          <w:szCs w:val="18"/>
          <w:shd w:val="clear" w:color="auto" w:fill="FFFFFF"/>
        </w:rPr>
        <w:t> para las finalidades contempladas en su ámbito de aplicación y la emisión de informes y certificados en los que se formalizan, como son la garantía hipotecaria de créditos o préstamos que formen o vayan a formar parte de la cartera de cobertura de títulos hipotecarios; determinación del valor razonable y la valoración de activos de entidades aseguradoras y reaseguradoras; la determinación del patrimonio de las instituciones de inversión colectiva inmobiliarias y la determinación del patrimonio inmobiliario de los fondos de pensiones.</w:t>
      </w:r>
      <w:r w:rsidR="00CF23B0" w:rsidRPr="0046528A">
        <w:rPr>
          <w:rFonts w:ascii="Verdana" w:hAnsi="Verdana"/>
          <w:sz w:val="18"/>
          <w:szCs w:val="18"/>
        </w:rPr>
        <w:br w:type="page"/>
      </w:r>
    </w:p>
    <w:p w14:paraId="134AF408" w14:textId="77777777" w:rsidR="0083359A" w:rsidRPr="00DA2567" w:rsidRDefault="0083359A" w:rsidP="00DA2567">
      <w:pPr>
        <w:tabs>
          <w:tab w:val="left" w:pos="284"/>
        </w:tabs>
        <w:ind w:left="284"/>
        <w:jc w:val="both"/>
        <w:rPr>
          <w:rFonts w:ascii="Verdana" w:hAnsi="Verdana"/>
          <w:sz w:val="18"/>
          <w:szCs w:val="18"/>
        </w:rPr>
      </w:pPr>
    </w:p>
    <w:p w14:paraId="33327373" w14:textId="5EE16EAF" w:rsidR="00382E0C" w:rsidRDefault="00382E0C" w:rsidP="001B66FC">
      <w:pPr>
        <w:tabs>
          <w:tab w:val="left" w:pos="0"/>
        </w:tabs>
        <w:rPr>
          <w:rFonts w:ascii="Verdana" w:hAnsi="Verdana"/>
          <w:b/>
          <w:bCs/>
          <w:color w:val="800000"/>
          <w:sz w:val="20"/>
          <w:szCs w:val="20"/>
        </w:rPr>
      </w:pPr>
      <w:r w:rsidRPr="009E2D5D">
        <w:rPr>
          <w:rFonts w:ascii="Verdana" w:hAnsi="Verdana"/>
          <w:b/>
          <w:bCs/>
          <w:color w:val="800000"/>
          <w:sz w:val="20"/>
          <w:szCs w:val="20"/>
        </w:rPr>
        <w:t xml:space="preserve">DISPOSICIONES PUBLICADAS DURANTE </w:t>
      </w:r>
      <w:r w:rsidR="001C50EA">
        <w:rPr>
          <w:rFonts w:ascii="Verdana" w:hAnsi="Verdana"/>
          <w:b/>
          <w:bCs/>
          <w:color w:val="800000"/>
          <w:sz w:val="20"/>
          <w:szCs w:val="20"/>
        </w:rPr>
        <w:t>LOS</w:t>
      </w:r>
      <w:r w:rsidR="006021FF">
        <w:rPr>
          <w:rFonts w:ascii="Verdana" w:hAnsi="Verdana"/>
          <w:b/>
          <w:bCs/>
          <w:color w:val="800000"/>
          <w:sz w:val="20"/>
          <w:szCs w:val="20"/>
        </w:rPr>
        <w:t xml:space="preserve"> MES</w:t>
      </w:r>
      <w:r w:rsidR="001C50EA">
        <w:rPr>
          <w:rFonts w:ascii="Verdana" w:hAnsi="Verdana"/>
          <w:b/>
          <w:bCs/>
          <w:color w:val="800000"/>
          <w:sz w:val="20"/>
          <w:szCs w:val="20"/>
        </w:rPr>
        <w:t xml:space="preserve">ES </w:t>
      </w:r>
      <w:r w:rsidR="006021FF">
        <w:rPr>
          <w:rFonts w:ascii="Verdana" w:hAnsi="Verdana"/>
          <w:b/>
          <w:bCs/>
          <w:color w:val="800000"/>
          <w:sz w:val="20"/>
          <w:szCs w:val="20"/>
        </w:rPr>
        <w:t>DE</w:t>
      </w:r>
      <w:r w:rsidRPr="009E2D5D">
        <w:rPr>
          <w:rFonts w:ascii="Verdana" w:hAnsi="Verdana"/>
          <w:b/>
          <w:bCs/>
          <w:color w:val="800000"/>
          <w:sz w:val="20"/>
          <w:szCs w:val="20"/>
        </w:rPr>
        <w:t xml:space="preserve"> </w:t>
      </w:r>
      <w:r w:rsidR="001C50EA">
        <w:rPr>
          <w:rFonts w:ascii="Verdana" w:hAnsi="Verdana"/>
          <w:b/>
          <w:bCs/>
          <w:color w:val="800000"/>
          <w:sz w:val="20"/>
          <w:szCs w:val="20"/>
        </w:rPr>
        <w:t xml:space="preserve">MAYO Y </w:t>
      </w:r>
      <w:r w:rsidRPr="009E2D5D">
        <w:rPr>
          <w:rFonts w:ascii="Verdana" w:hAnsi="Verdana"/>
          <w:b/>
          <w:bCs/>
          <w:color w:val="800000"/>
          <w:sz w:val="20"/>
          <w:szCs w:val="20"/>
        </w:rPr>
        <w:t xml:space="preserve">JUNIO DE </w:t>
      </w:r>
      <w:r w:rsidR="000D7657">
        <w:rPr>
          <w:rFonts w:ascii="Verdana" w:hAnsi="Verdana"/>
          <w:b/>
          <w:bCs/>
          <w:color w:val="800000"/>
          <w:sz w:val="20"/>
          <w:szCs w:val="20"/>
        </w:rPr>
        <w:t>202</w:t>
      </w:r>
      <w:r w:rsidR="00A610F4">
        <w:rPr>
          <w:rFonts w:ascii="Verdana" w:hAnsi="Verdana"/>
          <w:b/>
          <w:bCs/>
          <w:color w:val="800000"/>
          <w:sz w:val="20"/>
          <w:szCs w:val="20"/>
        </w:rPr>
        <w:t>5</w:t>
      </w:r>
    </w:p>
    <w:p w14:paraId="3183DB32" w14:textId="77777777" w:rsidR="007D42B1" w:rsidRDefault="007D42B1" w:rsidP="005F0534">
      <w:pPr>
        <w:tabs>
          <w:tab w:val="left" w:pos="0"/>
        </w:tabs>
        <w:jc w:val="both"/>
        <w:rPr>
          <w:rFonts w:ascii="Verdana" w:hAnsi="Verdana"/>
          <w:b/>
          <w:bCs/>
          <w:color w:val="800000"/>
          <w:sz w:val="20"/>
          <w:szCs w:val="20"/>
        </w:rPr>
      </w:pPr>
    </w:p>
    <w:p w14:paraId="77C9AB70" w14:textId="77777777" w:rsidR="001C50EA" w:rsidRPr="000A00FF" w:rsidRDefault="001C50EA" w:rsidP="001C50EA">
      <w:pPr>
        <w:jc w:val="both"/>
        <w:rPr>
          <w:rFonts w:ascii="Verdana" w:hAnsi="Verdana"/>
          <w:b/>
          <w:bCs/>
          <w:color w:val="800000"/>
          <w:sz w:val="18"/>
          <w:szCs w:val="18"/>
          <w:lang w:val="es-ES_tradnl"/>
        </w:rPr>
      </w:pPr>
      <w:r w:rsidRPr="000A00FF">
        <w:rPr>
          <w:rFonts w:ascii="Verdana" w:hAnsi="Verdana"/>
          <w:b/>
          <w:bCs/>
          <w:color w:val="800000"/>
          <w:sz w:val="18"/>
          <w:szCs w:val="18"/>
          <w:lang w:val="es-ES_tradnl"/>
        </w:rPr>
        <w:t>Impuestos</w:t>
      </w:r>
    </w:p>
    <w:p w14:paraId="0EC2DC94" w14:textId="77777777" w:rsidR="001C50EA" w:rsidRPr="001C50EA" w:rsidRDefault="001C50EA" w:rsidP="001C50EA">
      <w:pPr>
        <w:jc w:val="both"/>
        <w:rPr>
          <w:rFonts w:ascii="Verdana" w:hAnsi="Verdana"/>
          <w:iCs/>
          <w:color w:val="333333"/>
          <w:sz w:val="18"/>
          <w:szCs w:val="18"/>
          <w:shd w:val="clear" w:color="auto" w:fill="FFFFFF"/>
        </w:rPr>
      </w:pPr>
      <w:r w:rsidRPr="001C50EA">
        <w:rPr>
          <w:rFonts w:ascii="Verdana" w:hAnsi="Verdana"/>
          <w:iCs/>
          <w:color w:val="333333"/>
          <w:sz w:val="18"/>
          <w:szCs w:val="18"/>
          <w:shd w:val="clear" w:color="auto" w:fill="FFFFFF"/>
        </w:rPr>
        <w:t>Orden HAC/532/2025, de 26 de mayo, por la que se aprueban el modelo 780 «Impuesto sobre el margen de intereses y comisiones de determinadas entidades financieras. Autoliquidación» y el modelo 781 «Impuesto sobre el margen de intereses y comisiones de determinadas entidades financieras. Pago fraccionado» y se establecen las condiciones y el procedimiento para su presentación.</w:t>
      </w:r>
    </w:p>
    <w:p w14:paraId="14F0802F" w14:textId="118EE41C" w:rsidR="00AF0F8D" w:rsidRDefault="001C50EA" w:rsidP="00AF0F8D">
      <w:pPr>
        <w:jc w:val="both"/>
        <w:rPr>
          <w:rFonts w:ascii="Verdana" w:hAnsi="Verdana"/>
          <w:i/>
          <w:color w:val="333333"/>
          <w:sz w:val="18"/>
          <w:szCs w:val="18"/>
          <w:shd w:val="clear" w:color="auto" w:fill="FFFFFF"/>
        </w:rPr>
      </w:pPr>
      <w:bookmarkStart w:id="5" w:name="_Hlk201660162"/>
      <w:r w:rsidRPr="001C50EA">
        <w:rPr>
          <w:rFonts w:ascii="Verdana" w:hAnsi="Verdana"/>
          <w:i/>
          <w:color w:val="333333"/>
          <w:sz w:val="18"/>
          <w:szCs w:val="18"/>
          <w:shd w:val="clear" w:color="auto" w:fill="FFFFFF"/>
        </w:rPr>
        <w:t>Ministerio de Hacienda. B.O.E. núm. 129 de 29 de mayo de 2025.</w:t>
      </w:r>
    </w:p>
    <w:bookmarkEnd w:id="5"/>
    <w:p w14:paraId="6F993E63" w14:textId="77777777" w:rsidR="000A00FF" w:rsidRDefault="000A00FF" w:rsidP="00AF0F8D">
      <w:pPr>
        <w:jc w:val="both"/>
        <w:rPr>
          <w:rFonts w:ascii="Verdana" w:hAnsi="Verdana"/>
          <w:i/>
          <w:color w:val="333333"/>
          <w:sz w:val="18"/>
          <w:szCs w:val="18"/>
          <w:shd w:val="clear" w:color="auto" w:fill="FFFFFF"/>
        </w:rPr>
      </w:pPr>
    </w:p>
    <w:p w14:paraId="1D97EBCD" w14:textId="77777777" w:rsidR="000A00FF" w:rsidRPr="000A00FF" w:rsidRDefault="000A00FF" w:rsidP="000A00FF">
      <w:pPr>
        <w:jc w:val="both"/>
        <w:rPr>
          <w:rFonts w:ascii="Verdana" w:hAnsi="Verdana"/>
          <w:b/>
          <w:bCs/>
          <w:color w:val="800000"/>
          <w:sz w:val="18"/>
          <w:szCs w:val="18"/>
          <w:lang w:val="es-ES_tradnl"/>
        </w:rPr>
      </w:pPr>
      <w:r w:rsidRPr="000A00FF">
        <w:rPr>
          <w:rFonts w:ascii="Verdana" w:hAnsi="Verdana"/>
          <w:b/>
          <w:bCs/>
          <w:color w:val="800000"/>
          <w:sz w:val="18"/>
          <w:szCs w:val="18"/>
          <w:lang w:val="es-ES_tradnl"/>
        </w:rPr>
        <w:t>Registro Mercantil. Modelos de cuentas anuales</w:t>
      </w:r>
    </w:p>
    <w:p w14:paraId="1A95A92A" w14:textId="683DDBA8" w:rsidR="000A00FF" w:rsidRDefault="000A00FF" w:rsidP="000A00FF">
      <w:pPr>
        <w:jc w:val="both"/>
        <w:rPr>
          <w:rFonts w:ascii="Verdana" w:hAnsi="Verdana"/>
          <w:iCs/>
          <w:color w:val="333333"/>
          <w:sz w:val="18"/>
          <w:szCs w:val="18"/>
          <w:shd w:val="clear" w:color="auto" w:fill="FFFFFF"/>
        </w:rPr>
      </w:pPr>
      <w:r w:rsidRPr="000A00FF">
        <w:rPr>
          <w:rFonts w:ascii="Verdana" w:hAnsi="Verdana"/>
          <w:iCs/>
          <w:color w:val="333333"/>
          <w:sz w:val="18"/>
          <w:szCs w:val="18"/>
          <w:shd w:val="clear" w:color="auto" w:fill="FFFFFF"/>
        </w:rPr>
        <w:t>Resolución de 26 de mayo de 2025, de la Dirección General de Seguridad Jurídica y Fe Pública, referida a los modelos para la presentación en el Registro Mercantil de las cuentas anuales de los sujetos obligados a su publicación.</w:t>
      </w:r>
    </w:p>
    <w:p w14:paraId="705D900A" w14:textId="4EB54D02" w:rsidR="000A00FF" w:rsidRDefault="00AE3909" w:rsidP="000A00FF">
      <w:pPr>
        <w:jc w:val="both"/>
        <w:rPr>
          <w:rFonts w:ascii="Verdana" w:hAnsi="Verdana"/>
          <w:i/>
          <w:color w:val="333333"/>
          <w:sz w:val="18"/>
          <w:szCs w:val="18"/>
          <w:shd w:val="clear" w:color="auto" w:fill="FFFFFF"/>
        </w:rPr>
      </w:pPr>
      <w:r>
        <w:rPr>
          <w:rFonts w:ascii="Verdana" w:hAnsi="Verdana"/>
          <w:i/>
          <w:color w:val="333333"/>
          <w:sz w:val="18"/>
          <w:szCs w:val="18"/>
          <w:shd w:val="clear" w:color="auto" w:fill="FFFFFF"/>
        </w:rPr>
        <w:t>M</w:t>
      </w:r>
      <w:r w:rsidRPr="00AE3909">
        <w:rPr>
          <w:rFonts w:ascii="Verdana" w:hAnsi="Verdana"/>
          <w:i/>
          <w:color w:val="333333"/>
          <w:sz w:val="18"/>
          <w:szCs w:val="18"/>
          <w:shd w:val="clear" w:color="auto" w:fill="FFFFFF"/>
        </w:rPr>
        <w:t xml:space="preserve">inisterio de la </w:t>
      </w:r>
      <w:r>
        <w:rPr>
          <w:rFonts w:ascii="Verdana" w:hAnsi="Verdana"/>
          <w:i/>
          <w:color w:val="333333"/>
          <w:sz w:val="18"/>
          <w:szCs w:val="18"/>
          <w:shd w:val="clear" w:color="auto" w:fill="FFFFFF"/>
        </w:rPr>
        <w:t>P</w:t>
      </w:r>
      <w:r w:rsidRPr="00AE3909">
        <w:rPr>
          <w:rFonts w:ascii="Verdana" w:hAnsi="Verdana"/>
          <w:i/>
          <w:color w:val="333333"/>
          <w:sz w:val="18"/>
          <w:szCs w:val="18"/>
          <w:shd w:val="clear" w:color="auto" w:fill="FFFFFF"/>
        </w:rPr>
        <w:t xml:space="preserve">residencia, </w:t>
      </w:r>
      <w:r>
        <w:rPr>
          <w:rFonts w:ascii="Verdana" w:hAnsi="Verdana"/>
          <w:i/>
          <w:color w:val="333333"/>
          <w:sz w:val="18"/>
          <w:szCs w:val="18"/>
          <w:shd w:val="clear" w:color="auto" w:fill="FFFFFF"/>
        </w:rPr>
        <w:t>J</w:t>
      </w:r>
      <w:r w:rsidRPr="00AE3909">
        <w:rPr>
          <w:rFonts w:ascii="Verdana" w:hAnsi="Verdana"/>
          <w:i/>
          <w:color w:val="333333"/>
          <w:sz w:val="18"/>
          <w:szCs w:val="18"/>
          <w:shd w:val="clear" w:color="auto" w:fill="FFFFFF"/>
        </w:rPr>
        <w:t xml:space="preserve">usticia y </w:t>
      </w:r>
      <w:r>
        <w:rPr>
          <w:rFonts w:ascii="Verdana" w:hAnsi="Verdana"/>
          <w:i/>
          <w:color w:val="333333"/>
          <w:sz w:val="18"/>
          <w:szCs w:val="18"/>
          <w:shd w:val="clear" w:color="auto" w:fill="FFFFFF"/>
        </w:rPr>
        <w:t>R</w:t>
      </w:r>
      <w:r w:rsidRPr="00AE3909">
        <w:rPr>
          <w:rFonts w:ascii="Verdana" w:hAnsi="Verdana"/>
          <w:i/>
          <w:color w:val="333333"/>
          <w:sz w:val="18"/>
          <w:szCs w:val="18"/>
          <w:shd w:val="clear" w:color="auto" w:fill="FFFFFF"/>
        </w:rPr>
        <w:t xml:space="preserve">elaciones con las </w:t>
      </w:r>
      <w:r>
        <w:rPr>
          <w:rFonts w:ascii="Verdana" w:hAnsi="Verdana"/>
          <w:i/>
          <w:color w:val="333333"/>
          <w:sz w:val="18"/>
          <w:szCs w:val="18"/>
          <w:shd w:val="clear" w:color="auto" w:fill="FFFFFF"/>
        </w:rPr>
        <w:t>C</w:t>
      </w:r>
      <w:r w:rsidRPr="00AE3909">
        <w:rPr>
          <w:rFonts w:ascii="Verdana" w:hAnsi="Verdana"/>
          <w:i/>
          <w:color w:val="333333"/>
          <w:sz w:val="18"/>
          <w:szCs w:val="18"/>
          <w:shd w:val="clear" w:color="auto" w:fill="FFFFFF"/>
        </w:rPr>
        <w:t>orte</w:t>
      </w:r>
      <w:r>
        <w:rPr>
          <w:rFonts w:ascii="Verdana" w:hAnsi="Verdana"/>
          <w:i/>
          <w:color w:val="333333"/>
          <w:sz w:val="18"/>
          <w:szCs w:val="18"/>
          <w:shd w:val="clear" w:color="auto" w:fill="FFFFFF"/>
        </w:rPr>
        <w:t>s. B.O.E. núm. 133 de 3 de junio de 2025.</w:t>
      </w:r>
    </w:p>
    <w:p w14:paraId="304A1D7F" w14:textId="77777777" w:rsidR="005D1A47" w:rsidRDefault="005D1A47" w:rsidP="000A00FF">
      <w:pPr>
        <w:jc w:val="both"/>
        <w:rPr>
          <w:rFonts w:ascii="Verdana" w:hAnsi="Verdana"/>
          <w:i/>
          <w:color w:val="333333"/>
          <w:sz w:val="18"/>
          <w:szCs w:val="18"/>
          <w:shd w:val="clear" w:color="auto" w:fill="FFFFFF"/>
        </w:rPr>
      </w:pPr>
    </w:p>
    <w:p w14:paraId="47688A17" w14:textId="77777777" w:rsidR="005D1A47" w:rsidRPr="005D1A47" w:rsidRDefault="005D1A47" w:rsidP="005D1A47">
      <w:pPr>
        <w:jc w:val="both"/>
        <w:rPr>
          <w:rFonts w:ascii="Verdana" w:hAnsi="Verdana"/>
          <w:b/>
          <w:bCs/>
          <w:color w:val="800000"/>
          <w:sz w:val="18"/>
          <w:szCs w:val="18"/>
          <w:lang w:val="es-ES_tradnl"/>
        </w:rPr>
      </w:pPr>
      <w:r w:rsidRPr="005D1A47">
        <w:rPr>
          <w:rFonts w:ascii="Verdana" w:hAnsi="Verdana"/>
          <w:b/>
          <w:bCs/>
          <w:color w:val="800000"/>
          <w:sz w:val="18"/>
          <w:szCs w:val="18"/>
          <w:lang w:val="es-ES_tradnl"/>
        </w:rPr>
        <w:t>Bienes inmuebles. Valoración</w:t>
      </w:r>
    </w:p>
    <w:p w14:paraId="108666EE" w14:textId="77777777" w:rsidR="005D1A47" w:rsidRDefault="005D1A47" w:rsidP="005D1A47">
      <w:pPr>
        <w:jc w:val="both"/>
        <w:rPr>
          <w:rFonts w:ascii="Verdana" w:hAnsi="Verdana"/>
          <w:iCs/>
          <w:color w:val="333333"/>
          <w:sz w:val="18"/>
          <w:szCs w:val="18"/>
          <w:shd w:val="clear" w:color="auto" w:fill="FFFFFF"/>
        </w:rPr>
      </w:pPr>
      <w:r w:rsidRPr="005D1A47">
        <w:rPr>
          <w:rFonts w:ascii="Verdana" w:hAnsi="Verdana"/>
          <w:iCs/>
          <w:color w:val="333333"/>
          <w:sz w:val="18"/>
          <w:szCs w:val="18"/>
          <w:shd w:val="clear" w:color="auto" w:fill="FFFFFF"/>
        </w:rPr>
        <w:t>Orden ECM/599/2025, de 10 de junio, por la que se modifica la Orden ECO/805/2003, de 27 de marzo, sobre normas de valoración de bienes inmuebles y de determinados derechos para ciertas finalidades financieras.</w:t>
      </w:r>
    </w:p>
    <w:p w14:paraId="1E1E1419" w14:textId="1ED5F24C" w:rsidR="005D1A47" w:rsidRDefault="005D1A47" w:rsidP="005D1A47">
      <w:pPr>
        <w:jc w:val="both"/>
        <w:rPr>
          <w:rFonts w:ascii="Verdana" w:hAnsi="Verdana"/>
          <w:i/>
          <w:color w:val="333333"/>
          <w:sz w:val="18"/>
          <w:szCs w:val="18"/>
          <w:shd w:val="clear" w:color="auto" w:fill="FFFFFF"/>
        </w:rPr>
      </w:pPr>
      <w:r w:rsidRPr="00EA6EF2">
        <w:rPr>
          <w:rFonts w:ascii="Verdana" w:hAnsi="Verdana"/>
          <w:i/>
          <w:color w:val="333333"/>
          <w:sz w:val="18"/>
          <w:szCs w:val="18"/>
          <w:shd w:val="clear" w:color="auto" w:fill="FFFFFF"/>
        </w:rPr>
        <w:t xml:space="preserve">Ministerio de Economía, Comercio y Empresa. B.O.E. núm. </w:t>
      </w:r>
      <w:r w:rsidR="00EA6EF2" w:rsidRPr="00EA6EF2">
        <w:rPr>
          <w:rFonts w:ascii="Verdana" w:hAnsi="Verdana"/>
          <w:i/>
          <w:color w:val="333333"/>
          <w:sz w:val="18"/>
          <w:szCs w:val="18"/>
          <w:shd w:val="clear" w:color="auto" w:fill="FFFFFF"/>
        </w:rPr>
        <w:t>141 de 12 de junio de 2025.</w:t>
      </w:r>
    </w:p>
    <w:p w14:paraId="30915E67" w14:textId="77777777" w:rsidR="00AC77F2" w:rsidRDefault="00AC77F2" w:rsidP="005D1A47">
      <w:pPr>
        <w:jc w:val="both"/>
        <w:rPr>
          <w:rFonts w:ascii="Verdana" w:hAnsi="Verdana"/>
          <w:i/>
          <w:color w:val="333333"/>
          <w:sz w:val="18"/>
          <w:szCs w:val="18"/>
          <w:shd w:val="clear" w:color="auto" w:fill="FFFFFF"/>
        </w:rPr>
      </w:pPr>
    </w:p>
    <w:p w14:paraId="5E8D8C9D" w14:textId="532C7732" w:rsidR="00AC77F2" w:rsidRPr="00AC77F2" w:rsidRDefault="00AC77F2" w:rsidP="00AC77F2">
      <w:pPr>
        <w:jc w:val="both"/>
        <w:rPr>
          <w:rFonts w:ascii="Verdana" w:hAnsi="Verdana"/>
          <w:b/>
          <w:bCs/>
          <w:color w:val="800000"/>
          <w:sz w:val="18"/>
          <w:szCs w:val="18"/>
          <w:lang w:val="es-ES_tradnl"/>
        </w:rPr>
      </w:pPr>
      <w:r w:rsidRPr="00AC77F2">
        <w:rPr>
          <w:rFonts w:ascii="Verdana" w:hAnsi="Verdana"/>
          <w:b/>
          <w:bCs/>
          <w:color w:val="800000"/>
          <w:sz w:val="18"/>
          <w:szCs w:val="18"/>
          <w:lang w:val="es-ES_tradnl"/>
        </w:rPr>
        <w:t>Impuestos</w:t>
      </w:r>
      <w:r>
        <w:rPr>
          <w:rFonts w:ascii="Verdana" w:hAnsi="Verdana"/>
          <w:b/>
          <w:bCs/>
          <w:color w:val="800000"/>
          <w:sz w:val="18"/>
          <w:szCs w:val="18"/>
          <w:lang w:val="es-ES_tradnl"/>
        </w:rPr>
        <w:t>. M</w:t>
      </w:r>
      <w:r w:rsidRPr="00AC77F2">
        <w:rPr>
          <w:rFonts w:ascii="Verdana" w:hAnsi="Verdana"/>
          <w:b/>
          <w:bCs/>
          <w:color w:val="800000"/>
          <w:sz w:val="18"/>
          <w:szCs w:val="18"/>
          <w:lang w:val="es-ES_tradnl"/>
        </w:rPr>
        <w:t>odelos de declaración del Impuesto sobre Sociedades y del Impuesto sobre la Renta de no Residentes</w:t>
      </w:r>
    </w:p>
    <w:p w14:paraId="3C65F80A" w14:textId="77584184" w:rsidR="00AC77F2" w:rsidRDefault="00AC77F2" w:rsidP="00AC77F2">
      <w:pPr>
        <w:jc w:val="both"/>
        <w:rPr>
          <w:rFonts w:ascii="Verdana" w:hAnsi="Verdana"/>
          <w:iCs/>
          <w:color w:val="333333"/>
          <w:sz w:val="18"/>
          <w:szCs w:val="18"/>
          <w:shd w:val="clear" w:color="auto" w:fill="FFFFFF"/>
        </w:rPr>
      </w:pPr>
      <w:r w:rsidRPr="00AC77F2">
        <w:rPr>
          <w:rFonts w:ascii="Verdana" w:hAnsi="Verdana"/>
          <w:iCs/>
          <w:color w:val="333333"/>
          <w:sz w:val="18"/>
          <w:szCs w:val="18"/>
          <w:shd w:val="clear" w:color="auto" w:fill="FFFFFF"/>
        </w:rPr>
        <w:t xml:space="preserve">Orden HAC/657/2025, de 21 de junio, por la que se aprueban los </w:t>
      </w:r>
      <w:bookmarkStart w:id="6" w:name="_Hlk201660114"/>
      <w:r w:rsidRPr="00AC77F2">
        <w:rPr>
          <w:rFonts w:ascii="Verdana" w:hAnsi="Verdana"/>
          <w:iCs/>
          <w:color w:val="333333"/>
          <w:sz w:val="18"/>
          <w:szCs w:val="18"/>
          <w:shd w:val="clear" w:color="auto" w:fill="FFFFFF"/>
        </w:rPr>
        <w:t xml:space="preserve">modelos de declaración del Impuesto sobre Sociedades y del Impuesto sobre la Renta de no Residentes </w:t>
      </w:r>
      <w:bookmarkEnd w:id="6"/>
      <w:r w:rsidRPr="00AC77F2">
        <w:rPr>
          <w:rFonts w:ascii="Verdana" w:hAnsi="Verdana"/>
          <w:iCs/>
          <w:color w:val="333333"/>
          <w:sz w:val="18"/>
          <w:szCs w:val="18"/>
          <w:shd w:val="clear" w:color="auto" w:fill="FFFFFF"/>
        </w:rPr>
        <w:t>correspondiente a establecimientos permanentes y a entidades en régimen de atribución de rentas constituidas en el extranjero con presencia en territorio español, para los períodos impositivos iniciados entre el 1 de enero y el 31 de diciembre de 2024, se dictan instrucciones relativas al procedimiento de declaración e ingreso y se establecen las condiciones generales y el procedimiento para su presentación electrónica.</w:t>
      </w:r>
    </w:p>
    <w:p w14:paraId="150C199C" w14:textId="1E5F107E" w:rsidR="00AC77F2" w:rsidRPr="00AC77F2" w:rsidRDefault="00AC77F2" w:rsidP="00AC77F2">
      <w:pPr>
        <w:jc w:val="both"/>
        <w:rPr>
          <w:rFonts w:ascii="Verdana" w:hAnsi="Verdana"/>
          <w:i/>
          <w:color w:val="333333"/>
          <w:sz w:val="18"/>
          <w:szCs w:val="18"/>
          <w:shd w:val="clear" w:color="auto" w:fill="FFFFFF"/>
        </w:rPr>
      </w:pPr>
      <w:r w:rsidRPr="00AC77F2">
        <w:rPr>
          <w:rFonts w:ascii="Verdana" w:hAnsi="Verdana"/>
          <w:i/>
          <w:color w:val="333333"/>
          <w:sz w:val="18"/>
          <w:szCs w:val="18"/>
          <w:shd w:val="clear" w:color="auto" w:fill="FFFFFF"/>
        </w:rPr>
        <w:t>Ministerio de Hacienda. B.O.E. núm. 151 de 24 de junio de 2025.</w:t>
      </w:r>
    </w:p>
    <w:p w14:paraId="5FFDADC7" w14:textId="77777777" w:rsidR="00AC77F2" w:rsidRPr="00AC77F2" w:rsidRDefault="00AC77F2" w:rsidP="00AC77F2">
      <w:pPr>
        <w:jc w:val="both"/>
        <w:rPr>
          <w:rFonts w:ascii="Verdana" w:hAnsi="Verdana"/>
          <w:iCs/>
          <w:color w:val="333333"/>
          <w:sz w:val="18"/>
          <w:szCs w:val="18"/>
          <w:shd w:val="clear" w:color="auto" w:fill="FFFFFF"/>
        </w:rPr>
      </w:pPr>
    </w:p>
    <w:p w14:paraId="3348EB3F" w14:textId="77777777" w:rsidR="00C356BB" w:rsidRDefault="00C356BB" w:rsidP="005F31FF">
      <w:pPr>
        <w:jc w:val="both"/>
        <w:rPr>
          <w:rFonts w:ascii="Verdana" w:hAnsi="Verdana"/>
          <w:color w:val="333333"/>
          <w:sz w:val="18"/>
          <w:szCs w:val="18"/>
          <w:shd w:val="clear" w:color="auto" w:fill="FFFFFF"/>
        </w:rPr>
      </w:pPr>
    </w:p>
    <w:p w14:paraId="0F759772" w14:textId="002E3498" w:rsidR="00C356BB" w:rsidRPr="00C356BB" w:rsidRDefault="00C356BB" w:rsidP="00C356BB">
      <w:pPr>
        <w:jc w:val="center"/>
        <w:rPr>
          <w:rFonts w:ascii="Verdana" w:hAnsi="Verdana"/>
          <w:b/>
          <w:bCs/>
          <w:color w:val="800000"/>
          <w:sz w:val="18"/>
          <w:szCs w:val="18"/>
          <w:lang w:val="es-ES_tradnl"/>
        </w:rPr>
      </w:pPr>
      <w:r w:rsidRPr="00C356BB">
        <w:rPr>
          <w:rFonts w:ascii="Verdana" w:hAnsi="Verdana"/>
          <w:b/>
          <w:bCs/>
          <w:color w:val="800000"/>
          <w:sz w:val="18"/>
          <w:szCs w:val="18"/>
          <w:lang w:val="es-ES_tradnl"/>
        </w:rPr>
        <w:t>COMUNIDADES AUTÓNOMAS Y FORALES</w:t>
      </w:r>
    </w:p>
    <w:p w14:paraId="4569824D" w14:textId="013D42A3" w:rsidR="00096610" w:rsidRDefault="00096610" w:rsidP="00DF41F1">
      <w:pPr>
        <w:jc w:val="both"/>
        <w:rPr>
          <w:rFonts w:ascii="Verdana" w:hAnsi="Verdana"/>
          <w:i/>
          <w:color w:val="333333"/>
          <w:sz w:val="18"/>
          <w:szCs w:val="18"/>
          <w:shd w:val="clear" w:color="auto" w:fill="FFFFFF"/>
        </w:rPr>
      </w:pPr>
    </w:p>
    <w:p w14:paraId="26322269" w14:textId="6C5EDCA7" w:rsidR="001420F1" w:rsidRDefault="001420F1" w:rsidP="00DF41F1">
      <w:pPr>
        <w:jc w:val="both"/>
        <w:rPr>
          <w:rFonts w:ascii="Verdana" w:hAnsi="Verdana"/>
          <w:i/>
          <w:color w:val="333333"/>
          <w:sz w:val="18"/>
          <w:szCs w:val="18"/>
          <w:shd w:val="clear" w:color="auto" w:fill="FFFFFF"/>
        </w:rPr>
      </w:pPr>
    </w:p>
    <w:p w14:paraId="269BB29C" w14:textId="77777777" w:rsidR="0024789C" w:rsidRPr="0024789C" w:rsidRDefault="0024789C" w:rsidP="0024789C">
      <w:pPr>
        <w:jc w:val="both"/>
        <w:rPr>
          <w:rFonts w:ascii="Verdana" w:hAnsi="Verdana"/>
          <w:b/>
          <w:bCs/>
          <w:color w:val="800000"/>
          <w:sz w:val="18"/>
          <w:szCs w:val="18"/>
          <w:lang w:val="es-ES_tradnl"/>
        </w:rPr>
      </w:pPr>
      <w:r w:rsidRPr="0024789C">
        <w:rPr>
          <w:rFonts w:ascii="Verdana" w:hAnsi="Verdana"/>
          <w:b/>
          <w:bCs/>
          <w:color w:val="800000"/>
          <w:sz w:val="18"/>
          <w:szCs w:val="18"/>
          <w:lang w:val="es-ES_tradnl"/>
        </w:rPr>
        <w:t>COMUNIDAD AUTÓNOMA DE ARAGÓN</w:t>
      </w:r>
    </w:p>
    <w:p w14:paraId="45163B55" w14:textId="77777777" w:rsidR="00940431" w:rsidRPr="00940431" w:rsidRDefault="00940431" w:rsidP="00940431">
      <w:pPr>
        <w:jc w:val="both"/>
        <w:rPr>
          <w:rFonts w:ascii="Verdana" w:hAnsi="Verdana"/>
          <w:b/>
          <w:bCs/>
          <w:color w:val="800000"/>
          <w:sz w:val="18"/>
          <w:szCs w:val="18"/>
          <w:lang w:val="es-ES_tradnl"/>
        </w:rPr>
      </w:pPr>
      <w:r w:rsidRPr="00940431">
        <w:rPr>
          <w:rFonts w:ascii="Verdana" w:hAnsi="Verdana"/>
          <w:b/>
          <w:bCs/>
          <w:color w:val="800000"/>
          <w:sz w:val="18"/>
          <w:szCs w:val="18"/>
          <w:lang w:val="es-ES_tradnl"/>
        </w:rPr>
        <w:t>Derecho Foral de Aragón</w:t>
      </w:r>
    </w:p>
    <w:p w14:paraId="17FF56E6" w14:textId="77777777" w:rsidR="00940431" w:rsidRDefault="00940431" w:rsidP="00940431">
      <w:pPr>
        <w:jc w:val="both"/>
        <w:rPr>
          <w:rFonts w:ascii="Verdana" w:hAnsi="Verdana"/>
          <w:iCs/>
          <w:color w:val="333333"/>
          <w:sz w:val="18"/>
          <w:szCs w:val="18"/>
          <w:shd w:val="clear" w:color="auto" w:fill="FFFFFF"/>
        </w:rPr>
      </w:pPr>
      <w:r w:rsidRPr="00940431">
        <w:rPr>
          <w:rFonts w:ascii="Verdana" w:hAnsi="Verdana"/>
          <w:iCs/>
          <w:color w:val="333333"/>
          <w:sz w:val="18"/>
          <w:szCs w:val="18"/>
          <w:shd w:val="clear" w:color="auto" w:fill="FFFFFF"/>
        </w:rPr>
        <w:t>Ley 1/2025, de 15 de mayo, de modificación del Decreto Legislativo 1/2011, de 22 de marzo, del Gobierno de Aragón, por el que se aprueba, con el título de «Código del Derecho Foral de Aragón», el Texto Refundido de las Leyes civiles aragonesas, en materia de custodia o convivencia de los hijos y de sucesiones por causa de muerte.</w:t>
      </w:r>
    </w:p>
    <w:p w14:paraId="43A25C02" w14:textId="77777777" w:rsidR="00940431" w:rsidRPr="00940431" w:rsidRDefault="00940431" w:rsidP="00940431">
      <w:pPr>
        <w:jc w:val="both"/>
        <w:rPr>
          <w:rFonts w:ascii="Verdana" w:hAnsi="Verdana"/>
          <w:i/>
          <w:color w:val="333333"/>
          <w:sz w:val="18"/>
          <w:szCs w:val="18"/>
          <w:shd w:val="clear" w:color="auto" w:fill="FFFFFF"/>
        </w:rPr>
      </w:pPr>
      <w:bookmarkStart w:id="7" w:name="_Hlk200302822"/>
      <w:r w:rsidRPr="00940431">
        <w:rPr>
          <w:rFonts w:ascii="Verdana" w:hAnsi="Verdana"/>
          <w:i/>
          <w:color w:val="333333"/>
          <w:sz w:val="18"/>
          <w:szCs w:val="18"/>
          <w:shd w:val="clear" w:color="auto" w:fill="FFFFFF"/>
        </w:rPr>
        <w:t>B.O.E. núm. 131 de 31 de mayo de 2025.</w:t>
      </w:r>
    </w:p>
    <w:bookmarkEnd w:id="7"/>
    <w:p w14:paraId="7F1BD489" w14:textId="77777777" w:rsidR="00940431" w:rsidRDefault="00940431" w:rsidP="00940431">
      <w:pPr>
        <w:jc w:val="both"/>
        <w:rPr>
          <w:rFonts w:ascii="Verdana" w:hAnsi="Verdana"/>
          <w:iCs/>
          <w:color w:val="333333"/>
          <w:sz w:val="18"/>
          <w:szCs w:val="18"/>
          <w:shd w:val="clear" w:color="auto" w:fill="FFFFFF"/>
        </w:rPr>
      </w:pPr>
    </w:p>
    <w:p w14:paraId="036FCF17" w14:textId="77777777" w:rsidR="00940431" w:rsidRPr="00940431" w:rsidRDefault="00940431" w:rsidP="00940431">
      <w:pPr>
        <w:jc w:val="both"/>
        <w:rPr>
          <w:rFonts w:ascii="Verdana" w:hAnsi="Verdana"/>
          <w:b/>
          <w:bCs/>
          <w:color w:val="800000"/>
          <w:sz w:val="18"/>
          <w:szCs w:val="18"/>
          <w:lang w:val="es-ES_tradnl"/>
        </w:rPr>
      </w:pPr>
      <w:r w:rsidRPr="00940431">
        <w:rPr>
          <w:rFonts w:ascii="Verdana" w:hAnsi="Verdana"/>
          <w:b/>
          <w:bCs/>
          <w:color w:val="800000"/>
          <w:sz w:val="18"/>
          <w:szCs w:val="18"/>
          <w:lang w:val="es-ES_tradnl"/>
        </w:rPr>
        <w:t>COMUNIDAD AUTÓNOMA DE CASTILLA-LA MANCHA</w:t>
      </w:r>
    </w:p>
    <w:p w14:paraId="73686185" w14:textId="77777777" w:rsidR="00940431" w:rsidRPr="00940431" w:rsidRDefault="00940431" w:rsidP="00940431">
      <w:pPr>
        <w:jc w:val="both"/>
        <w:rPr>
          <w:rFonts w:ascii="Verdana" w:hAnsi="Verdana"/>
          <w:b/>
          <w:bCs/>
          <w:color w:val="800000"/>
          <w:sz w:val="18"/>
          <w:szCs w:val="18"/>
          <w:lang w:val="es-ES_tradnl"/>
        </w:rPr>
      </w:pPr>
      <w:r w:rsidRPr="00940431">
        <w:rPr>
          <w:rFonts w:ascii="Verdana" w:hAnsi="Verdana"/>
          <w:b/>
          <w:bCs/>
          <w:color w:val="800000"/>
          <w:sz w:val="18"/>
          <w:szCs w:val="18"/>
          <w:lang w:val="es-ES_tradnl"/>
        </w:rPr>
        <w:t>Medidas administrativas y tributarias</w:t>
      </w:r>
    </w:p>
    <w:p w14:paraId="245167A3" w14:textId="77777777" w:rsidR="00940431" w:rsidRDefault="00940431" w:rsidP="00940431">
      <w:pPr>
        <w:jc w:val="both"/>
        <w:rPr>
          <w:rFonts w:ascii="Verdana" w:hAnsi="Verdana"/>
          <w:iCs/>
          <w:color w:val="333333"/>
          <w:sz w:val="18"/>
          <w:szCs w:val="18"/>
          <w:shd w:val="clear" w:color="auto" w:fill="FFFFFF"/>
        </w:rPr>
      </w:pPr>
      <w:r w:rsidRPr="00940431">
        <w:rPr>
          <w:rFonts w:ascii="Verdana" w:hAnsi="Verdana"/>
          <w:iCs/>
          <w:color w:val="333333"/>
          <w:sz w:val="18"/>
          <w:szCs w:val="18"/>
          <w:shd w:val="clear" w:color="auto" w:fill="FFFFFF"/>
        </w:rPr>
        <w:t>Ley 2/2025, de 11 de abril, de Medidas Administrativas y Tributarias de Castilla-La Mancha.</w:t>
      </w:r>
    </w:p>
    <w:p w14:paraId="536E1A7C" w14:textId="77777777" w:rsidR="002C1F93" w:rsidRDefault="00940431" w:rsidP="00940431">
      <w:pPr>
        <w:jc w:val="both"/>
        <w:rPr>
          <w:rFonts w:ascii="Verdana" w:hAnsi="Verdana"/>
          <w:i/>
          <w:color w:val="333333"/>
          <w:sz w:val="18"/>
          <w:szCs w:val="18"/>
          <w:shd w:val="clear" w:color="auto" w:fill="FFFFFF"/>
        </w:rPr>
      </w:pPr>
      <w:bookmarkStart w:id="8" w:name="_Hlk200642867"/>
      <w:r w:rsidRPr="00940431">
        <w:rPr>
          <w:rFonts w:ascii="Verdana" w:hAnsi="Verdana"/>
          <w:i/>
          <w:color w:val="333333"/>
          <w:sz w:val="18"/>
          <w:szCs w:val="18"/>
          <w:shd w:val="clear" w:color="auto" w:fill="FFFFFF"/>
        </w:rPr>
        <w:t>B.O.E. núm. 13</w:t>
      </w:r>
      <w:r>
        <w:rPr>
          <w:rFonts w:ascii="Verdana" w:hAnsi="Verdana"/>
          <w:i/>
          <w:color w:val="333333"/>
          <w:sz w:val="18"/>
          <w:szCs w:val="18"/>
          <w:shd w:val="clear" w:color="auto" w:fill="FFFFFF"/>
        </w:rPr>
        <w:t>7</w:t>
      </w:r>
      <w:r w:rsidRPr="00940431">
        <w:rPr>
          <w:rFonts w:ascii="Verdana" w:hAnsi="Verdana"/>
          <w:i/>
          <w:color w:val="333333"/>
          <w:sz w:val="18"/>
          <w:szCs w:val="18"/>
          <w:shd w:val="clear" w:color="auto" w:fill="FFFFFF"/>
        </w:rPr>
        <w:t xml:space="preserve"> de </w:t>
      </w:r>
      <w:r>
        <w:rPr>
          <w:rFonts w:ascii="Verdana" w:hAnsi="Verdana"/>
          <w:i/>
          <w:color w:val="333333"/>
          <w:sz w:val="18"/>
          <w:szCs w:val="18"/>
          <w:shd w:val="clear" w:color="auto" w:fill="FFFFFF"/>
        </w:rPr>
        <w:t>7 de junio</w:t>
      </w:r>
      <w:r w:rsidRPr="00940431">
        <w:rPr>
          <w:rFonts w:ascii="Verdana" w:hAnsi="Verdana"/>
          <w:i/>
          <w:color w:val="333333"/>
          <w:sz w:val="18"/>
          <w:szCs w:val="18"/>
          <w:shd w:val="clear" w:color="auto" w:fill="FFFFFF"/>
        </w:rPr>
        <w:t xml:space="preserve"> de 2025.</w:t>
      </w:r>
    </w:p>
    <w:bookmarkEnd w:id="8"/>
    <w:p w14:paraId="50D73308" w14:textId="77777777" w:rsidR="002C1F93" w:rsidRDefault="002C1F93" w:rsidP="00940431">
      <w:pPr>
        <w:jc w:val="both"/>
        <w:rPr>
          <w:rFonts w:ascii="Verdana" w:hAnsi="Verdana"/>
          <w:i/>
          <w:color w:val="333333"/>
          <w:sz w:val="18"/>
          <w:szCs w:val="18"/>
          <w:shd w:val="clear" w:color="auto" w:fill="FFFFFF"/>
        </w:rPr>
      </w:pPr>
    </w:p>
    <w:p w14:paraId="0903476B" w14:textId="77777777" w:rsidR="002C1F93" w:rsidRPr="002C1F93" w:rsidRDefault="002C1F93" w:rsidP="00940431">
      <w:pPr>
        <w:jc w:val="both"/>
        <w:rPr>
          <w:rFonts w:ascii="Verdana" w:hAnsi="Verdana"/>
          <w:b/>
          <w:bCs/>
          <w:color w:val="800000"/>
          <w:sz w:val="18"/>
          <w:szCs w:val="18"/>
          <w:lang w:val="es-ES_tradnl"/>
        </w:rPr>
      </w:pPr>
      <w:r w:rsidRPr="002C1F93">
        <w:rPr>
          <w:rFonts w:ascii="Verdana" w:hAnsi="Verdana"/>
          <w:b/>
          <w:bCs/>
          <w:color w:val="800000"/>
          <w:sz w:val="18"/>
          <w:szCs w:val="18"/>
          <w:lang w:val="es-ES_tradnl"/>
        </w:rPr>
        <w:t>COMUNIDAD AUTÓNOMA DEL PAÍS VASCO</w:t>
      </w:r>
    </w:p>
    <w:p w14:paraId="6ED03ACD" w14:textId="77777777" w:rsidR="002C1F93" w:rsidRPr="002C1F93" w:rsidRDefault="002C1F93" w:rsidP="002C1F93">
      <w:pPr>
        <w:jc w:val="both"/>
        <w:rPr>
          <w:rFonts w:ascii="Verdana" w:hAnsi="Verdana"/>
          <w:b/>
          <w:bCs/>
          <w:color w:val="800000"/>
          <w:sz w:val="18"/>
          <w:szCs w:val="18"/>
          <w:lang w:val="es-ES_tradnl"/>
        </w:rPr>
      </w:pPr>
      <w:r w:rsidRPr="002C1F93">
        <w:rPr>
          <w:rFonts w:ascii="Verdana" w:hAnsi="Verdana"/>
          <w:b/>
          <w:bCs/>
          <w:color w:val="800000"/>
          <w:sz w:val="18"/>
          <w:szCs w:val="18"/>
          <w:lang w:val="es-ES_tradnl"/>
        </w:rPr>
        <w:t>Presupuestos</w:t>
      </w:r>
    </w:p>
    <w:p w14:paraId="55F51912" w14:textId="77777777" w:rsidR="002C1F93" w:rsidRPr="002C1F93" w:rsidRDefault="002C1F93" w:rsidP="002C1F93">
      <w:pPr>
        <w:jc w:val="both"/>
        <w:rPr>
          <w:rFonts w:ascii="Verdana" w:hAnsi="Verdana"/>
          <w:iCs/>
          <w:color w:val="333333"/>
          <w:sz w:val="18"/>
          <w:szCs w:val="18"/>
          <w:shd w:val="clear" w:color="auto" w:fill="FFFFFF"/>
        </w:rPr>
      </w:pPr>
      <w:r w:rsidRPr="002C1F93">
        <w:rPr>
          <w:rFonts w:ascii="Verdana" w:hAnsi="Verdana"/>
          <w:iCs/>
          <w:color w:val="333333"/>
          <w:sz w:val="18"/>
          <w:szCs w:val="18"/>
          <w:shd w:val="clear" w:color="auto" w:fill="FFFFFF"/>
        </w:rPr>
        <w:t>Ley 5/2025, de 22 de mayo, de modificación de la Ley 8/2024, de 20 de diciembre, por la que se aprueban los Presupuestos Generales de la Comunidad Autónoma de Euskadi para el ejercicio 2025.</w:t>
      </w:r>
    </w:p>
    <w:p w14:paraId="569CD5D7" w14:textId="6F7D9052" w:rsidR="002C1F93" w:rsidRDefault="002C1F93" w:rsidP="002C1F93">
      <w:pPr>
        <w:jc w:val="both"/>
        <w:rPr>
          <w:rFonts w:ascii="Verdana" w:hAnsi="Verdana"/>
          <w:i/>
          <w:color w:val="333333"/>
          <w:sz w:val="18"/>
          <w:szCs w:val="18"/>
          <w:shd w:val="clear" w:color="auto" w:fill="FFFFFF"/>
        </w:rPr>
      </w:pPr>
      <w:bookmarkStart w:id="9" w:name="_Hlk200819370"/>
      <w:r w:rsidRPr="002C1F93">
        <w:rPr>
          <w:rFonts w:ascii="Verdana" w:hAnsi="Verdana"/>
          <w:i/>
          <w:color w:val="333333"/>
          <w:sz w:val="18"/>
          <w:szCs w:val="18"/>
          <w:shd w:val="clear" w:color="auto" w:fill="FFFFFF"/>
        </w:rPr>
        <w:t>B.O.E. núm. 13</w:t>
      </w:r>
      <w:r>
        <w:rPr>
          <w:rFonts w:ascii="Verdana" w:hAnsi="Verdana"/>
          <w:i/>
          <w:color w:val="333333"/>
          <w:sz w:val="18"/>
          <w:szCs w:val="18"/>
          <w:shd w:val="clear" w:color="auto" w:fill="FFFFFF"/>
        </w:rPr>
        <w:t>9</w:t>
      </w:r>
      <w:r w:rsidRPr="002C1F93">
        <w:rPr>
          <w:rFonts w:ascii="Verdana" w:hAnsi="Verdana"/>
          <w:i/>
          <w:color w:val="333333"/>
          <w:sz w:val="18"/>
          <w:szCs w:val="18"/>
          <w:shd w:val="clear" w:color="auto" w:fill="FFFFFF"/>
        </w:rPr>
        <w:t xml:space="preserve"> de </w:t>
      </w:r>
      <w:r>
        <w:rPr>
          <w:rFonts w:ascii="Verdana" w:hAnsi="Verdana"/>
          <w:i/>
          <w:color w:val="333333"/>
          <w:sz w:val="18"/>
          <w:szCs w:val="18"/>
          <w:shd w:val="clear" w:color="auto" w:fill="FFFFFF"/>
        </w:rPr>
        <w:t>10</w:t>
      </w:r>
      <w:r w:rsidRPr="002C1F93">
        <w:rPr>
          <w:rFonts w:ascii="Verdana" w:hAnsi="Verdana"/>
          <w:i/>
          <w:color w:val="333333"/>
          <w:sz w:val="18"/>
          <w:szCs w:val="18"/>
          <w:shd w:val="clear" w:color="auto" w:fill="FFFFFF"/>
        </w:rPr>
        <w:t xml:space="preserve"> de junio de 2025.</w:t>
      </w:r>
    </w:p>
    <w:bookmarkEnd w:id="9"/>
    <w:p w14:paraId="656EACCB" w14:textId="77777777" w:rsidR="00382E99" w:rsidRDefault="00382E99" w:rsidP="002C1F93">
      <w:pPr>
        <w:jc w:val="both"/>
        <w:rPr>
          <w:rFonts w:ascii="Verdana" w:hAnsi="Verdana"/>
          <w:i/>
          <w:color w:val="333333"/>
          <w:sz w:val="18"/>
          <w:szCs w:val="18"/>
          <w:shd w:val="clear" w:color="auto" w:fill="FFFFFF"/>
        </w:rPr>
      </w:pPr>
    </w:p>
    <w:p w14:paraId="0FD488D5" w14:textId="77777777" w:rsidR="00382E99" w:rsidRPr="00382E99" w:rsidRDefault="00382E99" w:rsidP="00382E99">
      <w:pPr>
        <w:jc w:val="both"/>
        <w:rPr>
          <w:rFonts w:ascii="Verdana" w:hAnsi="Verdana"/>
          <w:b/>
          <w:bCs/>
          <w:color w:val="800000"/>
          <w:sz w:val="18"/>
          <w:szCs w:val="18"/>
          <w:lang w:val="es-ES_tradnl"/>
        </w:rPr>
      </w:pPr>
      <w:r w:rsidRPr="00382E99">
        <w:rPr>
          <w:rFonts w:ascii="Verdana" w:hAnsi="Verdana"/>
          <w:b/>
          <w:bCs/>
          <w:color w:val="800000"/>
          <w:sz w:val="18"/>
          <w:szCs w:val="18"/>
          <w:lang w:val="es-ES_tradnl"/>
        </w:rPr>
        <w:t>COMUNITAT VALENCIANA</w:t>
      </w:r>
    </w:p>
    <w:p w14:paraId="679214A4" w14:textId="77777777" w:rsidR="00382E99" w:rsidRPr="00382E99" w:rsidRDefault="00382E99" w:rsidP="00382E99">
      <w:pPr>
        <w:jc w:val="both"/>
        <w:rPr>
          <w:rFonts w:ascii="Verdana" w:hAnsi="Verdana"/>
          <w:b/>
          <w:bCs/>
          <w:color w:val="800000"/>
          <w:sz w:val="18"/>
          <w:szCs w:val="18"/>
          <w:lang w:val="es-ES_tradnl"/>
        </w:rPr>
      </w:pPr>
      <w:r w:rsidRPr="00382E99">
        <w:rPr>
          <w:rFonts w:ascii="Verdana" w:hAnsi="Verdana"/>
          <w:b/>
          <w:bCs/>
          <w:color w:val="800000"/>
          <w:sz w:val="18"/>
          <w:szCs w:val="18"/>
          <w:lang w:val="es-ES_tradnl"/>
        </w:rPr>
        <w:t>Medidas fiscales, administrativas y financieras. Organización</w:t>
      </w:r>
    </w:p>
    <w:p w14:paraId="6A2EB96F" w14:textId="77777777" w:rsidR="00382E99" w:rsidRPr="00382E99" w:rsidRDefault="00382E99" w:rsidP="00382E99">
      <w:pPr>
        <w:jc w:val="both"/>
        <w:rPr>
          <w:rFonts w:ascii="Verdana" w:hAnsi="Verdana"/>
          <w:iCs/>
          <w:color w:val="333333"/>
          <w:sz w:val="18"/>
          <w:szCs w:val="18"/>
          <w:shd w:val="clear" w:color="auto" w:fill="FFFFFF"/>
        </w:rPr>
      </w:pPr>
      <w:r w:rsidRPr="00382E99">
        <w:rPr>
          <w:rFonts w:ascii="Verdana" w:hAnsi="Verdana"/>
          <w:iCs/>
          <w:color w:val="333333"/>
          <w:sz w:val="18"/>
          <w:szCs w:val="18"/>
          <w:shd w:val="clear" w:color="auto" w:fill="FFFFFF"/>
        </w:rPr>
        <w:t>Ley 5/2025, de 30 de mayo, de medidas fiscales, de gestión administrativa y financiera, y de organización de la Generalitat.</w:t>
      </w:r>
    </w:p>
    <w:p w14:paraId="1D8CB9B5" w14:textId="77777777" w:rsidR="00382E99" w:rsidRPr="00382E99" w:rsidRDefault="00382E99" w:rsidP="00382E99">
      <w:pPr>
        <w:jc w:val="both"/>
        <w:rPr>
          <w:rFonts w:ascii="Verdana" w:hAnsi="Verdana"/>
          <w:i/>
          <w:color w:val="333333"/>
          <w:sz w:val="18"/>
          <w:szCs w:val="18"/>
          <w:shd w:val="clear" w:color="auto" w:fill="FFFFFF"/>
        </w:rPr>
      </w:pPr>
    </w:p>
    <w:p w14:paraId="03C8D064" w14:textId="77777777" w:rsidR="00382E99" w:rsidRPr="00382E99" w:rsidRDefault="00382E99" w:rsidP="00382E99">
      <w:pPr>
        <w:jc w:val="both"/>
        <w:rPr>
          <w:rFonts w:ascii="Verdana" w:hAnsi="Verdana"/>
          <w:b/>
          <w:bCs/>
          <w:color w:val="800000"/>
          <w:sz w:val="18"/>
          <w:szCs w:val="18"/>
          <w:lang w:val="es-ES_tradnl"/>
        </w:rPr>
      </w:pPr>
      <w:r w:rsidRPr="00382E99">
        <w:rPr>
          <w:rFonts w:ascii="Verdana" w:hAnsi="Verdana"/>
          <w:b/>
          <w:bCs/>
          <w:color w:val="800000"/>
          <w:sz w:val="18"/>
          <w:szCs w:val="18"/>
          <w:lang w:val="es-ES_tradnl"/>
        </w:rPr>
        <w:t>Presupuestos</w:t>
      </w:r>
    </w:p>
    <w:p w14:paraId="15618D7E" w14:textId="49EF3889" w:rsidR="00382E99" w:rsidRPr="00382E99" w:rsidRDefault="00382E99" w:rsidP="00382E99">
      <w:pPr>
        <w:jc w:val="both"/>
        <w:rPr>
          <w:rFonts w:ascii="Verdana" w:hAnsi="Verdana"/>
          <w:iCs/>
          <w:color w:val="333333"/>
          <w:sz w:val="18"/>
          <w:szCs w:val="18"/>
          <w:shd w:val="clear" w:color="auto" w:fill="FFFFFF"/>
        </w:rPr>
      </w:pPr>
      <w:r w:rsidRPr="00382E99">
        <w:rPr>
          <w:rFonts w:ascii="Verdana" w:hAnsi="Verdana"/>
          <w:iCs/>
          <w:color w:val="333333"/>
          <w:sz w:val="18"/>
          <w:szCs w:val="18"/>
          <w:shd w:val="clear" w:color="auto" w:fill="FFFFFF"/>
        </w:rPr>
        <w:t>Ley 6/2025, de 30 de mayo, de presupuestos de la Generalitat para el ejercicio 2025.</w:t>
      </w:r>
    </w:p>
    <w:p w14:paraId="11E79BE9" w14:textId="54269380" w:rsidR="00382E99" w:rsidRDefault="00382E99" w:rsidP="00382E99">
      <w:pPr>
        <w:jc w:val="both"/>
        <w:rPr>
          <w:rFonts w:ascii="Verdana" w:hAnsi="Verdana"/>
          <w:i/>
          <w:color w:val="333333"/>
          <w:sz w:val="18"/>
          <w:szCs w:val="18"/>
          <w:shd w:val="clear" w:color="auto" w:fill="FFFFFF"/>
        </w:rPr>
      </w:pPr>
      <w:r w:rsidRPr="002C1F93">
        <w:rPr>
          <w:rFonts w:ascii="Verdana" w:hAnsi="Verdana"/>
          <w:i/>
          <w:color w:val="333333"/>
          <w:sz w:val="18"/>
          <w:szCs w:val="18"/>
          <w:shd w:val="clear" w:color="auto" w:fill="FFFFFF"/>
        </w:rPr>
        <w:t>B.O.E. núm. 1</w:t>
      </w:r>
      <w:r>
        <w:rPr>
          <w:rFonts w:ascii="Verdana" w:hAnsi="Verdana"/>
          <w:i/>
          <w:color w:val="333333"/>
          <w:sz w:val="18"/>
          <w:szCs w:val="18"/>
          <w:shd w:val="clear" w:color="auto" w:fill="FFFFFF"/>
        </w:rPr>
        <w:t>43</w:t>
      </w:r>
      <w:r w:rsidRPr="002C1F93">
        <w:rPr>
          <w:rFonts w:ascii="Verdana" w:hAnsi="Verdana"/>
          <w:i/>
          <w:color w:val="333333"/>
          <w:sz w:val="18"/>
          <w:szCs w:val="18"/>
          <w:shd w:val="clear" w:color="auto" w:fill="FFFFFF"/>
        </w:rPr>
        <w:t xml:space="preserve"> de </w:t>
      </w:r>
      <w:r>
        <w:rPr>
          <w:rFonts w:ascii="Verdana" w:hAnsi="Verdana"/>
          <w:i/>
          <w:color w:val="333333"/>
          <w:sz w:val="18"/>
          <w:szCs w:val="18"/>
          <w:shd w:val="clear" w:color="auto" w:fill="FFFFFF"/>
        </w:rPr>
        <w:t>14</w:t>
      </w:r>
      <w:r w:rsidRPr="002C1F93">
        <w:rPr>
          <w:rFonts w:ascii="Verdana" w:hAnsi="Verdana"/>
          <w:i/>
          <w:color w:val="333333"/>
          <w:sz w:val="18"/>
          <w:szCs w:val="18"/>
          <w:shd w:val="clear" w:color="auto" w:fill="FFFFFF"/>
        </w:rPr>
        <w:t xml:space="preserve"> de junio de 2025.</w:t>
      </w:r>
    </w:p>
    <w:p w14:paraId="3F5C01C9" w14:textId="36CFA294" w:rsidR="008869AA" w:rsidRPr="00940431" w:rsidRDefault="008869AA" w:rsidP="002C1F93">
      <w:pPr>
        <w:jc w:val="both"/>
        <w:rPr>
          <w:rFonts w:ascii="Verdana" w:hAnsi="Verdana"/>
          <w:i/>
          <w:color w:val="333333"/>
          <w:sz w:val="18"/>
          <w:szCs w:val="18"/>
          <w:shd w:val="clear" w:color="auto" w:fill="FFFFFF"/>
        </w:rPr>
      </w:pPr>
      <w:r w:rsidRPr="00940431">
        <w:rPr>
          <w:rFonts w:ascii="Verdana" w:hAnsi="Verdana"/>
          <w:i/>
          <w:color w:val="333333"/>
          <w:sz w:val="18"/>
          <w:szCs w:val="18"/>
          <w:shd w:val="clear" w:color="auto" w:fill="FFFFFF"/>
        </w:rPr>
        <w:br w:type="page"/>
      </w:r>
    </w:p>
    <w:p w14:paraId="19E1A6E4" w14:textId="4860CA9F" w:rsidR="00382E0C" w:rsidRPr="00C251F8" w:rsidRDefault="00382E0C" w:rsidP="008B5DF6">
      <w:pPr>
        <w:pStyle w:val="Ttulo7"/>
        <w:rPr>
          <w:rFonts w:ascii="Verdana" w:hAnsi="Verdana"/>
          <w:b w:val="0"/>
          <w:bCs w:val="0"/>
          <w:i/>
          <w:iCs/>
          <w:sz w:val="20"/>
          <w:szCs w:val="20"/>
        </w:rPr>
      </w:pPr>
      <w:r w:rsidRPr="00C251F8">
        <w:rPr>
          <w:rFonts w:ascii="Verdana" w:hAnsi="Verdana"/>
          <w:sz w:val="20"/>
          <w:szCs w:val="20"/>
        </w:rPr>
        <w:lastRenderedPageBreak/>
        <w:t xml:space="preserve">CALENDARIO FISCAL PARA EL MES DE JULIO DE </w:t>
      </w:r>
      <w:r w:rsidR="000D7657">
        <w:rPr>
          <w:rFonts w:ascii="Verdana" w:hAnsi="Verdana"/>
          <w:sz w:val="20"/>
          <w:szCs w:val="20"/>
        </w:rPr>
        <w:t>202</w:t>
      </w:r>
      <w:r w:rsidR="00A610F4">
        <w:rPr>
          <w:rFonts w:ascii="Verdana" w:hAnsi="Verdana"/>
          <w:sz w:val="20"/>
          <w:szCs w:val="20"/>
        </w:rPr>
        <w:t>5</w:t>
      </w:r>
    </w:p>
    <w:p w14:paraId="00CC305B" w14:textId="77777777" w:rsidR="00382E0C" w:rsidRDefault="00382E0C" w:rsidP="001F348A">
      <w:pPr>
        <w:jc w:val="both"/>
        <w:rPr>
          <w:rFonts w:ascii="Verdana" w:hAnsi="Verdana"/>
          <w:b/>
          <w:bCs/>
          <w:color w:val="800000"/>
          <w:sz w:val="18"/>
          <w:szCs w:val="18"/>
        </w:rPr>
      </w:pPr>
    </w:p>
    <w:p w14:paraId="5D859B33" w14:textId="77777777" w:rsidR="0056751F" w:rsidRPr="0056751F" w:rsidRDefault="0056751F" w:rsidP="0056751F">
      <w:pPr>
        <w:pStyle w:val="Ttulo7"/>
        <w:rPr>
          <w:rFonts w:ascii="Verdana" w:hAnsi="Verdana"/>
          <w:sz w:val="18"/>
          <w:szCs w:val="18"/>
        </w:rPr>
      </w:pPr>
      <w:bookmarkStart w:id="10" w:name="_Hlk137747510"/>
      <w:r w:rsidRPr="0056751F">
        <w:rPr>
          <w:rFonts w:ascii="Verdana" w:hAnsi="Verdana"/>
          <w:sz w:val="18"/>
          <w:szCs w:val="18"/>
        </w:rPr>
        <w:t>Hasta el 14 de julio</w:t>
      </w:r>
    </w:p>
    <w:p w14:paraId="699FC9EB" w14:textId="77777777" w:rsidR="0056751F" w:rsidRPr="00382E99" w:rsidRDefault="0056751F" w:rsidP="00382E99">
      <w:pPr>
        <w:pStyle w:val="Ttulo7"/>
        <w:rPr>
          <w:rFonts w:ascii="Verdana" w:hAnsi="Verdana"/>
          <w:sz w:val="18"/>
          <w:szCs w:val="18"/>
        </w:rPr>
      </w:pPr>
      <w:r w:rsidRPr="00382E99">
        <w:rPr>
          <w:rFonts w:ascii="Verdana" w:hAnsi="Verdana"/>
          <w:sz w:val="18"/>
          <w:szCs w:val="18"/>
        </w:rPr>
        <w:t>INTRASTAT - Estadística Comercio Intracomunitario</w:t>
      </w:r>
    </w:p>
    <w:p w14:paraId="697D1726" w14:textId="321226C5" w:rsidR="00E64DC9" w:rsidRDefault="0056751F" w:rsidP="0056751F">
      <w:pPr>
        <w:jc w:val="both"/>
        <w:rPr>
          <w:rFonts w:ascii="Verdana" w:hAnsi="Verdana"/>
          <w:sz w:val="16"/>
          <w:szCs w:val="16"/>
        </w:rPr>
      </w:pPr>
      <w:r w:rsidRPr="0056751F">
        <w:rPr>
          <w:rFonts w:ascii="Verdana" w:hAnsi="Verdana"/>
          <w:sz w:val="16"/>
          <w:szCs w:val="16"/>
        </w:rPr>
        <w:t>Junio 2025. Obligados a suministrar información estadística</w:t>
      </w:r>
    </w:p>
    <w:p w14:paraId="5381451C" w14:textId="77777777" w:rsidR="0056751F" w:rsidRDefault="0056751F" w:rsidP="0056751F">
      <w:pPr>
        <w:jc w:val="both"/>
        <w:rPr>
          <w:rFonts w:ascii="Verdana" w:hAnsi="Verdana"/>
          <w:sz w:val="16"/>
          <w:szCs w:val="16"/>
        </w:rPr>
      </w:pPr>
    </w:p>
    <w:p w14:paraId="302281BF" w14:textId="77777777" w:rsidR="0056751F" w:rsidRPr="0056751F" w:rsidRDefault="0056751F" w:rsidP="0056751F">
      <w:pPr>
        <w:pStyle w:val="Ttulo7"/>
        <w:rPr>
          <w:rFonts w:ascii="Verdana" w:hAnsi="Verdana"/>
          <w:sz w:val="18"/>
          <w:szCs w:val="18"/>
        </w:rPr>
      </w:pPr>
      <w:r w:rsidRPr="0056751F">
        <w:rPr>
          <w:rFonts w:ascii="Verdana" w:hAnsi="Verdana"/>
          <w:sz w:val="18"/>
          <w:szCs w:val="18"/>
        </w:rPr>
        <w:t>Hasta el 21 de julio</w:t>
      </w:r>
    </w:p>
    <w:p w14:paraId="36D8375B" w14:textId="77777777" w:rsidR="0056751F" w:rsidRPr="00382E99" w:rsidRDefault="0056751F" w:rsidP="00382E99">
      <w:pPr>
        <w:pStyle w:val="Ttulo7"/>
        <w:rPr>
          <w:rFonts w:ascii="Verdana" w:hAnsi="Verdana"/>
          <w:sz w:val="18"/>
          <w:szCs w:val="18"/>
        </w:rPr>
      </w:pPr>
      <w:r w:rsidRPr="00382E99">
        <w:rPr>
          <w:rFonts w:ascii="Verdana" w:hAnsi="Verdana"/>
          <w:sz w:val="18"/>
          <w:szCs w:val="18"/>
        </w:rPr>
        <w:t>Renta y Sociedades</w:t>
      </w:r>
    </w:p>
    <w:p w14:paraId="1FD07607" w14:textId="77777777" w:rsidR="0056751F" w:rsidRPr="0056751F" w:rsidRDefault="0056751F" w:rsidP="0056751F">
      <w:pPr>
        <w:jc w:val="both"/>
        <w:rPr>
          <w:rFonts w:ascii="Verdana" w:hAnsi="Verdana"/>
          <w:sz w:val="16"/>
          <w:szCs w:val="16"/>
        </w:rPr>
      </w:pPr>
      <w:r w:rsidRPr="0056751F">
        <w:rPr>
          <w:rFonts w:ascii="Verdana" w:hAnsi="Verdana"/>
          <w:sz w:val="16"/>
          <w:szCs w:val="16"/>
        </w:rPr>
        <w:t>Retenciones e ingresos a cuenta de rendimientos del trabajo, actividades económicas, premios y determinadas ganancias patrimoniales e imputaciones de renta, ganancias derivadas de acciones y participaciones de las Instituciones de Inversión Colectiva, rentas de arrendamiento de inmuebles urbanos, capital mobiliario, personas autorizadas y saldos en cuentas y, de rentas de no residentes obtenidas sin establecimiento permanente.</w:t>
      </w:r>
    </w:p>
    <w:p w14:paraId="1B4CA776" w14:textId="77777777" w:rsidR="0056751F" w:rsidRPr="0056751F" w:rsidRDefault="0056751F" w:rsidP="0056751F">
      <w:pPr>
        <w:jc w:val="both"/>
        <w:rPr>
          <w:rFonts w:ascii="Verdana" w:hAnsi="Verdana"/>
          <w:sz w:val="16"/>
          <w:szCs w:val="16"/>
        </w:rPr>
      </w:pPr>
    </w:p>
    <w:p w14:paraId="66C12731" w14:textId="77777777" w:rsidR="0056751F" w:rsidRPr="0056751F" w:rsidRDefault="0056751F" w:rsidP="0056751F">
      <w:pPr>
        <w:jc w:val="both"/>
        <w:rPr>
          <w:rFonts w:ascii="Verdana" w:hAnsi="Verdana"/>
          <w:sz w:val="16"/>
          <w:szCs w:val="16"/>
        </w:rPr>
      </w:pPr>
      <w:r w:rsidRPr="0056751F">
        <w:rPr>
          <w:rFonts w:ascii="Verdana" w:hAnsi="Verdana"/>
          <w:sz w:val="16"/>
          <w:szCs w:val="16"/>
        </w:rPr>
        <w:t>Junio 2025. Grandes empresas: 111, 115, 117, 123, 124, 126, 128, 216, 230</w:t>
      </w:r>
    </w:p>
    <w:p w14:paraId="1B096E07" w14:textId="77777777" w:rsidR="0056751F" w:rsidRPr="0056751F" w:rsidRDefault="0056751F" w:rsidP="0056751F">
      <w:pPr>
        <w:jc w:val="both"/>
        <w:rPr>
          <w:rFonts w:ascii="Verdana" w:hAnsi="Verdana"/>
          <w:sz w:val="16"/>
          <w:szCs w:val="16"/>
        </w:rPr>
      </w:pPr>
    </w:p>
    <w:p w14:paraId="53CEB33F" w14:textId="77777777" w:rsidR="0056751F" w:rsidRPr="0056751F" w:rsidRDefault="0056751F" w:rsidP="0056751F">
      <w:pPr>
        <w:jc w:val="both"/>
        <w:rPr>
          <w:rFonts w:ascii="Verdana" w:hAnsi="Verdana"/>
          <w:sz w:val="16"/>
          <w:szCs w:val="16"/>
        </w:rPr>
      </w:pPr>
      <w:r w:rsidRPr="0056751F">
        <w:rPr>
          <w:rFonts w:ascii="Verdana" w:hAnsi="Verdana"/>
          <w:sz w:val="16"/>
          <w:szCs w:val="16"/>
        </w:rPr>
        <w:t>Segundo trimestre 2025: 111, 115, 117, 123, 124, 126, 128, 136, 210, 216</w:t>
      </w:r>
    </w:p>
    <w:p w14:paraId="3BBF5446" w14:textId="77777777" w:rsidR="0056751F" w:rsidRPr="0056751F" w:rsidRDefault="0056751F" w:rsidP="0056751F">
      <w:pPr>
        <w:jc w:val="both"/>
        <w:rPr>
          <w:rFonts w:ascii="Verdana" w:hAnsi="Verdana"/>
          <w:sz w:val="16"/>
          <w:szCs w:val="16"/>
        </w:rPr>
      </w:pPr>
    </w:p>
    <w:p w14:paraId="3610D9D9" w14:textId="77777777" w:rsidR="0056751F" w:rsidRPr="0056751F" w:rsidRDefault="0056751F" w:rsidP="0056751F">
      <w:pPr>
        <w:jc w:val="both"/>
        <w:rPr>
          <w:rFonts w:ascii="Verdana" w:hAnsi="Verdana"/>
          <w:sz w:val="16"/>
          <w:szCs w:val="16"/>
        </w:rPr>
      </w:pPr>
      <w:r w:rsidRPr="0056751F">
        <w:rPr>
          <w:rFonts w:ascii="Verdana" w:hAnsi="Verdana"/>
          <w:sz w:val="16"/>
          <w:szCs w:val="16"/>
        </w:rPr>
        <w:t>Pagos fraccionados Renta</w:t>
      </w:r>
    </w:p>
    <w:p w14:paraId="3F821A32" w14:textId="77777777" w:rsidR="0056751F" w:rsidRPr="0056751F" w:rsidRDefault="0056751F" w:rsidP="0056751F">
      <w:pPr>
        <w:jc w:val="both"/>
        <w:rPr>
          <w:rFonts w:ascii="Verdana" w:hAnsi="Verdana"/>
          <w:sz w:val="16"/>
          <w:szCs w:val="16"/>
        </w:rPr>
      </w:pPr>
      <w:r w:rsidRPr="0056751F">
        <w:rPr>
          <w:rFonts w:ascii="Verdana" w:hAnsi="Verdana"/>
          <w:sz w:val="16"/>
          <w:szCs w:val="16"/>
        </w:rPr>
        <w:t>Segundo trimestre 2025:</w:t>
      </w:r>
    </w:p>
    <w:p w14:paraId="7D33CB20" w14:textId="77777777" w:rsidR="0056751F" w:rsidRPr="0056751F" w:rsidRDefault="0056751F" w:rsidP="0056751F">
      <w:pPr>
        <w:jc w:val="both"/>
        <w:rPr>
          <w:rFonts w:ascii="Verdana" w:hAnsi="Verdana"/>
          <w:sz w:val="16"/>
          <w:szCs w:val="16"/>
        </w:rPr>
      </w:pPr>
    </w:p>
    <w:p w14:paraId="47047818" w14:textId="77777777" w:rsidR="0056751F" w:rsidRPr="0056751F" w:rsidRDefault="0056751F" w:rsidP="0056751F">
      <w:pPr>
        <w:jc w:val="both"/>
        <w:rPr>
          <w:rFonts w:ascii="Verdana" w:hAnsi="Verdana"/>
          <w:sz w:val="16"/>
          <w:szCs w:val="16"/>
        </w:rPr>
      </w:pPr>
      <w:r w:rsidRPr="0056751F">
        <w:rPr>
          <w:rFonts w:ascii="Verdana" w:hAnsi="Verdana"/>
          <w:sz w:val="16"/>
          <w:szCs w:val="16"/>
        </w:rPr>
        <w:t>Estimación directa: 130</w:t>
      </w:r>
    </w:p>
    <w:p w14:paraId="11801919" w14:textId="77777777" w:rsidR="0056751F" w:rsidRPr="0056751F" w:rsidRDefault="0056751F" w:rsidP="0056751F">
      <w:pPr>
        <w:jc w:val="both"/>
        <w:rPr>
          <w:rFonts w:ascii="Verdana" w:hAnsi="Verdana"/>
          <w:sz w:val="16"/>
          <w:szCs w:val="16"/>
        </w:rPr>
      </w:pPr>
    </w:p>
    <w:p w14:paraId="7A4F8887" w14:textId="77777777" w:rsidR="0056751F" w:rsidRPr="0056751F" w:rsidRDefault="0056751F" w:rsidP="0056751F">
      <w:pPr>
        <w:jc w:val="both"/>
        <w:rPr>
          <w:rFonts w:ascii="Verdana" w:hAnsi="Verdana"/>
          <w:sz w:val="16"/>
          <w:szCs w:val="16"/>
        </w:rPr>
      </w:pPr>
      <w:r w:rsidRPr="0056751F">
        <w:rPr>
          <w:rFonts w:ascii="Verdana" w:hAnsi="Verdana"/>
          <w:sz w:val="16"/>
          <w:szCs w:val="16"/>
        </w:rPr>
        <w:t>Estimación objetiva: 131</w:t>
      </w:r>
    </w:p>
    <w:p w14:paraId="5835A8F0" w14:textId="77777777" w:rsidR="0056751F" w:rsidRPr="0056751F" w:rsidRDefault="0056751F" w:rsidP="0056751F">
      <w:pPr>
        <w:jc w:val="both"/>
        <w:rPr>
          <w:rFonts w:ascii="Verdana" w:hAnsi="Verdana"/>
          <w:sz w:val="16"/>
          <w:szCs w:val="16"/>
        </w:rPr>
      </w:pPr>
    </w:p>
    <w:p w14:paraId="1D9EEFCF" w14:textId="77777777" w:rsidR="0056751F" w:rsidRPr="00382E99" w:rsidRDefault="0056751F" w:rsidP="00382E99">
      <w:pPr>
        <w:pStyle w:val="Ttulo7"/>
        <w:rPr>
          <w:rFonts w:ascii="Verdana" w:hAnsi="Verdana"/>
          <w:sz w:val="18"/>
          <w:szCs w:val="18"/>
        </w:rPr>
      </w:pPr>
      <w:r w:rsidRPr="00382E99">
        <w:rPr>
          <w:rFonts w:ascii="Verdana" w:hAnsi="Verdana"/>
          <w:sz w:val="18"/>
          <w:szCs w:val="18"/>
        </w:rPr>
        <w:t>IVA</w:t>
      </w:r>
    </w:p>
    <w:p w14:paraId="75628BE6" w14:textId="77777777" w:rsidR="0056751F" w:rsidRPr="0056751F" w:rsidRDefault="0056751F" w:rsidP="0056751F">
      <w:pPr>
        <w:jc w:val="both"/>
        <w:rPr>
          <w:rFonts w:ascii="Verdana" w:hAnsi="Verdana"/>
          <w:sz w:val="16"/>
          <w:szCs w:val="16"/>
        </w:rPr>
      </w:pPr>
      <w:r w:rsidRPr="0056751F">
        <w:rPr>
          <w:rFonts w:ascii="Verdana" w:hAnsi="Verdana"/>
          <w:sz w:val="16"/>
          <w:szCs w:val="16"/>
        </w:rPr>
        <w:t>Junio 2025. Declaración recapitulativa de operaciones intracomunitarias: 349</w:t>
      </w:r>
    </w:p>
    <w:p w14:paraId="609DDD21" w14:textId="77777777" w:rsidR="0056751F" w:rsidRPr="0056751F" w:rsidRDefault="0056751F" w:rsidP="0056751F">
      <w:pPr>
        <w:jc w:val="both"/>
        <w:rPr>
          <w:rFonts w:ascii="Verdana" w:hAnsi="Verdana"/>
          <w:sz w:val="16"/>
          <w:szCs w:val="16"/>
        </w:rPr>
      </w:pPr>
    </w:p>
    <w:p w14:paraId="23392E74" w14:textId="77777777" w:rsidR="0056751F" w:rsidRPr="0056751F" w:rsidRDefault="0056751F" w:rsidP="0056751F">
      <w:pPr>
        <w:jc w:val="both"/>
        <w:rPr>
          <w:rFonts w:ascii="Verdana" w:hAnsi="Verdana"/>
          <w:sz w:val="16"/>
          <w:szCs w:val="16"/>
        </w:rPr>
      </w:pPr>
      <w:r w:rsidRPr="0056751F">
        <w:rPr>
          <w:rFonts w:ascii="Verdana" w:hAnsi="Verdana"/>
          <w:sz w:val="16"/>
          <w:szCs w:val="16"/>
        </w:rPr>
        <w:t>Segundo trimestre 2025. Autoliquidación: 303</w:t>
      </w:r>
    </w:p>
    <w:p w14:paraId="63B7EE75" w14:textId="77777777" w:rsidR="0056751F" w:rsidRPr="0056751F" w:rsidRDefault="0056751F" w:rsidP="0056751F">
      <w:pPr>
        <w:jc w:val="both"/>
        <w:rPr>
          <w:rFonts w:ascii="Verdana" w:hAnsi="Verdana"/>
          <w:sz w:val="16"/>
          <w:szCs w:val="16"/>
        </w:rPr>
      </w:pPr>
    </w:p>
    <w:p w14:paraId="2243E1F0" w14:textId="77777777" w:rsidR="0056751F" w:rsidRPr="0056751F" w:rsidRDefault="0056751F" w:rsidP="0056751F">
      <w:pPr>
        <w:jc w:val="both"/>
        <w:rPr>
          <w:rFonts w:ascii="Verdana" w:hAnsi="Verdana"/>
          <w:sz w:val="16"/>
          <w:szCs w:val="16"/>
        </w:rPr>
      </w:pPr>
      <w:r w:rsidRPr="0056751F">
        <w:rPr>
          <w:rFonts w:ascii="Verdana" w:hAnsi="Verdana"/>
          <w:sz w:val="16"/>
          <w:szCs w:val="16"/>
        </w:rPr>
        <w:t>Segundo trimestre 2025. Declaración-liquidación no periódica: 309</w:t>
      </w:r>
    </w:p>
    <w:p w14:paraId="213F6917" w14:textId="77777777" w:rsidR="0056751F" w:rsidRPr="0056751F" w:rsidRDefault="0056751F" w:rsidP="0056751F">
      <w:pPr>
        <w:jc w:val="both"/>
        <w:rPr>
          <w:rFonts w:ascii="Verdana" w:hAnsi="Verdana"/>
          <w:sz w:val="16"/>
          <w:szCs w:val="16"/>
        </w:rPr>
      </w:pPr>
    </w:p>
    <w:p w14:paraId="18AF53FA" w14:textId="77777777" w:rsidR="0056751F" w:rsidRPr="0056751F" w:rsidRDefault="0056751F" w:rsidP="0056751F">
      <w:pPr>
        <w:jc w:val="both"/>
        <w:rPr>
          <w:rFonts w:ascii="Verdana" w:hAnsi="Verdana"/>
          <w:sz w:val="16"/>
          <w:szCs w:val="16"/>
        </w:rPr>
      </w:pPr>
      <w:r w:rsidRPr="0056751F">
        <w:rPr>
          <w:rFonts w:ascii="Verdana" w:hAnsi="Verdana"/>
          <w:sz w:val="16"/>
          <w:szCs w:val="16"/>
        </w:rPr>
        <w:t>Segundo trimestre 2025. Declaración recapitulativa de operaciones intracomunitarias: 349</w:t>
      </w:r>
    </w:p>
    <w:p w14:paraId="19354F47" w14:textId="77777777" w:rsidR="0056751F" w:rsidRPr="0056751F" w:rsidRDefault="0056751F" w:rsidP="0056751F">
      <w:pPr>
        <w:jc w:val="both"/>
        <w:rPr>
          <w:rFonts w:ascii="Verdana" w:hAnsi="Verdana"/>
          <w:sz w:val="16"/>
          <w:szCs w:val="16"/>
        </w:rPr>
      </w:pPr>
    </w:p>
    <w:p w14:paraId="2D2F05C6" w14:textId="77777777" w:rsidR="0056751F" w:rsidRPr="0056751F" w:rsidRDefault="0056751F" w:rsidP="0056751F">
      <w:pPr>
        <w:jc w:val="both"/>
        <w:rPr>
          <w:rFonts w:ascii="Verdana" w:hAnsi="Verdana"/>
          <w:sz w:val="16"/>
          <w:szCs w:val="16"/>
        </w:rPr>
      </w:pPr>
      <w:r w:rsidRPr="0056751F">
        <w:rPr>
          <w:rFonts w:ascii="Verdana" w:hAnsi="Verdana"/>
          <w:sz w:val="16"/>
          <w:szCs w:val="16"/>
        </w:rPr>
        <w:t>Segundo trimestre 2025. Operaciones asimiladas a las importaciones: 380</w:t>
      </w:r>
    </w:p>
    <w:p w14:paraId="7FFD527F" w14:textId="77777777" w:rsidR="0056751F" w:rsidRPr="0056751F" w:rsidRDefault="0056751F" w:rsidP="0056751F">
      <w:pPr>
        <w:jc w:val="both"/>
        <w:rPr>
          <w:rFonts w:ascii="Verdana" w:hAnsi="Verdana"/>
          <w:sz w:val="16"/>
          <w:szCs w:val="16"/>
        </w:rPr>
      </w:pPr>
    </w:p>
    <w:p w14:paraId="3452BC9C" w14:textId="77777777" w:rsidR="0056751F" w:rsidRPr="0056751F" w:rsidRDefault="0056751F" w:rsidP="0056751F">
      <w:pPr>
        <w:jc w:val="both"/>
        <w:rPr>
          <w:rFonts w:ascii="Verdana" w:hAnsi="Verdana"/>
          <w:sz w:val="16"/>
          <w:szCs w:val="16"/>
        </w:rPr>
      </w:pPr>
      <w:r w:rsidRPr="0056751F">
        <w:rPr>
          <w:rFonts w:ascii="Verdana" w:hAnsi="Verdana"/>
          <w:sz w:val="16"/>
          <w:szCs w:val="16"/>
        </w:rPr>
        <w:t>Solicitud de devolución de cuotas reembolsadas a viajeros por empresarios en recargo de equivalencia: 308</w:t>
      </w:r>
    </w:p>
    <w:p w14:paraId="651A8ADB" w14:textId="77777777" w:rsidR="0056751F" w:rsidRPr="0056751F" w:rsidRDefault="0056751F" w:rsidP="0056751F">
      <w:pPr>
        <w:jc w:val="both"/>
        <w:rPr>
          <w:rFonts w:ascii="Verdana" w:hAnsi="Verdana"/>
          <w:sz w:val="16"/>
          <w:szCs w:val="16"/>
        </w:rPr>
      </w:pPr>
    </w:p>
    <w:p w14:paraId="464DD9C3" w14:textId="77777777" w:rsidR="0056751F" w:rsidRPr="0056751F" w:rsidRDefault="0056751F" w:rsidP="0056751F">
      <w:pPr>
        <w:jc w:val="both"/>
        <w:rPr>
          <w:rFonts w:ascii="Verdana" w:hAnsi="Verdana"/>
          <w:sz w:val="16"/>
          <w:szCs w:val="16"/>
        </w:rPr>
      </w:pPr>
      <w:r w:rsidRPr="0056751F">
        <w:rPr>
          <w:rFonts w:ascii="Verdana" w:hAnsi="Verdana"/>
          <w:sz w:val="16"/>
          <w:szCs w:val="16"/>
        </w:rPr>
        <w:t>Solicitud de devolución por sujetos pasivos en el régimen simplificado del IVA y que ejerzan la actividad de transporte de viajeros o de mercancías por carretera, por adquirir determinados medios de transporte: 308</w:t>
      </w:r>
    </w:p>
    <w:p w14:paraId="33A7DE64" w14:textId="77777777" w:rsidR="0056751F" w:rsidRPr="0056751F" w:rsidRDefault="0056751F" w:rsidP="0056751F">
      <w:pPr>
        <w:jc w:val="both"/>
        <w:rPr>
          <w:rFonts w:ascii="Verdana" w:hAnsi="Verdana"/>
          <w:sz w:val="16"/>
          <w:szCs w:val="16"/>
        </w:rPr>
      </w:pPr>
    </w:p>
    <w:p w14:paraId="4A0B5FEB" w14:textId="77777777" w:rsidR="0056751F" w:rsidRPr="0056751F" w:rsidRDefault="0056751F" w:rsidP="0056751F">
      <w:pPr>
        <w:jc w:val="both"/>
        <w:rPr>
          <w:rFonts w:ascii="Verdana" w:hAnsi="Verdana"/>
          <w:sz w:val="16"/>
          <w:szCs w:val="16"/>
        </w:rPr>
      </w:pPr>
      <w:r w:rsidRPr="0056751F">
        <w:rPr>
          <w:rFonts w:ascii="Verdana" w:hAnsi="Verdana"/>
          <w:sz w:val="16"/>
          <w:szCs w:val="16"/>
        </w:rPr>
        <w:t>Reintegro de compensaciones en el Régimen especial de la agricultura, ganadería y pesca: 341</w:t>
      </w:r>
    </w:p>
    <w:p w14:paraId="316BA00D" w14:textId="77777777" w:rsidR="0056751F" w:rsidRPr="0056751F" w:rsidRDefault="0056751F" w:rsidP="0056751F">
      <w:pPr>
        <w:jc w:val="both"/>
        <w:rPr>
          <w:rFonts w:ascii="Verdana" w:hAnsi="Verdana"/>
          <w:sz w:val="16"/>
          <w:szCs w:val="16"/>
        </w:rPr>
      </w:pPr>
    </w:p>
    <w:p w14:paraId="08E7D8DC" w14:textId="77777777" w:rsidR="0056751F" w:rsidRPr="00382E99" w:rsidRDefault="0056751F" w:rsidP="00382E99">
      <w:pPr>
        <w:pStyle w:val="Ttulo7"/>
        <w:rPr>
          <w:rFonts w:ascii="Verdana" w:hAnsi="Verdana"/>
          <w:sz w:val="18"/>
          <w:szCs w:val="18"/>
        </w:rPr>
      </w:pPr>
      <w:r w:rsidRPr="00382E99">
        <w:rPr>
          <w:rFonts w:ascii="Verdana" w:hAnsi="Verdana"/>
          <w:sz w:val="18"/>
          <w:szCs w:val="18"/>
        </w:rPr>
        <w:t>Impuesto sobre las Primas de Seguros</w:t>
      </w:r>
    </w:p>
    <w:p w14:paraId="417723FF" w14:textId="77777777" w:rsidR="0056751F" w:rsidRPr="0056751F" w:rsidRDefault="0056751F" w:rsidP="0056751F">
      <w:pPr>
        <w:jc w:val="both"/>
        <w:rPr>
          <w:rFonts w:ascii="Verdana" w:hAnsi="Verdana"/>
          <w:sz w:val="16"/>
          <w:szCs w:val="16"/>
        </w:rPr>
      </w:pPr>
      <w:r w:rsidRPr="0056751F">
        <w:rPr>
          <w:rFonts w:ascii="Verdana" w:hAnsi="Verdana"/>
          <w:sz w:val="16"/>
          <w:szCs w:val="16"/>
        </w:rPr>
        <w:t>Junio 2025: 430</w:t>
      </w:r>
    </w:p>
    <w:p w14:paraId="12ACD0B2" w14:textId="77777777" w:rsidR="0056751F" w:rsidRPr="0056751F" w:rsidRDefault="0056751F" w:rsidP="0056751F">
      <w:pPr>
        <w:jc w:val="both"/>
        <w:rPr>
          <w:rFonts w:ascii="Verdana" w:hAnsi="Verdana"/>
          <w:sz w:val="16"/>
          <w:szCs w:val="16"/>
        </w:rPr>
      </w:pPr>
      <w:r w:rsidRPr="0056751F">
        <w:rPr>
          <w:rFonts w:ascii="Verdana" w:hAnsi="Verdana"/>
          <w:sz w:val="16"/>
          <w:szCs w:val="16"/>
        </w:rPr>
        <w:t>Impuestos Especiales de Fabricación</w:t>
      </w:r>
    </w:p>
    <w:p w14:paraId="0ACEF517" w14:textId="77777777" w:rsidR="0056751F" w:rsidRPr="0056751F" w:rsidRDefault="0056751F" w:rsidP="0056751F">
      <w:pPr>
        <w:jc w:val="both"/>
        <w:rPr>
          <w:rFonts w:ascii="Verdana" w:hAnsi="Verdana"/>
          <w:sz w:val="16"/>
          <w:szCs w:val="16"/>
        </w:rPr>
      </w:pPr>
      <w:r w:rsidRPr="0056751F">
        <w:rPr>
          <w:rFonts w:ascii="Verdana" w:hAnsi="Verdana"/>
          <w:sz w:val="16"/>
          <w:szCs w:val="16"/>
        </w:rPr>
        <w:t>Abril 2025. Grandes empresas: 561, 562, 563</w:t>
      </w:r>
    </w:p>
    <w:p w14:paraId="409D1E37" w14:textId="77777777" w:rsidR="0056751F" w:rsidRPr="0056751F" w:rsidRDefault="0056751F" w:rsidP="0056751F">
      <w:pPr>
        <w:jc w:val="both"/>
        <w:rPr>
          <w:rFonts w:ascii="Verdana" w:hAnsi="Verdana"/>
          <w:sz w:val="16"/>
          <w:szCs w:val="16"/>
        </w:rPr>
      </w:pPr>
    </w:p>
    <w:p w14:paraId="669CF9EC" w14:textId="77777777" w:rsidR="0056751F" w:rsidRPr="0056751F" w:rsidRDefault="0056751F" w:rsidP="0056751F">
      <w:pPr>
        <w:jc w:val="both"/>
        <w:rPr>
          <w:rFonts w:ascii="Verdana" w:hAnsi="Verdana"/>
          <w:sz w:val="16"/>
          <w:szCs w:val="16"/>
        </w:rPr>
      </w:pPr>
      <w:r w:rsidRPr="0056751F">
        <w:rPr>
          <w:rFonts w:ascii="Verdana" w:hAnsi="Verdana"/>
          <w:sz w:val="16"/>
          <w:szCs w:val="16"/>
        </w:rPr>
        <w:t>Junio 2025: 548, 566, 581</w:t>
      </w:r>
    </w:p>
    <w:p w14:paraId="2F2CB9B0" w14:textId="77777777" w:rsidR="0056751F" w:rsidRPr="0056751F" w:rsidRDefault="0056751F" w:rsidP="0056751F">
      <w:pPr>
        <w:jc w:val="both"/>
        <w:rPr>
          <w:rFonts w:ascii="Verdana" w:hAnsi="Verdana"/>
          <w:sz w:val="16"/>
          <w:szCs w:val="16"/>
        </w:rPr>
      </w:pPr>
    </w:p>
    <w:p w14:paraId="61DC5E71" w14:textId="77777777" w:rsidR="0056751F" w:rsidRPr="0056751F" w:rsidRDefault="0056751F" w:rsidP="0056751F">
      <w:pPr>
        <w:jc w:val="both"/>
        <w:rPr>
          <w:rFonts w:ascii="Verdana" w:hAnsi="Verdana"/>
          <w:sz w:val="16"/>
          <w:szCs w:val="16"/>
        </w:rPr>
      </w:pPr>
      <w:r w:rsidRPr="0056751F">
        <w:rPr>
          <w:rFonts w:ascii="Verdana" w:hAnsi="Verdana"/>
          <w:sz w:val="16"/>
          <w:szCs w:val="16"/>
        </w:rPr>
        <w:t>Junio 2025: 573 (Autoliquidación), A24 (Solicitud de devolución)</w:t>
      </w:r>
    </w:p>
    <w:p w14:paraId="5E1FF628" w14:textId="77777777" w:rsidR="0056751F" w:rsidRPr="0056751F" w:rsidRDefault="0056751F" w:rsidP="0056751F">
      <w:pPr>
        <w:jc w:val="both"/>
        <w:rPr>
          <w:rFonts w:ascii="Verdana" w:hAnsi="Verdana"/>
          <w:sz w:val="16"/>
          <w:szCs w:val="16"/>
        </w:rPr>
      </w:pPr>
    </w:p>
    <w:p w14:paraId="0B3345F5" w14:textId="77777777" w:rsidR="0056751F" w:rsidRPr="0056751F" w:rsidRDefault="0056751F" w:rsidP="0056751F">
      <w:pPr>
        <w:jc w:val="both"/>
        <w:rPr>
          <w:rFonts w:ascii="Verdana" w:hAnsi="Verdana"/>
          <w:sz w:val="16"/>
          <w:szCs w:val="16"/>
        </w:rPr>
      </w:pPr>
      <w:r w:rsidRPr="0056751F">
        <w:rPr>
          <w:rFonts w:ascii="Verdana" w:hAnsi="Verdana"/>
          <w:sz w:val="16"/>
          <w:szCs w:val="16"/>
        </w:rPr>
        <w:t>Segundo trimestre 2025: 521, 522, 547</w:t>
      </w:r>
    </w:p>
    <w:p w14:paraId="490F9149" w14:textId="77777777" w:rsidR="0056751F" w:rsidRPr="0056751F" w:rsidRDefault="0056751F" w:rsidP="0056751F">
      <w:pPr>
        <w:jc w:val="both"/>
        <w:rPr>
          <w:rFonts w:ascii="Verdana" w:hAnsi="Verdana"/>
          <w:sz w:val="16"/>
          <w:szCs w:val="16"/>
        </w:rPr>
      </w:pPr>
    </w:p>
    <w:p w14:paraId="754569B8" w14:textId="77777777" w:rsidR="0056751F" w:rsidRPr="0056751F" w:rsidRDefault="0056751F" w:rsidP="0056751F">
      <w:pPr>
        <w:jc w:val="both"/>
        <w:rPr>
          <w:rFonts w:ascii="Verdana" w:hAnsi="Verdana"/>
          <w:sz w:val="16"/>
          <w:szCs w:val="16"/>
        </w:rPr>
      </w:pPr>
      <w:r w:rsidRPr="0056751F">
        <w:rPr>
          <w:rFonts w:ascii="Verdana" w:hAnsi="Verdana"/>
          <w:sz w:val="16"/>
          <w:szCs w:val="16"/>
        </w:rPr>
        <w:t>Segundo trimestre 2025. Actividades V1, F1: 553 (establecimientos autorizados para la llevanza de la contabilidad en soporte papel)</w:t>
      </w:r>
    </w:p>
    <w:p w14:paraId="02F5ADA3" w14:textId="77777777" w:rsidR="0056751F" w:rsidRPr="0056751F" w:rsidRDefault="0056751F" w:rsidP="0056751F">
      <w:pPr>
        <w:jc w:val="both"/>
        <w:rPr>
          <w:rFonts w:ascii="Verdana" w:hAnsi="Verdana"/>
          <w:sz w:val="16"/>
          <w:szCs w:val="16"/>
        </w:rPr>
      </w:pPr>
    </w:p>
    <w:p w14:paraId="2612E802" w14:textId="77777777" w:rsidR="0056751F" w:rsidRPr="0056751F" w:rsidRDefault="0056751F" w:rsidP="0056751F">
      <w:pPr>
        <w:jc w:val="both"/>
        <w:rPr>
          <w:rFonts w:ascii="Verdana" w:hAnsi="Verdana"/>
          <w:sz w:val="16"/>
          <w:szCs w:val="16"/>
        </w:rPr>
      </w:pPr>
      <w:r w:rsidRPr="0056751F">
        <w:rPr>
          <w:rFonts w:ascii="Verdana" w:hAnsi="Verdana"/>
          <w:sz w:val="16"/>
          <w:szCs w:val="16"/>
        </w:rPr>
        <w:t>Segundo trimestre 2025. Solicitudes de devolución: 506, 507, 508, 524, 572</w:t>
      </w:r>
    </w:p>
    <w:p w14:paraId="3E5B6B7F" w14:textId="77777777" w:rsidR="0056751F" w:rsidRPr="0056751F" w:rsidRDefault="0056751F" w:rsidP="0056751F">
      <w:pPr>
        <w:jc w:val="both"/>
        <w:rPr>
          <w:rFonts w:ascii="Verdana" w:hAnsi="Verdana"/>
          <w:sz w:val="16"/>
          <w:szCs w:val="16"/>
        </w:rPr>
      </w:pPr>
    </w:p>
    <w:p w14:paraId="5437BEA7" w14:textId="77777777" w:rsidR="0056751F" w:rsidRPr="0056751F" w:rsidRDefault="0056751F" w:rsidP="0056751F">
      <w:pPr>
        <w:jc w:val="both"/>
        <w:rPr>
          <w:rFonts w:ascii="Verdana" w:hAnsi="Verdana"/>
          <w:sz w:val="16"/>
          <w:szCs w:val="16"/>
        </w:rPr>
      </w:pPr>
      <w:r w:rsidRPr="0056751F">
        <w:rPr>
          <w:rFonts w:ascii="Verdana" w:hAnsi="Verdana"/>
          <w:sz w:val="16"/>
          <w:szCs w:val="16"/>
        </w:rPr>
        <w:t>Declaración de operaciones por los destinatarios registrados y representantes fiscales: 510</w:t>
      </w:r>
    </w:p>
    <w:p w14:paraId="7999EC80" w14:textId="77777777" w:rsidR="0056751F" w:rsidRPr="0056751F" w:rsidRDefault="0056751F" w:rsidP="0056751F">
      <w:pPr>
        <w:jc w:val="both"/>
        <w:rPr>
          <w:rFonts w:ascii="Verdana" w:hAnsi="Verdana"/>
          <w:sz w:val="16"/>
          <w:szCs w:val="16"/>
        </w:rPr>
      </w:pPr>
    </w:p>
    <w:p w14:paraId="2112D08E" w14:textId="77777777" w:rsidR="0056751F" w:rsidRPr="00382E99" w:rsidRDefault="0056751F" w:rsidP="00382E99">
      <w:pPr>
        <w:pStyle w:val="Ttulo7"/>
        <w:rPr>
          <w:rFonts w:ascii="Verdana" w:hAnsi="Verdana"/>
          <w:sz w:val="18"/>
          <w:szCs w:val="18"/>
        </w:rPr>
      </w:pPr>
      <w:r w:rsidRPr="00382E99">
        <w:rPr>
          <w:rFonts w:ascii="Verdana" w:hAnsi="Verdana"/>
          <w:sz w:val="18"/>
          <w:szCs w:val="18"/>
        </w:rPr>
        <w:t>Impuesto Especial sobre la Electricidad</w:t>
      </w:r>
    </w:p>
    <w:p w14:paraId="69D79A58" w14:textId="77777777" w:rsidR="0056751F" w:rsidRPr="0056751F" w:rsidRDefault="0056751F" w:rsidP="0056751F">
      <w:pPr>
        <w:jc w:val="both"/>
        <w:rPr>
          <w:rFonts w:ascii="Verdana" w:hAnsi="Verdana"/>
          <w:sz w:val="16"/>
          <w:szCs w:val="16"/>
        </w:rPr>
      </w:pPr>
      <w:r w:rsidRPr="0056751F">
        <w:rPr>
          <w:rFonts w:ascii="Verdana" w:hAnsi="Verdana"/>
          <w:sz w:val="16"/>
          <w:szCs w:val="16"/>
        </w:rPr>
        <w:t>Junio 2025. Grandes empresas: 560</w:t>
      </w:r>
    </w:p>
    <w:p w14:paraId="0F491C1B" w14:textId="77777777" w:rsidR="0056751F" w:rsidRPr="0056751F" w:rsidRDefault="0056751F" w:rsidP="0056751F">
      <w:pPr>
        <w:jc w:val="both"/>
        <w:rPr>
          <w:rFonts w:ascii="Verdana" w:hAnsi="Verdana"/>
          <w:sz w:val="16"/>
          <w:szCs w:val="16"/>
        </w:rPr>
      </w:pPr>
    </w:p>
    <w:p w14:paraId="02C7EE23" w14:textId="77777777" w:rsidR="0056751F" w:rsidRPr="0056751F" w:rsidRDefault="0056751F" w:rsidP="0056751F">
      <w:pPr>
        <w:jc w:val="both"/>
        <w:rPr>
          <w:rFonts w:ascii="Verdana" w:hAnsi="Verdana"/>
          <w:sz w:val="16"/>
          <w:szCs w:val="16"/>
        </w:rPr>
      </w:pPr>
      <w:r w:rsidRPr="0056751F">
        <w:rPr>
          <w:rFonts w:ascii="Verdana" w:hAnsi="Verdana"/>
          <w:sz w:val="16"/>
          <w:szCs w:val="16"/>
        </w:rPr>
        <w:t>Segundo trimestre 2025. Excepto grandes empresas: 560</w:t>
      </w:r>
    </w:p>
    <w:p w14:paraId="4B075C47" w14:textId="77777777" w:rsidR="0056751F" w:rsidRPr="0056751F" w:rsidRDefault="0056751F" w:rsidP="0056751F">
      <w:pPr>
        <w:jc w:val="both"/>
        <w:rPr>
          <w:rFonts w:ascii="Verdana" w:hAnsi="Verdana"/>
          <w:sz w:val="16"/>
          <w:szCs w:val="16"/>
        </w:rPr>
      </w:pPr>
    </w:p>
    <w:p w14:paraId="746BE609" w14:textId="77777777" w:rsidR="0056751F" w:rsidRPr="00382E99" w:rsidRDefault="0056751F" w:rsidP="00382E99">
      <w:pPr>
        <w:pStyle w:val="Ttulo7"/>
        <w:rPr>
          <w:rFonts w:ascii="Verdana" w:hAnsi="Verdana"/>
          <w:sz w:val="18"/>
          <w:szCs w:val="18"/>
        </w:rPr>
      </w:pPr>
      <w:r w:rsidRPr="00382E99">
        <w:rPr>
          <w:rFonts w:ascii="Verdana" w:hAnsi="Verdana"/>
          <w:sz w:val="18"/>
          <w:szCs w:val="18"/>
        </w:rPr>
        <w:t>Impuestos Medioambientales</w:t>
      </w:r>
    </w:p>
    <w:p w14:paraId="6A64DABB" w14:textId="77777777" w:rsidR="0056751F" w:rsidRPr="0056751F" w:rsidRDefault="0056751F" w:rsidP="0056751F">
      <w:pPr>
        <w:jc w:val="both"/>
        <w:rPr>
          <w:rFonts w:ascii="Verdana" w:hAnsi="Verdana"/>
          <w:sz w:val="16"/>
          <w:szCs w:val="16"/>
        </w:rPr>
      </w:pPr>
      <w:r w:rsidRPr="0056751F">
        <w:rPr>
          <w:rFonts w:ascii="Verdana" w:hAnsi="Verdana"/>
          <w:sz w:val="16"/>
          <w:szCs w:val="16"/>
        </w:rPr>
        <w:t>Junio 2025. Impuesto especial sobre los envases de plástico no reutilizables. Autoliquidación: 592</w:t>
      </w:r>
    </w:p>
    <w:p w14:paraId="3A2834B1" w14:textId="77777777" w:rsidR="0056751F" w:rsidRPr="0056751F" w:rsidRDefault="0056751F" w:rsidP="0056751F">
      <w:pPr>
        <w:jc w:val="both"/>
        <w:rPr>
          <w:rFonts w:ascii="Verdana" w:hAnsi="Verdana"/>
          <w:sz w:val="16"/>
          <w:szCs w:val="16"/>
        </w:rPr>
      </w:pPr>
    </w:p>
    <w:p w14:paraId="337A2E56" w14:textId="77777777" w:rsidR="0056751F" w:rsidRPr="0056751F" w:rsidRDefault="0056751F" w:rsidP="0056751F">
      <w:pPr>
        <w:jc w:val="both"/>
        <w:rPr>
          <w:rFonts w:ascii="Verdana" w:hAnsi="Verdana"/>
          <w:sz w:val="16"/>
          <w:szCs w:val="16"/>
        </w:rPr>
      </w:pPr>
      <w:r w:rsidRPr="0056751F">
        <w:rPr>
          <w:rFonts w:ascii="Verdana" w:hAnsi="Verdana"/>
          <w:sz w:val="16"/>
          <w:szCs w:val="16"/>
        </w:rPr>
        <w:t>Segundo trimestre 2025. Impuesto sobre los gases fluorados de efecto invernadero. Autoliquidación: 587. Solicitud de devolución: A23. Presentación contabilidad de existencias</w:t>
      </w:r>
    </w:p>
    <w:p w14:paraId="71507062" w14:textId="77777777" w:rsidR="0056751F" w:rsidRPr="0056751F" w:rsidRDefault="0056751F" w:rsidP="0056751F">
      <w:pPr>
        <w:jc w:val="both"/>
        <w:rPr>
          <w:rFonts w:ascii="Verdana" w:hAnsi="Verdana"/>
          <w:sz w:val="16"/>
          <w:szCs w:val="16"/>
        </w:rPr>
      </w:pPr>
    </w:p>
    <w:p w14:paraId="35F442F5" w14:textId="77777777" w:rsidR="0056751F" w:rsidRPr="0056751F" w:rsidRDefault="0056751F" w:rsidP="0056751F">
      <w:pPr>
        <w:jc w:val="both"/>
        <w:rPr>
          <w:rFonts w:ascii="Verdana" w:hAnsi="Verdana"/>
          <w:sz w:val="16"/>
          <w:szCs w:val="16"/>
        </w:rPr>
      </w:pPr>
      <w:r w:rsidRPr="0056751F">
        <w:rPr>
          <w:rFonts w:ascii="Verdana" w:hAnsi="Verdana"/>
          <w:sz w:val="16"/>
          <w:szCs w:val="16"/>
        </w:rPr>
        <w:t>Segundo trimestre 2025. Impuesto especial sobre los envases de plástico no reutilizables. Autoliquidación: 592. Solicitud de devolución: A22</w:t>
      </w:r>
    </w:p>
    <w:p w14:paraId="76B98572" w14:textId="77777777" w:rsidR="0056751F" w:rsidRPr="0056751F" w:rsidRDefault="0056751F" w:rsidP="0056751F">
      <w:pPr>
        <w:jc w:val="both"/>
        <w:rPr>
          <w:rFonts w:ascii="Verdana" w:hAnsi="Verdana"/>
          <w:sz w:val="16"/>
          <w:szCs w:val="16"/>
        </w:rPr>
      </w:pPr>
    </w:p>
    <w:p w14:paraId="46415B74" w14:textId="77777777" w:rsidR="0056751F" w:rsidRPr="0056751F" w:rsidRDefault="0056751F" w:rsidP="0056751F">
      <w:pPr>
        <w:jc w:val="both"/>
        <w:rPr>
          <w:rFonts w:ascii="Verdana" w:hAnsi="Verdana"/>
          <w:sz w:val="16"/>
          <w:szCs w:val="16"/>
        </w:rPr>
      </w:pPr>
      <w:r w:rsidRPr="0056751F">
        <w:rPr>
          <w:rFonts w:ascii="Verdana" w:hAnsi="Verdana"/>
          <w:sz w:val="16"/>
          <w:szCs w:val="16"/>
        </w:rPr>
        <w:t xml:space="preserve"> Año 2025. Impuesto sobre el almacenamiento de combustible nuclear gastado y residuos radiactivos en instalaciones centralizadas. Segundo pago fraccionado 585</w:t>
      </w:r>
    </w:p>
    <w:p w14:paraId="545E407D" w14:textId="77777777" w:rsidR="0056751F" w:rsidRPr="0056751F" w:rsidRDefault="0056751F" w:rsidP="0056751F">
      <w:pPr>
        <w:jc w:val="both"/>
        <w:rPr>
          <w:rFonts w:ascii="Verdana" w:hAnsi="Verdana"/>
          <w:sz w:val="16"/>
          <w:szCs w:val="16"/>
        </w:rPr>
      </w:pPr>
    </w:p>
    <w:p w14:paraId="3EDCE2F6" w14:textId="77777777" w:rsidR="0056751F" w:rsidRPr="00382E99" w:rsidRDefault="0056751F" w:rsidP="00382E99">
      <w:pPr>
        <w:pStyle w:val="Ttulo7"/>
        <w:rPr>
          <w:rFonts w:ascii="Verdana" w:hAnsi="Verdana"/>
          <w:sz w:val="18"/>
          <w:szCs w:val="18"/>
        </w:rPr>
      </w:pPr>
      <w:r w:rsidRPr="00382E99">
        <w:rPr>
          <w:rFonts w:ascii="Verdana" w:hAnsi="Verdana"/>
          <w:sz w:val="18"/>
          <w:szCs w:val="18"/>
        </w:rPr>
        <w:t>Impuesto Especial sobre el Carbón</w:t>
      </w:r>
    </w:p>
    <w:p w14:paraId="3AFBD241" w14:textId="77777777" w:rsidR="0056751F" w:rsidRPr="0056751F" w:rsidRDefault="0056751F" w:rsidP="0056751F">
      <w:pPr>
        <w:jc w:val="both"/>
        <w:rPr>
          <w:rFonts w:ascii="Verdana" w:hAnsi="Verdana"/>
          <w:sz w:val="16"/>
          <w:szCs w:val="16"/>
        </w:rPr>
      </w:pPr>
      <w:r w:rsidRPr="0056751F">
        <w:rPr>
          <w:rFonts w:ascii="Verdana" w:hAnsi="Verdana"/>
          <w:sz w:val="16"/>
          <w:szCs w:val="16"/>
        </w:rPr>
        <w:t>Segundo trimestre 2025: 595</w:t>
      </w:r>
    </w:p>
    <w:p w14:paraId="69BDEE1D" w14:textId="77777777" w:rsidR="0056751F" w:rsidRPr="0056751F" w:rsidRDefault="0056751F" w:rsidP="0056751F">
      <w:pPr>
        <w:jc w:val="both"/>
        <w:rPr>
          <w:rFonts w:ascii="Verdana" w:hAnsi="Verdana"/>
          <w:sz w:val="16"/>
          <w:szCs w:val="16"/>
        </w:rPr>
      </w:pPr>
    </w:p>
    <w:p w14:paraId="3664BAF5" w14:textId="77777777" w:rsidR="0056751F" w:rsidRPr="00382E99" w:rsidRDefault="0056751F" w:rsidP="00382E99">
      <w:pPr>
        <w:pStyle w:val="Ttulo7"/>
        <w:rPr>
          <w:rFonts w:ascii="Verdana" w:hAnsi="Verdana"/>
          <w:sz w:val="18"/>
          <w:szCs w:val="18"/>
        </w:rPr>
      </w:pPr>
      <w:r w:rsidRPr="00382E99">
        <w:rPr>
          <w:rFonts w:ascii="Verdana" w:hAnsi="Verdana"/>
          <w:sz w:val="18"/>
          <w:szCs w:val="18"/>
        </w:rPr>
        <w:t>Impuesto sobre las Transacciones Financieras</w:t>
      </w:r>
    </w:p>
    <w:p w14:paraId="51651C79" w14:textId="77777777" w:rsidR="0056751F" w:rsidRPr="0056751F" w:rsidRDefault="0056751F" w:rsidP="0056751F">
      <w:pPr>
        <w:jc w:val="both"/>
        <w:rPr>
          <w:rFonts w:ascii="Verdana" w:hAnsi="Verdana"/>
          <w:sz w:val="16"/>
          <w:szCs w:val="16"/>
        </w:rPr>
      </w:pPr>
      <w:r w:rsidRPr="0056751F">
        <w:rPr>
          <w:rFonts w:ascii="Verdana" w:hAnsi="Verdana"/>
          <w:sz w:val="16"/>
          <w:szCs w:val="16"/>
        </w:rPr>
        <w:t>Junio 2025: 604</w:t>
      </w:r>
    </w:p>
    <w:p w14:paraId="2F023522" w14:textId="77777777" w:rsidR="0056751F" w:rsidRPr="0056751F" w:rsidRDefault="0056751F" w:rsidP="0056751F">
      <w:pPr>
        <w:jc w:val="both"/>
        <w:rPr>
          <w:rFonts w:ascii="Verdana" w:hAnsi="Verdana"/>
          <w:sz w:val="16"/>
          <w:szCs w:val="16"/>
        </w:rPr>
      </w:pPr>
    </w:p>
    <w:p w14:paraId="02BD37C4" w14:textId="77777777" w:rsidR="0056751F" w:rsidRPr="00382E99" w:rsidRDefault="0056751F" w:rsidP="00382E99">
      <w:pPr>
        <w:pStyle w:val="Ttulo7"/>
        <w:rPr>
          <w:rFonts w:ascii="Verdana" w:hAnsi="Verdana"/>
          <w:sz w:val="18"/>
          <w:szCs w:val="18"/>
        </w:rPr>
      </w:pPr>
      <w:proofErr w:type="gramStart"/>
      <w:r w:rsidRPr="00382E99">
        <w:rPr>
          <w:rFonts w:ascii="Verdana" w:hAnsi="Verdana"/>
          <w:sz w:val="18"/>
          <w:szCs w:val="18"/>
        </w:rPr>
        <w:t>Aportación a realizar</w:t>
      </w:r>
      <w:proofErr w:type="gramEnd"/>
      <w:r w:rsidRPr="00382E99">
        <w:rPr>
          <w:rFonts w:ascii="Verdana" w:hAnsi="Verdana"/>
          <w:sz w:val="18"/>
          <w:szCs w:val="18"/>
        </w:rPr>
        <w:t xml:space="preserve"> por los prestadores del servicio de comunicación audiovisual televisivo y por los prestadores del servicio de intercambio de vídeos a través de plataforma de ámbito geográfico estatal o superior al de una Comunidad Autónoma</w:t>
      </w:r>
    </w:p>
    <w:p w14:paraId="25138074" w14:textId="30110896" w:rsidR="0056751F" w:rsidRDefault="0056751F" w:rsidP="0056751F">
      <w:pPr>
        <w:jc w:val="both"/>
        <w:rPr>
          <w:rFonts w:ascii="Verdana" w:hAnsi="Verdana"/>
          <w:sz w:val="16"/>
          <w:szCs w:val="16"/>
        </w:rPr>
      </w:pPr>
      <w:r w:rsidRPr="0056751F">
        <w:rPr>
          <w:rFonts w:ascii="Verdana" w:hAnsi="Verdana"/>
          <w:sz w:val="16"/>
          <w:szCs w:val="16"/>
        </w:rPr>
        <w:t>Pago a cuenta 2P 2025: 793</w:t>
      </w:r>
    </w:p>
    <w:p w14:paraId="09C23258" w14:textId="77777777" w:rsidR="0056751F" w:rsidRDefault="0056751F" w:rsidP="0056751F">
      <w:pPr>
        <w:jc w:val="both"/>
        <w:rPr>
          <w:rFonts w:ascii="Verdana" w:hAnsi="Verdana"/>
          <w:sz w:val="16"/>
          <w:szCs w:val="16"/>
        </w:rPr>
      </w:pPr>
    </w:p>
    <w:p w14:paraId="5F4F1742" w14:textId="77777777" w:rsidR="0056751F" w:rsidRPr="0056751F" w:rsidRDefault="0056751F" w:rsidP="0056751F">
      <w:pPr>
        <w:pStyle w:val="Ttulo7"/>
        <w:rPr>
          <w:rFonts w:ascii="Verdana" w:hAnsi="Verdana"/>
          <w:sz w:val="18"/>
          <w:szCs w:val="18"/>
        </w:rPr>
      </w:pPr>
      <w:r w:rsidRPr="0056751F">
        <w:rPr>
          <w:rFonts w:ascii="Verdana" w:hAnsi="Verdana"/>
          <w:sz w:val="18"/>
          <w:szCs w:val="18"/>
        </w:rPr>
        <w:t>Hasta el 25 de julio</w:t>
      </w:r>
    </w:p>
    <w:p w14:paraId="783C2DCB" w14:textId="77777777" w:rsidR="0056751F" w:rsidRPr="00382E99" w:rsidRDefault="0056751F" w:rsidP="0056751F">
      <w:pPr>
        <w:jc w:val="both"/>
        <w:rPr>
          <w:rFonts w:ascii="Verdana" w:hAnsi="Verdana"/>
          <w:b/>
          <w:bCs/>
          <w:color w:val="800000"/>
          <w:sz w:val="18"/>
          <w:szCs w:val="18"/>
          <w:lang w:val="es-ES_tradnl"/>
        </w:rPr>
      </w:pPr>
      <w:r w:rsidRPr="00382E99">
        <w:rPr>
          <w:rFonts w:ascii="Verdana" w:hAnsi="Verdana"/>
          <w:b/>
          <w:bCs/>
          <w:color w:val="800000"/>
          <w:sz w:val="18"/>
          <w:szCs w:val="18"/>
          <w:lang w:val="es-ES_tradnl"/>
        </w:rPr>
        <w:t>Impuesto sobre Sociedades e Impuesto sobre la Renta de no Residentes (establecimientos permanentes</w:t>
      </w:r>
      <w:r w:rsidRPr="0056751F">
        <w:rPr>
          <w:rFonts w:ascii="Verdana" w:hAnsi="Verdana"/>
          <w:sz w:val="16"/>
          <w:szCs w:val="16"/>
        </w:rPr>
        <w:t xml:space="preserve"> </w:t>
      </w:r>
      <w:r w:rsidRPr="00382E99">
        <w:rPr>
          <w:rFonts w:ascii="Verdana" w:hAnsi="Verdana"/>
          <w:b/>
          <w:bCs/>
          <w:color w:val="800000"/>
          <w:sz w:val="18"/>
          <w:szCs w:val="18"/>
          <w:lang w:val="es-ES_tradnl"/>
        </w:rPr>
        <w:t>y entidades de rentas constituidas en el extranjero con presencia en territorio español)</w:t>
      </w:r>
    </w:p>
    <w:p w14:paraId="37B5B763" w14:textId="77777777" w:rsidR="0056751F" w:rsidRPr="0056751F" w:rsidRDefault="0056751F" w:rsidP="0056751F">
      <w:pPr>
        <w:jc w:val="both"/>
        <w:rPr>
          <w:rFonts w:ascii="Verdana" w:hAnsi="Verdana"/>
          <w:sz w:val="16"/>
          <w:szCs w:val="16"/>
        </w:rPr>
      </w:pPr>
      <w:r w:rsidRPr="0056751F">
        <w:rPr>
          <w:rFonts w:ascii="Verdana" w:hAnsi="Verdana"/>
          <w:sz w:val="16"/>
          <w:szCs w:val="16"/>
        </w:rPr>
        <w:t>Declaración anual 2024. Entidades cuyo período impositivo coincida con el año natural: 200, 206, 220.</w:t>
      </w:r>
    </w:p>
    <w:p w14:paraId="51492782" w14:textId="77777777" w:rsidR="0056751F" w:rsidRPr="0056751F" w:rsidRDefault="0056751F" w:rsidP="0056751F">
      <w:pPr>
        <w:jc w:val="both"/>
        <w:rPr>
          <w:rFonts w:ascii="Verdana" w:hAnsi="Verdana"/>
          <w:sz w:val="16"/>
          <w:szCs w:val="16"/>
        </w:rPr>
      </w:pPr>
    </w:p>
    <w:p w14:paraId="7E7D7832" w14:textId="77777777" w:rsidR="0056751F" w:rsidRPr="0056751F" w:rsidRDefault="0056751F" w:rsidP="0056751F">
      <w:pPr>
        <w:jc w:val="both"/>
        <w:rPr>
          <w:rFonts w:ascii="Verdana" w:hAnsi="Verdana"/>
          <w:sz w:val="16"/>
          <w:szCs w:val="16"/>
        </w:rPr>
      </w:pPr>
      <w:r w:rsidRPr="0056751F">
        <w:rPr>
          <w:rFonts w:ascii="Verdana" w:hAnsi="Verdana"/>
          <w:sz w:val="16"/>
          <w:szCs w:val="16"/>
        </w:rPr>
        <w:t>Resto de entidades: en los 25 días naturales siguientes a los seis meses posteriores al fin del período impositivo.</w:t>
      </w:r>
    </w:p>
    <w:p w14:paraId="2E790B6E" w14:textId="77777777" w:rsidR="0056751F" w:rsidRPr="0056751F" w:rsidRDefault="0056751F" w:rsidP="0056751F">
      <w:pPr>
        <w:jc w:val="both"/>
        <w:rPr>
          <w:rFonts w:ascii="Verdana" w:hAnsi="Verdana"/>
          <w:sz w:val="16"/>
          <w:szCs w:val="16"/>
        </w:rPr>
      </w:pPr>
    </w:p>
    <w:p w14:paraId="74B838C6" w14:textId="77777777" w:rsidR="0056751F" w:rsidRPr="00382E99" w:rsidRDefault="0056751F" w:rsidP="00382E99">
      <w:pPr>
        <w:pStyle w:val="Ttulo7"/>
        <w:rPr>
          <w:rFonts w:ascii="Verdana" w:hAnsi="Verdana"/>
          <w:sz w:val="18"/>
          <w:szCs w:val="18"/>
        </w:rPr>
      </w:pPr>
      <w:r w:rsidRPr="00382E99">
        <w:rPr>
          <w:rFonts w:ascii="Verdana" w:hAnsi="Verdana"/>
          <w:sz w:val="18"/>
          <w:szCs w:val="18"/>
        </w:rPr>
        <w:t>Declaración de prestación patrimonial por conversión de activos por impuesto diferido en crédito exigible frente a la Administración Tributaria</w:t>
      </w:r>
    </w:p>
    <w:p w14:paraId="5A66FE83" w14:textId="77777777" w:rsidR="0056751F" w:rsidRPr="0056751F" w:rsidRDefault="0056751F" w:rsidP="0056751F">
      <w:pPr>
        <w:jc w:val="both"/>
        <w:rPr>
          <w:rFonts w:ascii="Verdana" w:hAnsi="Verdana"/>
          <w:sz w:val="16"/>
          <w:szCs w:val="16"/>
        </w:rPr>
      </w:pPr>
      <w:r w:rsidRPr="0056751F">
        <w:rPr>
          <w:rFonts w:ascii="Verdana" w:hAnsi="Verdana"/>
          <w:sz w:val="16"/>
          <w:szCs w:val="16"/>
        </w:rPr>
        <w:t>Año 2024. Entidades cuyo período impositivo coincida con el año natural: 221</w:t>
      </w:r>
    </w:p>
    <w:p w14:paraId="3C3EC7B9" w14:textId="77777777" w:rsidR="0056751F" w:rsidRPr="0056751F" w:rsidRDefault="0056751F" w:rsidP="0056751F">
      <w:pPr>
        <w:jc w:val="both"/>
        <w:rPr>
          <w:rFonts w:ascii="Verdana" w:hAnsi="Verdana"/>
          <w:sz w:val="16"/>
          <w:szCs w:val="16"/>
        </w:rPr>
      </w:pPr>
    </w:p>
    <w:p w14:paraId="4F80DFC5" w14:textId="77777777" w:rsidR="0056751F" w:rsidRPr="0056751F" w:rsidRDefault="0056751F" w:rsidP="0056751F">
      <w:pPr>
        <w:jc w:val="both"/>
        <w:rPr>
          <w:rFonts w:ascii="Verdana" w:hAnsi="Verdana"/>
          <w:sz w:val="16"/>
          <w:szCs w:val="16"/>
        </w:rPr>
      </w:pPr>
      <w:r w:rsidRPr="0056751F">
        <w:rPr>
          <w:rFonts w:ascii="Verdana" w:hAnsi="Verdana"/>
          <w:sz w:val="16"/>
          <w:szCs w:val="16"/>
        </w:rPr>
        <w:t>Resto de entidades: en los 25 días naturales siguientes a los seis meses posteriores al fin del período impositivo.</w:t>
      </w:r>
    </w:p>
    <w:p w14:paraId="1E15610F" w14:textId="77777777" w:rsidR="0056751F" w:rsidRPr="0056751F" w:rsidRDefault="0056751F" w:rsidP="0056751F">
      <w:pPr>
        <w:jc w:val="both"/>
        <w:rPr>
          <w:rFonts w:ascii="Verdana" w:hAnsi="Verdana"/>
          <w:sz w:val="16"/>
          <w:szCs w:val="16"/>
        </w:rPr>
      </w:pPr>
    </w:p>
    <w:p w14:paraId="353943C8" w14:textId="77777777" w:rsidR="0056751F" w:rsidRPr="0056751F" w:rsidRDefault="0056751F" w:rsidP="0056751F">
      <w:pPr>
        <w:jc w:val="both"/>
        <w:rPr>
          <w:rFonts w:ascii="Verdana" w:hAnsi="Verdana"/>
          <w:sz w:val="16"/>
          <w:szCs w:val="16"/>
        </w:rPr>
      </w:pPr>
      <w:r w:rsidRPr="00382E99">
        <w:rPr>
          <w:rFonts w:ascii="Verdana" w:hAnsi="Verdana"/>
          <w:b/>
          <w:bCs/>
          <w:color w:val="800000"/>
          <w:sz w:val="18"/>
          <w:szCs w:val="18"/>
          <w:lang w:val="es-ES_tradnl"/>
        </w:rPr>
        <w:t>Declaración informativa anual de ayudas recibidas en el marco del régimen económico y fiscal de Canarias</w:t>
      </w:r>
      <w:r w:rsidRPr="0056751F">
        <w:rPr>
          <w:rFonts w:ascii="Verdana" w:hAnsi="Verdana"/>
          <w:sz w:val="16"/>
          <w:szCs w:val="16"/>
        </w:rPr>
        <w:t xml:space="preserve"> </w:t>
      </w:r>
      <w:r w:rsidRPr="00382E99">
        <w:rPr>
          <w:rFonts w:ascii="Verdana" w:hAnsi="Verdana"/>
          <w:b/>
          <w:bCs/>
          <w:color w:val="800000"/>
          <w:sz w:val="18"/>
          <w:szCs w:val="18"/>
          <w:lang w:val="es-ES_tradnl"/>
        </w:rPr>
        <w:t>y otras ayudas de Estado por contribuyentes del Impuesto sobre Sociedades e Impuesto sobre la Renta de no residentes (establecimientos permanentes y entidades en atribución de rentas constituidas en el extranjero con presencia en territorio español)</w:t>
      </w:r>
    </w:p>
    <w:p w14:paraId="70EA267F" w14:textId="77777777" w:rsidR="0056751F" w:rsidRPr="0056751F" w:rsidRDefault="0056751F" w:rsidP="0056751F">
      <w:pPr>
        <w:jc w:val="both"/>
        <w:rPr>
          <w:rFonts w:ascii="Verdana" w:hAnsi="Verdana"/>
          <w:sz w:val="16"/>
          <w:szCs w:val="16"/>
        </w:rPr>
      </w:pPr>
      <w:r w:rsidRPr="0056751F">
        <w:rPr>
          <w:rFonts w:ascii="Verdana" w:hAnsi="Verdana"/>
          <w:sz w:val="16"/>
          <w:szCs w:val="16"/>
        </w:rPr>
        <w:t>Año 2024. Entidades cuyo período impositivo coincida con el año natural: 282</w:t>
      </w:r>
    </w:p>
    <w:p w14:paraId="61D3C3FB" w14:textId="77777777" w:rsidR="0056751F" w:rsidRPr="0056751F" w:rsidRDefault="0056751F" w:rsidP="0056751F">
      <w:pPr>
        <w:jc w:val="both"/>
        <w:rPr>
          <w:rFonts w:ascii="Verdana" w:hAnsi="Verdana"/>
          <w:sz w:val="16"/>
          <w:szCs w:val="16"/>
        </w:rPr>
      </w:pPr>
    </w:p>
    <w:p w14:paraId="1412591D" w14:textId="77777777" w:rsidR="0056751F" w:rsidRPr="0056751F" w:rsidRDefault="0056751F" w:rsidP="0056751F">
      <w:pPr>
        <w:jc w:val="both"/>
        <w:rPr>
          <w:rFonts w:ascii="Verdana" w:hAnsi="Verdana"/>
          <w:sz w:val="16"/>
          <w:szCs w:val="16"/>
        </w:rPr>
      </w:pPr>
      <w:r w:rsidRPr="0056751F">
        <w:rPr>
          <w:rFonts w:ascii="Verdana" w:hAnsi="Verdana"/>
          <w:sz w:val="16"/>
          <w:szCs w:val="16"/>
        </w:rPr>
        <w:t>Resto de entidades: en los 25 días naturales siguientes a los seis meses posteriores al fin del período impositivo.</w:t>
      </w:r>
    </w:p>
    <w:p w14:paraId="1EF17AB7" w14:textId="77777777" w:rsidR="0056751F" w:rsidRPr="0056751F" w:rsidRDefault="0056751F" w:rsidP="0056751F">
      <w:pPr>
        <w:jc w:val="both"/>
        <w:rPr>
          <w:rFonts w:ascii="Verdana" w:hAnsi="Verdana"/>
          <w:sz w:val="16"/>
          <w:szCs w:val="16"/>
        </w:rPr>
      </w:pPr>
    </w:p>
    <w:p w14:paraId="30FD7567" w14:textId="77777777" w:rsidR="0056751F" w:rsidRPr="00382E99" w:rsidRDefault="0056751F" w:rsidP="0056751F">
      <w:pPr>
        <w:jc w:val="both"/>
        <w:rPr>
          <w:rFonts w:ascii="Verdana" w:hAnsi="Verdana"/>
          <w:b/>
          <w:bCs/>
          <w:color w:val="800000"/>
          <w:sz w:val="18"/>
          <w:szCs w:val="18"/>
          <w:lang w:val="es-ES_tradnl"/>
        </w:rPr>
      </w:pPr>
      <w:r w:rsidRPr="00382E99">
        <w:rPr>
          <w:rFonts w:ascii="Verdana" w:hAnsi="Verdana"/>
          <w:b/>
          <w:bCs/>
          <w:color w:val="800000"/>
          <w:sz w:val="18"/>
          <w:szCs w:val="18"/>
          <w:lang w:val="es-ES_tradnl"/>
        </w:rPr>
        <w:t>Declaración informativa anual de ayudas recibidas en el marco del Régimen fiscal especial de las Illes Balears por contribuyentes del Impuesto sobre Sociedades e Impuesto sobre la Renta de no residentes (establecimientos permanentes)</w:t>
      </w:r>
    </w:p>
    <w:p w14:paraId="068DCFBB" w14:textId="77777777" w:rsidR="0056751F" w:rsidRPr="0056751F" w:rsidRDefault="0056751F" w:rsidP="0056751F">
      <w:pPr>
        <w:jc w:val="both"/>
        <w:rPr>
          <w:rFonts w:ascii="Verdana" w:hAnsi="Verdana"/>
          <w:sz w:val="16"/>
          <w:szCs w:val="16"/>
        </w:rPr>
      </w:pPr>
      <w:r w:rsidRPr="0056751F">
        <w:rPr>
          <w:rFonts w:ascii="Verdana" w:hAnsi="Verdana"/>
          <w:sz w:val="16"/>
          <w:szCs w:val="16"/>
        </w:rPr>
        <w:t>Año 2024. Entidades cuyo período impositivo coincida con el año natural: 283</w:t>
      </w:r>
    </w:p>
    <w:p w14:paraId="0966EE36" w14:textId="77777777" w:rsidR="0056751F" w:rsidRPr="0056751F" w:rsidRDefault="0056751F" w:rsidP="0056751F">
      <w:pPr>
        <w:jc w:val="both"/>
        <w:rPr>
          <w:rFonts w:ascii="Verdana" w:hAnsi="Verdana"/>
          <w:sz w:val="16"/>
          <w:szCs w:val="16"/>
        </w:rPr>
      </w:pPr>
    </w:p>
    <w:p w14:paraId="21B75ECB" w14:textId="4CCD46B6" w:rsidR="0056751F" w:rsidRDefault="0056751F" w:rsidP="0056751F">
      <w:pPr>
        <w:jc w:val="both"/>
        <w:rPr>
          <w:rFonts w:ascii="Verdana" w:hAnsi="Verdana"/>
          <w:sz w:val="16"/>
          <w:szCs w:val="16"/>
        </w:rPr>
      </w:pPr>
      <w:r w:rsidRPr="0056751F">
        <w:rPr>
          <w:rFonts w:ascii="Verdana" w:hAnsi="Verdana"/>
          <w:sz w:val="16"/>
          <w:szCs w:val="16"/>
        </w:rPr>
        <w:t>Resto de entidades: en los 25 días naturales siguientes a los seis meses posteriores al fin del período impositivo.</w:t>
      </w:r>
    </w:p>
    <w:p w14:paraId="6FDCBB82" w14:textId="77777777" w:rsidR="0056751F" w:rsidRDefault="0056751F" w:rsidP="0056751F">
      <w:pPr>
        <w:jc w:val="both"/>
        <w:rPr>
          <w:rFonts w:ascii="Verdana" w:hAnsi="Verdana"/>
          <w:sz w:val="16"/>
          <w:szCs w:val="16"/>
        </w:rPr>
      </w:pPr>
    </w:p>
    <w:p w14:paraId="0E053240" w14:textId="77777777" w:rsidR="0056751F" w:rsidRPr="0056751F" w:rsidRDefault="0056751F" w:rsidP="0056751F">
      <w:pPr>
        <w:pStyle w:val="Ttulo7"/>
        <w:rPr>
          <w:rFonts w:ascii="Verdana" w:hAnsi="Verdana"/>
          <w:sz w:val="18"/>
          <w:szCs w:val="18"/>
        </w:rPr>
      </w:pPr>
      <w:r w:rsidRPr="0056751F">
        <w:rPr>
          <w:rFonts w:ascii="Verdana" w:hAnsi="Verdana"/>
          <w:sz w:val="18"/>
          <w:szCs w:val="18"/>
        </w:rPr>
        <w:t>Hasta el 30 de julio</w:t>
      </w:r>
    </w:p>
    <w:p w14:paraId="7865807D" w14:textId="77777777" w:rsidR="0056751F" w:rsidRPr="00382E99" w:rsidRDefault="0056751F" w:rsidP="0056751F">
      <w:pPr>
        <w:jc w:val="both"/>
        <w:rPr>
          <w:rFonts w:ascii="Verdana" w:hAnsi="Verdana"/>
          <w:b/>
          <w:bCs/>
          <w:color w:val="800000"/>
          <w:sz w:val="18"/>
          <w:szCs w:val="18"/>
          <w:lang w:val="es-ES_tradnl"/>
        </w:rPr>
      </w:pPr>
      <w:r w:rsidRPr="00382E99">
        <w:rPr>
          <w:rFonts w:ascii="Verdana" w:hAnsi="Verdana"/>
          <w:b/>
          <w:bCs/>
          <w:color w:val="800000"/>
          <w:sz w:val="18"/>
          <w:szCs w:val="18"/>
          <w:lang w:val="es-ES_tradnl"/>
        </w:rPr>
        <w:t>IVA</w:t>
      </w:r>
    </w:p>
    <w:p w14:paraId="68FF20F0" w14:textId="77777777" w:rsidR="0056751F" w:rsidRPr="0056751F" w:rsidRDefault="0056751F" w:rsidP="0056751F">
      <w:pPr>
        <w:jc w:val="both"/>
        <w:rPr>
          <w:rFonts w:ascii="Verdana" w:hAnsi="Verdana"/>
          <w:sz w:val="16"/>
          <w:szCs w:val="16"/>
        </w:rPr>
      </w:pPr>
      <w:r w:rsidRPr="0056751F">
        <w:rPr>
          <w:rFonts w:ascii="Verdana" w:hAnsi="Verdana"/>
          <w:sz w:val="16"/>
          <w:szCs w:val="16"/>
        </w:rPr>
        <w:t>Junio 2025. Autoliquidación: 303</w:t>
      </w:r>
    </w:p>
    <w:p w14:paraId="1E9F75D3" w14:textId="77777777" w:rsidR="0056751F" w:rsidRPr="0056751F" w:rsidRDefault="0056751F" w:rsidP="0056751F">
      <w:pPr>
        <w:jc w:val="both"/>
        <w:rPr>
          <w:rFonts w:ascii="Verdana" w:hAnsi="Verdana"/>
          <w:sz w:val="16"/>
          <w:szCs w:val="16"/>
        </w:rPr>
      </w:pPr>
    </w:p>
    <w:p w14:paraId="6677E2F0" w14:textId="77777777" w:rsidR="0056751F" w:rsidRPr="0056751F" w:rsidRDefault="0056751F" w:rsidP="0056751F">
      <w:pPr>
        <w:jc w:val="both"/>
        <w:rPr>
          <w:rFonts w:ascii="Verdana" w:hAnsi="Verdana"/>
          <w:sz w:val="16"/>
          <w:szCs w:val="16"/>
        </w:rPr>
      </w:pPr>
      <w:r w:rsidRPr="0056751F">
        <w:rPr>
          <w:rFonts w:ascii="Verdana" w:hAnsi="Verdana"/>
          <w:sz w:val="16"/>
          <w:szCs w:val="16"/>
        </w:rPr>
        <w:lastRenderedPageBreak/>
        <w:t>Junio 2025. Grupo de entidades, modelo individual: 322</w:t>
      </w:r>
    </w:p>
    <w:p w14:paraId="2049EF60" w14:textId="77777777" w:rsidR="0056751F" w:rsidRPr="0056751F" w:rsidRDefault="0056751F" w:rsidP="0056751F">
      <w:pPr>
        <w:jc w:val="both"/>
        <w:rPr>
          <w:rFonts w:ascii="Verdana" w:hAnsi="Verdana"/>
          <w:sz w:val="16"/>
          <w:szCs w:val="16"/>
        </w:rPr>
      </w:pPr>
    </w:p>
    <w:p w14:paraId="4F70F5B7" w14:textId="77777777" w:rsidR="0056751F" w:rsidRPr="0056751F" w:rsidRDefault="0056751F" w:rsidP="0056751F">
      <w:pPr>
        <w:jc w:val="both"/>
        <w:rPr>
          <w:rFonts w:ascii="Verdana" w:hAnsi="Verdana"/>
          <w:sz w:val="16"/>
          <w:szCs w:val="16"/>
        </w:rPr>
      </w:pPr>
      <w:r w:rsidRPr="0056751F">
        <w:rPr>
          <w:rFonts w:ascii="Verdana" w:hAnsi="Verdana"/>
          <w:sz w:val="16"/>
          <w:szCs w:val="16"/>
        </w:rPr>
        <w:t>Junio 2025. Grupo de entidades, modelo agregado: 353</w:t>
      </w:r>
    </w:p>
    <w:p w14:paraId="3B8F3E07" w14:textId="77777777" w:rsidR="0056751F" w:rsidRPr="0056751F" w:rsidRDefault="0056751F" w:rsidP="0056751F">
      <w:pPr>
        <w:jc w:val="both"/>
        <w:rPr>
          <w:rFonts w:ascii="Verdana" w:hAnsi="Verdana"/>
          <w:sz w:val="16"/>
          <w:szCs w:val="16"/>
        </w:rPr>
      </w:pPr>
    </w:p>
    <w:p w14:paraId="014B7680" w14:textId="77777777" w:rsidR="0056751F" w:rsidRPr="0056751F" w:rsidRDefault="0056751F" w:rsidP="0056751F">
      <w:pPr>
        <w:jc w:val="both"/>
        <w:rPr>
          <w:rFonts w:ascii="Verdana" w:hAnsi="Verdana"/>
          <w:sz w:val="16"/>
          <w:szCs w:val="16"/>
        </w:rPr>
      </w:pPr>
      <w:r w:rsidRPr="0056751F">
        <w:rPr>
          <w:rFonts w:ascii="Verdana" w:hAnsi="Verdana"/>
          <w:sz w:val="16"/>
          <w:szCs w:val="16"/>
        </w:rPr>
        <w:t>Junio 2025. Operaciones asimiladas a las importaciones: 380</w:t>
      </w:r>
    </w:p>
    <w:p w14:paraId="470DCBD0" w14:textId="77777777" w:rsidR="0056751F" w:rsidRPr="0056751F" w:rsidRDefault="0056751F" w:rsidP="0056751F">
      <w:pPr>
        <w:jc w:val="both"/>
        <w:rPr>
          <w:rFonts w:ascii="Verdana" w:hAnsi="Verdana"/>
          <w:sz w:val="16"/>
          <w:szCs w:val="16"/>
        </w:rPr>
      </w:pPr>
    </w:p>
    <w:p w14:paraId="7750D70F" w14:textId="77777777" w:rsidR="0056751F" w:rsidRPr="00382E99" w:rsidRDefault="0056751F" w:rsidP="0056751F">
      <w:pPr>
        <w:jc w:val="both"/>
        <w:rPr>
          <w:rFonts w:ascii="Verdana" w:hAnsi="Verdana"/>
          <w:b/>
          <w:bCs/>
          <w:color w:val="800000"/>
          <w:sz w:val="18"/>
          <w:szCs w:val="18"/>
          <w:lang w:val="es-ES_tradnl"/>
        </w:rPr>
      </w:pPr>
      <w:r w:rsidRPr="00382E99">
        <w:rPr>
          <w:rFonts w:ascii="Verdana" w:hAnsi="Verdana"/>
          <w:b/>
          <w:bCs/>
          <w:color w:val="800000"/>
          <w:sz w:val="18"/>
          <w:szCs w:val="18"/>
          <w:lang w:val="es-ES_tradnl"/>
        </w:rPr>
        <w:t>Impuestos Medioambientales</w:t>
      </w:r>
    </w:p>
    <w:p w14:paraId="164D9DF0" w14:textId="73574059" w:rsidR="0056751F" w:rsidRDefault="0056751F" w:rsidP="0056751F">
      <w:pPr>
        <w:jc w:val="both"/>
        <w:rPr>
          <w:rFonts w:ascii="Verdana" w:hAnsi="Verdana"/>
          <w:sz w:val="16"/>
          <w:szCs w:val="16"/>
        </w:rPr>
      </w:pPr>
      <w:r w:rsidRPr="0056751F">
        <w:rPr>
          <w:rFonts w:ascii="Verdana" w:hAnsi="Verdana"/>
          <w:sz w:val="16"/>
          <w:szCs w:val="16"/>
        </w:rPr>
        <w:t xml:space="preserve">Segundo trimestre 2025. Impuesto sobre el depósito de residuos en vertederos, la incineración y la </w:t>
      </w:r>
      <w:proofErr w:type="spellStart"/>
      <w:r w:rsidRPr="0056751F">
        <w:rPr>
          <w:rFonts w:ascii="Verdana" w:hAnsi="Verdana"/>
          <w:sz w:val="16"/>
          <w:szCs w:val="16"/>
        </w:rPr>
        <w:t>coincineración</w:t>
      </w:r>
      <w:proofErr w:type="spellEnd"/>
      <w:r w:rsidRPr="0056751F">
        <w:rPr>
          <w:rFonts w:ascii="Verdana" w:hAnsi="Verdana"/>
          <w:sz w:val="16"/>
          <w:szCs w:val="16"/>
        </w:rPr>
        <w:t xml:space="preserve"> de residuos. Autoliquidación: 593</w:t>
      </w:r>
    </w:p>
    <w:p w14:paraId="45A4EB74" w14:textId="77777777" w:rsidR="0056751F" w:rsidRDefault="0056751F" w:rsidP="0056751F">
      <w:pPr>
        <w:jc w:val="both"/>
        <w:rPr>
          <w:rFonts w:ascii="Verdana" w:hAnsi="Verdana"/>
          <w:sz w:val="16"/>
          <w:szCs w:val="16"/>
        </w:rPr>
      </w:pPr>
    </w:p>
    <w:p w14:paraId="7B41B0A0" w14:textId="77777777" w:rsidR="0056751F" w:rsidRPr="0056751F" w:rsidRDefault="0056751F" w:rsidP="0056751F">
      <w:pPr>
        <w:pStyle w:val="Ttulo7"/>
        <w:rPr>
          <w:rFonts w:ascii="Verdana" w:hAnsi="Verdana"/>
          <w:sz w:val="18"/>
          <w:szCs w:val="18"/>
        </w:rPr>
      </w:pPr>
      <w:r w:rsidRPr="0056751F">
        <w:rPr>
          <w:rFonts w:ascii="Verdana" w:hAnsi="Verdana"/>
          <w:sz w:val="18"/>
          <w:szCs w:val="18"/>
        </w:rPr>
        <w:t>Hasta el 31 de julio</w:t>
      </w:r>
    </w:p>
    <w:p w14:paraId="2221F4F8" w14:textId="77777777" w:rsidR="0056751F" w:rsidRPr="00382E99" w:rsidRDefault="0056751F" w:rsidP="0056751F">
      <w:pPr>
        <w:jc w:val="both"/>
        <w:rPr>
          <w:rFonts w:ascii="Verdana" w:hAnsi="Verdana"/>
          <w:b/>
          <w:bCs/>
          <w:color w:val="800000"/>
          <w:sz w:val="18"/>
          <w:szCs w:val="18"/>
          <w:lang w:val="es-ES_tradnl"/>
        </w:rPr>
      </w:pPr>
      <w:r w:rsidRPr="00382E99">
        <w:rPr>
          <w:rFonts w:ascii="Verdana" w:hAnsi="Verdana"/>
          <w:b/>
          <w:bCs/>
          <w:color w:val="800000"/>
          <w:sz w:val="18"/>
          <w:szCs w:val="18"/>
          <w:lang w:val="es-ES_tradnl"/>
        </w:rPr>
        <w:t>Número de Identificación Fiscal</w:t>
      </w:r>
    </w:p>
    <w:p w14:paraId="0BBF97E7" w14:textId="77777777" w:rsidR="0056751F" w:rsidRDefault="0056751F" w:rsidP="0056751F">
      <w:pPr>
        <w:jc w:val="both"/>
        <w:rPr>
          <w:rFonts w:ascii="Verdana" w:hAnsi="Verdana"/>
          <w:sz w:val="16"/>
          <w:szCs w:val="16"/>
        </w:rPr>
      </w:pPr>
      <w:r w:rsidRPr="0056751F">
        <w:rPr>
          <w:rFonts w:ascii="Verdana" w:hAnsi="Verdana"/>
          <w:sz w:val="16"/>
          <w:szCs w:val="16"/>
        </w:rPr>
        <w:t>Segundo trimestre 2025. Cuentas y operaciones cuyos titulares no han facilitado el NIF a las entidades de crédito: 195</w:t>
      </w:r>
    </w:p>
    <w:p w14:paraId="69121C19" w14:textId="77777777" w:rsidR="00382E99" w:rsidRPr="0056751F" w:rsidRDefault="00382E99" w:rsidP="0056751F">
      <w:pPr>
        <w:jc w:val="both"/>
        <w:rPr>
          <w:rFonts w:ascii="Verdana" w:hAnsi="Verdana"/>
          <w:sz w:val="16"/>
          <w:szCs w:val="16"/>
        </w:rPr>
      </w:pPr>
    </w:p>
    <w:p w14:paraId="5033292C" w14:textId="77777777" w:rsidR="0056751F" w:rsidRPr="00382E99" w:rsidRDefault="0056751F" w:rsidP="0056751F">
      <w:pPr>
        <w:jc w:val="both"/>
        <w:rPr>
          <w:rFonts w:ascii="Verdana" w:hAnsi="Verdana"/>
          <w:b/>
          <w:bCs/>
          <w:color w:val="800000"/>
          <w:sz w:val="18"/>
          <w:szCs w:val="18"/>
          <w:lang w:val="es-ES_tradnl"/>
        </w:rPr>
      </w:pPr>
      <w:r w:rsidRPr="00382E99">
        <w:rPr>
          <w:rFonts w:ascii="Verdana" w:hAnsi="Verdana"/>
          <w:b/>
          <w:bCs/>
          <w:color w:val="800000"/>
          <w:sz w:val="18"/>
          <w:szCs w:val="18"/>
          <w:lang w:val="es-ES_tradnl"/>
        </w:rPr>
        <w:t>IVA</w:t>
      </w:r>
    </w:p>
    <w:p w14:paraId="55BF55EC" w14:textId="77777777" w:rsidR="0056751F" w:rsidRPr="0056751F" w:rsidRDefault="0056751F" w:rsidP="0056751F">
      <w:pPr>
        <w:jc w:val="both"/>
        <w:rPr>
          <w:rFonts w:ascii="Verdana" w:hAnsi="Verdana"/>
          <w:sz w:val="16"/>
          <w:szCs w:val="16"/>
        </w:rPr>
      </w:pPr>
      <w:r w:rsidRPr="0056751F">
        <w:rPr>
          <w:rFonts w:ascii="Verdana" w:hAnsi="Verdana"/>
          <w:sz w:val="16"/>
          <w:szCs w:val="16"/>
        </w:rPr>
        <w:t>Junio 2025. Ventanilla única - Régimen de importación: 369</w:t>
      </w:r>
    </w:p>
    <w:p w14:paraId="28502FE1" w14:textId="77777777" w:rsidR="0056751F" w:rsidRPr="0056751F" w:rsidRDefault="0056751F" w:rsidP="0056751F">
      <w:pPr>
        <w:jc w:val="both"/>
        <w:rPr>
          <w:rFonts w:ascii="Verdana" w:hAnsi="Verdana"/>
          <w:sz w:val="16"/>
          <w:szCs w:val="16"/>
        </w:rPr>
      </w:pPr>
    </w:p>
    <w:p w14:paraId="274988DB" w14:textId="77777777" w:rsidR="0056751F" w:rsidRPr="0056751F" w:rsidRDefault="0056751F" w:rsidP="0056751F">
      <w:pPr>
        <w:jc w:val="both"/>
        <w:rPr>
          <w:rFonts w:ascii="Verdana" w:hAnsi="Verdana"/>
          <w:sz w:val="16"/>
          <w:szCs w:val="16"/>
        </w:rPr>
      </w:pPr>
      <w:r w:rsidRPr="0056751F">
        <w:rPr>
          <w:rFonts w:ascii="Verdana" w:hAnsi="Verdana"/>
          <w:sz w:val="16"/>
          <w:szCs w:val="16"/>
        </w:rPr>
        <w:t>Segundo trimestre 2025: Ventanilla única – Regímenes exterior y de la Unión: 369</w:t>
      </w:r>
    </w:p>
    <w:p w14:paraId="4B14034A" w14:textId="77777777" w:rsidR="0056751F" w:rsidRPr="0056751F" w:rsidRDefault="0056751F" w:rsidP="0056751F">
      <w:pPr>
        <w:jc w:val="both"/>
        <w:rPr>
          <w:rFonts w:ascii="Verdana" w:hAnsi="Verdana"/>
          <w:sz w:val="16"/>
          <w:szCs w:val="16"/>
        </w:rPr>
      </w:pPr>
    </w:p>
    <w:p w14:paraId="59CEFD88" w14:textId="77777777" w:rsidR="0056751F" w:rsidRPr="00382E99" w:rsidRDefault="0056751F" w:rsidP="0056751F">
      <w:pPr>
        <w:jc w:val="both"/>
        <w:rPr>
          <w:rFonts w:ascii="Verdana" w:hAnsi="Verdana"/>
          <w:b/>
          <w:bCs/>
          <w:color w:val="800000"/>
          <w:sz w:val="18"/>
          <w:szCs w:val="18"/>
          <w:lang w:val="es-ES_tradnl"/>
        </w:rPr>
      </w:pPr>
      <w:r w:rsidRPr="00382E99">
        <w:rPr>
          <w:rFonts w:ascii="Verdana" w:hAnsi="Verdana"/>
          <w:b/>
          <w:bCs/>
          <w:color w:val="800000"/>
          <w:sz w:val="18"/>
          <w:szCs w:val="18"/>
          <w:lang w:val="es-ES_tradnl"/>
        </w:rPr>
        <w:t>Impuesto sobre Depósitos en las Entidades de Crédito</w:t>
      </w:r>
    </w:p>
    <w:p w14:paraId="74E12777" w14:textId="77777777" w:rsidR="0056751F" w:rsidRPr="0056751F" w:rsidRDefault="0056751F" w:rsidP="0056751F">
      <w:pPr>
        <w:jc w:val="both"/>
        <w:rPr>
          <w:rFonts w:ascii="Verdana" w:hAnsi="Verdana"/>
          <w:sz w:val="16"/>
          <w:szCs w:val="16"/>
        </w:rPr>
      </w:pPr>
      <w:r w:rsidRPr="0056751F">
        <w:rPr>
          <w:rFonts w:ascii="Verdana" w:hAnsi="Verdana"/>
          <w:sz w:val="16"/>
          <w:szCs w:val="16"/>
        </w:rPr>
        <w:t>Autoliquidación 2024: 411</w:t>
      </w:r>
    </w:p>
    <w:p w14:paraId="7CB3F0FF" w14:textId="77777777" w:rsidR="0056751F" w:rsidRPr="0056751F" w:rsidRDefault="0056751F" w:rsidP="0056751F">
      <w:pPr>
        <w:jc w:val="both"/>
        <w:rPr>
          <w:rFonts w:ascii="Verdana" w:hAnsi="Verdana"/>
          <w:sz w:val="16"/>
          <w:szCs w:val="16"/>
        </w:rPr>
      </w:pPr>
    </w:p>
    <w:p w14:paraId="1E314EB7" w14:textId="77777777" w:rsidR="0056751F" w:rsidRPr="0056751F" w:rsidRDefault="0056751F" w:rsidP="0056751F">
      <w:pPr>
        <w:jc w:val="both"/>
        <w:rPr>
          <w:rFonts w:ascii="Verdana" w:hAnsi="Verdana"/>
          <w:sz w:val="16"/>
          <w:szCs w:val="16"/>
        </w:rPr>
      </w:pPr>
      <w:r w:rsidRPr="0056751F">
        <w:rPr>
          <w:rFonts w:ascii="Verdana" w:hAnsi="Verdana"/>
          <w:sz w:val="16"/>
          <w:szCs w:val="16"/>
        </w:rPr>
        <w:t>Pago a cuenta. Autoliquidación 2025: 410</w:t>
      </w:r>
    </w:p>
    <w:p w14:paraId="64A5817E" w14:textId="77777777" w:rsidR="0056751F" w:rsidRPr="0056751F" w:rsidRDefault="0056751F" w:rsidP="0056751F">
      <w:pPr>
        <w:jc w:val="both"/>
        <w:rPr>
          <w:rFonts w:ascii="Verdana" w:hAnsi="Verdana"/>
          <w:sz w:val="16"/>
          <w:szCs w:val="16"/>
        </w:rPr>
      </w:pPr>
    </w:p>
    <w:p w14:paraId="3C65B5C3" w14:textId="77777777" w:rsidR="0056751F" w:rsidRPr="00382E99" w:rsidRDefault="0056751F" w:rsidP="0056751F">
      <w:pPr>
        <w:jc w:val="both"/>
        <w:rPr>
          <w:rFonts w:ascii="Verdana" w:hAnsi="Verdana"/>
          <w:b/>
          <w:bCs/>
          <w:color w:val="800000"/>
          <w:sz w:val="18"/>
          <w:szCs w:val="18"/>
          <w:lang w:val="es-ES_tradnl"/>
        </w:rPr>
      </w:pPr>
      <w:r w:rsidRPr="00382E99">
        <w:rPr>
          <w:rFonts w:ascii="Verdana" w:hAnsi="Verdana"/>
          <w:b/>
          <w:bCs/>
          <w:color w:val="800000"/>
          <w:sz w:val="18"/>
          <w:szCs w:val="18"/>
          <w:lang w:val="es-ES_tradnl"/>
        </w:rPr>
        <w:t>Impuesto sobre Determinados Servicios Digitales</w:t>
      </w:r>
    </w:p>
    <w:p w14:paraId="24FABE67" w14:textId="77777777" w:rsidR="0056751F" w:rsidRDefault="0056751F" w:rsidP="0056751F">
      <w:pPr>
        <w:jc w:val="both"/>
        <w:rPr>
          <w:rFonts w:ascii="Verdana" w:hAnsi="Verdana"/>
          <w:sz w:val="16"/>
          <w:szCs w:val="16"/>
        </w:rPr>
      </w:pPr>
      <w:r w:rsidRPr="0056751F">
        <w:rPr>
          <w:rFonts w:ascii="Verdana" w:hAnsi="Verdana"/>
          <w:sz w:val="16"/>
          <w:szCs w:val="16"/>
        </w:rPr>
        <w:t>Segundo trimestre 2025: 490</w:t>
      </w:r>
    </w:p>
    <w:p w14:paraId="00EE6A15" w14:textId="77777777" w:rsidR="00382E99" w:rsidRPr="0056751F" w:rsidRDefault="00382E99" w:rsidP="0056751F">
      <w:pPr>
        <w:jc w:val="both"/>
        <w:rPr>
          <w:rFonts w:ascii="Verdana" w:hAnsi="Verdana"/>
          <w:sz w:val="16"/>
          <w:szCs w:val="16"/>
        </w:rPr>
      </w:pPr>
    </w:p>
    <w:p w14:paraId="4267309D" w14:textId="77777777" w:rsidR="0056751F" w:rsidRPr="00382E99" w:rsidRDefault="0056751F" w:rsidP="0056751F">
      <w:pPr>
        <w:jc w:val="both"/>
        <w:rPr>
          <w:rFonts w:ascii="Verdana" w:hAnsi="Verdana"/>
          <w:b/>
          <w:bCs/>
          <w:color w:val="800000"/>
          <w:sz w:val="18"/>
          <w:szCs w:val="18"/>
          <w:lang w:val="es-ES_tradnl"/>
        </w:rPr>
      </w:pPr>
      <w:r w:rsidRPr="00382E99">
        <w:rPr>
          <w:rFonts w:ascii="Verdana" w:hAnsi="Verdana"/>
          <w:b/>
          <w:bCs/>
          <w:color w:val="800000"/>
          <w:sz w:val="18"/>
          <w:szCs w:val="18"/>
          <w:lang w:val="es-ES_tradnl"/>
        </w:rPr>
        <w:t>Impuestos Medioambientales</w:t>
      </w:r>
    </w:p>
    <w:p w14:paraId="0BC0BD8C" w14:textId="77777777" w:rsidR="0056751F" w:rsidRPr="0056751F" w:rsidRDefault="0056751F" w:rsidP="0056751F">
      <w:pPr>
        <w:jc w:val="both"/>
        <w:rPr>
          <w:rFonts w:ascii="Verdana" w:hAnsi="Verdana"/>
          <w:sz w:val="16"/>
          <w:szCs w:val="16"/>
        </w:rPr>
      </w:pPr>
      <w:r w:rsidRPr="0056751F">
        <w:rPr>
          <w:rFonts w:ascii="Verdana" w:hAnsi="Verdana"/>
          <w:sz w:val="16"/>
          <w:szCs w:val="16"/>
        </w:rPr>
        <w:t>Junio 2025. Impuesto especial sobre los envases de plástico no reutilizables. Presentación contabilidad y libro registro de existencias</w:t>
      </w:r>
    </w:p>
    <w:p w14:paraId="7C345469" w14:textId="77777777" w:rsidR="0056751F" w:rsidRPr="0056751F" w:rsidRDefault="0056751F" w:rsidP="0056751F">
      <w:pPr>
        <w:jc w:val="both"/>
        <w:rPr>
          <w:rFonts w:ascii="Verdana" w:hAnsi="Verdana"/>
          <w:sz w:val="16"/>
          <w:szCs w:val="16"/>
        </w:rPr>
      </w:pPr>
    </w:p>
    <w:p w14:paraId="7E9734F4" w14:textId="77777777" w:rsidR="0056751F" w:rsidRPr="0056751F" w:rsidRDefault="0056751F" w:rsidP="0056751F">
      <w:pPr>
        <w:jc w:val="both"/>
        <w:rPr>
          <w:rFonts w:ascii="Verdana" w:hAnsi="Verdana"/>
          <w:sz w:val="16"/>
          <w:szCs w:val="16"/>
        </w:rPr>
      </w:pPr>
      <w:r w:rsidRPr="0056751F">
        <w:rPr>
          <w:rFonts w:ascii="Verdana" w:hAnsi="Verdana"/>
          <w:sz w:val="16"/>
          <w:szCs w:val="16"/>
        </w:rPr>
        <w:t>Segundo trimestre 2025. Impuesto especial sobre los envases de plástico no reutilizables. Presentación contabilidad y libro registro de existencias</w:t>
      </w:r>
    </w:p>
    <w:p w14:paraId="09D77BBD" w14:textId="77777777" w:rsidR="0056751F" w:rsidRPr="0056751F" w:rsidRDefault="0056751F" w:rsidP="0056751F">
      <w:pPr>
        <w:jc w:val="both"/>
        <w:rPr>
          <w:rFonts w:ascii="Verdana" w:hAnsi="Verdana"/>
          <w:sz w:val="16"/>
          <w:szCs w:val="16"/>
        </w:rPr>
      </w:pPr>
    </w:p>
    <w:p w14:paraId="2AB2C852" w14:textId="77777777" w:rsidR="0056751F" w:rsidRPr="00382E99" w:rsidRDefault="0056751F" w:rsidP="0056751F">
      <w:pPr>
        <w:jc w:val="both"/>
        <w:rPr>
          <w:rFonts w:ascii="Verdana" w:hAnsi="Verdana"/>
          <w:b/>
          <w:bCs/>
          <w:color w:val="800000"/>
          <w:sz w:val="18"/>
          <w:szCs w:val="18"/>
          <w:lang w:val="es-ES_tradnl"/>
        </w:rPr>
      </w:pPr>
      <w:r w:rsidRPr="00382E99">
        <w:rPr>
          <w:rFonts w:ascii="Verdana" w:hAnsi="Verdana"/>
          <w:b/>
          <w:bCs/>
          <w:color w:val="800000"/>
          <w:sz w:val="18"/>
          <w:szCs w:val="18"/>
          <w:lang w:val="es-ES_tradnl"/>
        </w:rPr>
        <w:t>Impuesto temporal de Solidaridad de las Grandes Fortunas</w:t>
      </w:r>
    </w:p>
    <w:p w14:paraId="27BBB048" w14:textId="77777777" w:rsidR="0056751F" w:rsidRPr="0056751F" w:rsidRDefault="0056751F" w:rsidP="0056751F">
      <w:pPr>
        <w:jc w:val="both"/>
        <w:rPr>
          <w:rFonts w:ascii="Verdana" w:hAnsi="Verdana"/>
          <w:sz w:val="16"/>
          <w:szCs w:val="16"/>
        </w:rPr>
      </w:pPr>
      <w:r w:rsidRPr="0056751F">
        <w:rPr>
          <w:rFonts w:ascii="Verdana" w:hAnsi="Verdana"/>
          <w:sz w:val="16"/>
          <w:szCs w:val="16"/>
        </w:rPr>
        <w:t>Año 2024: 718</w:t>
      </w:r>
    </w:p>
    <w:p w14:paraId="6666805D" w14:textId="77777777" w:rsidR="0056751F" w:rsidRPr="00382E99" w:rsidRDefault="0056751F" w:rsidP="0056751F">
      <w:pPr>
        <w:jc w:val="both"/>
        <w:rPr>
          <w:rFonts w:ascii="Verdana" w:hAnsi="Verdana"/>
          <w:b/>
          <w:bCs/>
          <w:color w:val="800000"/>
          <w:sz w:val="18"/>
          <w:szCs w:val="18"/>
          <w:lang w:val="es-ES_tradnl"/>
        </w:rPr>
      </w:pPr>
      <w:r w:rsidRPr="00382E99">
        <w:rPr>
          <w:rFonts w:ascii="Verdana" w:hAnsi="Verdana"/>
          <w:b/>
          <w:bCs/>
          <w:color w:val="800000"/>
          <w:sz w:val="18"/>
          <w:szCs w:val="18"/>
          <w:lang w:val="es-ES_tradnl"/>
        </w:rPr>
        <w:t>Declaración informativa sobre pagos transfronterizos</w:t>
      </w:r>
    </w:p>
    <w:p w14:paraId="05575132" w14:textId="77777777" w:rsidR="0056751F" w:rsidRPr="0056751F" w:rsidRDefault="0056751F" w:rsidP="0056751F">
      <w:pPr>
        <w:jc w:val="both"/>
        <w:rPr>
          <w:rFonts w:ascii="Verdana" w:hAnsi="Verdana"/>
          <w:sz w:val="16"/>
          <w:szCs w:val="16"/>
        </w:rPr>
      </w:pPr>
      <w:r w:rsidRPr="0056751F">
        <w:rPr>
          <w:rFonts w:ascii="Verdana" w:hAnsi="Verdana"/>
          <w:sz w:val="16"/>
          <w:szCs w:val="16"/>
        </w:rPr>
        <w:t>Segundo trimestre 2025: 379</w:t>
      </w:r>
    </w:p>
    <w:p w14:paraId="01D2A3BD" w14:textId="77777777" w:rsidR="0056751F" w:rsidRPr="00382E99" w:rsidRDefault="0056751F" w:rsidP="0056751F">
      <w:pPr>
        <w:jc w:val="both"/>
        <w:rPr>
          <w:rFonts w:ascii="Verdana" w:hAnsi="Verdana"/>
          <w:b/>
          <w:bCs/>
          <w:color w:val="800000"/>
          <w:sz w:val="18"/>
          <w:szCs w:val="18"/>
          <w:lang w:val="es-ES_tradnl"/>
        </w:rPr>
      </w:pPr>
      <w:r w:rsidRPr="00382E99">
        <w:rPr>
          <w:rFonts w:ascii="Verdana" w:hAnsi="Verdana"/>
          <w:b/>
          <w:bCs/>
          <w:color w:val="800000"/>
          <w:sz w:val="18"/>
          <w:szCs w:val="18"/>
          <w:lang w:val="es-ES_tradnl"/>
        </w:rPr>
        <w:t>Declaración informativa de actualización de determinados mecanismos transfronterizos comercializables</w:t>
      </w:r>
    </w:p>
    <w:p w14:paraId="08E04276" w14:textId="77777777" w:rsidR="0056751F" w:rsidRPr="0056751F" w:rsidRDefault="0056751F" w:rsidP="0056751F">
      <w:pPr>
        <w:jc w:val="both"/>
        <w:rPr>
          <w:rFonts w:ascii="Verdana" w:hAnsi="Verdana"/>
          <w:sz w:val="16"/>
          <w:szCs w:val="16"/>
        </w:rPr>
      </w:pPr>
      <w:r w:rsidRPr="0056751F">
        <w:rPr>
          <w:rFonts w:ascii="Verdana" w:hAnsi="Verdana"/>
          <w:sz w:val="16"/>
          <w:szCs w:val="16"/>
        </w:rPr>
        <w:t>Segundo trimestre 2025: 235</w:t>
      </w:r>
    </w:p>
    <w:p w14:paraId="1E625036" w14:textId="77777777" w:rsidR="0056751F" w:rsidRPr="0056751F" w:rsidRDefault="0056751F" w:rsidP="0056751F">
      <w:pPr>
        <w:jc w:val="both"/>
        <w:rPr>
          <w:rFonts w:ascii="Verdana" w:hAnsi="Verdana"/>
          <w:sz w:val="16"/>
          <w:szCs w:val="16"/>
        </w:rPr>
      </w:pPr>
      <w:r w:rsidRPr="00382E99">
        <w:rPr>
          <w:rFonts w:ascii="Verdana" w:hAnsi="Verdana"/>
          <w:b/>
          <w:bCs/>
          <w:color w:val="800000"/>
          <w:sz w:val="18"/>
          <w:szCs w:val="18"/>
          <w:lang w:val="es-ES_tradnl"/>
        </w:rPr>
        <w:t>Declaración informativa trimestral de operaciones de comercio de bienes corporales realizadas en la zona</w:t>
      </w:r>
      <w:r w:rsidRPr="0056751F">
        <w:rPr>
          <w:rFonts w:ascii="Verdana" w:hAnsi="Verdana"/>
          <w:sz w:val="16"/>
          <w:szCs w:val="16"/>
        </w:rPr>
        <w:t xml:space="preserve"> </w:t>
      </w:r>
      <w:r w:rsidRPr="00382E99">
        <w:rPr>
          <w:rFonts w:ascii="Verdana" w:hAnsi="Verdana"/>
          <w:b/>
          <w:bCs/>
          <w:color w:val="800000"/>
          <w:sz w:val="18"/>
          <w:szCs w:val="18"/>
          <w:lang w:val="es-ES_tradnl"/>
        </w:rPr>
        <w:t>especial canaria sin que las mercancías transiten por territorio canario</w:t>
      </w:r>
    </w:p>
    <w:p w14:paraId="373BDD3C" w14:textId="3CABD996" w:rsidR="0056751F" w:rsidRPr="00E64DC9" w:rsidRDefault="0056751F" w:rsidP="0056751F">
      <w:pPr>
        <w:jc w:val="both"/>
        <w:rPr>
          <w:rFonts w:ascii="Verdana" w:hAnsi="Verdana"/>
          <w:sz w:val="16"/>
          <w:szCs w:val="16"/>
        </w:rPr>
      </w:pPr>
      <w:r w:rsidRPr="0056751F">
        <w:rPr>
          <w:rFonts w:ascii="Verdana" w:hAnsi="Verdana"/>
          <w:sz w:val="16"/>
          <w:szCs w:val="16"/>
        </w:rPr>
        <w:t>Segundo trimestre 2025: 281</w:t>
      </w:r>
    </w:p>
    <w:p w14:paraId="53623AE8" w14:textId="5B085685" w:rsidR="00E64DC9" w:rsidRPr="00E64DC9" w:rsidRDefault="00E64DC9" w:rsidP="00E64DC9">
      <w:pPr>
        <w:pStyle w:val="Prrafodelista"/>
        <w:ind w:left="284"/>
        <w:jc w:val="both"/>
        <w:rPr>
          <w:rFonts w:ascii="Verdana" w:hAnsi="Verdana"/>
          <w:sz w:val="16"/>
          <w:szCs w:val="16"/>
        </w:rPr>
      </w:pPr>
      <w:r>
        <w:rPr>
          <w:rFonts w:ascii="Verdana" w:hAnsi="Verdana"/>
          <w:sz w:val="16"/>
          <w:szCs w:val="16"/>
        </w:rPr>
        <w:t xml:space="preserve"> </w:t>
      </w:r>
    </w:p>
    <w:bookmarkEnd w:id="10"/>
    <w:p w14:paraId="1508B351" w14:textId="77777777" w:rsidR="00E64DC9" w:rsidRDefault="00E64DC9" w:rsidP="00E64DC9">
      <w:pPr>
        <w:jc w:val="both"/>
        <w:rPr>
          <w:rFonts w:ascii="Verdana" w:hAnsi="Verdana"/>
          <w:sz w:val="16"/>
          <w:szCs w:val="16"/>
        </w:rPr>
      </w:pPr>
    </w:p>
    <w:p w14:paraId="0B4EB8CB" w14:textId="6A1703AA" w:rsidR="00382E0C" w:rsidRPr="00C251F8" w:rsidRDefault="0056751F">
      <w:pPr>
        <w:jc w:val="both"/>
        <w:rPr>
          <w:rFonts w:ascii="Verdana" w:hAnsi="Verdana"/>
          <w:b/>
          <w:bCs/>
          <w:color w:val="800000"/>
          <w:sz w:val="20"/>
          <w:szCs w:val="20"/>
        </w:rPr>
      </w:pPr>
      <w:r>
        <w:rPr>
          <w:rFonts w:ascii="Verdana" w:hAnsi="Verdana"/>
          <w:b/>
          <w:bCs/>
          <w:color w:val="800000"/>
          <w:sz w:val="20"/>
          <w:szCs w:val="20"/>
        </w:rPr>
        <w:t>C</w:t>
      </w:r>
      <w:r w:rsidR="00382E0C" w:rsidRPr="00C251F8">
        <w:rPr>
          <w:rFonts w:ascii="Verdana" w:hAnsi="Verdana"/>
          <w:b/>
          <w:bCs/>
          <w:color w:val="800000"/>
          <w:sz w:val="20"/>
          <w:szCs w:val="20"/>
        </w:rPr>
        <w:t xml:space="preserve">ALENDARIO FISCAL PARA EL MES DE AGOSTO DE </w:t>
      </w:r>
      <w:r w:rsidR="000D7657">
        <w:rPr>
          <w:rFonts w:ascii="Verdana" w:hAnsi="Verdana"/>
          <w:b/>
          <w:bCs/>
          <w:color w:val="800000"/>
          <w:sz w:val="20"/>
          <w:szCs w:val="20"/>
        </w:rPr>
        <w:t>202</w:t>
      </w:r>
      <w:r w:rsidR="00A610F4">
        <w:rPr>
          <w:rFonts w:ascii="Verdana" w:hAnsi="Verdana"/>
          <w:b/>
          <w:bCs/>
          <w:color w:val="800000"/>
          <w:sz w:val="20"/>
          <w:szCs w:val="20"/>
        </w:rPr>
        <w:t>5</w:t>
      </w:r>
    </w:p>
    <w:p w14:paraId="66140B13" w14:textId="77777777" w:rsidR="00382E0C" w:rsidRDefault="00382E0C">
      <w:pPr>
        <w:jc w:val="both"/>
        <w:rPr>
          <w:rFonts w:ascii="Verdana" w:hAnsi="Verdana"/>
          <w:sz w:val="20"/>
          <w:szCs w:val="20"/>
        </w:rPr>
      </w:pPr>
    </w:p>
    <w:p w14:paraId="17679630" w14:textId="77777777" w:rsidR="005174F1" w:rsidRPr="005174F1" w:rsidRDefault="005174F1" w:rsidP="005174F1">
      <w:pPr>
        <w:pStyle w:val="Ttulo7"/>
        <w:rPr>
          <w:rFonts w:ascii="Verdana" w:hAnsi="Verdana"/>
          <w:sz w:val="18"/>
          <w:szCs w:val="18"/>
        </w:rPr>
      </w:pPr>
      <w:r w:rsidRPr="005174F1">
        <w:rPr>
          <w:rFonts w:ascii="Verdana" w:hAnsi="Verdana"/>
          <w:sz w:val="18"/>
          <w:szCs w:val="18"/>
        </w:rPr>
        <w:t>Hasta el 12 de agosto</w:t>
      </w:r>
    </w:p>
    <w:p w14:paraId="7BF97677" w14:textId="77777777" w:rsidR="005174F1" w:rsidRPr="00382E99" w:rsidRDefault="005174F1" w:rsidP="005174F1">
      <w:pPr>
        <w:jc w:val="both"/>
        <w:rPr>
          <w:rFonts w:ascii="Verdana" w:hAnsi="Verdana"/>
          <w:b/>
          <w:bCs/>
          <w:color w:val="800000"/>
          <w:sz w:val="18"/>
          <w:szCs w:val="18"/>
          <w:lang w:val="es-ES_tradnl"/>
        </w:rPr>
      </w:pPr>
      <w:r w:rsidRPr="00382E99">
        <w:rPr>
          <w:rFonts w:ascii="Verdana" w:hAnsi="Verdana"/>
          <w:b/>
          <w:bCs/>
          <w:color w:val="800000"/>
          <w:sz w:val="18"/>
          <w:szCs w:val="18"/>
          <w:lang w:val="es-ES_tradnl"/>
        </w:rPr>
        <w:t>INTRASTAT - Estadística Comercio Intracomunitario</w:t>
      </w:r>
    </w:p>
    <w:p w14:paraId="1593AB75" w14:textId="2C42BAED" w:rsidR="0056751F" w:rsidRDefault="005174F1" w:rsidP="005174F1">
      <w:pPr>
        <w:jc w:val="both"/>
        <w:rPr>
          <w:rFonts w:ascii="Verdana" w:hAnsi="Verdana"/>
          <w:sz w:val="20"/>
          <w:szCs w:val="20"/>
        </w:rPr>
      </w:pPr>
      <w:r w:rsidRPr="005174F1">
        <w:rPr>
          <w:rFonts w:ascii="Verdana" w:hAnsi="Verdana"/>
          <w:sz w:val="20"/>
          <w:szCs w:val="20"/>
        </w:rPr>
        <w:t>Julio 2025. Obligados a suministrar información estadística</w:t>
      </w:r>
    </w:p>
    <w:p w14:paraId="5627438E" w14:textId="77777777" w:rsidR="005174F1" w:rsidRDefault="005174F1" w:rsidP="005174F1">
      <w:pPr>
        <w:jc w:val="both"/>
        <w:rPr>
          <w:rFonts w:ascii="Verdana" w:hAnsi="Verdana"/>
          <w:sz w:val="20"/>
          <w:szCs w:val="20"/>
        </w:rPr>
      </w:pPr>
    </w:p>
    <w:p w14:paraId="0AED1DF5" w14:textId="77777777" w:rsidR="005174F1" w:rsidRPr="005174F1" w:rsidRDefault="005174F1" w:rsidP="005174F1">
      <w:pPr>
        <w:pStyle w:val="Ttulo7"/>
        <w:rPr>
          <w:rFonts w:ascii="Verdana" w:hAnsi="Verdana"/>
          <w:sz w:val="18"/>
          <w:szCs w:val="18"/>
        </w:rPr>
      </w:pPr>
      <w:r w:rsidRPr="005174F1">
        <w:rPr>
          <w:rFonts w:ascii="Verdana" w:hAnsi="Verdana"/>
          <w:sz w:val="18"/>
          <w:szCs w:val="18"/>
        </w:rPr>
        <w:t>Hasta el 20 de agosto</w:t>
      </w:r>
    </w:p>
    <w:p w14:paraId="45A2F893" w14:textId="77777777" w:rsidR="005174F1" w:rsidRPr="00382E99" w:rsidRDefault="005174F1" w:rsidP="005174F1">
      <w:pPr>
        <w:jc w:val="both"/>
        <w:rPr>
          <w:rFonts w:ascii="Verdana" w:hAnsi="Verdana"/>
          <w:b/>
          <w:bCs/>
          <w:color w:val="800000"/>
          <w:sz w:val="18"/>
          <w:szCs w:val="18"/>
          <w:lang w:val="es-ES_tradnl"/>
        </w:rPr>
      </w:pPr>
      <w:r w:rsidRPr="00382E99">
        <w:rPr>
          <w:rFonts w:ascii="Verdana" w:hAnsi="Verdana"/>
          <w:b/>
          <w:bCs/>
          <w:color w:val="800000"/>
          <w:sz w:val="18"/>
          <w:szCs w:val="18"/>
          <w:lang w:val="es-ES_tradnl"/>
        </w:rPr>
        <w:t>Renta y Sociedades</w:t>
      </w:r>
    </w:p>
    <w:p w14:paraId="1826FE90" w14:textId="77777777" w:rsidR="005174F1" w:rsidRPr="005174F1" w:rsidRDefault="005174F1" w:rsidP="005174F1">
      <w:pPr>
        <w:jc w:val="both"/>
        <w:rPr>
          <w:rFonts w:ascii="Verdana" w:hAnsi="Verdana"/>
          <w:sz w:val="20"/>
          <w:szCs w:val="20"/>
        </w:rPr>
      </w:pPr>
      <w:r w:rsidRPr="005174F1">
        <w:rPr>
          <w:rFonts w:ascii="Verdana" w:hAnsi="Verdana"/>
          <w:sz w:val="20"/>
          <w:szCs w:val="20"/>
        </w:rPr>
        <w:t>Retenciones e ingresos a cuenta de rendimientos del trabajo, actividades económicas, premios y determinadas ganancias patrimoniales e imputaciones de renta, ganancias derivadas de acciones y participaciones de las Instituciones de Inversión Colectiva, rentas de arrendamiento de inmuebles urbanos, capital mobiliario, personas autorizadas y saldos en cuentas y, de rentas de no residentes obtenidas sin establecimiento permanente.</w:t>
      </w:r>
    </w:p>
    <w:p w14:paraId="2B00A804" w14:textId="77777777" w:rsidR="005174F1" w:rsidRPr="005174F1" w:rsidRDefault="005174F1" w:rsidP="005174F1">
      <w:pPr>
        <w:jc w:val="both"/>
        <w:rPr>
          <w:rFonts w:ascii="Verdana" w:hAnsi="Verdana"/>
          <w:sz w:val="20"/>
          <w:szCs w:val="20"/>
        </w:rPr>
      </w:pPr>
    </w:p>
    <w:p w14:paraId="533A62CA" w14:textId="77777777" w:rsidR="005174F1" w:rsidRDefault="005174F1" w:rsidP="005174F1">
      <w:pPr>
        <w:jc w:val="both"/>
        <w:rPr>
          <w:rFonts w:ascii="Verdana" w:hAnsi="Verdana"/>
          <w:sz w:val="20"/>
          <w:szCs w:val="20"/>
        </w:rPr>
      </w:pPr>
      <w:r w:rsidRPr="005174F1">
        <w:rPr>
          <w:rFonts w:ascii="Verdana" w:hAnsi="Verdana"/>
          <w:sz w:val="20"/>
          <w:szCs w:val="20"/>
        </w:rPr>
        <w:t>Julio 2025. Grandes empresas: 111, 115, 117, 123, 124, 126, 128, 216, 230</w:t>
      </w:r>
    </w:p>
    <w:p w14:paraId="07A2A181" w14:textId="77777777" w:rsidR="00382E99" w:rsidRPr="005174F1" w:rsidRDefault="00382E99" w:rsidP="005174F1">
      <w:pPr>
        <w:jc w:val="both"/>
        <w:rPr>
          <w:rFonts w:ascii="Verdana" w:hAnsi="Verdana"/>
          <w:sz w:val="20"/>
          <w:szCs w:val="20"/>
        </w:rPr>
      </w:pPr>
    </w:p>
    <w:p w14:paraId="01ECC836" w14:textId="77777777" w:rsidR="005174F1" w:rsidRPr="00382E99" w:rsidRDefault="005174F1" w:rsidP="005174F1">
      <w:pPr>
        <w:jc w:val="both"/>
        <w:rPr>
          <w:rFonts w:ascii="Verdana" w:hAnsi="Verdana"/>
          <w:b/>
          <w:bCs/>
          <w:color w:val="800000"/>
          <w:sz w:val="18"/>
          <w:szCs w:val="18"/>
          <w:lang w:val="es-ES_tradnl"/>
        </w:rPr>
      </w:pPr>
      <w:r w:rsidRPr="00382E99">
        <w:rPr>
          <w:rFonts w:ascii="Verdana" w:hAnsi="Verdana"/>
          <w:b/>
          <w:bCs/>
          <w:color w:val="800000"/>
          <w:sz w:val="18"/>
          <w:szCs w:val="18"/>
          <w:lang w:val="es-ES_tradnl"/>
        </w:rPr>
        <w:t>IVA</w:t>
      </w:r>
    </w:p>
    <w:p w14:paraId="73C97783" w14:textId="77777777" w:rsidR="005174F1" w:rsidRPr="005174F1" w:rsidRDefault="005174F1" w:rsidP="005174F1">
      <w:pPr>
        <w:jc w:val="both"/>
        <w:rPr>
          <w:rFonts w:ascii="Verdana" w:hAnsi="Verdana"/>
          <w:sz w:val="20"/>
          <w:szCs w:val="20"/>
        </w:rPr>
      </w:pPr>
      <w:r w:rsidRPr="005174F1">
        <w:rPr>
          <w:rFonts w:ascii="Verdana" w:hAnsi="Verdana"/>
          <w:sz w:val="20"/>
          <w:szCs w:val="20"/>
        </w:rPr>
        <w:t>Solicitud de devolución por sujetos pasivos en el régimen simplificado del IVA y que ejerzan la actividad de transporte de viajeros o de mercancías por carretera, por adquirir determinados medios de transporte: 308</w:t>
      </w:r>
    </w:p>
    <w:p w14:paraId="12FAC9C4" w14:textId="77777777" w:rsidR="005174F1" w:rsidRPr="005174F1" w:rsidRDefault="005174F1" w:rsidP="005174F1">
      <w:pPr>
        <w:jc w:val="both"/>
        <w:rPr>
          <w:rFonts w:ascii="Verdana" w:hAnsi="Verdana"/>
          <w:sz w:val="20"/>
          <w:szCs w:val="20"/>
        </w:rPr>
      </w:pPr>
    </w:p>
    <w:p w14:paraId="3A1B2145" w14:textId="77777777" w:rsidR="005174F1" w:rsidRPr="00382E99" w:rsidRDefault="005174F1" w:rsidP="005174F1">
      <w:pPr>
        <w:jc w:val="both"/>
        <w:rPr>
          <w:rFonts w:ascii="Verdana" w:hAnsi="Verdana"/>
          <w:b/>
          <w:bCs/>
          <w:color w:val="800000"/>
          <w:sz w:val="18"/>
          <w:szCs w:val="18"/>
          <w:lang w:val="es-ES_tradnl"/>
        </w:rPr>
      </w:pPr>
      <w:r w:rsidRPr="00382E99">
        <w:rPr>
          <w:rFonts w:ascii="Verdana" w:hAnsi="Verdana"/>
          <w:b/>
          <w:bCs/>
          <w:color w:val="800000"/>
          <w:sz w:val="18"/>
          <w:szCs w:val="18"/>
          <w:lang w:val="es-ES_tradnl"/>
        </w:rPr>
        <w:t>Impuestos Especiales de Fabricación</w:t>
      </w:r>
    </w:p>
    <w:p w14:paraId="3DD82F54" w14:textId="77777777" w:rsidR="005174F1" w:rsidRPr="005174F1" w:rsidRDefault="005174F1" w:rsidP="005174F1">
      <w:pPr>
        <w:jc w:val="both"/>
        <w:rPr>
          <w:rFonts w:ascii="Verdana" w:hAnsi="Verdana"/>
          <w:sz w:val="20"/>
          <w:szCs w:val="20"/>
        </w:rPr>
      </w:pPr>
      <w:r w:rsidRPr="005174F1">
        <w:rPr>
          <w:rFonts w:ascii="Verdana" w:hAnsi="Verdana"/>
          <w:sz w:val="20"/>
          <w:szCs w:val="20"/>
        </w:rPr>
        <w:t>Mayo 2025. Grandes empresas: 561, 562, 563</w:t>
      </w:r>
    </w:p>
    <w:p w14:paraId="299C8C7F" w14:textId="77777777" w:rsidR="005174F1" w:rsidRPr="005174F1" w:rsidRDefault="005174F1" w:rsidP="005174F1">
      <w:pPr>
        <w:jc w:val="both"/>
        <w:rPr>
          <w:rFonts w:ascii="Verdana" w:hAnsi="Verdana"/>
          <w:sz w:val="20"/>
          <w:szCs w:val="20"/>
        </w:rPr>
      </w:pPr>
    </w:p>
    <w:p w14:paraId="75C6BBF3" w14:textId="77777777" w:rsidR="005174F1" w:rsidRPr="005174F1" w:rsidRDefault="005174F1" w:rsidP="005174F1">
      <w:pPr>
        <w:jc w:val="both"/>
        <w:rPr>
          <w:rFonts w:ascii="Verdana" w:hAnsi="Verdana"/>
          <w:sz w:val="20"/>
          <w:szCs w:val="20"/>
        </w:rPr>
      </w:pPr>
      <w:r w:rsidRPr="005174F1">
        <w:rPr>
          <w:rFonts w:ascii="Verdana" w:hAnsi="Verdana"/>
          <w:sz w:val="20"/>
          <w:szCs w:val="20"/>
        </w:rPr>
        <w:t>Julio 2025: 548, 566, 581</w:t>
      </w:r>
    </w:p>
    <w:p w14:paraId="642554FB" w14:textId="77777777" w:rsidR="005174F1" w:rsidRPr="005174F1" w:rsidRDefault="005174F1" w:rsidP="005174F1">
      <w:pPr>
        <w:jc w:val="both"/>
        <w:rPr>
          <w:rFonts w:ascii="Verdana" w:hAnsi="Verdana"/>
          <w:sz w:val="20"/>
          <w:szCs w:val="20"/>
        </w:rPr>
      </w:pPr>
    </w:p>
    <w:p w14:paraId="073A1D32" w14:textId="77777777" w:rsidR="005174F1" w:rsidRPr="005174F1" w:rsidRDefault="005174F1" w:rsidP="005174F1">
      <w:pPr>
        <w:jc w:val="both"/>
        <w:rPr>
          <w:rFonts w:ascii="Verdana" w:hAnsi="Verdana"/>
          <w:sz w:val="20"/>
          <w:szCs w:val="20"/>
        </w:rPr>
      </w:pPr>
      <w:r w:rsidRPr="005174F1">
        <w:rPr>
          <w:rFonts w:ascii="Verdana" w:hAnsi="Verdana"/>
          <w:sz w:val="20"/>
          <w:szCs w:val="20"/>
        </w:rPr>
        <w:t>Julio 2025: 573 (Autoliquidación), A24 (Solicitud de devolución)</w:t>
      </w:r>
    </w:p>
    <w:p w14:paraId="5B7EABE1" w14:textId="77777777" w:rsidR="005174F1" w:rsidRPr="005174F1" w:rsidRDefault="005174F1" w:rsidP="005174F1">
      <w:pPr>
        <w:jc w:val="both"/>
        <w:rPr>
          <w:rFonts w:ascii="Verdana" w:hAnsi="Verdana"/>
          <w:sz w:val="20"/>
          <w:szCs w:val="20"/>
        </w:rPr>
      </w:pPr>
    </w:p>
    <w:p w14:paraId="2594B0BB" w14:textId="77777777" w:rsidR="005174F1" w:rsidRPr="005174F1" w:rsidRDefault="005174F1" w:rsidP="005174F1">
      <w:pPr>
        <w:jc w:val="both"/>
        <w:rPr>
          <w:rFonts w:ascii="Verdana" w:hAnsi="Verdana"/>
          <w:sz w:val="20"/>
          <w:szCs w:val="20"/>
        </w:rPr>
      </w:pPr>
      <w:r w:rsidRPr="005174F1">
        <w:rPr>
          <w:rFonts w:ascii="Verdana" w:hAnsi="Verdana"/>
          <w:sz w:val="20"/>
          <w:szCs w:val="20"/>
        </w:rPr>
        <w:t>Segundo trimestre 2025. Excepto grandes empresas: 561, 562, 563</w:t>
      </w:r>
    </w:p>
    <w:p w14:paraId="544CAF2E" w14:textId="77777777" w:rsidR="005174F1" w:rsidRPr="005174F1" w:rsidRDefault="005174F1" w:rsidP="005174F1">
      <w:pPr>
        <w:jc w:val="both"/>
        <w:rPr>
          <w:rFonts w:ascii="Verdana" w:hAnsi="Verdana"/>
          <w:sz w:val="20"/>
          <w:szCs w:val="20"/>
        </w:rPr>
      </w:pPr>
    </w:p>
    <w:p w14:paraId="1CE948DC" w14:textId="77777777" w:rsidR="005174F1" w:rsidRPr="005174F1" w:rsidRDefault="005174F1" w:rsidP="005174F1">
      <w:pPr>
        <w:jc w:val="both"/>
        <w:rPr>
          <w:rFonts w:ascii="Verdana" w:hAnsi="Verdana"/>
          <w:sz w:val="20"/>
          <w:szCs w:val="20"/>
        </w:rPr>
      </w:pPr>
      <w:r w:rsidRPr="005174F1">
        <w:rPr>
          <w:rFonts w:ascii="Verdana" w:hAnsi="Verdana"/>
          <w:sz w:val="20"/>
          <w:szCs w:val="20"/>
        </w:rPr>
        <w:t>Declaración de operaciones por los destinatarios registrados y representantes fiscales: 510</w:t>
      </w:r>
    </w:p>
    <w:p w14:paraId="3C9CEEE6" w14:textId="77777777" w:rsidR="005174F1" w:rsidRPr="005174F1" w:rsidRDefault="005174F1" w:rsidP="005174F1">
      <w:pPr>
        <w:jc w:val="both"/>
        <w:rPr>
          <w:rFonts w:ascii="Verdana" w:hAnsi="Verdana"/>
          <w:sz w:val="20"/>
          <w:szCs w:val="20"/>
        </w:rPr>
      </w:pPr>
    </w:p>
    <w:p w14:paraId="6B85B243" w14:textId="77777777" w:rsidR="005174F1" w:rsidRPr="00382E99" w:rsidRDefault="005174F1" w:rsidP="005174F1">
      <w:pPr>
        <w:jc w:val="both"/>
        <w:rPr>
          <w:rFonts w:ascii="Verdana" w:hAnsi="Verdana"/>
          <w:b/>
          <w:bCs/>
          <w:color w:val="800000"/>
          <w:sz w:val="18"/>
          <w:szCs w:val="18"/>
          <w:lang w:val="es-ES_tradnl"/>
        </w:rPr>
      </w:pPr>
      <w:r w:rsidRPr="00382E99">
        <w:rPr>
          <w:rFonts w:ascii="Verdana" w:hAnsi="Verdana"/>
          <w:b/>
          <w:bCs/>
          <w:color w:val="800000"/>
          <w:sz w:val="18"/>
          <w:szCs w:val="18"/>
          <w:lang w:val="es-ES_tradnl"/>
        </w:rPr>
        <w:t>Impuesto Especial sobre la Electricidad</w:t>
      </w:r>
    </w:p>
    <w:p w14:paraId="0314A3D6" w14:textId="77777777" w:rsidR="005174F1" w:rsidRPr="005174F1" w:rsidRDefault="005174F1" w:rsidP="005174F1">
      <w:pPr>
        <w:jc w:val="both"/>
        <w:rPr>
          <w:rFonts w:ascii="Verdana" w:hAnsi="Verdana"/>
          <w:sz w:val="20"/>
          <w:szCs w:val="20"/>
        </w:rPr>
      </w:pPr>
      <w:r w:rsidRPr="005174F1">
        <w:rPr>
          <w:rFonts w:ascii="Verdana" w:hAnsi="Verdana"/>
          <w:sz w:val="20"/>
          <w:szCs w:val="20"/>
        </w:rPr>
        <w:t>Julio 2025 Grandes empresas: 560</w:t>
      </w:r>
    </w:p>
    <w:p w14:paraId="49DE0702" w14:textId="77777777" w:rsidR="005174F1" w:rsidRPr="005174F1" w:rsidRDefault="005174F1" w:rsidP="005174F1">
      <w:pPr>
        <w:jc w:val="both"/>
        <w:rPr>
          <w:rFonts w:ascii="Verdana" w:hAnsi="Verdana"/>
          <w:sz w:val="20"/>
          <w:szCs w:val="20"/>
        </w:rPr>
      </w:pPr>
    </w:p>
    <w:p w14:paraId="65BFAF65" w14:textId="77777777" w:rsidR="005174F1" w:rsidRPr="00382E99" w:rsidRDefault="005174F1" w:rsidP="005174F1">
      <w:pPr>
        <w:jc w:val="both"/>
        <w:rPr>
          <w:rFonts w:ascii="Verdana" w:hAnsi="Verdana"/>
          <w:b/>
          <w:bCs/>
          <w:color w:val="800000"/>
          <w:sz w:val="18"/>
          <w:szCs w:val="18"/>
          <w:lang w:val="es-ES_tradnl"/>
        </w:rPr>
      </w:pPr>
      <w:r w:rsidRPr="00382E99">
        <w:rPr>
          <w:rFonts w:ascii="Verdana" w:hAnsi="Verdana"/>
          <w:b/>
          <w:bCs/>
          <w:color w:val="800000"/>
          <w:sz w:val="18"/>
          <w:szCs w:val="18"/>
          <w:lang w:val="es-ES_tradnl"/>
        </w:rPr>
        <w:t>Impuestos Medioambientales</w:t>
      </w:r>
    </w:p>
    <w:p w14:paraId="05B8941B" w14:textId="77777777" w:rsidR="005174F1" w:rsidRPr="005174F1" w:rsidRDefault="005174F1" w:rsidP="005174F1">
      <w:pPr>
        <w:jc w:val="both"/>
        <w:rPr>
          <w:rFonts w:ascii="Verdana" w:hAnsi="Verdana"/>
          <w:sz w:val="20"/>
          <w:szCs w:val="20"/>
        </w:rPr>
      </w:pPr>
      <w:r w:rsidRPr="005174F1">
        <w:rPr>
          <w:rFonts w:ascii="Verdana" w:hAnsi="Verdana"/>
          <w:sz w:val="20"/>
          <w:szCs w:val="20"/>
        </w:rPr>
        <w:t>Julio 2025. Impuesto especial sobre los envases de plástico no reutilizables. Autoliquidación: 592</w:t>
      </w:r>
    </w:p>
    <w:p w14:paraId="15167E31" w14:textId="77777777" w:rsidR="005174F1" w:rsidRPr="005174F1" w:rsidRDefault="005174F1" w:rsidP="005174F1">
      <w:pPr>
        <w:jc w:val="both"/>
        <w:rPr>
          <w:rFonts w:ascii="Verdana" w:hAnsi="Verdana"/>
          <w:sz w:val="20"/>
          <w:szCs w:val="20"/>
        </w:rPr>
      </w:pPr>
    </w:p>
    <w:p w14:paraId="1AF3E1FD" w14:textId="77777777" w:rsidR="005174F1" w:rsidRPr="00382E99" w:rsidRDefault="005174F1" w:rsidP="005174F1">
      <w:pPr>
        <w:jc w:val="both"/>
        <w:rPr>
          <w:rFonts w:ascii="Verdana" w:hAnsi="Verdana"/>
          <w:b/>
          <w:bCs/>
          <w:color w:val="800000"/>
          <w:sz w:val="18"/>
          <w:szCs w:val="18"/>
          <w:lang w:val="es-ES_tradnl"/>
        </w:rPr>
      </w:pPr>
      <w:r w:rsidRPr="00382E99">
        <w:rPr>
          <w:rFonts w:ascii="Verdana" w:hAnsi="Verdana"/>
          <w:b/>
          <w:bCs/>
          <w:color w:val="800000"/>
          <w:sz w:val="18"/>
          <w:szCs w:val="18"/>
          <w:lang w:val="es-ES_tradnl"/>
        </w:rPr>
        <w:t>Impuesto sobre las transacciones financieras</w:t>
      </w:r>
    </w:p>
    <w:p w14:paraId="29B3113B" w14:textId="193165A1" w:rsidR="005174F1" w:rsidRDefault="005174F1" w:rsidP="005174F1">
      <w:pPr>
        <w:jc w:val="both"/>
        <w:rPr>
          <w:rFonts w:ascii="Verdana" w:hAnsi="Verdana"/>
          <w:sz w:val="20"/>
          <w:szCs w:val="20"/>
        </w:rPr>
      </w:pPr>
      <w:r w:rsidRPr="005174F1">
        <w:rPr>
          <w:rFonts w:ascii="Verdana" w:hAnsi="Verdana"/>
          <w:sz w:val="20"/>
          <w:szCs w:val="20"/>
        </w:rPr>
        <w:t>Julio 2025: 604</w:t>
      </w:r>
    </w:p>
    <w:p w14:paraId="7367F470" w14:textId="77777777" w:rsidR="005174F1" w:rsidRDefault="005174F1" w:rsidP="005174F1">
      <w:pPr>
        <w:jc w:val="both"/>
        <w:rPr>
          <w:rFonts w:ascii="Verdana" w:hAnsi="Verdana"/>
          <w:sz w:val="20"/>
          <w:szCs w:val="20"/>
        </w:rPr>
      </w:pPr>
    </w:p>
    <w:p w14:paraId="395D2640" w14:textId="77777777" w:rsidR="005174F1" w:rsidRPr="005174F1" w:rsidRDefault="005174F1" w:rsidP="005174F1">
      <w:pPr>
        <w:pStyle w:val="Ttulo7"/>
        <w:rPr>
          <w:rFonts w:ascii="Verdana" w:hAnsi="Verdana"/>
          <w:sz w:val="18"/>
          <w:szCs w:val="18"/>
        </w:rPr>
      </w:pPr>
      <w:r w:rsidRPr="005174F1">
        <w:rPr>
          <w:rFonts w:ascii="Verdana" w:hAnsi="Verdana"/>
          <w:sz w:val="18"/>
          <w:szCs w:val="18"/>
        </w:rPr>
        <w:t>Hasta el 31 de agosto</w:t>
      </w:r>
    </w:p>
    <w:p w14:paraId="45914190" w14:textId="77777777" w:rsidR="005174F1" w:rsidRPr="00382E99" w:rsidRDefault="005174F1" w:rsidP="005174F1">
      <w:pPr>
        <w:jc w:val="both"/>
        <w:rPr>
          <w:rFonts w:ascii="Verdana" w:hAnsi="Verdana"/>
          <w:b/>
          <w:bCs/>
          <w:color w:val="800000"/>
          <w:sz w:val="18"/>
          <w:szCs w:val="18"/>
          <w:lang w:val="es-ES_tradnl"/>
        </w:rPr>
      </w:pPr>
      <w:r w:rsidRPr="00382E99">
        <w:rPr>
          <w:rFonts w:ascii="Verdana" w:hAnsi="Verdana"/>
          <w:b/>
          <w:bCs/>
          <w:color w:val="800000"/>
          <w:sz w:val="18"/>
          <w:szCs w:val="18"/>
          <w:lang w:val="es-ES_tradnl"/>
        </w:rPr>
        <w:t>IVA</w:t>
      </w:r>
    </w:p>
    <w:p w14:paraId="48FD325E" w14:textId="708D02C2" w:rsidR="005174F1" w:rsidRDefault="005174F1" w:rsidP="005174F1">
      <w:pPr>
        <w:jc w:val="both"/>
        <w:rPr>
          <w:rFonts w:ascii="Verdana" w:hAnsi="Verdana"/>
          <w:sz w:val="20"/>
          <w:szCs w:val="20"/>
        </w:rPr>
      </w:pPr>
      <w:r w:rsidRPr="005174F1">
        <w:rPr>
          <w:rFonts w:ascii="Verdana" w:hAnsi="Verdana"/>
          <w:sz w:val="20"/>
          <w:szCs w:val="20"/>
        </w:rPr>
        <w:t>Julio 2025. Ventanilla única - Régimen de importación: 369</w:t>
      </w:r>
    </w:p>
    <w:p w14:paraId="7E42CF8B" w14:textId="77777777" w:rsidR="005174F1" w:rsidRDefault="005174F1" w:rsidP="005174F1">
      <w:pPr>
        <w:jc w:val="both"/>
        <w:rPr>
          <w:rFonts w:ascii="Verdana" w:hAnsi="Verdana"/>
          <w:sz w:val="20"/>
          <w:szCs w:val="20"/>
        </w:rPr>
      </w:pPr>
    </w:p>
    <w:p w14:paraId="62EEE73D" w14:textId="77777777" w:rsidR="005174F1" w:rsidRDefault="005174F1" w:rsidP="005174F1">
      <w:pPr>
        <w:jc w:val="both"/>
        <w:rPr>
          <w:rFonts w:ascii="Verdana" w:hAnsi="Verdana"/>
          <w:sz w:val="20"/>
          <w:szCs w:val="20"/>
        </w:rPr>
      </w:pPr>
    </w:p>
    <w:p w14:paraId="1D52515F" w14:textId="77777777" w:rsidR="005174F1" w:rsidRDefault="005174F1" w:rsidP="005174F1">
      <w:pPr>
        <w:jc w:val="both"/>
        <w:rPr>
          <w:rFonts w:ascii="Verdana" w:hAnsi="Verdana"/>
          <w:sz w:val="20"/>
          <w:szCs w:val="20"/>
        </w:rPr>
      </w:pPr>
    </w:p>
    <w:p w14:paraId="313FB7EB" w14:textId="77777777" w:rsidR="005174F1" w:rsidRDefault="005174F1" w:rsidP="005174F1">
      <w:pPr>
        <w:jc w:val="both"/>
        <w:rPr>
          <w:rFonts w:ascii="Verdana" w:hAnsi="Verdana"/>
          <w:sz w:val="20"/>
          <w:szCs w:val="20"/>
        </w:rPr>
      </w:pPr>
    </w:p>
    <w:p w14:paraId="3B170DEB" w14:textId="77777777" w:rsidR="00F029E0" w:rsidRPr="00C251F8" w:rsidRDefault="00F029E0" w:rsidP="00F029E0">
      <w:pPr>
        <w:pStyle w:val="Textoindependiente3"/>
        <w:rPr>
          <w:rFonts w:ascii="Verdana" w:hAnsi="Verdana"/>
          <w:i w:val="0"/>
          <w:sz w:val="16"/>
          <w:szCs w:val="16"/>
        </w:rPr>
      </w:pPr>
    </w:p>
    <w:sectPr w:rsidR="00F029E0" w:rsidRPr="00C251F8" w:rsidSect="00EE7042">
      <w:footerReference w:type="even" r:id="rId9"/>
      <w:pgSz w:w="11906" w:h="16838"/>
      <w:pgMar w:top="2410" w:right="1701" w:bottom="1418" w:left="1701"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993DF" w14:textId="77777777" w:rsidR="00C82033" w:rsidRDefault="00C82033">
      <w:r>
        <w:separator/>
      </w:r>
    </w:p>
  </w:endnote>
  <w:endnote w:type="continuationSeparator" w:id="0">
    <w:p w14:paraId="66AAEFD6" w14:textId="77777777" w:rsidR="00C82033" w:rsidRDefault="00C82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C144D" w14:textId="77777777" w:rsidR="00382E0C" w:rsidRDefault="00F93971">
    <w:pPr>
      <w:pStyle w:val="Piedepgina"/>
      <w:framePr w:wrap="around" w:vAnchor="text" w:hAnchor="margin" w:xAlign="right" w:y="1"/>
      <w:rPr>
        <w:rStyle w:val="Nmerodepgina"/>
      </w:rPr>
    </w:pPr>
    <w:r>
      <w:rPr>
        <w:rStyle w:val="Nmerodepgina"/>
      </w:rPr>
      <w:fldChar w:fldCharType="begin"/>
    </w:r>
    <w:r w:rsidR="00382E0C">
      <w:rPr>
        <w:rStyle w:val="Nmerodepgina"/>
      </w:rPr>
      <w:instrText xml:space="preserve">PAGE  </w:instrText>
    </w:r>
    <w:r>
      <w:rPr>
        <w:rStyle w:val="Nmerodepgina"/>
      </w:rPr>
      <w:fldChar w:fldCharType="end"/>
    </w:r>
  </w:p>
  <w:p w14:paraId="2B13C1BD" w14:textId="77777777" w:rsidR="00382E0C" w:rsidRDefault="00382E0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214A3" w14:textId="77777777" w:rsidR="00C82033" w:rsidRDefault="00C82033">
      <w:r>
        <w:separator/>
      </w:r>
    </w:p>
  </w:footnote>
  <w:footnote w:type="continuationSeparator" w:id="0">
    <w:p w14:paraId="635A6D11" w14:textId="77777777" w:rsidR="00C82033" w:rsidRDefault="00C820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949DB"/>
    <w:multiLevelType w:val="hybridMultilevel"/>
    <w:tmpl w:val="32C29598"/>
    <w:lvl w:ilvl="0" w:tplc="2B5E0CEA">
      <w:start w:val="4"/>
      <w:numFmt w:val="decimal"/>
      <w:lvlText w:val="%1."/>
      <w:lvlJc w:val="left"/>
      <w:pPr>
        <w:ind w:left="1292"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 w15:restartNumberingAfterBreak="0">
    <w:nsid w:val="18FA6C51"/>
    <w:multiLevelType w:val="multilevel"/>
    <w:tmpl w:val="5532B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E336D4"/>
    <w:multiLevelType w:val="hybridMultilevel"/>
    <w:tmpl w:val="336E7A1E"/>
    <w:lvl w:ilvl="0" w:tplc="FF608D8E">
      <w:start w:val="1"/>
      <w:numFmt w:val="decimal"/>
      <w:lvlText w:val="%1."/>
      <w:lvlJc w:val="left"/>
      <w:pPr>
        <w:ind w:left="1008" w:hanging="360"/>
      </w:pPr>
      <w:rPr>
        <w:rFonts w:hint="default"/>
      </w:rPr>
    </w:lvl>
    <w:lvl w:ilvl="1" w:tplc="0C0A0019" w:tentative="1">
      <w:start w:val="1"/>
      <w:numFmt w:val="lowerLetter"/>
      <w:lvlText w:val="%2."/>
      <w:lvlJc w:val="left"/>
      <w:pPr>
        <w:ind w:left="1728" w:hanging="360"/>
      </w:pPr>
    </w:lvl>
    <w:lvl w:ilvl="2" w:tplc="0C0A001B" w:tentative="1">
      <w:start w:val="1"/>
      <w:numFmt w:val="lowerRoman"/>
      <w:lvlText w:val="%3."/>
      <w:lvlJc w:val="right"/>
      <w:pPr>
        <w:ind w:left="2448" w:hanging="180"/>
      </w:pPr>
    </w:lvl>
    <w:lvl w:ilvl="3" w:tplc="0C0A000F" w:tentative="1">
      <w:start w:val="1"/>
      <w:numFmt w:val="decimal"/>
      <w:lvlText w:val="%4."/>
      <w:lvlJc w:val="left"/>
      <w:pPr>
        <w:ind w:left="3168" w:hanging="360"/>
      </w:pPr>
    </w:lvl>
    <w:lvl w:ilvl="4" w:tplc="0C0A0019" w:tentative="1">
      <w:start w:val="1"/>
      <w:numFmt w:val="lowerLetter"/>
      <w:lvlText w:val="%5."/>
      <w:lvlJc w:val="left"/>
      <w:pPr>
        <w:ind w:left="3888" w:hanging="360"/>
      </w:pPr>
    </w:lvl>
    <w:lvl w:ilvl="5" w:tplc="0C0A001B" w:tentative="1">
      <w:start w:val="1"/>
      <w:numFmt w:val="lowerRoman"/>
      <w:lvlText w:val="%6."/>
      <w:lvlJc w:val="right"/>
      <w:pPr>
        <w:ind w:left="4608" w:hanging="180"/>
      </w:pPr>
    </w:lvl>
    <w:lvl w:ilvl="6" w:tplc="0C0A000F" w:tentative="1">
      <w:start w:val="1"/>
      <w:numFmt w:val="decimal"/>
      <w:lvlText w:val="%7."/>
      <w:lvlJc w:val="left"/>
      <w:pPr>
        <w:ind w:left="5328" w:hanging="360"/>
      </w:pPr>
    </w:lvl>
    <w:lvl w:ilvl="7" w:tplc="0C0A0019" w:tentative="1">
      <w:start w:val="1"/>
      <w:numFmt w:val="lowerLetter"/>
      <w:lvlText w:val="%8."/>
      <w:lvlJc w:val="left"/>
      <w:pPr>
        <w:ind w:left="6048" w:hanging="360"/>
      </w:pPr>
    </w:lvl>
    <w:lvl w:ilvl="8" w:tplc="0C0A001B" w:tentative="1">
      <w:start w:val="1"/>
      <w:numFmt w:val="lowerRoman"/>
      <w:lvlText w:val="%9."/>
      <w:lvlJc w:val="right"/>
      <w:pPr>
        <w:ind w:left="6768" w:hanging="180"/>
      </w:pPr>
    </w:lvl>
  </w:abstractNum>
  <w:abstractNum w:abstractNumId="3" w15:restartNumberingAfterBreak="0">
    <w:nsid w:val="261A7D98"/>
    <w:multiLevelType w:val="hybridMultilevel"/>
    <w:tmpl w:val="F564B246"/>
    <w:lvl w:ilvl="0" w:tplc="673E4D2C">
      <w:start w:val="3"/>
      <w:numFmt w:val="decimal"/>
      <w:lvlText w:val="%1."/>
      <w:lvlJc w:val="left"/>
      <w:pPr>
        <w:ind w:left="100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130416A"/>
    <w:multiLevelType w:val="hybridMultilevel"/>
    <w:tmpl w:val="8D1CD9AC"/>
    <w:lvl w:ilvl="0" w:tplc="3D58D3CE">
      <w:start w:val="1"/>
      <w:numFmt w:val="decimal"/>
      <w:lvlText w:val="%1."/>
      <w:lvlJc w:val="left"/>
      <w:pPr>
        <w:ind w:left="100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A4A6A02"/>
    <w:multiLevelType w:val="hybridMultilevel"/>
    <w:tmpl w:val="58FAD65C"/>
    <w:lvl w:ilvl="0" w:tplc="D9AC148E">
      <w:start w:val="3"/>
      <w:numFmt w:val="decimal"/>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6" w15:restartNumberingAfterBreak="0">
    <w:nsid w:val="40F95DFB"/>
    <w:multiLevelType w:val="multilevel"/>
    <w:tmpl w:val="5CC69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516B44"/>
    <w:multiLevelType w:val="hybridMultilevel"/>
    <w:tmpl w:val="0090E2A0"/>
    <w:lvl w:ilvl="0" w:tplc="757A4698">
      <w:start w:val="4"/>
      <w:numFmt w:val="decimal"/>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8" w15:restartNumberingAfterBreak="0">
    <w:nsid w:val="4ADF1039"/>
    <w:multiLevelType w:val="multilevel"/>
    <w:tmpl w:val="24789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7E7184"/>
    <w:multiLevelType w:val="hybridMultilevel"/>
    <w:tmpl w:val="99F49546"/>
    <w:lvl w:ilvl="0" w:tplc="5E320FA0">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D370DD2"/>
    <w:multiLevelType w:val="hybridMultilevel"/>
    <w:tmpl w:val="5DB4412E"/>
    <w:lvl w:ilvl="0" w:tplc="88E8C7EE">
      <w:start w:val="2"/>
      <w:numFmt w:val="decimal"/>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1" w15:restartNumberingAfterBreak="0">
    <w:nsid w:val="539969DB"/>
    <w:multiLevelType w:val="hybridMultilevel"/>
    <w:tmpl w:val="A614D682"/>
    <w:lvl w:ilvl="0" w:tplc="2B5E0CEA">
      <w:start w:val="4"/>
      <w:numFmt w:val="decimal"/>
      <w:lvlText w:val="%1."/>
      <w:lvlJc w:val="left"/>
      <w:pPr>
        <w:ind w:left="100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3C913FC"/>
    <w:multiLevelType w:val="hybridMultilevel"/>
    <w:tmpl w:val="D2488E96"/>
    <w:lvl w:ilvl="0" w:tplc="77F6AE9E">
      <w:start w:val="6"/>
      <w:numFmt w:val="decimal"/>
      <w:lvlText w:val="%1."/>
      <w:lvlJc w:val="left"/>
      <w:pPr>
        <w:ind w:left="100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A1521B5"/>
    <w:multiLevelType w:val="multilevel"/>
    <w:tmpl w:val="9ED4C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43425A"/>
    <w:multiLevelType w:val="hybridMultilevel"/>
    <w:tmpl w:val="5AF49876"/>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5" w15:restartNumberingAfterBreak="0">
    <w:nsid w:val="6EAB60F7"/>
    <w:multiLevelType w:val="multilevel"/>
    <w:tmpl w:val="4B1CE5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350F36"/>
    <w:multiLevelType w:val="multilevel"/>
    <w:tmpl w:val="897C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FC4735"/>
    <w:multiLevelType w:val="multilevel"/>
    <w:tmpl w:val="A9828898"/>
    <w:lvl w:ilvl="0">
      <w:start w:val="8"/>
      <w:numFmt w:val="decimal"/>
      <w:lvlText w:val="%1."/>
      <w:lvlJc w:val="left"/>
      <w:pPr>
        <w:ind w:left="1004" w:hanging="360"/>
      </w:pPr>
      <w:rPr>
        <w:rFonts w:hint="default"/>
      </w:rPr>
    </w:lvl>
    <w:lvl w:ilvl="1">
      <w:start w:val="1"/>
      <w:numFmt w:val="lowerLetter"/>
      <w:lvlText w:val="%2."/>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18" w15:restartNumberingAfterBreak="0">
    <w:nsid w:val="791A315D"/>
    <w:multiLevelType w:val="hybridMultilevel"/>
    <w:tmpl w:val="DE1ED4EC"/>
    <w:lvl w:ilvl="0" w:tplc="673E4D2C">
      <w:start w:val="3"/>
      <w:numFmt w:val="decimal"/>
      <w:lvlText w:val="%1."/>
      <w:lvlJc w:val="left"/>
      <w:pPr>
        <w:ind w:left="100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A9D3474"/>
    <w:multiLevelType w:val="multilevel"/>
    <w:tmpl w:val="06A68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142C7A"/>
    <w:multiLevelType w:val="hybridMultilevel"/>
    <w:tmpl w:val="0B284D10"/>
    <w:lvl w:ilvl="0" w:tplc="020CF47A">
      <w:start w:val="7"/>
      <w:numFmt w:val="decimal"/>
      <w:lvlText w:val="%1."/>
      <w:lvlJc w:val="left"/>
      <w:pPr>
        <w:ind w:left="100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F5E7A73"/>
    <w:multiLevelType w:val="hybridMultilevel"/>
    <w:tmpl w:val="B452661C"/>
    <w:lvl w:ilvl="0" w:tplc="0C0A000F">
      <w:start w:val="1"/>
      <w:numFmt w:val="decimal"/>
      <w:lvlText w:val="%1."/>
      <w:lvlJc w:val="left"/>
      <w:pPr>
        <w:ind w:left="4245" w:hanging="360"/>
      </w:pPr>
    </w:lvl>
    <w:lvl w:ilvl="1" w:tplc="0C0A0019" w:tentative="1">
      <w:start w:val="1"/>
      <w:numFmt w:val="lowerLetter"/>
      <w:lvlText w:val="%2."/>
      <w:lvlJc w:val="left"/>
      <w:pPr>
        <w:ind w:left="4965" w:hanging="360"/>
      </w:pPr>
    </w:lvl>
    <w:lvl w:ilvl="2" w:tplc="0C0A001B" w:tentative="1">
      <w:start w:val="1"/>
      <w:numFmt w:val="lowerRoman"/>
      <w:lvlText w:val="%3."/>
      <w:lvlJc w:val="right"/>
      <w:pPr>
        <w:ind w:left="5685" w:hanging="180"/>
      </w:pPr>
    </w:lvl>
    <w:lvl w:ilvl="3" w:tplc="0C0A000F" w:tentative="1">
      <w:start w:val="1"/>
      <w:numFmt w:val="decimal"/>
      <w:lvlText w:val="%4."/>
      <w:lvlJc w:val="left"/>
      <w:pPr>
        <w:ind w:left="6405" w:hanging="360"/>
      </w:pPr>
    </w:lvl>
    <w:lvl w:ilvl="4" w:tplc="0C0A0019" w:tentative="1">
      <w:start w:val="1"/>
      <w:numFmt w:val="lowerLetter"/>
      <w:lvlText w:val="%5."/>
      <w:lvlJc w:val="left"/>
      <w:pPr>
        <w:ind w:left="7125" w:hanging="360"/>
      </w:pPr>
    </w:lvl>
    <w:lvl w:ilvl="5" w:tplc="0C0A001B" w:tentative="1">
      <w:start w:val="1"/>
      <w:numFmt w:val="lowerRoman"/>
      <w:lvlText w:val="%6."/>
      <w:lvlJc w:val="right"/>
      <w:pPr>
        <w:ind w:left="7845" w:hanging="180"/>
      </w:pPr>
    </w:lvl>
    <w:lvl w:ilvl="6" w:tplc="0C0A000F" w:tentative="1">
      <w:start w:val="1"/>
      <w:numFmt w:val="decimal"/>
      <w:lvlText w:val="%7."/>
      <w:lvlJc w:val="left"/>
      <w:pPr>
        <w:ind w:left="8565" w:hanging="360"/>
      </w:pPr>
    </w:lvl>
    <w:lvl w:ilvl="7" w:tplc="0C0A0019" w:tentative="1">
      <w:start w:val="1"/>
      <w:numFmt w:val="lowerLetter"/>
      <w:lvlText w:val="%8."/>
      <w:lvlJc w:val="left"/>
      <w:pPr>
        <w:ind w:left="9285" w:hanging="360"/>
      </w:pPr>
    </w:lvl>
    <w:lvl w:ilvl="8" w:tplc="0C0A001B" w:tentative="1">
      <w:start w:val="1"/>
      <w:numFmt w:val="lowerRoman"/>
      <w:lvlText w:val="%9."/>
      <w:lvlJc w:val="right"/>
      <w:pPr>
        <w:ind w:left="10005" w:hanging="180"/>
      </w:pPr>
    </w:lvl>
  </w:abstractNum>
  <w:num w:numId="1" w16cid:durableId="975067225">
    <w:abstractNumId w:val="2"/>
  </w:num>
  <w:num w:numId="2" w16cid:durableId="395204881">
    <w:abstractNumId w:val="4"/>
  </w:num>
  <w:num w:numId="3" w16cid:durableId="1516769287">
    <w:abstractNumId w:val="21"/>
  </w:num>
  <w:num w:numId="4" w16cid:durableId="44256272">
    <w:abstractNumId w:val="5"/>
  </w:num>
  <w:num w:numId="5" w16cid:durableId="1879779275">
    <w:abstractNumId w:val="11"/>
  </w:num>
  <w:num w:numId="6" w16cid:durableId="1311863364">
    <w:abstractNumId w:val="19"/>
  </w:num>
  <w:num w:numId="7" w16cid:durableId="923731254">
    <w:abstractNumId w:val="13"/>
  </w:num>
  <w:num w:numId="8" w16cid:durableId="505630078">
    <w:abstractNumId w:val="0"/>
  </w:num>
  <w:num w:numId="9" w16cid:durableId="801732328">
    <w:abstractNumId w:val="17"/>
  </w:num>
  <w:num w:numId="10" w16cid:durableId="1237208160">
    <w:abstractNumId w:val="10"/>
  </w:num>
  <w:num w:numId="11" w16cid:durableId="1284340295">
    <w:abstractNumId w:val="9"/>
  </w:num>
  <w:num w:numId="12" w16cid:durableId="271866475">
    <w:abstractNumId w:val="18"/>
  </w:num>
  <w:num w:numId="13" w16cid:durableId="1175001917">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14" w16cid:durableId="414014422">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15" w16cid:durableId="557477445">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16" w16cid:durableId="1041247209">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17" w16cid:durableId="922030071">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18" w16cid:durableId="966011435">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19" w16cid:durableId="543711559">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20" w16cid:durableId="678967185">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21" w16cid:durableId="1559054101">
    <w:abstractNumId w:val="3"/>
  </w:num>
  <w:num w:numId="22" w16cid:durableId="985864451">
    <w:abstractNumId w:val="7"/>
  </w:num>
  <w:num w:numId="23" w16cid:durableId="1285038440">
    <w:abstractNumId w:val="12"/>
  </w:num>
  <w:num w:numId="24" w16cid:durableId="1619141766">
    <w:abstractNumId w:val="14"/>
  </w:num>
  <w:num w:numId="25" w16cid:durableId="1467431155">
    <w:abstractNumId w:val="20"/>
  </w:num>
  <w:num w:numId="26" w16cid:durableId="171573921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3F6"/>
    <w:rsid w:val="00001419"/>
    <w:rsid w:val="0000246B"/>
    <w:rsid w:val="00003D30"/>
    <w:rsid w:val="00005CB9"/>
    <w:rsid w:val="00011C57"/>
    <w:rsid w:val="00013A61"/>
    <w:rsid w:val="00014A5E"/>
    <w:rsid w:val="00022B59"/>
    <w:rsid w:val="0002470B"/>
    <w:rsid w:val="00025C06"/>
    <w:rsid w:val="00030E7B"/>
    <w:rsid w:val="00031219"/>
    <w:rsid w:val="0003318B"/>
    <w:rsid w:val="00034577"/>
    <w:rsid w:val="000354C1"/>
    <w:rsid w:val="000406F8"/>
    <w:rsid w:val="00041EF6"/>
    <w:rsid w:val="00045B01"/>
    <w:rsid w:val="00046829"/>
    <w:rsid w:val="00047AFD"/>
    <w:rsid w:val="00050D80"/>
    <w:rsid w:val="000516A5"/>
    <w:rsid w:val="00051C6F"/>
    <w:rsid w:val="00051E64"/>
    <w:rsid w:val="00052A83"/>
    <w:rsid w:val="00052BEB"/>
    <w:rsid w:val="00053C54"/>
    <w:rsid w:val="00063E24"/>
    <w:rsid w:val="00065169"/>
    <w:rsid w:val="00066061"/>
    <w:rsid w:val="00066D1B"/>
    <w:rsid w:val="0006716E"/>
    <w:rsid w:val="00070823"/>
    <w:rsid w:val="000710D0"/>
    <w:rsid w:val="00071373"/>
    <w:rsid w:val="000719EC"/>
    <w:rsid w:val="00075A94"/>
    <w:rsid w:val="00080B1A"/>
    <w:rsid w:val="00084B35"/>
    <w:rsid w:val="000852A7"/>
    <w:rsid w:val="000853D0"/>
    <w:rsid w:val="000865BD"/>
    <w:rsid w:val="000914FC"/>
    <w:rsid w:val="00096610"/>
    <w:rsid w:val="00097117"/>
    <w:rsid w:val="00097231"/>
    <w:rsid w:val="0009734F"/>
    <w:rsid w:val="000A00FF"/>
    <w:rsid w:val="000A64BA"/>
    <w:rsid w:val="000A68B4"/>
    <w:rsid w:val="000A7345"/>
    <w:rsid w:val="000B0138"/>
    <w:rsid w:val="000B0DFC"/>
    <w:rsid w:val="000B292D"/>
    <w:rsid w:val="000B2C4C"/>
    <w:rsid w:val="000B31CA"/>
    <w:rsid w:val="000B462D"/>
    <w:rsid w:val="000C2D5E"/>
    <w:rsid w:val="000C4844"/>
    <w:rsid w:val="000C5C2A"/>
    <w:rsid w:val="000C6149"/>
    <w:rsid w:val="000C79EC"/>
    <w:rsid w:val="000D06EB"/>
    <w:rsid w:val="000D4060"/>
    <w:rsid w:val="000D6EA6"/>
    <w:rsid w:val="000D7657"/>
    <w:rsid w:val="000D7780"/>
    <w:rsid w:val="000E1007"/>
    <w:rsid w:val="000E3E1D"/>
    <w:rsid w:val="000E60B2"/>
    <w:rsid w:val="000E6551"/>
    <w:rsid w:val="000E7F49"/>
    <w:rsid w:val="000F075E"/>
    <w:rsid w:val="000F165E"/>
    <w:rsid w:val="000F2B15"/>
    <w:rsid w:val="000F39F9"/>
    <w:rsid w:val="000F4971"/>
    <w:rsid w:val="000F5FB3"/>
    <w:rsid w:val="000F7FE2"/>
    <w:rsid w:val="00101BA0"/>
    <w:rsid w:val="00105125"/>
    <w:rsid w:val="00116236"/>
    <w:rsid w:val="00116FDD"/>
    <w:rsid w:val="001208D4"/>
    <w:rsid w:val="00121364"/>
    <w:rsid w:val="001253B1"/>
    <w:rsid w:val="00126171"/>
    <w:rsid w:val="001322E2"/>
    <w:rsid w:val="00132965"/>
    <w:rsid w:val="0013389B"/>
    <w:rsid w:val="00135E5C"/>
    <w:rsid w:val="00136669"/>
    <w:rsid w:val="00137231"/>
    <w:rsid w:val="00141A5F"/>
    <w:rsid w:val="001420F1"/>
    <w:rsid w:val="00144533"/>
    <w:rsid w:val="00145F71"/>
    <w:rsid w:val="001460B3"/>
    <w:rsid w:val="001465ED"/>
    <w:rsid w:val="00146CC4"/>
    <w:rsid w:val="0014712D"/>
    <w:rsid w:val="001505D3"/>
    <w:rsid w:val="001549D2"/>
    <w:rsid w:val="001565BE"/>
    <w:rsid w:val="00156693"/>
    <w:rsid w:val="0016211D"/>
    <w:rsid w:val="001624B8"/>
    <w:rsid w:val="0017075C"/>
    <w:rsid w:val="001711E6"/>
    <w:rsid w:val="00172239"/>
    <w:rsid w:val="001737CB"/>
    <w:rsid w:val="00173B8B"/>
    <w:rsid w:val="00175A00"/>
    <w:rsid w:val="00180A41"/>
    <w:rsid w:val="00181C09"/>
    <w:rsid w:val="00185C45"/>
    <w:rsid w:val="0018778A"/>
    <w:rsid w:val="00190F2A"/>
    <w:rsid w:val="00192120"/>
    <w:rsid w:val="0019212D"/>
    <w:rsid w:val="0019337B"/>
    <w:rsid w:val="00193F2C"/>
    <w:rsid w:val="00195361"/>
    <w:rsid w:val="0019601D"/>
    <w:rsid w:val="001961E8"/>
    <w:rsid w:val="001969D2"/>
    <w:rsid w:val="001A19C2"/>
    <w:rsid w:val="001A21BF"/>
    <w:rsid w:val="001A4106"/>
    <w:rsid w:val="001A5EDE"/>
    <w:rsid w:val="001A6F88"/>
    <w:rsid w:val="001B32AF"/>
    <w:rsid w:val="001B408D"/>
    <w:rsid w:val="001B66FC"/>
    <w:rsid w:val="001B68CA"/>
    <w:rsid w:val="001B72EA"/>
    <w:rsid w:val="001C04E4"/>
    <w:rsid w:val="001C366B"/>
    <w:rsid w:val="001C50EA"/>
    <w:rsid w:val="001C69A9"/>
    <w:rsid w:val="001D07F9"/>
    <w:rsid w:val="001D16E2"/>
    <w:rsid w:val="001D17FB"/>
    <w:rsid w:val="001D33D2"/>
    <w:rsid w:val="001D4FF7"/>
    <w:rsid w:val="001D5628"/>
    <w:rsid w:val="001D5D0E"/>
    <w:rsid w:val="001D5FAB"/>
    <w:rsid w:val="001D6F03"/>
    <w:rsid w:val="001D727B"/>
    <w:rsid w:val="001E03CD"/>
    <w:rsid w:val="001E2BD9"/>
    <w:rsid w:val="001E3083"/>
    <w:rsid w:val="001E30AA"/>
    <w:rsid w:val="001E38BA"/>
    <w:rsid w:val="001E3FAB"/>
    <w:rsid w:val="001F08E5"/>
    <w:rsid w:val="001F0C70"/>
    <w:rsid w:val="001F0E7A"/>
    <w:rsid w:val="001F348A"/>
    <w:rsid w:val="001F3C05"/>
    <w:rsid w:val="001F5E5D"/>
    <w:rsid w:val="001F79C6"/>
    <w:rsid w:val="00200B72"/>
    <w:rsid w:val="00201003"/>
    <w:rsid w:val="0020173F"/>
    <w:rsid w:val="002040CC"/>
    <w:rsid w:val="00204FA3"/>
    <w:rsid w:val="002111AF"/>
    <w:rsid w:val="00213950"/>
    <w:rsid w:val="00220714"/>
    <w:rsid w:val="002237D3"/>
    <w:rsid w:val="00227930"/>
    <w:rsid w:val="00231D98"/>
    <w:rsid w:val="002333E9"/>
    <w:rsid w:val="00233839"/>
    <w:rsid w:val="00233C83"/>
    <w:rsid w:val="00233F0E"/>
    <w:rsid w:val="00234BF6"/>
    <w:rsid w:val="00236163"/>
    <w:rsid w:val="002407AA"/>
    <w:rsid w:val="00240A97"/>
    <w:rsid w:val="00241330"/>
    <w:rsid w:val="0024191D"/>
    <w:rsid w:val="002427C4"/>
    <w:rsid w:val="00246149"/>
    <w:rsid w:val="0024789C"/>
    <w:rsid w:val="002510C1"/>
    <w:rsid w:val="002523E2"/>
    <w:rsid w:val="00252FA7"/>
    <w:rsid w:val="00256774"/>
    <w:rsid w:val="002577BE"/>
    <w:rsid w:val="00261004"/>
    <w:rsid w:val="002623EC"/>
    <w:rsid w:val="002627EF"/>
    <w:rsid w:val="00262A13"/>
    <w:rsid w:val="002702CF"/>
    <w:rsid w:val="00270D57"/>
    <w:rsid w:val="0027245E"/>
    <w:rsid w:val="00272586"/>
    <w:rsid w:val="00272652"/>
    <w:rsid w:val="00273151"/>
    <w:rsid w:val="00273B85"/>
    <w:rsid w:val="002748C3"/>
    <w:rsid w:val="00275916"/>
    <w:rsid w:val="0027608E"/>
    <w:rsid w:val="00276B81"/>
    <w:rsid w:val="00280789"/>
    <w:rsid w:val="0028080B"/>
    <w:rsid w:val="00286989"/>
    <w:rsid w:val="00291A6F"/>
    <w:rsid w:val="00295BBC"/>
    <w:rsid w:val="002A08EB"/>
    <w:rsid w:val="002A276A"/>
    <w:rsid w:val="002A3167"/>
    <w:rsid w:val="002A4CA2"/>
    <w:rsid w:val="002A6E3D"/>
    <w:rsid w:val="002A6F49"/>
    <w:rsid w:val="002A704E"/>
    <w:rsid w:val="002B07B8"/>
    <w:rsid w:val="002B0953"/>
    <w:rsid w:val="002B46D1"/>
    <w:rsid w:val="002B693B"/>
    <w:rsid w:val="002B79CB"/>
    <w:rsid w:val="002C023A"/>
    <w:rsid w:val="002C02A2"/>
    <w:rsid w:val="002C1A21"/>
    <w:rsid w:val="002C1F93"/>
    <w:rsid w:val="002C3538"/>
    <w:rsid w:val="002C4878"/>
    <w:rsid w:val="002C5C69"/>
    <w:rsid w:val="002C7E4C"/>
    <w:rsid w:val="002D1A2F"/>
    <w:rsid w:val="002D2A6C"/>
    <w:rsid w:val="002D40B7"/>
    <w:rsid w:val="002D44EC"/>
    <w:rsid w:val="002D5071"/>
    <w:rsid w:val="002E1B04"/>
    <w:rsid w:val="002E1C73"/>
    <w:rsid w:val="002E245A"/>
    <w:rsid w:val="002E276D"/>
    <w:rsid w:val="002E31CF"/>
    <w:rsid w:val="002E3D20"/>
    <w:rsid w:val="002E523C"/>
    <w:rsid w:val="002E5A86"/>
    <w:rsid w:val="002E688C"/>
    <w:rsid w:val="002F0111"/>
    <w:rsid w:val="002F1738"/>
    <w:rsid w:val="002F7E5E"/>
    <w:rsid w:val="00301729"/>
    <w:rsid w:val="0030305B"/>
    <w:rsid w:val="003045F3"/>
    <w:rsid w:val="00307AED"/>
    <w:rsid w:val="00307DAA"/>
    <w:rsid w:val="003124D3"/>
    <w:rsid w:val="0031334F"/>
    <w:rsid w:val="00314EA5"/>
    <w:rsid w:val="00315959"/>
    <w:rsid w:val="00315E6C"/>
    <w:rsid w:val="00317046"/>
    <w:rsid w:val="00317CDB"/>
    <w:rsid w:val="00325703"/>
    <w:rsid w:val="00325FAD"/>
    <w:rsid w:val="00331DE1"/>
    <w:rsid w:val="00332701"/>
    <w:rsid w:val="00333C48"/>
    <w:rsid w:val="003342D6"/>
    <w:rsid w:val="00334CEE"/>
    <w:rsid w:val="00334D71"/>
    <w:rsid w:val="00334FAA"/>
    <w:rsid w:val="00340CCD"/>
    <w:rsid w:val="00340E2D"/>
    <w:rsid w:val="00342ED7"/>
    <w:rsid w:val="00343A19"/>
    <w:rsid w:val="003455A7"/>
    <w:rsid w:val="00345F70"/>
    <w:rsid w:val="00346B77"/>
    <w:rsid w:val="00347843"/>
    <w:rsid w:val="00350774"/>
    <w:rsid w:val="00351380"/>
    <w:rsid w:val="00352766"/>
    <w:rsid w:val="0036000F"/>
    <w:rsid w:val="00360E36"/>
    <w:rsid w:val="00361AC2"/>
    <w:rsid w:val="00363D25"/>
    <w:rsid w:val="00365DEB"/>
    <w:rsid w:val="00366908"/>
    <w:rsid w:val="00370434"/>
    <w:rsid w:val="0037135B"/>
    <w:rsid w:val="00373CED"/>
    <w:rsid w:val="003767E1"/>
    <w:rsid w:val="00377856"/>
    <w:rsid w:val="0037792D"/>
    <w:rsid w:val="003804F0"/>
    <w:rsid w:val="00382E0C"/>
    <w:rsid w:val="00382E1E"/>
    <w:rsid w:val="00382E99"/>
    <w:rsid w:val="003855F3"/>
    <w:rsid w:val="0039034F"/>
    <w:rsid w:val="00393022"/>
    <w:rsid w:val="00393D63"/>
    <w:rsid w:val="00394DEF"/>
    <w:rsid w:val="00394F19"/>
    <w:rsid w:val="0039682E"/>
    <w:rsid w:val="003A013B"/>
    <w:rsid w:val="003A1CD2"/>
    <w:rsid w:val="003A20C4"/>
    <w:rsid w:val="003A43F2"/>
    <w:rsid w:val="003A5266"/>
    <w:rsid w:val="003B186E"/>
    <w:rsid w:val="003B3A59"/>
    <w:rsid w:val="003B625A"/>
    <w:rsid w:val="003B63FA"/>
    <w:rsid w:val="003C01B8"/>
    <w:rsid w:val="003C3D7F"/>
    <w:rsid w:val="003C446C"/>
    <w:rsid w:val="003C4500"/>
    <w:rsid w:val="003C67DC"/>
    <w:rsid w:val="003D2FE8"/>
    <w:rsid w:val="003D311F"/>
    <w:rsid w:val="003D39F1"/>
    <w:rsid w:val="003D4D03"/>
    <w:rsid w:val="003E2137"/>
    <w:rsid w:val="003E2AAB"/>
    <w:rsid w:val="003E3E97"/>
    <w:rsid w:val="003E74DC"/>
    <w:rsid w:val="003E78CC"/>
    <w:rsid w:val="003F1BD0"/>
    <w:rsid w:val="003F1EEC"/>
    <w:rsid w:val="003F47E7"/>
    <w:rsid w:val="00400569"/>
    <w:rsid w:val="0040120A"/>
    <w:rsid w:val="00401E15"/>
    <w:rsid w:val="00403FF8"/>
    <w:rsid w:val="00405189"/>
    <w:rsid w:val="004059B2"/>
    <w:rsid w:val="00411A94"/>
    <w:rsid w:val="0041368D"/>
    <w:rsid w:val="00414834"/>
    <w:rsid w:val="00423A1A"/>
    <w:rsid w:val="004248A2"/>
    <w:rsid w:val="00425BC8"/>
    <w:rsid w:val="00427591"/>
    <w:rsid w:val="004308E4"/>
    <w:rsid w:val="004343F6"/>
    <w:rsid w:val="00436ABD"/>
    <w:rsid w:val="004372F9"/>
    <w:rsid w:val="004410A8"/>
    <w:rsid w:val="00442583"/>
    <w:rsid w:val="00445853"/>
    <w:rsid w:val="004461D0"/>
    <w:rsid w:val="00446B55"/>
    <w:rsid w:val="00446FD4"/>
    <w:rsid w:val="0045775A"/>
    <w:rsid w:val="004603BC"/>
    <w:rsid w:val="00460A74"/>
    <w:rsid w:val="00461ABA"/>
    <w:rsid w:val="0046528A"/>
    <w:rsid w:val="004664B9"/>
    <w:rsid w:val="0046778C"/>
    <w:rsid w:val="00470369"/>
    <w:rsid w:val="00470D75"/>
    <w:rsid w:val="0047158E"/>
    <w:rsid w:val="004725B0"/>
    <w:rsid w:val="00472894"/>
    <w:rsid w:val="00473C69"/>
    <w:rsid w:val="004769CC"/>
    <w:rsid w:val="004817F2"/>
    <w:rsid w:val="00481C2E"/>
    <w:rsid w:val="00481E49"/>
    <w:rsid w:val="004833D1"/>
    <w:rsid w:val="00483B52"/>
    <w:rsid w:val="00490581"/>
    <w:rsid w:val="00493133"/>
    <w:rsid w:val="004943CF"/>
    <w:rsid w:val="0049690B"/>
    <w:rsid w:val="0049746F"/>
    <w:rsid w:val="004A5267"/>
    <w:rsid w:val="004A68E9"/>
    <w:rsid w:val="004A6F62"/>
    <w:rsid w:val="004B5ACA"/>
    <w:rsid w:val="004B62FD"/>
    <w:rsid w:val="004B6771"/>
    <w:rsid w:val="004B7214"/>
    <w:rsid w:val="004B7B49"/>
    <w:rsid w:val="004C2F6B"/>
    <w:rsid w:val="004C3F79"/>
    <w:rsid w:val="004C412A"/>
    <w:rsid w:val="004C4F3C"/>
    <w:rsid w:val="004D2A8F"/>
    <w:rsid w:val="004D2FCE"/>
    <w:rsid w:val="004D3CC2"/>
    <w:rsid w:val="004D4FB3"/>
    <w:rsid w:val="004D5273"/>
    <w:rsid w:val="004D6587"/>
    <w:rsid w:val="004D69E9"/>
    <w:rsid w:val="004E042E"/>
    <w:rsid w:val="004E0859"/>
    <w:rsid w:val="004E161C"/>
    <w:rsid w:val="004E3315"/>
    <w:rsid w:val="004E3B98"/>
    <w:rsid w:val="004E4297"/>
    <w:rsid w:val="004E48E4"/>
    <w:rsid w:val="004E50E6"/>
    <w:rsid w:val="004E52E8"/>
    <w:rsid w:val="004E5336"/>
    <w:rsid w:val="004E559D"/>
    <w:rsid w:val="004E62FC"/>
    <w:rsid w:val="004E6CFD"/>
    <w:rsid w:val="004E7696"/>
    <w:rsid w:val="004E793E"/>
    <w:rsid w:val="004F1FC4"/>
    <w:rsid w:val="004F214E"/>
    <w:rsid w:val="004F2A43"/>
    <w:rsid w:val="004F37DC"/>
    <w:rsid w:val="004F4877"/>
    <w:rsid w:val="0050139B"/>
    <w:rsid w:val="00501537"/>
    <w:rsid w:val="00501BE0"/>
    <w:rsid w:val="005022A0"/>
    <w:rsid w:val="005041AE"/>
    <w:rsid w:val="0050530E"/>
    <w:rsid w:val="00505CDD"/>
    <w:rsid w:val="0050716A"/>
    <w:rsid w:val="00507A5A"/>
    <w:rsid w:val="005111BB"/>
    <w:rsid w:val="005124FE"/>
    <w:rsid w:val="005158E3"/>
    <w:rsid w:val="0051604A"/>
    <w:rsid w:val="005174F1"/>
    <w:rsid w:val="00520AE6"/>
    <w:rsid w:val="005261EE"/>
    <w:rsid w:val="005265FE"/>
    <w:rsid w:val="00526BD4"/>
    <w:rsid w:val="005302DC"/>
    <w:rsid w:val="00532EEF"/>
    <w:rsid w:val="005400D3"/>
    <w:rsid w:val="005403EC"/>
    <w:rsid w:val="005409C9"/>
    <w:rsid w:val="00541386"/>
    <w:rsid w:val="00541BA4"/>
    <w:rsid w:val="00542B7A"/>
    <w:rsid w:val="00544922"/>
    <w:rsid w:val="00551010"/>
    <w:rsid w:val="00551E1A"/>
    <w:rsid w:val="00551E46"/>
    <w:rsid w:val="00553074"/>
    <w:rsid w:val="00553F4F"/>
    <w:rsid w:val="00555C7A"/>
    <w:rsid w:val="00562703"/>
    <w:rsid w:val="00562EED"/>
    <w:rsid w:val="00564940"/>
    <w:rsid w:val="00567068"/>
    <w:rsid w:val="0056751F"/>
    <w:rsid w:val="00567E23"/>
    <w:rsid w:val="00570031"/>
    <w:rsid w:val="00572853"/>
    <w:rsid w:val="00572B17"/>
    <w:rsid w:val="0057327A"/>
    <w:rsid w:val="0058158C"/>
    <w:rsid w:val="00582259"/>
    <w:rsid w:val="005825FA"/>
    <w:rsid w:val="00584A50"/>
    <w:rsid w:val="0058724C"/>
    <w:rsid w:val="00595B3C"/>
    <w:rsid w:val="00596459"/>
    <w:rsid w:val="005A1B40"/>
    <w:rsid w:val="005A46F9"/>
    <w:rsid w:val="005A49C3"/>
    <w:rsid w:val="005B0E28"/>
    <w:rsid w:val="005B2924"/>
    <w:rsid w:val="005B3A58"/>
    <w:rsid w:val="005B429C"/>
    <w:rsid w:val="005B49B5"/>
    <w:rsid w:val="005B620E"/>
    <w:rsid w:val="005B6B7F"/>
    <w:rsid w:val="005B7768"/>
    <w:rsid w:val="005C5681"/>
    <w:rsid w:val="005C7A62"/>
    <w:rsid w:val="005C7DD5"/>
    <w:rsid w:val="005D1A47"/>
    <w:rsid w:val="005D28C7"/>
    <w:rsid w:val="005D3876"/>
    <w:rsid w:val="005D425A"/>
    <w:rsid w:val="005D5670"/>
    <w:rsid w:val="005E02DC"/>
    <w:rsid w:val="005E03D2"/>
    <w:rsid w:val="005E3112"/>
    <w:rsid w:val="005E5C77"/>
    <w:rsid w:val="005F00AE"/>
    <w:rsid w:val="005F0534"/>
    <w:rsid w:val="005F313E"/>
    <w:rsid w:val="005F31FF"/>
    <w:rsid w:val="005F363B"/>
    <w:rsid w:val="005F6B9A"/>
    <w:rsid w:val="00601C7A"/>
    <w:rsid w:val="006021FF"/>
    <w:rsid w:val="00604603"/>
    <w:rsid w:val="00604823"/>
    <w:rsid w:val="006049CB"/>
    <w:rsid w:val="00604CE1"/>
    <w:rsid w:val="0060652D"/>
    <w:rsid w:val="00610502"/>
    <w:rsid w:val="00611B1C"/>
    <w:rsid w:val="00611B5F"/>
    <w:rsid w:val="006153FA"/>
    <w:rsid w:val="006163FD"/>
    <w:rsid w:val="00616F63"/>
    <w:rsid w:val="00620C58"/>
    <w:rsid w:val="0062106D"/>
    <w:rsid w:val="006216BF"/>
    <w:rsid w:val="006222F4"/>
    <w:rsid w:val="00623039"/>
    <w:rsid w:val="0062411F"/>
    <w:rsid w:val="00626A72"/>
    <w:rsid w:val="00630942"/>
    <w:rsid w:val="00630CDD"/>
    <w:rsid w:val="00630FA7"/>
    <w:rsid w:val="00633570"/>
    <w:rsid w:val="00633F76"/>
    <w:rsid w:val="00636BF6"/>
    <w:rsid w:val="00640922"/>
    <w:rsid w:val="006419D0"/>
    <w:rsid w:val="006424A1"/>
    <w:rsid w:val="006430AC"/>
    <w:rsid w:val="00643548"/>
    <w:rsid w:val="006469EF"/>
    <w:rsid w:val="006502E0"/>
    <w:rsid w:val="0065140E"/>
    <w:rsid w:val="00651CAC"/>
    <w:rsid w:val="00651EE7"/>
    <w:rsid w:val="00652F47"/>
    <w:rsid w:val="0065352E"/>
    <w:rsid w:val="00653530"/>
    <w:rsid w:val="00655EE2"/>
    <w:rsid w:val="00655FCA"/>
    <w:rsid w:val="006561BB"/>
    <w:rsid w:val="006622FA"/>
    <w:rsid w:val="006649CB"/>
    <w:rsid w:val="00665650"/>
    <w:rsid w:val="00667075"/>
    <w:rsid w:val="00667EF3"/>
    <w:rsid w:val="006704AF"/>
    <w:rsid w:val="00671045"/>
    <w:rsid w:val="0067277E"/>
    <w:rsid w:val="006732EE"/>
    <w:rsid w:val="006734AA"/>
    <w:rsid w:val="00674ACF"/>
    <w:rsid w:val="00674EF3"/>
    <w:rsid w:val="006765BA"/>
    <w:rsid w:val="00680512"/>
    <w:rsid w:val="00682425"/>
    <w:rsid w:val="00684D3B"/>
    <w:rsid w:val="006853DD"/>
    <w:rsid w:val="00686210"/>
    <w:rsid w:val="00687D05"/>
    <w:rsid w:val="00693E43"/>
    <w:rsid w:val="006945A1"/>
    <w:rsid w:val="006949BE"/>
    <w:rsid w:val="006953C9"/>
    <w:rsid w:val="00697979"/>
    <w:rsid w:val="006A03F2"/>
    <w:rsid w:val="006A0969"/>
    <w:rsid w:val="006A17F4"/>
    <w:rsid w:val="006A1C4C"/>
    <w:rsid w:val="006A5062"/>
    <w:rsid w:val="006A53F3"/>
    <w:rsid w:val="006A6EEA"/>
    <w:rsid w:val="006A75CD"/>
    <w:rsid w:val="006B0671"/>
    <w:rsid w:val="006B18CB"/>
    <w:rsid w:val="006B6C68"/>
    <w:rsid w:val="006C1793"/>
    <w:rsid w:val="006C1968"/>
    <w:rsid w:val="006C32A3"/>
    <w:rsid w:val="006C5E9B"/>
    <w:rsid w:val="006C646A"/>
    <w:rsid w:val="006D2B63"/>
    <w:rsid w:val="006D4E74"/>
    <w:rsid w:val="006D5223"/>
    <w:rsid w:val="006D62DF"/>
    <w:rsid w:val="006D648A"/>
    <w:rsid w:val="006E019B"/>
    <w:rsid w:val="006E0779"/>
    <w:rsid w:val="006E43A9"/>
    <w:rsid w:val="006E5012"/>
    <w:rsid w:val="006E7029"/>
    <w:rsid w:val="006F0C19"/>
    <w:rsid w:val="006F26C0"/>
    <w:rsid w:val="006F489B"/>
    <w:rsid w:val="006F53E0"/>
    <w:rsid w:val="006F5FB3"/>
    <w:rsid w:val="006F7E7A"/>
    <w:rsid w:val="00700656"/>
    <w:rsid w:val="00706914"/>
    <w:rsid w:val="00707739"/>
    <w:rsid w:val="00707ABF"/>
    <w:rsid w:val="00710314"/>
    <w:rsid w:val="00711558"/>
    <w:rsid w:val="007137D6"/>
    <w:rsid w:val="00713941"/>
    <w:rsid w:val="007145E6"/>
    <w:rsid w:val="00714C2E"/>
    <w:rsid w:val="00715D2C"/>
    <w:rsid w:val="00717DEE"/>
    <w:rsid w:val="00721012"/>
    <w:rsid w:val="00724DA5"/>
    <w:rsid w:val="0072527E"/>
    <w:rsid w:val="00725443"/>
    <w:rsid w:val="00727909"/>
    <w:rsid w:val="00730347"/>
    <w:rsid w:val="00732CD4"/>
    <w:rsid w:val="00732E97"/>
    <w:rsid w:val="00735C99"/>
    <w:rsid w:val="00735FC3"/>
    <w:rsid w:val="007415EC"/>
    <w:rsid w:val="00742149"/>
    <w:rsid w:val="00743A57"/>
    <w:rsid w:val="00744069"/>
    <w:rsid w:val="007475AB"/>
    <w:rsid w:val="007478F6"/>
    <w:rsid w:val="007479A5"/>
    <w:rsid w:val="007552C8"/>
    <w:rsid w:val="00761788"/>
    <w:rsid w:val="00762152"/>
    <w:rsid w:val="00764086"/>
    <w:rsid w:val="0077028D"/>
    <w:rsid w:val="007708D7"/>
    <w:rsid w:val="00773ED6"/>
    <w:rsid w:val="00776FDF"/>
    <w:rsid w:val="00780D2D"/>
    <w:rsid w:val="0078265A"/>
    <w:rsid w:val="007830C1"/>
    <w:rsid w:val="00784880"/>
    <w:rsid w:val="00790243"/>
    <w:rsid w:val="0079295F"/>
    <w:rsid w:val="00793E31"/>
    <w:rsid w:val="0079514C"/>
    <w:rsid w:val="00795735"/>
    <w:rsid w:val="00795A27"/>
    <w:rsid w:val="007A0510"/>
    <w:rsid w:val="007A385C"/>
    <w:rsid w:val="007A3ACE"/>
    <w:rsid w:val="007A5A0C"/>
    <w:rsid w:val="007A62F6"/>
    <w:rsid w:val="007A746A"/>
    <w:rsid w:val="007B09C4"/>
    <w:rsid w:val="007B168F"/>
    <w:rsid w:val="007B4D86"/>
    <w:rsid w:val="007B5425"/>
    <w:rsid w:val="007B6167"/>
    <w:rsid w:val="007B664A"/>
    <w:rsid w:val="007C0CE3"/>
    <w:rsid w:val="007C1EFF"/>
    <w:rsid w:val="007C403E"/>
    <w:rsid w:val="007C408C"/>
    <w:rsid w:val="007C4B93"/>
    <w:rsid w:val="007D0264"/>
    <w:rsid w:val="007D24A6"/>
    <w:rsid w:val="007D2CD3"/>
    <w:rsid w:val="007D42B1"/>
    <w:rsid w:val="007D538C"/>
    <w:rsid w:val="007E29A7"/>
    <w:rsid w:val="007E40A0"/>
    <w:rsid w:val="007E5DA8"/>
    <w:rsid w:val="007E7515"/>
    <w:rsid w:val="007F01A2"/>
    <w:rsid w:val="007F3A6F"/>
    <w:rsid w:val="007F42F2"/>
    <w:rsid w:val="007F5330"/>
    <w:rsid w:val="007F603E"/>
    <w:rsid w:val="007F6908"/>
    <w:rsid w:val="00801345"/>
    <w:rsid w:val="008022E6"/>
    <w:rsid w:val="00802E2B"/>
    <w:rsid w:val="008042BB"/>
    <w:rsid w:val="008051C8"/>
    <w:rsid w:val="00806D76"/>
    <w:rsid w:val="00807FD1"/>
    <w:rsid w:val="008127B4"/>
    <w:rsid w:val="008146CA"/>
    <w:rsid w:val="0081475B"/>
    <w:rsid w:val="0081693F"/>
    <w:rsid w:val="00820F0C"/>
    <w:rsid w:val="008230E9"/>
    <w:rsid w:val="008236B9"/>
    <w:rsid w:val="00827C82"/>
    <w:rsid w:val="008302A2"/>
    <w:rsid w:val="00830ACB"/>
    <w:rsid w:val="00831120"/>
    <w:rsid w:val="00833173"/>
    <w:rsid w:val="008332B6"/>
    <w:rsid w:val="0083359A"/>
    <w:rsid w:val="00834876"/>
    <w:rsid w:val="008372C5"/>
    <w:rsid w:val="008378ED"/>
    <w:rsid w:val="00841901"/>
    <w:rsid w:val="00843F86"/>
    <w:rsid w:val="00844AA6"/>
    <w:rsid w:val="0085023F"/>
    <w:rsid w:val="00850D72"/>
    <w:rsid w:val="00851815"/>
    <w:rsid w:val="00853FEF"/>
    <w:rsid w:val="0085415E"/>
    <w:rsid w:val="008575C6"/>
    <w:rsid w:val="00857B5D"/>
    <w:rsid w:val="00861F5A"/>
    <w:rsid w:val="00862248"/>
    <w:rsid w:val="00862486"/>
    <w:rsid w:val="00862D2E"/>
    <w:rsid w:val="008672BA"/>
    <w:rsid w:val="00871A56"/>
    <w:rsid w:val="00875CB0"/>
    <w:rsid w:val="008771A5"/>
    <w:rsid w:val="00881320"/>
    <w:rsid w:val="008832B2"/>
    <w:rsid w:val="008869AA"/>
    <w:rsid w:val="008905D0"/>
    <w:rsid w:val="00890C38"/>
    <w:rsid w:val="00890E88"/>
    <w:rsid w:val="00892D81"/>
    <w:rsid w:val="00893901"/>
    <w:rsid w:val="00893FA8"/>
    <w:rsid w:val="008A4F50"/>
    <w:rsid w:val="008A5823"/>
    <w:rsid w:val="008A5A8A"/>
    <w:rsid w:val="008B245B"/>
    <w:rsid w:val="008B5DF6"/>
    <w:rsid w:val="008C0745"/>
    <w:rsid w:val="008C3DE7"/>
    <w:rsid w:val="008C4536"/>
    <w:rsid w:val="008C4619"/>
    <w:rsid w:val="008C73E8"/>
    <w:rsid w:val="008C7DEC"/>
    <w:rsid w:val="008D108D"/>
    <w:rsid w:val="008D3629"/>
    <w:rsid w:val="008D426F"/>
    <w:rsid w:val="008D4FC5"/>
    <w:rsid w:val="008D56E7"/>
    <w:rsid w:val="008E1A91"/>
    <w:rsid w:val="008E6818"/>
    <w:rsid w:val="008F22AA"/>
    <w:rsid w:val="008F321E"/>
    <w:rsid w:val="008F4276"/>
    <w:rsid w:val="008F53B6"/>
    <w:rsid w:val="008F792D"/>
    <w:rsid w:val="00900265"/>
    <w:rsid w:val="009009A7"/>
    <w:rsid w:val="0090108E"/>
    <w:rsid w:val="0090372E"/>
    <w:rsid w:val="00904560"/>
    <w:rsid w:val="0090520C"/>
    <w:rsid w:val="009058EA"/>
    <w:rsid w:val="00906730"/>
    <w:rsid w:val="00911033"/>
    <w:rsid w:val="009133E4"/>
    <w:rsid w:val="00914254"/>
    <w:rsid w:val="00915C9D"/>
    <w:rsid w:val="00916721"/>
    <w:rsid w:val="00917352"/>
    <w:rsid w:val="00917732"/>
    <w:rsid w:val="00920F83"/>
    <w:rsid w:val="00921A1B"/>
    <w:rsid w:val="00921E6C"/>
    <w:rsid w:val="00921F0B"/>
    <w:rsid w:val="0092336E"/>
    <w:rsid w:val="009301BF"/>
    <w:rsid w:val="009350FF"/>
    <w:rsid w:val="00935829"/>
    <w:rsid w:val="009365E6"/>
    <w:rsid w:val="00940431"/>
    <w:rsid w:val="0094742A"/>
    <w:rsid w:val="00947E93"/>
    <w:rsid w:val="009505B2"/>
    <w:rsid w:val="00950AC4"/>
    <w:rsid w:val="00951E81"/>
    <w:rsid w:val="009540DD"/>
    <w:rsid w:val="00954450"/>
    <w:rsid w:val="00955C82"/>
    <w:rsid w:val="00957ED1"/>
    <w:rsid w:val="009603B6"/>
    <w:rsid w:val="00962C77"/>
    <w:rsid w:val="0096506F"/>
    <w:rsid w:val="0096642C"/>
    <w:rsid w:val="009751DE"/>
    <w:rsid w:val="00975738"/>
    <w:rsid w:val="00980ABA"/>
    <w:rsid w:val="00985A87"/>
    <w:rsid w:val="00986582"/>
    <w:rsid w:val="009868BE"/>
    <w:rsid w:val="009871BB"/>
    <w:rsid w:val="00987644"/>
    <w:rsid w:val="00987796"/>
    <w:rsid w:val="0098787B"/>
    <w:rsid w:val="00987972"/>
    <w:rsid w:val="00990AB0"/>
    <w:rsid w:val="00996555"/>
    <w:rsid w:val="00997DD1"/>
    <w:rsid w:val="00997E8B"/>
    <w:rsid w:val="009A2676"/>
    <w:rsid w:val="009A28A9"/>
    <w:rsid w:val="009A50F2"/>
    <w:rsid w:val="009A603B"/>
    <w:rsid w:val="009A6279"/>
    <w:rsid w:val="009A677A"/>
    <w:rsid w:val="009B0FB6"/>
    <w:rsid w:val="009B318D"/>
    <w:rsid w:val="009B43DB"/>
    <w:rsid w:val="009B4450"/>
    <w:rsid w:val="009B5BE3"/>
    <w:rsid w:val="009B5C4F"/>
    <w:rsid w:val="009B63C9"/>
    <w:rsid w:val="009C2CB0"/>
    <w:rsid w:val="009C360C"/>
    <w:rsid w:val="009D45A1"/>
    <w:rsid w:val="009D5BF6"/>
    <w:rsid w:val="009D6A42"/>
    <w:rsid w:val="009D70B2"/>
    <w:rsid w:val="009E0F16"/>
    <w:rsid w:val="009E1502"/>
    <w:rsid w:val="009E1E0F"/>
    <w:rsid w:val="009E2D5D"/>
    <w:rsid w:val="009E712F"/>
    <w:rsid w:val="009E7671"/>
    <w:rsid w:val="009F0024"/>
    <w:rsid w:val="009F0A0C"/>
    <w:rsid w:val="009F1544"/>
    <w:rsid w:val="009F67ED"/>
    <w:rsid w:val="00A01BCD"/>
    <w:rsid w:val="00A07582"/>
    <w:rsid w:val="00A10E37"/>
    <w:rsid w:val="00A10E59"/>
    <w:rsid w:val="00A14F71"/>
    <w:rsid w:val="00A150A7"/>
    <w:rsid w:val="00A160CD"/>
    <w:rsid w:val="00A16617"/>
    <w:rsid w:val="00A217C9"/>
    <w:rsid w:val="00A2265F"/>
    <w:rsid w:val="00A22D50"/>
    <w:rsid w:val="00A259EF"/>
    <w:rsid w:val="00A269A6"/>
    <w:rsid w:val="00A316C8"/>
    <w:rsid w:val="00A3206E"/>
    <w:rsid w:val="00A321DF"/>
    <w:rsid w:val="00A33549"/>
    <w:rsid w:val="00A33A91"/>
    <w:rsid w:val="00A35B6D"/>
    <w:rsid w:val="00A37A06"/>
    <w:rsid w:val="00A40696"/>
    <w:rsid w:val="00A44F33"/>
    <w:rsid w:val="00A45CBF"/>
    <w:rsid w:val="00A464E3"/>
    <w:rsid w:val="00A47EFD"/>
    <w:rsid w:val="00A53808"/>
    <w:rsid w:val="00A53875"/>
    <w:rsid w:val="00A56442"/>
    <w:rsid w:val="00A57F7C"/>
    <w:rsid w:val="00A602F3"/>
    <w:rsid w:val="00A610F4"/>
    <w:rsid w:val="00A62764"/>
    <w:rsid w:val="00A6738C"/>
    <w:rsid w:val="00A70097"/>
    <w:rsid w:val="00A70A64"/>
    <w:rsid w:val="00A70BC2"/>
    <w:rsid w:val="00A713CE"/>
    <w:rsid w:val="00A71DFA"/>
    <w:rsid w:val="00A75067"/>
    <w:rsid w:val="00A7597D"/>
    <w:rsid w:val="00A814F5"/>
    <w:rsid w:val="00A81805"/>
    <w:rsid w:val="00A8379C"/>
    <w:rsid w:val="00A84A0D"/>
    <w:rsid w:val="00A91110"/>
    <w:rsid w:val="00A9141F"/>
    <w:rsid w:val="00A944C9"/>
    <w:rsid w:val="00A95799"/>
    <w:rsid w:val="00A963B6"/>
    <w:rsid w:val="00AA0502"/>
    <w:rsid w:val="00AA08C9"/>
    <w:rsid w:val="00AA3607"/>
    <w:rsid w:val="00AA3E15"/>
    <w:rsid w:val="00AB197B"/>
    <w:rsid w:val="00AB22EE"/>
    <w:rsid w:val="00AB32AC"/>
    <w:rsid w:val="00AB3873"/>
    <w:rsid w:val="00AB6AFF"/>
    <w:rsid w:val="00AB7C82"/>
    <w:rsid w:val="00AC67EB"/>
    <w:rsid w:val="00AC77F2"/>
    <w:rsid w:val="00AD0B8E"/>
    <w:rsid w:val="00AD5016"/>
    <w:rsid w:val="00AD62E0"/>
    <w:rsid w:val="00AD7FFC"/>
    <w:rsid w:val="00AE0B1C"/>
    <w:rsid w:val="00AE1823"/>
    <w:rsid w:val="00AE1D35"/>
    <w:rsid w:val="00AE234B"/>
    <w:rsid w:val="00AE3909"/>
    <w:rsid w:val="00AE49ED"/>
    <w:rsid w:val="00AE647C"/>
    <w:rsid w:val="00AE715D"/>
    <w:rsid w:val="00AF0504"/>
    <w:rsid w:val="00AF0F8D"/>
    <w:rsid w:val="00AF1608"/>
    <w:rsid w:val="00AF3DDD"/>
    <w:rsid w:val="00AF4458"/>
    <w:rsid w:val="00AF6128"/>
    <w:rsid w:val="00AF72D3"/>
    <w:rsid w:val="00B00AE8"/>
    <w:rsid w:val="00B013F4"/>
    <w:rsid w:val="00B017D2"/>
    <w:rsid w:val="00B01C0B"/>
    <w:rsid w:val="00B038ED"/>
    <w:rsid w:val="00B043E9"/>
    <w:rsid w:val="00B05AD6"/>
    <w:rsid w:val="00B10478"/>
    <w:rsid w:val="00B1154C"/>
    <w:rsid w:val="00B11B0C"/>
    <w:rsid w:val="00B11D46"/>
    <w:rsid w:val="00B12363"/>
    <w:rsid w:val="00B142EE"/>
    <w:rsid w:val="00B14D0D"/>
    <w:rsid w:val="00B1545E"/>
    <w:rsid w:val="00B158B7"/>
    <w:rsid w:val="00B15E65"/>
    <w:rsid w:val="00B16D88"/>
    <w:rsid w:val="00B20F15"/>
    <w:rsid w:val="00B239F6"/>
    <w:rsid w:val="00B23F6C"/>
    <w:rsid w:val="00B25F29"/>
    <w:rsid w:val="00B30010"/>
    <w:rsid w:val="00B33131"/>
    <w:rsid w:val="00B349C9"/>
    <w:rsid w:val="00B36611"/>
    <w:rsid w:val="00B36E07"/>
    <w:rsid w:val="00B4284F"/>
    <w:rsid w:val="00B4360F"/>
    <w:rsid w:val="00B46B4A"/>
    <w:rsid w:val="00B50416"/>
    <w:rsid w:val="00B5479A"/>
    <w:rsid w:val="00B57028"/>
    <w:rsid w:val="00B5777D"/>
    <w:rsid w:val="00B64F66"/>
    <w:rsid w:val="00B6625B"/>
    <w:rsid w:val="00B66D39"/>
    <w:rsid w:val="00B66E57"/>
    <w:rsid w:val="00B678AB"/>
    <w:rsid w:val="00B67930"/>
    <w:rsid w:val="00B67A31"/>
    <w:rsid w:val="00B7035A"/>
    <w:rsid w:val="00B72127"/>
    <w:rsid w:val="00B73A25"/>
    <w:rsid w:val="00B77070"/>
    <w:rsid w:val="00B77225"/>
    <w:rsid w:val="00B80F83"/>
    <w:rsid w:val="00B811C5"/>
    <w:rsid w:val="00B86174"/>
    <w:rsid w:val="00B86BE3"/>
    <w:rsid w:val="00B910ED"/>
    <w:rsid w:val="00B91BB8"/>
    <w:rsid w:val="00B91C14"/>
    <w:rsid w:val="00B92E68"/>
    <w:rsid w:val="00B95212"/>
    <w:rsid w:val="00B96CB7"/>
    <w:rsid w:val="00B970E9"/>
    <w:rsid w:val="00B97100"/>
    <w:rsid w:val="00BA04CF"/>
    <w:rsid w:val="00BA1914"/>
    <w:rsid w:val="00BA3C0E"/>
    <w:rsid w:val="00BB12DC"/>
    <w:rsid w:val="00BB1F77"/>
    <w:rsid w:val="00BB7851"/>
    <w:rsid w:val="00BC04A9"/>
    <w:rsid w:val="00BC0921"/>
    <w:rsid w:val="00BC23E6"/>
    <w:rsid w:val="00BC339E"/>
    <w:rsid w:val="00BC354D"/>
    <w:rsid w:val="00BC53A0"/>
    <w:rsid w:val="00BC7AD3"/>
    <w:rsid w:val="00BD0271"/>
    <w:rsid w:val="00BD12BC"/>
    <w:rsid w:val="00BD42CD"/>
    <w:rsid w:val="00BD7BE7"/>
    <w:rsid w:val="00BD7D2C"/>
    <w:rsid w:val="00BE1031"/>
    <w:rsid w:val="00BE105D"/>
    <w:rsid w:val="00BE70C7"/>
    <w:rsid w:val="00BF57AE"/>
    <w:rsid w:val="00BF6B7A"/>
    <w:rsid w:val="00BF79AE"/>
    <w:rsid w:val="00C00F57"/>
    <w:rsid w:val="00C02662"/>
    <w:rsid w:val="00C040FA"/>
    <w:rsid w:val="00C04F86"/>
    <w:rsid w:val="00C053DB"/>
    <w:rsid w:val="00C055B5"/>
    <w:rsid w:val="00C061A1"/>
    <w:rsid w:val="00C06C2F"/>
    <w:rsid w:val="00C108D1"/>
    <w:rsid w:val="00C114EA"/>
    <w:rsid w:val="00C11B1C"/>
    <w:rsid w:val="00C125BA"/>
    <w:rsid w:val="00C12646"/>
    <w:rsid w:val="00C12BE3"/>
    <w:rsid w:val="00C12E47"/>
    <w:rsid w:val="00C16F7D"/>
    <w:rsid w:val="00C16FC4"/>
    <w:rsid w:val="00C201EF"/>
    <w:rsid w:val="00C21592"/>
    <w:rsid w:val="00C23D6A"/>
    <w:rsid w:val="00C24332"/>
    <w:rsid w:val="00C24782"/>
    <w:rsid w:val="00C251F8"/>
    <w:rsid w:val="00C252EE"/>
    <w:rsid w:val="00C25995"/>
    <w:rsid w:val="00C276FE"/>
    <w:rsid w:val="00C307A4"/>
    <w:rsid w:val="00C34D88"/>
    <w:rsid w:val="00C356BB"/>
    <w:rsid w:val="00C35C79"/>
    <w:rsid w:val="00C35F90"/>
    <w:rsid w:val="00C37E84"/>
    <w:rsid w:val="00C42C1A"/>
    <w:rsid w:val="00C42E41"/>
    <w:rsid w:val="00C442B6"/>
    <w:rsid w:val="00C45541"/>
    <w:rsid w:val="00C458E1"/>
    <w:rsid w:val="00C60A78"/>
    <w:rsid w:val="00C6651F"/>
    <w:rsid w:val="00C66C42"/>
    <w:rsid w:val="00C674F3"/>
    <w:rsid w:val="00C7328D"/>
    <w:rsid w:val="00C73A43"/>
    <w:rsid w:val="00C74548"/>
    <w:rsid w:val="00C74A4E"/>
    <w:rsid w:val="00C750C1"/>
    <w:rsid w:val="00C766D6"/>
    <w:rsid w:val="00C768FC"/>
    <w:rsid w:val="00C806ED"/>
    <w:rsid w:val="00C819A9"/>
    <w:rsid w:val="00C82033"/>
    <w:rsid w:val="00C8206F"/>
    <w:rsid w:val="00C836DC"/>
    <w:rsid w:val="00C846B0"/>
    <w:rsid w:val="00C84B36"/>
    <w:rsid w:val="00C85618"/>
    <w:rsid w:val="00C863F0"/>
    <w:rsid w:val="00C87AF5"/>
    <w:rsid w:val="00C903F8"/>
    <w:rsid w:val="00C90719"/>
    <w:rsid w:val="00C91C2B"/>
    <w:rsid w:val="00C92B5C"/>
    <w:rsid w:val="00C93237"/>
    <w:rsid w:val="00C95930"/>
    <w:rsid w:val="00CA2D0E"/>
    <w:rsid w:val="00CA50AD"/>
    <w:rsid w:val="00CA5919"/>
    <w:rsid w:val="00CA6056"/>
    <w:rsid w:val="00CA6244"/>
    <w:rsid w:val="00CA7431"/>
    <w:rsid w:val="00CA7AF3"/>
    <w:rsid w:val="00CB0ACF"/>
    <w:rsid w:val="00CB3282"/>
    <w:rsid w:val="00CC0B26"/>
    <w:rsid w:val="00CC1BA0"/>
    <w:rsid w:val="00CC3836"/>
    <w:rsid w:val="00CC3C8B"/>
    <w:rsid w:val="00CC4224"/>
    <w:rsid w:val="00CD1CB6"/>
    <w:rsid w:val="00CD31F9"/>
    <w:rsid w:val="00CD3BC7"/>
    <w:rsid w:val="00CD41CD"/>
    <w:rsid w:val="00CD4650"/>
    <w:rsid w:val="00CD613D"/>
    <w:rsid w:val="00CD7361"/>
    <w:rsid w:val="00CD7F1C"/>
    <w:rsid w:val="00CE08DE"/>
    <w:rsid w:val="00CE2885"/>
    <w:rsid w:val="00CE383E"/>
    <w:rsid w:val="00CE39E9"/>
    <w:rsid w:val="00CF23B0"/>
    <w:rsid w:val="00CF482B"/>
    <w:rsid w:val="00CF5E46"/>
    <w:rsid w:val="00CF7C60"/>
    <w:rsid w:val="00D02E2A"/>
    <w:rsid w:val="00D03159"/>
    <w:rsid w:val="00D05698"/>
    <w:rsid w:val="00D05BC2"/>
    <w:rsid w:val="00D06AA3"/>
    <w:rsid w:val="00D06B13"/>
    <w:rsid w:val="00D14885"/>
    <w:rsid w:val="00D17B29"/>
    <w:rsid w:val="00D2393E"/>
    <w:rsid w:val="00D23D9B"/>
    <w:rsid w:val="00D23E81"/>
    <w:rsid w:val="00D2451D"/>
    <w:rsid w:val="00D24973"/>
    <w:rsid w:val="00D26B76"/>
    <w:rsid w:val="00D30C25"/>
    <w:rsid w:val="00D31134"/>
    <w:rsid w:val="00D33200"/>
    <w:rsid w:val="00D356EB"/>
    <w:rsid w:val="00D361DD"/>
    <w:rsid w:val="00D36963"/>
    <w:rsid w:val="00D36FB0"/>
    <w:rsid w:val="00D37CF5"/>
    <w:rsid w:val="00D4051F"/>
    <w:rsid w:val="00D41A3A"/>
    <w:rsid w:val="00D42DF6"/>
    <w:rsid w:val="00D4367C"/>
    <w:rsid w:val="00D446B3"/>
    <w:rsid w:val="00D4527C"/>
    <w:rsid w:val="00D45D65"/>
    <w:rsid w:val="00D45E53"/>
    <w:rsid w:val="00D47693"/>
    <w:rsid w:val="00D47B69"/>
    <w:rsid w:val="00D50528"/>
    <w:rsid w:val="00D51D51"/>
    <w:rsid w:val="00D54F2B"/>
    <w:rsid w:val="00D602E1"/>
    <w:rsid w:val="00D608A1"/>
    <w:rsid w:val="00D626B7"/>
    <w:rsid w:val="00D66A3B"/>
    <w:rsid w:val="00D71D17"/>
    <w:rsid w:val="00D725C1"/>
    <w:rsid w:val="00D73116"/>
    <w:rsid w:val="00D74145"/>
    <w:rsid w:val="00D75298"/>
    <w:rsid w:val="00D75974"/>
    <w:rsid w:val="00D75B8D"/>
    <w:rsid w:val="00D7650C"/>
    <w:rsid w:val="00D76BFC"/>
    <w:rsid w:val="00D82DB2"/>
    <w:rsid w:val="00D86A0B"/>
    <w:rsid w:val="00D93B38"/>
    <w:rsid w:val="00D968E4"/>
    <w:rsid w:val="00D973D5"/>
    <w:rsid w:val="00D97740"/>
    <w:rsid w:val="00D978A4"/>
    <w:rsid w:val="00DA2567"/>
    <w:rsid w:val="00DA2F6B"/>
    <w:rsid w:val="00DA40C4"/>
    <w:rsid w:val="00DA4BF0"/>
    <w:rsid w:val="00DA788A"/>
    <w:rsid w:val="00DB03D6"/>
    <w:rsid w:val="00DB4467"/>
    <w:rsid w:val="00DB588B"/>
    <w:rsid w:val="00DB66B4"/>
    <w:rsid w:val="00DB6834"/>
    <w:rsid w:val="00DB753D"/>
    <w:rsid w:val="00DC04F3"/>
    <w:rsid w:val="00DC336D"/>
    <w:rsid w:val="00DC34C7"/>
    <w:rsid w:val="00DC63F9"/>
    <w:rsid w:val="00DD47D7"/>
    <w:rsid w:val="00DE181B"/>
    <w:rsid w:val="00DE2C1B"/>
    <w:rsid w:val="00DE3262"/>
    <w:rsid w:val="00DE35E5"/>
    <w:rsid w:val="00DE445F"/>
    <w:rsid w:val="00DE475A"/>
    <w:rsid w:val="00DE55F3"/>
    <w:rsid w:val="00DE561F"/>
    <w:rsid w:val="00DE6680"/>
    <w:rsid w:val="00DE7B59"/>
    <w:rsid w:val="00DF0803"/>
    <w:rsid w:val="00DF0884"/>
    <w:rsid w:val="00DF0CED"/>
    <w:rsid w:val="00DF1D36"/>
    <w:rsid w:val="00DF24C3"/>
    <w:rsid w:val="00DF312E"/>
    <w:rsid w:val="00DF41F1"/>
    <w:rsid w:val="00DF42E5"/>
    <w:rsid w:val="00DF509B"/>
    <w:rsid w:val="00DF628F"/>
    <w:rsid w:val="00DF7F4C"/>
    <w:rsid w:val="00E001D4"/>
    <w:rsid w:val="00E02B0C"/>
    <w:rsid w:val="00E02B26"/>
    <w:rsid w:val="00E02B58"/>
    <w:rsid w:val="00E049B5"/>
    <w:rsid w:val="00E05B7B"/>
    <w:rsid w:val="00E06358"/>
    <w:rsid w:val="00E10F6C"/>
    <w:rsid w:val="00E10FEA"/>
    <w:rsid w:val="00E1198A"/>
    <w:rsid w:val="00E14761"/>
    <w:rsid w:val="00E16811"/>
    <w:rsid w:val="00E17C81"/>
    <w:rsid w:val="00E17D62"/>
    <w:rsid w:val="00E2149B"/>
    <w:rsid w:val="00E23E31"/>
    <w:rsid w:val="00E24A19"/>
    <w:rsid w:val="00E31361"/>
    <w:rsid w:val="00E331B8"/>
    <w:rsid w:val="00E34F2B"/>
    <w:rsid w:val="00E36DBB"/>
    <w:rsid w:val="00E374D9"/>
    <w:rsid w:val="00E37DC4"/>
    <w:rsid w:val="00E41155"/>
    <w:rsid w:val="00E43E54"/>
    <w:rsid w:val="00E442E8"/>
    <w:rsid w:val="00E44DF3"/>
    <w:rsid w:val="00E4558E"/>
    <w:rsid w:val="00E47513"/>
    <w:rsid w:val="00E47CCB"/>
    <w:rsid w:val="00E5150A"/>
    <w:rsid w:val="00E56133"/>
    <w:rsid w:val="00E56335"/>
    <w:rsid w:val="00E577F8"/>
    <w:rsid w:val="00E600F2"/>
    <w:rsid w:val="00E62E89"/>
    <w:rsid w:val="00E63E72"/>
    <w:rsid w:val="00E64DC9"/>
    <w:rsid w:val="00E6580D"/>
    <w:rsid w:val="00E66672"/>
    <w:rsid w:val="00E70602"/>
    <w:rsid w:val="00E70BB3"/>
    <w:rsid w:val="00E716B1"/>
    <w:rsid w:val="00E71E0B"/>
    <w:rsid w:val="00E828C9"/>
    <w:rsid w:val="00E831A7"/>
    <w:rsid w:val="00E833AA"/>
    <w:rsid w:val="00E8388E"/>
    <w:rsid w:val="00E90593"/>
    <w:rsid w:val="00E915FE"/>
    <w:rsid w:val="00E916C5"/>
    <w:rsid w:val="00E94290"/>
    <w:rsid w:val="00E95814"/>
    <w:rsid w:val="00E961E7"/>
    <w:rsid w:val="00E96C96"/>
    <w:rsid w:val="00EA02CE"/>
    <w:rsid w:val="00EA6EF2"/>
    <w:rsid w:val="00EA72A1"/>
    <w:rsid w:val="00EB3530"/>
    <w:rsid w:val="00EB5C4B"/>
    <w:rsid w:val="00EB5E98"/>
    <w:rsid w:val="00EB65AD"/>
    <w:rsid w:val="00EB7DAB"/>
    <w:rsid w:val="00EC0746"/>
    <w:rsid w:val="00EC1DA6"/>
    <w:rsid w:val="00EC548A"/>
    <w:rsid w:val="00EC6D7E"/>
    <w:rsid w:val="00EC7E80"/>
    <w:rsid w:val="00ED1137"/>
    <w:rsid w:val="00ED129D"/>
    <w:rsid w:val="00ED18C6"/>
    <w:rsid w:val="00ED1BF9"/>
    <w:rsid w:val="00ED22D2"/>
    <w:rsid w:val="00ED2BB5"/>
    <w:rsid w:val="00ED35B8"/>
    <w:rsid w:val="00ED51E6"/>
    <w:rsid w:val="00ED59D0"/>
    <w:rsid w:val="00ED7194"/>
    <w:rsid w:val="00ED7445"/>
    <w:rsid w:val="00ED7736"/>
    <w:rsid w:val="00EE213E"/>
    <w:rsid w:val="00EE4016"/>
    <w:rsid w:val="00EE5A1D"/>
    <w:rsid w:val="00EE7042"/>
    <w:rsid w:val="00EE7C35"/>
    <w:rsid w:val="00EF041C"/>
    <w:rsid w:val="00EF1925"/>
    <w:rsid w:val="00EF28E2"/>
    <w:rsid w:val="00EF2CC0"/>
    <w:rsid w:val="00EF697B"/>
    <w:rsid w:val="00F009C0"/>
    <w:rsid w:val="00F029E0"/>
    <w:rsid w:val="00F02A46"/>
    <w:rsid w:val="00F05754"/>
    <w:rsid w:val="00F1155B"/>
    <w:rsid w:val="00F12321"/>
    <w:rsid w:val="00F16927"/>
    <w:rsid w:val="00F16E77"/>
    <w:rsid w:val="00F17FA2"/>
    <w:rsid w:val="00F210EF"/>
    <w:rsid w:val="00F2597F"/>
    <w:rsid w:val="00F2686C"/>
    <w:rsid w:val="00F3770B"/>
    <w:rsid w:val="00F41FDA"/>
    <w:rsid w:val="00F43F5F"/>
    <w:rsid w:val="00F444A3"/>
    <w:rsid w:val="00F45632"/>
    <w:rsid w:val="00F45A57"/>
    <w:rsid w:val="00F4669E"/>
    <w:rsid w:val="00F50623"/>
    <w:rsid w:val="00F53346"/>
    <w:rsid w:val="00F55944"/>
    <w:rsid w:val="00F5615F"/>
    <w:rsid w:val="00F60E5B"/>
    <w:rsid w:val="00F61932"/>
    <w:rsid w:val="00F62D4D"/>
    <w:rsid w:val="00F64A4A"/>
    <w:rsid w:val="00F6549A"/>
    <w:rsid w:val="00F6558A"/>
    <w:rsid w:val="00F65BEA"/>
    <w:rsid w:val="00F65D75"/>
    <w:rsid w:val="00F66591"/>
    <w:rsid w:val="00F7150B"/>
    <w:rsid w:val="00F75373"/>
    <w:rsid w:val="00F77F21"/>
    <w:rsid w:val="00F80148"/>
    <w:rsid w:val="00F810EE"/>
    <w:rsid w:val="00F83353"/>
    <w:rsid w:val="00F856E0"/>
    <w:rsid w:val="00F8682F"/>
    <w:rsid w:val="00F87DC3"/>
    <w:rsid w:val="00F90503"/>
    <w:rsid w:val="00F9337C"/>
    <w:rsid w:val="00F933CA"/>
    <w:rsid w:val="00F9363A"/>
    <w:rsid w:val="00F93971"/>
    <w:rsid w:val="00F94EDB"/>
    <w:rsid w:val="00F95EA3"/>
    <w:rsid w:val="00F9676D"/>
    <w:rsid w:val="00F96916"/>
    <w:rsid w:val="00FA2E42"/>
    <w:rsid w:val="00FA40C8"/>
    <w:rsid w:val="00FA40EA"/>
    <w:rsid w:val="00FA4214"/>
    <w:rsid w:val="00FA66B2"/>
    <w:rsid w:val="00FB1C52"/>
    <w:rsid w:val="00FB1DD3"/>
    <w:rsid w:val="00FB4E6A"/>
    <w:rsid w:val="00FB5320"/>
    <w:rsid w:val="00FB550D"/>
    <w:rsid w:val="00FC12C8"/>
    <w:rsid w:val="00FC3CBC"/>
    <w:rsid w:val="00FC4F28"/>
    <w:rsid w:val="00FC5534"/>
    <w:rsid w:val="00FC6974"/>
    <w:rsid w:val="00FD16CA"/>
    <w:rsid w:val="00FD4AD7"/>
    <w:rsid w:val="00FD4EEF"/>
    <w:rsid w:val="00FE2439"/>
    <w:rsid w:val="00FE3EB4"/>
    <w:rsid w:val="00FE629B"/>
    <w:rsid w:val="00FF024E"/>
    <w:rsid w:val="00FF1D8E"/>
    <w:rsid w:val="00FF1FA7"/>
    <w:rsid w:val="00FF3E61"/>
    <w:rsid w:val="00FF5D3F"/>
    <w:rsid w:val="00FF6855"/>
    <w:rsid w:val="00FF6B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946577"/>
  <w15:docId w15:val="{4F028DDD-D931-43DA-8300-5147715CA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qFormat="1"/>
    <w:lsdException w:name="heading 5" w:uiPriority="0" w:qFormat="1"/>
    <w:lsdException w:name="heading 6" w:uiPriority="0" w:unhideWhenUsed="1" w:qFormat="1"/>
    <w:lsdException w:name="heading 7"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91D"/>
    <w:rPr>
      <w:sz w:val="24"/>
      <w:szCs w:val="24"/>
    </w:rPr>
  </w:style>
  <w:style w:type="paragraph" w:styleId="Ttulo1">
    <w:name w:val="heading 1"/>
    <w:basedOn w:val="Normal"/>
    <w:next w:val="Normal"/>
    <w:link w:val="Ttulo1Car"/>
    <w:uiPriority w:val="99"/>
    <w:qFormat/>
    <w:rsid w:val="00BF79AE"/>
    <w:pPr>
      <w:keepNext/>
      <w:outlineLvl w:val="0"/>
    </w:pPr>
    <w:rPr>
      <w:b/>
      <w:bCs/>
      <w:sz w:val="28"/>
      <w:szCs w:val="28"/>
    </w:rPr>
  </w:style>
  <w:style w:type="paragraph" w:styleId="Ttulo2">
    <w:name w:val="heading 2"/>
    <w:basedOn w:val="Normal"/>
    <w:next w:val="Normal"/>
    <w:link w:val="Ttulo2Car"/>
    <w:uiPriority w:val="99"/>
    <w:qFormat/>
    <w:rsid w:val="00BF79AE"/>
    <w:pPr>
      <w:keepNext/>
      <w:pBdr>
        <w:top w:val="single" w:sz="4" w:space="0" w:color="auto"/>
        <w:left w:val="single" w:sz="4" w:space="4" w:color="auto"/>
        <w:bottom w:val="single" w:sz="4" w:space="1" w:color="auto"/>
        <w:right w:val="single" w:sz="4" w:space="4" w:color="auto"/>
      </w:pBdr>
      <w:autoSpaceDE w:val="0"/>
      <w:autoSpaceDN w:val="0"/>
      <w:jc w:val="both"/>
      <w:outlineLvl w:val="1"/>
    </w:pPr>
    <w:rPr>
      <w:b/>
      <w:bCs/>
      <w:sz w:val="28"/>
      <w:szCs w:val="28"/>
    </w:rPr>
  </w:style>
  <w:style w:type="paragraph" w:styleId="Ttulo3">
    <w:name w:val="heading 3"/>
    <w:basedOn w:val="Normal"/>
    <w:next w:val="Normal"/>
    <w:link w:val="Ttulo3Car"/>
    <w:uiPriority w:val="99"/>
    <w:qFormat/>
    <w:rsid w:val="00BF79AE"/>
    <w:pPr>
      <w:keepNext/>
      <w:autoSpaceDE w:val="0"/>
      <w:autoSpaceDN w:val="0"/>
      <w:jc w:val="both"/>
      <w:outlineLvl w:val="2"/>
    </w:pPr>
    <w:rPr>
      <w:b/>
      <w:bCs/>
      <w:sz w:val="22"/>
      <w:szCs w:val="22"/>
    </w:rPr>
  </w:style>
  <w:style w:type="paragraph" w:styleId="Ttulo4">
    <w:name w:val="heading 4"/>
    <w:basedOn w:val="Normal"/>
    <w:next w:val="Normal"/>
    <w:link w:val="Ttulo4Car"/>
    <w:uiPriority w:val="99"/>
    <w:qFormat/>
    <w:rsid w:val="00BF79AE"/>
    <w:pPr>
      <w:keepNext/>
      <w:jc w:val="both"/>
      <w:outlineLvl w:val="3"/>
    </w:pPr>
    <w:rPr>
      <w:b/>
      <w:bCs/>
    </w:rPr>
  </w:style>
  <w:style w:type="paragraph" w:styleId="Ttulo5">
    <w:name w:val="heading 5"/>
    <w:basedOn w:val="Normal"/>
    <w:next w:val="Normal"/>
    <w:link w:val="Ttulo5Car"/>
    <w:uiPriority w:val="99"/>
    <w:qFormat/>
    <w:rsid w:val="00BF79AE"/>
    <w:pPr>
      <w:keepNext/>
      <w:autoSpaceDE w:val="0"/>
      <w:autoSpaceDN w:val="0"/>
      <w:outlineLvl w:val="4"/>
    </w:pPr>
    <w:rPr>
      <w:b/>
      <w:bCs/>
      <w:sz w:val="20"/>
      <w:szCs w:val="20"/>
    </w:rPr>
  </w:style>
  <w:style w:type="paragraph" w:styleId="Ttulo6">
    <w:name w:val="heading 6"/>
    <w:basedOn w:val="Normal"/>
    <w:next w:val="Normal"/>
    <w:link w:val="Ttulo6Car"/>
    <w:uiPriority w:val="99"/>
    <w:qFormat/>
    <w:rsid w:val="00BF79AE"/>
    <w:pPr>
      <w:keepNext/>
      <w:jc w:val="both"/>
      <w:outlineLvl w:val="5"/>
    </w:pPr>
    <w:rPr>
      <w:u w:val="single"/>
    </w:rPr>
  </w:style>
  <w:style w:type="paragraph" w:styleId="Ttulo7">
    <w:name w:val="heading 7"/>
    <w:basedOn w:val="Normal"/>
    <w:next w:val="Normal"/>
    <w:link w:val="Ttulo7Car"/>
    <w:uiPriority w:val="99"/>
    <w:qFormat/>
    <w:rsid w:val="00BF79AE"/>
    <w:pPr>
      <w:keepNext/>
      <w:jc w:val="both"/>
      <w:outlineLvl w:val="6"/>
    </w:pPr>
    <w:rPr>
      <w:b/>
      <w:bCs/>
      <w:color w:val="800000"/>
      <w:lang w:val="es-ES_tradnl"/>
    </w:rPr>
  </w:style>
  <w:style w:type="paragraph" w:styleId="Ttulo8">
    <w:name w:val="heading 8"/>
    <w:basedOn w:val="Normal"/>
    <w:next w:val="Normal"/>
    <w:link w:val="Ttulo8Car"/>
    <w:uiPriority w:val="99"/>
    <w:qFormat/>
    <w:rsid w:val="00BF79AE"/>
    <w:pPr>
      <w:keepNext/>
      <w:outlineLvl w:val="7"/>
    </w:pPr>
    <w:rPr>
      <w:b/>
      <w:bCs/>
      <w:color w:val="800000"/>
    </w:rPr>
  </w:style>
  <w:style w:type="paragraph" w:styleId="Ttulo9">
    <w:name w:val="heading 9"/>
    <w:basedOn w:val="Normal"/>
    <w:next w:val="Normal"/>
    <w:link w:val="Ttulo9Car"/>
    <w:uiPriority w:val="99"/>
    <w:qFormat/>
    <w:rsid w:val="00BF79AE"/>
    <w:pPr>
      <w:keepNext/>
      <w:jc w:val="center"/>
      <w:outlineLvl w:val="8"/>
    </w:pPr>
    <w:rPr>
      <w:b/>
      <w:bCs/>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6E43A9"/>
    <w:rPr>
      <w:rFonts w:ascii="Cambria" w:hAnsi="Cambria" w:cs="Times New Roman"/>
      <w:b/>
      <w:bCs/>
      <w:kern w:val="32"/>
      <w:sz w:val="32"/>
      <w:szCs w:val="32"/>
    </w:rPr>
  </w:style>
  <w:style w:type="character" w:customStyle="1" w:styleId="Ttulo2Car">
    <w:name w:val="Título 2 Car"/>
    <w:basedOn w:val="Fuentedeprrafopredeter"/>
    <w:link w:val="Ttulo2"/>
    <w:uiPriority w:val="99"/>
    <w:semiHidden/>
    <w:locked/>
    <w:rsid w:val="006E43A9"/>
    <w:rPr>
      <w:rFonts w:ascii="Cambria" w:hAnsi="Cambria" w:cs="Times New Roman"/>
      <w:b/>
      <w:bCs/>
      <w:i/>
      <w:iCs/>
      <w:sz w:val="28"/>
      <w:szCs w:val="28"/>
    </w:rPr>
  </w:style>
  <w:style w:type="character" w:customStyle="1" w:styleId="Ttulo3Car">
    <w:name w:val="Título 3 Car"/>
    <w:basedOn w:val="Fuentedeprrafopredeter"/>
    <w:link w:val="Ttulo3"/>
    <w:uiPriority w:val="99"/>
    <w:semiHidden/>
    <w:locked/>
    <w:rsid w:val="006E43A9"/>
    <w:rPr>
      <w:rFonts w:ascii="Cambria" w:hAnsi="Cambria" w:cs="Times New Roman"/>
      <w:b/>
      <w:bCs/>
      <w:sz w:val="26"/>
      <w:szCs w:val="26"/>
    </w:rPr>
  </w:style>
  <w:style w:type="character" w:customStyle="1" w:styleId="Ttulo4Car">
    <w:name w:val="Título 4 Car"/>
    <w:basedOn w:val="Fuentedeprrafopredeter"/>
    <w:link w:val="Ttulo4"/>
    <w:uiPriority w:val="99"/>
    <w:semiHidden/>
    <w:locked/>
    <w:rsid w:val="006E43A9"/>
    <w:rPr>
      <w:rFonts w:ascii="Calibri" w:hAnsi="Calibri" w:cs="Times New Roman"/>
      <w:b/>
      <w:bCs/>
      <w:sz w:val="28"/>
      <w:szCs w:val="28"/>
    </w:rPr>
  </w:style>
  <w:style w:type="character" w:customStyle="1" w:styleId="Ttulo5Car">
    <w:name w:val="Título 5 Car"/>
    <w:basedOn w:val="Fuentedeprrafopredeter"/>
    <w:link w:val="Ttulo5"/>
    <w:uiPriority w:val="99"/>
    <w:semiHidden/>
    <w:locked/>
    <w:rsid w:val="006E43A9"/>
    <w:rPr>
      <w:rFonts w:ascii="Calibri" w:hAnsi="Calibri" w:cs="Times New Roman"/>
      <w:b/>
      <w:bCs/>
      <w:i/>
      <w:iCs/>
      <w:sz w:val="26"/>
      <w:szCs w:val="26"/>
    </w:rPr>
  </w:style>
  <w:style w:type="character" w:customStyle="1" w:styleId="Ttulo6Car">
    <w:name w:val="Título 6 Car"/>
    <w:basedOn w:val="Fuentedeprrafopredeter"/>
    <w:link w:val="Ttulo6"/>
    <w:uiPriority w:val="99"/>
    <w:semiHidden/>
    <w:locked/>
    <w:rsid w:val="006E43A9"/>
    <w:rPr>
      <w:rFonts w:ascii="Calibri" w:hAnsi="Calibri" w:cs="Times New Roman"/>
      <w:b/>
      <w:bCs/>
    </w:rPr>
  </w:style>
  <w:style w:type="character" w:customStyle="1" w:styleId="Ttulo7Car">
    <w:name w:val="Título 7 Car"/>
    <w:basedOn w:val="Fuentedeprrafopredeter"/>
    <w:link w:val="Ttulo7"/>
    <w:uiPriority w:val="99"/>
    <w:semiHidden/>
    <w:locked/>
    <w:rsid w:val="006E43A9"/>
    <w:rPr>
      <w:rFonts w:ascii="Calibri" w:hAnsi="Calibri" w:cs="Times New Roman"/>
      <w:sz w:val="24"/>
      <w:szCs w:val="24"/>
    </w:rPr>
  </w:style>
  <w:style w:type="character" w:customStyle="1" w:styleId="Ttulo8Car">
    <w:name w:val="Título 8 Car"/>
    <w:basedOn w:val="Fuentedeprrafopredeter"/>
    <w:link w:val="Ttulo8"/>
    <w:uiPriority w:val="99"/>
    <w:semiHidden/>
    <w:locked/>
    <w:rsid w:val="006E43A9"/>
    <w:rPr>
      <w:rFonts w:ascii="Calibri" w:hAnsi="Calibri" w:cs="Times New Roman"/>
      <w:i/>
      <w:iCs/>
      <w:sz w:val="24"/>
      <w:szCs w:val="24"/>
    </w:rPr>
  </w:style>
  <w:style w:type="character" w:customStyle="1" w:styleId="Ttulo9Car">
    <w:name w:val="Título 9 Car"/>
    <w:basedOn w:val="Fuentedeprrafopredeter"/>
    <w:link w:val="Ttulo9"/>
    <w:uiPriority w:val="99"/>
    <w:semiHidden/>
    <w:locked/>
    <w:rsid w:val="006E43A9"/>
    <w:rPr>
      <w:rFonts w:ascii="Cambria" w:hAnsi="Cambria" w:cs="Times New Roman"/>
    </w:rPr>
  </w:style>
  <w:style w:type="paragraph" w:styleId="Textoindependiente">
    <w:name w:val="Body Text"/>
    <w:basedOn w:val="Normal"/>
    <w:link w:val="TextoindependienteCar"/>
    <w:uiPriority w:val="99"/>
    <w:rsid w:val="00BF79AE"/>
    <w:rPr>
      <w:b/>
      <w:bCs/>
    </w:rPr>
  </w:style>
  <w:style w:type="character" w:customStyle="1" w:styleId="TextoindependienteCar">
    <w:name w:val="Texto independiente Car"/>
    <w:basedOn w:val="Fuentedeprrafopredeter"/>
    <w:link w:val="Textoindependiente"/>
    <w:uiPriority w:val="99"/>
    <w:locked/>
    <w:rsid w:val="006E43A9"/>
    <w:rPr>
      <w:rFonts w:cs="Times New Roman"/>
      <w:sz w:val="24"/>
      <w:szCs w:val="24"/>
    </w:rPr>
  </w:style>
  <w:style w:type="paragraph" w:styleId="Textoindependiente2">
    <w:name w:val="Body Text 2"/>
    <w:basedOn w:val="Normal"/>
    <w:link w:val="Textoindependiente2Car"/>
    <w:uiPriority w:val="99"/>
    <w:rsid w:val="00BF79AE"/>
    <w:pPr>
      <w:pBdr>
        <w:top w:val="single" w:sz="4" w:space="1" w:color="auto"/>
        <w:left w:val="single" w:sz="4" w:space="4" w:color="auto"/>
        <w:bottom w:val="single" w:sz="4" w:space="1" w:color="auto"/>
        <w:right w:val="single" w:sz="4" w:space="4" w:color="auto"/>
      </w:pBdr>
      <w:jc w:val="both"/>
    </w:pPr>
    <w:rPr>
      <w:b/>
      <w:bCs/>
      <w:sz w:val="28"/>
    </w:rPr>
  </w:style>
  <w:style w:type="character" w:customStyle="1" w:styleId="Textoindependiente2Car">
    <w:name w:val="Texto independiente 2 Car"/>
    <w:basedOn w:val="Fuentedeprrafopredeter"/>
    <w:link w:val="Textoindependiente2"/>
    <w:uiPriority w:val="99"/>
    <w:semiHidden/>
    <w:locked/>
    <w:rsid w:val="006E43A9"/>
    <w:rPr>
      <w:rFonts w:cs="Times New Roman"/>
      <w:sz w:val="24"/>
      <w:szCs w:val="24"/>
    </w:rPr>
  </w:style>
  <w:style w:type="paragraph" w:styleId="Textoindependiente3">
    <w:name w:val="Body Text 3"/>
    <w:basedOn w:val="Normal"/>
    <w:link w:val="Textoindependiente3Car"/>
    <w:uiPriority w:val="99"/>
    <w:rsid w:val="00BF79AE"/>
    <w:pPr>
      <w:jc w:val="both"/>
    </w:pPr>
    <w:rPr>
      <w:i/>
      <w:iCs/>
    </w:rPr>
  </w:style>
  <w:style w:type="character" w:customStyle="1" w:styleId="Textoindependiente3Car">
    <w:name w:val="Texto independiente 3 Car"/>
    <w:basedOn w:val="Fuentedeprrafopredeter"/>
    <w:link w:val="Textoindependiente3"/>
    <w:uiPriority w:val="99"/>
    <w:semiHidden/>
    <w:locked/>
    <w:rsid w:val="006E43A9"/>
    <w:rPr>
      <w:rFonts w:cs="Times New Roman"/>
      <w:sz w:val="16"/>
      <w:szCs w:val="16"/>
    </w:rPr>
  </w:style>
  <w:style w:type="paragraph" w:styleId="Sangradetextonormal">
    <w:name w:val="Body Text Indent"/>
    <w:basedOn w:val="Normal"/>
    <w:link w:val="SangradetextonormalCar"/>
    <w:uiPriority w:val="99"/>
    <w:rsid w:val="00BF79AE"/>
    <w:pPr>
      <w:ind w:left="708"/>
      <w:jc w:val="both"/>
    </w:pPr>
  </w:style>
  <w:style w:type="character" w:customStyle="1" w:styleId="SangradetextonormalCar">
    <w:name w:val="Sangría de texto normal Car"/>
    <w:basedOn w:val="Fuentedeprrafopredeter"/>
    <w:link w:val="Sangradetextonormal"/>
    <w:uiPriority w:val="99"/>
    <w:semiHidden/>
    <w:locked/>
    <w:rsid w:val="006E43A9"/>
    <w:rPr>
      <w:rFonts w:cs="Times New Roman"/>
      <w:sz w:val="24"/>
      <w:szCs w:val="24"/>
    </w:rPr>
  </w:style>
  <w:style w:type="paragraph" w:styleId="Encabezado">
    <w:name w:val="header"/>
    <w:basedOn w:val="Normal"/>
    <w:link w:val="EncabezadoCar"/>
    <w:uiPriority w:val="99"/>
    <w:rsid w:val="00BF79AE"/>
    <w:pPr>
      <w:tabs>
        <w:tab w:val="center" w:pos="4252"/>
        <w:tab w:val="right" w:pos="8504"/>
      </w:tabs>
    </w:pPr>
  </w:style>
  <w:style w:type="character" w:customStyle="1" w:styleId="EncabezadoCar">
    <w:name w:val="Encabezado Car"/>
    <w:basedOn w:val="Fuentedeprrafopredeter"/>
    <w:link w:val="Encabezado"/>
    <w:uiPriority w:val="99"/>
    <w:semiHidden/>
    <w:locked/>
    <w:rsid w:val="006E43A9"/>
    <w:rPr>
      <w:rFonts w:cs="Times New Roman"/>
      <w:sz w:val="24"/>
      <w:szCs w:val="24"/>
    </w:rPr>
  </w:style>
  <w:style w:type="paragraph" w:styleId="Piedepgina">
    <w:name w:val="footer"/>
    <w:basedOn w:val="Normal"/>
    <w:link w:val="PiedepginaCar"/>
    <w:uiPriority w:val="99"/>
    <w:rsid w:val="00BF79AE"/>
    <w:pPr>
      <w:tabs>
        <w:tab w:val="center" w:pos="4252"/>
        <w:tab w:val="right" w:pos="8504"/>
      </w:tabs>
    </w:pPr>
  </w:style>
  <w:style w:type="character" w:customStyle="1" w:styleId="PiedepginaCar">
    <w:name w:val="Pie de página Car"/>
    <w:basedOn w:val="Fuentedeprrafopredeter"/>
    <w:link w:val="Piedepgina"/>
    <w:uiPriority w:val="99"/>
    <w:locked/>
    <w:rsid w:val="00616F63"/>
    <w:rPr>
      <w:rFonts w:cs="Times New Roman"/>
      <w:sz w:val="24"/>
    </w:rPr>
  </w:style>
  <w:style w:type="character" w:styleId="Nmerodepgina">
    <w:name w:val="page number"/>
    <w:basedOn w:val="Fuentedeprrafopredeter"/>
    <w:uiPriority w:val="99"/>
    <w:rsid w:val="00BF79AE"/>
    <w:rPr>
      <w:rFonts w:cs="Times New Roman"/>
    </w:rPr>
  </w:style>
  <w:style w:type="paragraph" w:styleId="Ttulo">
    <w:name w:val="Title"/>
    <w:basedOn w:val="Normal"/>
    <w:link w:val="TtuloCar"/>
    <w:uiPriority w:val="99"/>
    <w:qFormat/>
    <w:rsid w:val="00BF79AE"/>
    <w:pPr>
      <w:pBdr>
        <w:top w:val="single" w:sz="6" w:space="1" w:color="auto"/>
        <w:left w:val="single" w:sz="6" w:space="1" w:color="auto"/>
        <w:bottom w:val="single" w:sz="6" w:space="1" w:color="auto"/>
        <w:right w:val="single" w:sz="6" w:space="1" w:color="auto"/>
      </w:pBdr>
      <w:shd w:val="pct5" w:color="auto" w:fill="auto"/>
      <w:jc w:val="center"/>
    </w:pPr>
    <w:rPr>
      <w:b/>
      <w:bCs/>
      <w:sz w:val="36"/>
      <w:szCs w:val="36"/>
    </w:rPr>
  </w:style>
  <w:style w:type="character" w:customStyle="1" w:styleId="TtuloCar">
    <w:name w:val="Título Car"/>
    <w:basedOn w:val="Fuentedeprrafopredeter"/>
    <w:link w:val="Ttulo"/>
    <w:uiPriority w:val="99"/>
    <w:locked/>
    <w:rsid w:val="006E43A9"/>
    <w:rPr>
      <w:rFonts w:ascii="Cambria" w:hAnsi="Cambria" w:cs="Times New Roman"/>
      <w:b/>
      <w:bCs/>
      <w:kern w:val="28"/>
      <w:sz w:val="32"/>
      <w:szCs w:val="32"/>
    </w:rPr>
  </w:style>
  <w:style w:type="paragraph" w:styleId="Sangra2detindependiente">
    <w:name w:val="Body Text Indent 2"/>
    <w:basedOn w:val="Normal"/>
    <w:link w:val="Sangra2detindependienteCar"/>
    <w:uiPriority w:val="99"/>
    <w:rsid w:val="00BF79AE"/>
    <w:pPr>
      <w:ind w:left="180"/>
      <w:jc w:val="both"/>
    </w:pPr>
  </w:style>
  <w:style w:type="character" w:customStyle="1" w:styleId="Sangra2detindependienteCar">
    <w:name w:val="Sangría 2 de t. independiente Car"/>
    <w:basedOn w:val="Fuentedeprrafopredeter"/>
    <w:link w:val="Sangra2detindependiente"/>
    <w:uiPriority w:val="99"/>
    <w:semiHidden/>
    <w:locked/>
    <w:rsid w:val="006E43A9"/>
    <w:rPr>
      <w:rFonts w:cs="Times New Roman"/>
      <w:sz w:val="24"/>
      <w:szCs w:val="24"/>
    </w:rPr>
  </w:style>
  <w:style w:type="paragraph" w:styleId="Sangra3detindependiente">
    <w:name w:val="Body Text Indent 3"/>
    <w:basedOn w:val="Normal"/>
    <w:link w:val="Sangra3detindependienteCar"/>
    <w:uiPriority w:val="99"/>
    <w:rsid w:val="00BF79AE"/>
    <w:pPr>
      <w:ind w:left="360"/>
      <w:jc w:val="both"/>
    </w:pPr>
  </w:style>
  <w:style w:type="character" w:customStyle="1" w:styleId="Sangra3detindependienteCar">
    <w:name w:val="Sangría 3 de t. independiente Car"/>
    <w:basedOn w:val="Fuentedeprrafopredeter"/>
    <w:link w:val="Sangra3detindependiente"/>
    <w:uiPriority w:val="99"/>
    <w:semiHidden/>
    <w:locked/>
    <w:rsid w:val="006E43A9"/>
    <w:rPr>
      <w:rFonts w:cs="Times New Roman"/>
      <w:sz w:val="16"/>
      <w:szCs w:val="16"/>
    </w:rPr>
  </w:style>
  <w:style w:type="character" w:styleId="Refdecomentario">
    <w:name w:val="annotation reference"/>
    <w:basedOn w:val="Fuentedeprrafopredeter"/>
    <w:uiPriority w:val="99"/>
    <w:semiHidden/>
    <w:rsid w:val="00BF79AE"/>
    <w:rPr>
      <w:rFonts w:cs="Times New Roman"/>
      <w:sz w:val="16"/>
    </w:rPr>
  </w:style>
  <w:style w:type="paragraph" w:styleId="Textocomentario">
    <w:name w:val="annotation text"/>
    <w:basedOn w:val="Normal"/>
    <w:link w:val="TextocomentarioCar"/>
    <w:uiPriority w:val="99"/>
    <w:semiHidden/>
    <w:rsid w:val="00BF79AE"/>
    <w:rPr>
      <w:sz w:val="20"/>
      <w:szCs w:val="20"/>
    </w:rPr>
  </w:style>
  <w:style w:type="character" w:customStyle="1" w:styleId="TextocomentarioCar">
    <w:name w:val="Texto comentario Car"/>
    <w:basedOn w:val="Fuentedeprrafopredeter"/>
    <w:link w:val="Textocomentario"/>
    <w:uiPriority w:val="99"/>
    <w:semiHidden/>
    <w:locked/>
    <w:rsid w:val="006E43A9"/>
    <w:rPr>
      <w:rFonts w:cs="Times New Roman"/>
      <w:sz w:val="20"/>
      <w:szCs w:val="20"/>
    </w:rPr>
  </w:style>
  <w:style w:type="paragraph" w:customStyle="1" w:styleId="textodestacado">
    <w:name w:val="textodestacado"/>
    <w:basedOn w:val="Normal"/>
    <w:uiPriority w:val="99"/>
    <w:rsid w:val="00BF79AE"/>
    <w:pPr>
      <w:spacing w:before="100" w:beforeAutospacing="1" w:after="100" w:afterAutospacing="1"/>
    </w:pPr>
    <w:rPr>
      <w:rFonts w:ascii="Arial" w:eastAsia="Arial Unicode MS" w:hAnsi="Arial" w:cs="Arial"/>
      <w:color w:val="E60200"/>
      <w:sz w:val="18"/>
      <w:szCs w:val="18"/>
    </w:rPr>
  </w:style>
  <w:style w:type="paragraph" w:styleId="NormalWeb">
    <w:name w:val="Normal (Web)"/>
    <w:basedOn w:val="Normal"/>
    <w:uiPriority w:val="99"/>
    <w:rsid w:val="00BF79AE"/>
    <w:pPr>
      <w:spacing w:before="100" w:beforeAutospacing="1" w:after="100" w:afterAutospacing="1"/>
    </w:pPr>
    <w:rPr>
      <w:rFonts w:ascii="Arial Unicode MS" w:eastAsia="Arial Unicode MS" w:hAnsi="Arial Unicode MS" w:cs="Arial Unicode MS"/>
    </w:rPr>
  </w:style>
  <w:style w:type="paragraph" w:customStyle="1" w:styleId="textonormalrojo">
    <w:name w:val="textonormalrojo"/>
    <w:basedOn w:val="Normal"/>
    <w:uiPriority w:val="99"/>
    <w:rsid w:val="00BF79AE"/>
    <w:pPr>
      <w:spacing w:before="100" w:beforeAutospacing="1" w:after="100" w:afterAutospacing="1"/>
    </w:pPr>
    <w:rPr>
      <w:rFonts w:ascii="Verdana" w:eastAsia="Arial Unicode MS" w:hAnsi="Verdana" w:cs="Arial Unicode MS"/>
      <w:color w:val="E60200"/>
      <w:sz w:val="15"/>
      <w:szCs w:val="15"/>
    </w:rPr>
  </w:style>
  <w:style w:type="character" w:styleId="Hipervnculo">
    <w:name w:val="Hyperlink"/>
    <w:basedOn w:val="Fuentedeprrafopredeter"/>
    <w:uiPriority w:val="99"/>
    <w:rsid w:val="00BF79AE"/>
    <w:rPr>
      <w:rFonts w:cs="Times New Roman"/>
      <w:color w:val="0248B0"/>
      <w:u w:val="single"/>
    </w:rPr>
  </w:style>
  <w:style w:type="character" w:styleId="Textoennegrita">
    <w:name w:val="Strong"/>
    <w:basedOn w:val="Fuentedeprrafopredeter"/>
    <w:uiPriority w:val="99"/>
    <w:qFormat/>
    <w:rsid w:val="00BF79AE"/>
    <w:rPr>
      <w:rFonts w:cs="Times New Roman"/>
      <w:b/>
    </w:rPr>
  </w:style>
  <w:style w:type="paragraph" w:styleId="Mapadeldocumento">
    <w:name w:val="Document Map"/>
    <w:basedOn w:val="Normal"/>
    <w:link w:val="MapadeldocumentoCar"/>
    <w:uiPriority w:val="99"/>
    <w:semiHidden/>
    <w:rsid w:val="00BF79AE"/>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uiPriority w:val="99"/>
    <w:semiHidden/>
    <w:locked/>
    <w:rsid w:val="006E43A9"/>
    <w:rPr>
      <w:rFonts w:cs="Times New Roman"/>
      <w:sz w:val="2"/>
    </w:rPr>
  </w:style>
  <w:style w:type="paragraph" w:styleId="Asuntodelcomentario">
    <w:name w:val="annotation subject"/>
    <w:basedOn w:val="Textocomentario"/>
    <w:next w:val="Textocomentario"/>
    <w:link w:val="AsuntodelcomentarioCar1"/>
    <w:uiPriority w:val="99"/>
    <w:rsid w:val="00BF79AE"/>
    <w:rPr>
      <w:b/>
      <w:bCs/>
    </w:rPr>
  </w:style>
  <w:style w:type="character" w:customStyle="1" w:styleId="AsuntodelcomentarioCar1">
    <w:name w:val="Asunto del comentario Car1"/>
    <w:basedOn w:val="TextocomentarioCar"/>
    <w:link w:val="Asuntodelcomentario"/>
    <w:uiPriority w:val="99"/>
    <w:semiHidden/>
    <w:locked/>
    <w:rsid w:val="006E43A9"/>
    <w:rPr>
      <w:rFonts w:cs="Times New Roman"/>
      <w:b/>
      <w:bCs/>
      <w:sz w:val="20"/>
      <w:szCs w:val="20"/>
    </w:rPr>
  </w:style>
  <w:style w:type="character" w:customStyle="1" w:styleId="CarCar1">
    <w:name w:val="Car Car1"/>
    <w:basedOn w:val="Fuentedeprrafopredeter"/>
    <w:uiPriority w:val="99"/>
    <w:semiHidden/>
    <w:rsid w:val="00BF79AE"/>
    <w:rPr>
      <w:rFonts w:cs="Times New Roman"/>
    </w:rPr>
  </w:style>
  <w:style w:type="character" w:customStyle="1" w:styleId="AsuntodelcomentarioCar">
    <w:name w:val="Asunto del comentario Car"/>
    <w:basedOn w:val="CarCar1"/>
    <w:uiPriority w:val="99"/>
    <w:rsid w:val="00BF79AE"/>
    <w:rPr>
      <w:rFonts w:cs="Times New Roman"/>
    </w:rPr>
  </w:style>
  <w:style w:type="paragraph" w:styleId="Textodeglobo">
    <w:name w:val="Balloon Text"/>
    <w:basedOn w:val="Normal"/>
    <w:link w:val="TextodegloboCar"/>
    <w:uiPriority w:val="99"/>
    <w:rsid w:val="00BF79AE"/>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E43A9"/>
    <w:rPr>
      <w:rFonts w:cs="Times New Roman"/>
      <w:sz w:val="2"/>
    </w:rPr>
  </w:style>
  <w:style w:type="character" w:customStyle="1" w:styleId="CarCar">
    <w:name w:val="Car Car"/>
    <w:uiPriority w:val="99"/>
    <w:rsid w:val="00BF79AE"/>
    <w:rPr>
      <w:rFonts w:ascii="Tahoma" w:hAnsi="Tahoma"/>
      <w:sz w:val="16"/>
    </w:rPr>
  </w:style>
  <w:style w:type="character" w:styleId="nfasis">
    <w:name w:val="Emphasis"/>
    <w:basedOn w:val="Fuentedeprrafopredeter"/>
    <w:uiPriority w:val="99"/>
    <w:qFormat/>
    <w:rsid w:val="00BF79AE"/>
    <w:rPr>
      <w:rFonts w:cs="Times New Roman"/>
      <w:i/>
    </w:rPr>
  </w:style>
  <w:style w:type="paragraph" w:styleId="Prrafodelista">
    <w:name w:val="List Paragraph"/>
    <w:basedOn w:val="Normal"/>
    <w:uiPriority w:val="34"/>
    <w:qFormat/>
    <w:rsid w:val="00B05AD6"/>
    <w:pPr>
      <w:ind w:left="720"/>
      <w:contextualSpacing/>
    </w:pPr>
  </w:style>
  <w:style w:type="paragraph" w:customStyle="1" w:styleId="a">
    <w:name w:val="a"/>
    <w:basedOn w:val="Normal"/>
    <w:rsid w:val="007478F6"/>
    <w:pPr>
      <w:spacing w:before="100" w:beforeAutospacing="1" w:after="100" w:afterAutospacing="1"/>
    </w:pPr>
  </w:style>
  <w:style w:type="paragraph" w:styleId="Textonotaalfinal">
    <w:name w:val="endnote text"/>
    <w:basedOn w:val="Normal"/>
    <w:link w:val="TextonotaalfinalCar"/>
    <w:uiPriority w:val="99"/>
    <w:semiHidden/>
    <w:unhideWhenUsed/>
    <w:locked/>
    <w:rsid w:val="004F37DC"/>
    <w:rPr>
      <w:sz w:val="20"/>
      <w:szCs w:val="20"/>
    </w:rPr>
  </w:style>
  <w:style w:type="character" w:customStyle="1" w:styleId="TextonotaalfinalCar">
    <w:name w:val="Texto nota al final Car"/>
    <w:basedOn w:val="Fuentedeprrafopredeter"/>
    <w:link w:val="Textonotaalfinal"/>
    <w:uiPriority w:val="99"/>
    <w:semiHidden/>
    <w:rsid w:val="004F37DC"/>
    <w:rPr>
      <w:sz w:val="20"/>
      <w:szCs w:val="20"/>
    </w:rPr>
  </w:style>
  <w:style w:type="character" w:styleId="Refdenotaalfinal">
    <w:name w:val="endnote reference"/>
    <w:basedOn w:val="Fuentedeprrafopredeter"/>
    <w:uiPriority w:val="99"/>
    <w:semiHidden/>
    <w:unhideWhenUsed/>
    <w:locked/>
    <w:rsid w:val="004F37DC"/>
    <w:rPr>
      <w:vertAlign w:val="superscript"/>
    </w:rPr>
  </w:style>
  <w:style w:type="paragraph" w:styleId="Textonotapie">
    <w:name w:val="footnote text"/>
    <w:basedOn w:val="Normal"/>
    <w:link w:val="TextonotapieCar"/>
    <w:uiPriority w:val="99"/>
    <w:semiHidden/>
    <w:unhideWhenUsed/>
    <w:locked/>
    <w:rsid w:val="004F37DC"/>
    <w:rPr>
      <w:sz w:val="20"/>
      <w:szCs w:val="20"/>
    </w:rPr>
  </w:style>
  <w:style w:type="character" w:customStyle="1" w:styleId="TextonotapieCar">
    <w:name w:val="Texto nota pie Car"/>
    <w:basedOn w:val="Fuentedeprrafopredeter"/>
    <w:link w:val="Textonotapie"/>
    <w:uiPriority w:val="99"/>
    <w:semiHidden/>
    <w:rsid w:val="004F37DC"/>
    <w:rPr>
      <w:sz w:val="20"/>
      <w:szCs w:val="20"/>
    </w:rPr>
  </w:style>
  <w:style w:type="character" w:styleId="Refdenotaalpie">
    <w:name w:val="footnote reference"/>
    <w:basedOn w:val="Fuentedeprrafopredeter"/>
    <w:uiPriority w:val="99"/>
    <w:semiHidden/>
    <w:unhideWhenUsed/>
    <w:locked/>
    <w:rsid w:val="004F37DC"/>
    <w:rPr>
      <w:vertAlign w:val="superscript"/>
    </w:rPr>
  </w:style>
  <w:style w:type="table" w:styleId="Tablaconcuadrcula">
    <w:name w:val="Table Grid"/>
    <w:basedOn w:val="Tablanormal"/>
    <w:rsid w:val="00DB6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0E60B2"/>
    <w:rPr>
      <w:color w:val="605E5C"/>
      <w:shd w:val="clear" w:color="auto" w:fill="E1DFDD"/>
    </w:rPr>
  </w:style>
  <w:style w:type="paragraph" w:styleId="Revisin">
    <w:name w:val="Revision"/>
    <w:hidden/>
    <w:uiPriority w:val="99"/>
    <w:semiHidden/>
    <w:rsid w:val="00A37A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8103">
      <w:bodyDiv w:val="1"/>
      <w:marLeft w:val="0"/>
      <w:marRight w:val="0"/>
      <w:marTop w:val="0"/>
      <w:marBottom w:val="0"/>
      <w:divBdr>
        <w:top w:val="none" w:sz="0" w:space="0" w:color="auto"/>
        <w:left w:val="none" w:sz="0" w:space="0" w:color="auto"/>
        <w:bottom w:val="none" w:sz="0" w:space="0" w:color="auto"/>
        <w:right w:val="none" w:sz="0" w:space="0" w:color="auto"/>
      </w:divBdr>
    </w:div>
    <w:div w:id="40324641">
      <w:bodyDiv w:val="1"/>
      <w:marLeft w:val="0"/>
      <w:marRight w:val="0"/>
      <w:marTop w:val="0"/>
      <w:marBottom w:val="0"/>
      <w:divBdr>
        <w:top w:val="none" w:sz="0" w:space="0" w:color="auto"/>
        <w:left w:val="none" w:sz="0" w:space="0" w:color="auto"/>
        <w:bottom w:val="none" w:sz="0" w:space="0" w:color="auto"/>
        <w:right w:val="none" w:sz="0" w:space="0" w:color="auto"/>
      </w:divBdr>
    </w:div>
    <w:div w:id="75053021">
      <w:bodyDiv w:val="1"/>
      <w:marLeft w:val="0"/>
      <w:marRight w:val="0"/>
      <w:marTop w:val="0"/>
      <w:marBottom w:val="0"/>
      <w:divBdr>
        <w:top w:val="none" w:sz="0" w:space="0" w:color="auto"/>
        <w:left w:val="none" w:sz="0" w:space="0" w:color="auto"/>
        <w:bottom w:val="none" w:sz="0" w:space="0" w:color="auto"/>
        <w:right w:val="none" w:sz="0" w:space="0" w:color="auto"/>
      </w:divBdr>
    </w:div>
    <w:div w:id="86773433">
      <w:bodyDiv w:val="1"/>
      <w:marLeft w:val="0"/>
      <w:marRight w:val="0"/>
      <w:marTop w:val="0"/>
      <w:marBottom w:val="0"/>
      <w:divBdr>
        <w:top w:val="none" w:sz="0" w:space="0" w:color="auto"/>
        <w:left w:val="none" w:sz="0" w:space="0" w:color="auto"/>
        <w:bottom w:val="none" w:sz="0" w:space="0" w:color="auto"/>
        <w:right w:val="none" w:sz="0" w:space="0" w:color="auto"/>
      </w:divBdr>
    </w:div>
    <w:div w:id="191310138">
      <w:bodyDiv w:val="1"/>
      <w:marLeft w:val="0"/>
      <w:marRight w:val="0"/>
      <w:marTop w:val="0"/>
      <w:marBottom w:val="0"/>
      <w:divBdr>
        <w:top w:val="none" w:sz="0" w:space="0" w:color="auto"/>
        <w:left w:val="none" w:sz="0" w:space="0" w:color="auto"/>
        <w:bottom w:val="none" w:sz="0" w:space="0" w:color="auto"/>
        <w:right w:val="none" w:sz="0" w:space="0" w:color="auto"/>
      </w:divBdr>
    </w:div>
    <w:div w:id="273103234">
      <w:bodyDiv w:val="1"/>
      <w:marLeft w:val="0"/>
      <w:marRight w:val="0"/>
      <w:marTop w:val="0"/>
      <w:marBottom w:val="0"/>
      <w:divBdr>
        <w:top w:val="none" w:sz="0" w:space="0" w:color="auto"/>
        <w:left w:val="none" w:sz="0" w:space="0" w:color="auto"/>
        <w:bottom w:val="none" w:sz="0" w:space="0" w:color="auto"/>
        <w:right w:val="none" w:sz="0" w:space="0" w:color="auto"/>
      </w:divBdr>
    </w:div>
    <w:div w:id="337929265">
      <w:bodyDiv w:val="1"/>
      <w:marLeft w:val="0"/>
      <w:marRight w:val="0"/>
      <w:marTop w:val="0"/>
      <w:marBottom w:val="0"/>
      <w:divBdr>
        <w:top w:val="none" w:sz="0" w:space="0" w:color="auto"/>
        <w:left w:val="none" w:sz="0" w:space="0" w:color="auto"/>
        <w:bottom w:val="none" w:sz="0" w:space="0" w:color="auto"/>
        <w:right w:val="none" w:sz="0" w:space="0" w:color="auto"/>
      </w:divBdr>
    </w:div>
    <w:div w:id="459693651">
      <w:bodyDiv w:val="1"/>
      <w:marLeft w:val="0"/>
      <w:marRight w:val="0"/>
      <w:marTop w:val="0"/>
      <w:marBottom w:val="0"/>
      <w:divBdr>
        <w:top w:val="none" w:sz="0" w:space="0" w:color="auto"/>
        <w:left w:val="none" w:sz="0" w:space="0" w:color="auto"/>
        <w:bottom w:val="none" w:sz="0" w:space="0" w:color="auto"/>
        <w:right w:val="none" w:sz="0" w:space="0" w:color="auto"/>
      </w:divBdr>
    </w:div>
    <w:div w:id="473565552">
      <w:bodyDiv w:val="1"/>
      <w:marLeft w:val="0"/>
      <w:marRight w:val="0"/>
      <w:marTop w:val="0"/>
      <w:marBottom w:val="0"/>
      <w:divBdr>
        <w:top w:val="none" w:sz="0" w:space="0" w:color="auto"/>
        <w:left w:val="none" w:sz="0" w:space="0" w:color="auto"/>
        <w:bottom w:val="none" w:sz="0" w:space="0" w:color="auto"/>
        <w:right w:val="none" w:sz="0" w:space="0" w:color="auto"/>
      </w:divBdr>
    </w:div>
    <w:div w:id="484705232">
      <w:bodyDiv w:val="1"/>
      <w:marLeft w:val="0"/>
      <w:marRight w:val="0"/>
      <w:marTop w:val="0"/>
      <w:marBottom w:val="0"/>
      <w:divBdr>
        <w:top w:val="none" w:sz="0" w:space="0" w:color="auto"/>
        <w:left w:val="none" w:sz="0" w:space="0" w:color="auto"/>
        <w:bottom w:val="none" w:sz="0" w:space="0" w:color="auto"/>
        <w:right w:val="none" w:sz="0" w:space="0" w:color="auto"/>
      </w:divBdr>
    </w:div>
    <w:div w:id="496653111">
      <w:bodyDiv w:val="1"/>
      <w:marLeft w:val="0"/>
      <w:marRight w:val="0"/>
      <w:marTop w:val="0"/>
      <w:marBottom w:val="0"/>
      <w:divBdr>
        <w:top w:val="none" w:sz="0" w:space="0" w:color="auto"/>
        <w:left w:val="none" w:sz="0" w:space="0" w:color="auto"/>
        <w:bottom w:val="none" w:sz="0" w:space="0" w:color="auto"/>
        <w:right w:val="none" w:sz="0" w:space="0" w:color="auto"/>
      </w:divBdr>
    </w:div>
    <w:div w:id="515536691">
      <w:bodyDiv w:val="1"/>
      <w:marLeft w:val="0"/>
      <w:marRight w:val="0"/>
      <w:marTop w:val="0"/>
      <w:marBottom w:val="0"/>
      <w:divBdr>
        <w:top w:val="none" w:sz="0" w:space="0" w:color="auto"/>
        <w:left w:val="none" w:sz="0" w:space="0" w:color="auto"/>
        <w:bottom w:val="none" w:sz="0" w:space="0" w:color="auto"/>
        <w:right w:val="none" w:sz="0" w:space="0" w:color="auto"/>
      </w:divBdr>
    </w:div>
    <w:div w:id="548884699">
      <w:marLeft w:val="0"/>
      <w:marRight w:val="0"/>
      <w:marTop w:val="0"/>
      <w:marBottom w:val="0"/>
      <w:divBdr>
        <w:top w:val="none" w:sz="0" w:space="0" w:color="auto"/>
        <w:left w:val="none" w:sz="0" w:space="0" w:color="auto"/>
        <w:bottom w:val="none" w:sz="0" w:space="0" w:color="auto"/>
        <w:right w:val="none" w:sz="0" w:space="0" w:color="auto"/>
      </w:divBdr>
    </w:div>
    <w:div w:id="548884703">
      <w:marLeft w:val="0"/>
      <w:marRight w:val="0"/>
      <w:marTop w:val="0"/>
      <w:marBottom w:val="0"/>
      <w:divBdr>
        <w:top w:val="none" w:sz="0" w:space="0" w:color="auto"/>
        <w:left w:val="none" w:sz="0" w:space="0" w:color="auto"/>
        <w:bottom w:val="none" w:sz="0" w:space="0" w:color="auto"/>
        <w:right w:val="none" w:sz="0" w:space="0" w:color="auto"/>
      </w:divBdr>
    </w:div>
    <w:div w:id="548884705">
      <w:marLeft w:val="0"/>
      <w:marRight w:val="0"/>
      <w:marTop w:val="0"/>
      <w:marBottom w:val="0"/>
      <w:divBdr>
        <w:top w:val="none" w:sz="0" w:space="0" w:color="auto"/>
        <w:left w:val="none" w:sz="0" w:space="0" w:color="auto"/>
        <w:bottom w:val="none" w:sz="0" w:space="0" w:color="auto"/>
        <w:right w:val="none" w:sz="0" w:space="0" w:color="auto"/>
      </w:divBdr>
    </w:div>
    <w:div w:id="548884706">
      <w:marLeft w:val="0"/>
      <w:marRight w:val="0"/>
      <w:marTop w:val="0"/>
      <w:marBottom w:val="0"/>
      <w:divBdr>
        <w:top w:val="none" w:sz="0" w:space="0" w:color="auto"/>
        <w:left w:val="none" w:sz="0" w:space="0" w:color="auto"/>
        <w:bottom w:val="none" w:sz="0" w:space="0" w:color="auto"/>
        <w:right w:val="none" w:sz="0" w:space="0" w:color="auto"/>
      </w:divBdr>
    </w:div>
    <w:div w:id="548884708">
      <w:marLeft w:val="0"/>
      <w:marRight w:val="0"/>
      <w:marTop w:val="0"/>
      <w:marBottom w:val="0"/>
      <w:divBdr>
        <w:top w:val="none" w:sz="0" w:space="0" w:color="auto"/>
        <w:left w:val="none" w:sz="0" w:space="0" w:color="auto"/>
        <w:bottom w:val="none" w:sz="0" w:space="0" w:color="auto"/>
        <w:right w:val="none" w:sz="0" w:space="0" w:color="auto"/>
      </w:divBdr>
    </w:div>
    <w:div w:id="548884709">
      <w:marLeft w:val="0"/>
      <w:marRight w:val="0"/>
      <w:marTop w:val="0"/>
      <w:marBottom w:val="0"/>
      <w:divBdr>
        <w:top w:val="single" w:sz="2" w:space="0" w:color="CC3640"/>
        <w:left w:val="none" w:sz="0" w:space="0" w:color="auto"/>
        <w:bottom w:val="none" w:sz="0" w:space="0" w:color="auto"/>
        <w:right w:val="none" w:sz="0" w:space="0" w:color="auto"/>
      </w:divBdr>
      <w:divsChild>
        <w:div w:id="548884723">
          <w:marLeft w:val="0"/>
          <w:marRight w:val="0"/>
          <w:marTop w:val="0"/>
          <w:marBottom w:val="0"/>
          <w:divBdr>
            <w:top w:val="single" w:sz="2" w:space="0" w:color="FF0000"/>
            <w:left w:val="single" w:sz="2" w:space="0" w:color="FF0000"/>
            <w:bottom w:val="single" w:sz="2" w:space="0" w:color="FF0000"/>
            <w:right w:val="single" w:sz="2" w:space="0" w:color="FF0000"/>
          </w:divBdr>
          <w:divsChild>
            <w:div w:id="548884704">
              <w:marLeft w:val="0"/>
              <w:marRight w:val="0"/>
              <w:marTop w:val="0"/>
              <w:marBottom w:val="0"/>
              <w:divBdr>
                <w:top w:val="none" w:sz="0" w:space="0" w:color="auto"/>
                <w:left w:val="single" w:sz="6" w:space="0" w:color="DDDDDD"/>
                <w:bottom w:val="none" w:sz="0" w:space="0" w:color="auto"/>
                <w:right w:val="none" w:sz="0" w:space="0" w:color="auto"/>
              </w:divBdr>
              <w:divsChild>
                <w:div w:id="548884701">
                  <w:marLeft w:val="0"/>
                  <w:marRight w:val="0"/>
                  <w:marTop w:val="0"/>
                  <w:marBottom w:val="0"/>
                  <w:divBdr>
                    <w:top w:val="single" w:sz="2" w:space="0" w:color="008000"/>
                    <w:left w:val="single" w:sz="2" w:space="0" w:color="008000"/>
                    <w:bottom w:val="single" w:sz="2" w:space="0" w:color="008000"/>
                    <w:right w:val="single" w:sz="2" w:space="0" w:color="008000"/>
                  </w:divBdr>
                  <w:divsChild>
                    <w:div w:id="548884724">
                      <w:marLeft w:val="0"/>
                      <w:marRight w:val="0"/>
                      <w:marTop w:val="0"/>
                      <w:marBottom w:val="0"/>
                      <w:divBdr>
                        <w:top w:val="none" w:sz="0" w:space="0" w:color="auto"/>
                        <w:left w:val="none" w:sz="0" w:space="0" w:color="auto"/>
                        <w:bottom w:val="none" w:sz="0" w:space="0" w:color="auto"/>
                        <w:right w:val="none" w:sz="0" w:space="0" w:color="auto"/>
                      </w:divBdr>
                      <w:divsChild>
                        <w:div w:id="548884711">
                          <w:marLeft w:val="0"/>
                          <w:marRight w:val="0"/>
                          <w:marTop w:val="0"/>
                          <w:marBottom w:val="0"/>
                          <w:divBdr>
                            <w:top w:val="none" w:sz="0" w:space="0" w:color="auto"/>
                            <w:left w:val="none" w:sz="0" w:space="0" w:color="auto"/>
                            <w:bottom w:val="none" w:sz="0" w:space="0" w:color="auto"/>
                            <w:right w:val="none" w:sz="0" w:space="0" w:color="auto"/>
                          </w:divBdr>
                          <w:divsChild>
                            <w:div w:id="548884697">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548884710">
      <w:marLeft w:val="0"/>
      <w:marRight w:val="0"/>
      <w:marTop w:val="0"/>
      <w:marBottom w:val="0"/>
      <w:divBdr>
        <w:top w:val="none" w:sz="0" w:space="0" w:color="auto"/>
        <w:left w:val="none" w:sz="0" w:space="0" w:color="auto"/>
        <w:bottom w:val="none" w:sz="0" w:space="0" w:color="auto"/>
        <w:right w:val="none" w:sz="0" w:space="0" w:color="auto"/>
      </w:divBdr>
    </w:div>
    <w:div w:id="548884712">
      <w:marLeft w:val="0"/>
      <w:marRight w:val="0"/>
      <w:marTop w:val="0"/>
      <w:marBottom w:val="0"/>
      <w:divBdr>
        <w:top w:val="none" w:sz="0" w:space="0" w:color="auto"/>
        <w:left w:val="none" w:sz="0" w:space="0" w:color="auto"/>
        <w:bottom w:val="none" w:sz="0" w:space="0" w:color="auto"/>
        <w:right w:val="none" w:sz="0" w:space="0" w:color="auto"/>
      </w:divBdr>
    </w:div>
    <w:div w:id="548884713">
      <w:marLeft w:val="0"/>
      <w:marRight w:val="0"/>
      <w:marTop w:val="0"/>
      <w:marBottom w:val="0"/>
      <w:divBdr>
        <w:top w:val="none" w:sz="0" w:space="0" w:color="auto"/>
        <w:left w:val="none" w:sz="0" w:space="0" w:color="auto"/>
        <w:bottom w:val="none" w:sz="0" w:space="0" w:color="auto"/>
        <w:right w:val="none" w:sz="0" w:space="0" w:color="auto"/>
      </w:divBdr>
    </w:div>
    <w:div w:id="548884715">
      <w:marLeft w:val="0"/>
      <w:marRight w:val="0"/>
      <w:marTop w:val="0"/>
      <w:marBottom w:val="0"/>
      <w:divBdr>
        <w:top w:val="none" w:sz="0" w:space="0" w:color="auto"/>
        <w:left w:val="none" w:sz="0" w:space="0" w:color="auto"/>
        <w:bottom w:val="none" w:sz="0" w:space="0" w:color="auto"/>
        <w:right w:val="none" w:sz="0" w:space="0" w:color="auto"/>
      </w:divBdr>
    </w:div>
    <w:div w:id="548884716">
      <w:marLeft w:val="0"/>
      <w:marRight w:val="0"/>
      <w:marTop w:val="0"/>
      <w:marBottom w:val="0"/>
      <w:divBdr>
        <w:top w:val="single" w:sz="2" w:space="0" w:color="CC3640"/>
        <w:left w:val="none" w:sz="0" w:space="0" w:color="auto"/>
        <w:bottom w:val="none" w:sz="0" w:space="0" w:color="auto"/>
        <w:right w:val="none" w:sz="0" w:space="0" w:color="auto"/>
      </w:divBdr>
      <w:divsChild>
        <w:div w:id="548884700">
          <w:marLeft w:val="0"/>
          <w:marRight w:val="0"/>
          <w:marTop w:val="0"/>
          <w:marBottom w:val="0"/>
          <w:divBdr>
            <w:top w:val="single" w:sz="2" w:space="0" w:color="FF0000"/>
            <w:left w:val="single" w:sz="2" w:space="0" w:color="FF0000"/>
            <w:bottom w:val="single" w:sz="2" w:space="0" w:color="FF0000"/>
            <w:right w:val="single" w:sz="2" w:space="0" w:color="FF0000"/>
          </w:divBdr>
          <w:divsChild>
            <w:div w:id="548884720">
              <w:marLeft w:val="0"/>
              <w:marRight w:val="0"/>
              <w:marTop w:val="0"/>
              <w:marBottom w:val="0"/>
              <w:divBdr>
                <w:top w:val="none" w:sz="0" w:space="0" w:color="auto"/>
                <w:left w:val="single" w:sz="6" w:space="0" w:color="DDDDDD"/>
                <w:bottom w:val="none" w:sz="0" w:space="0" w:color="auto"/>
                <w:right w:val="none" w:sz="0" w:space="0" w:color="auto"/>
              </w:divBdr>
              <w:divsChild>
                <w:div w:id="548884719">
                  <w:marLeft w:val="0"/>
                  <w:marRight w:val="0"/>
                  <w:marTop w:val="0"/>
                  <w:marBottom w:val="0"/>
                  <w:divBdr>
                    <w:top w:val="single" w:sz="2" w:space="0" w:color="008000"/>
                    <w:left w:val="single" w:sz="2" w:space="0" w:color="008000"/>
                    <w:bottom w:val="single" w:sz="2" w:space="0" w:color="008000"/>
                    <w:right w:val="single" w:sz="2" w:space="0" w:color="008000"/>
                  </w:divBdr>
                  <w:divsChild>
                    <w:div w:id="548884714">
                      <w:marLeft w:val="0"/>
                      <w:marRight w:val="0"/>
                      <w:marTop w:val="0"/>
                      <w:marBottom w:val="0"/>
                      <w:divBdr>
                        <w:top w:val="none" w:sz="0" w:space="0" w:color="auto"/>
                        <w:left w:val="none" w:sz="0" w:space="0" w:color="auto"/>
                        <w:bottom w:val="none" w:sz="0" w:space="0" w:color="auto"/>
                        <w:right w:val="none" w:sz="0" w:space="0" w:color="auto"/>
                      </w:divBdr>
                      <w:divsChild>
                        <w:div w:id="548884722">
                          <w:marLeft w:val="0"/>
                          <w:marRight w:val="0"/>
                          <w:marTop w:val="0"/>
                          <w:marBottom w:val="0"/>
                          <w:divBdr>
                            <w:top w:val="none" w:sz="0" w:space="0" w:color="auto"/>
                            <w:left w:val="none" w:sz="0" w:space="0" w:color="auto"/>
                            <w:bottom w:val="none" w:sz="0" w:space="0" w:color="auto"/>
                            <w:right w:val="none" w:sz="0" w:space="0" w:color="auto"/>
                          </w:divBdr>
                          <w:divsChild>
                            <w:div w:id="548884707">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548884721">
      <w:marLeft w:val="0"/>
      <w:marRight w:val="0"/>
      <w:marTop w:val="0"/>
      <w:marBottom w:val="0"/>
      <w:divBdr>
        <w:top w:val="single" w:sz="2" w:space="0" w:color="CC3640"/>
        <w:left w:val="none" w:sz="0" w:space="0" w:color="auto"/>
        <w:bottom w:val="none" w:sz="0" w:space="0" w:color="auto"/>
        <w:right w:val="none" w:sz="0" w:space="0" w:color="auto"/>
      </w:divBdr>
      <w:divsChild>
        <w:div w:id="548884725">
          <w:marLeft w:val="0"/>
          <w:marRight w:val="0"/>
          <w:marTop w:val="0"/>
          <w:marBottom w:val="0"/>
          <w:divBdr>
            <w:top w:val="single" w:sz="2" w:space="0" w:color="FF0000"/>
            <w:left w:val="single" w:sz="2" w:space="0" w:color="FF0000"/>
            <w:bottom w:val="single" w:sz="2" w:space="0" w:color="FF0000"/>
            <w:right w:val="single" w:sz="2" w:space="0" w:color="FF0000"/>
          </w:divBdr>
          <w:divsChild>
            <w:div w:id="548884698">
              <w:marLeft w:val="0"/>
              <w:marRight w:val="0"/>
              <w:marTop w:val="0"/>
              <w:marBottom w:val="0"/>
              <w:divBdr>
                <w:top w:val="none" w:sz="0" w:space="0" w:color="auto"/>
                <w:left w:val="single" w:sz="6" w:space="0" w:color="DDDDDD"/>
                <w:bottom w:val="none" w:sz="0" w:space="0" w:color="auto"/>
                <w:right w:val="none" w:sz="0" w:space="0" w:color="auto"/>
              </w:divBdr>
              <w:divsChild>
                <w:div w:id="548884702">
                  <w:marLeft w:val="0"/>
                  <w:marRight w:val="0"/>
                  <w:marTop w:val="0"/>
                  <w:marBottom w:val="0"/>
                  <w:divBdr>
                    <w:top w:val="single" w:sz="2" w:space="0" w:color="008000"/>
                    <w:left w:val="single" w:sz="2" w:space="0" w:color="008000"/>
                    <w:bottom w:val="single" w:sz="2" w:space="0" w:color="008000"/>
                    <w:right w:val="single" w:sz="2" w:space="0" w:color="008000"/>
                  </w:divBdr>
                  <w:divsChild>
                    <w:div w:id="548884717">
                      <w:marLeft w:val="0"/>
                      <w:marRight w:val="0"/>
                      <w:marTop w:val="0"/>
                      <w:marBottom w:val="0"/>
                      <w:divBdr>
                        <w:top w:val="none" w:sz="0" w:space="0" w:color="auto"/>
                        <w:left w:val="none" w:sz="0" w:space="0" w:color="auto"/>
                        <w:bottom w:val="none" w:sz="0" w:space="0" w:color="auto"/>
                        <w:right w:val="none" w:sz="0" w:space="0" w:color="auto"/>
                      </w:divBdr>
                      <w:divsChild>
                        <w:div w:id="548884718">
                          <w:marLeft w:val="0"/>
                          <w:marRight w:val="0"/>
                          <w:marTop w:val="0"/>
                          <w:marBottom w:val="0"/>
                          <w:divBdr>
                            <w:top w:val="none" w:sz="0" w:space="0" w:color="auto"/>
                            <w:left w:val="none" w:sz="0" w:space="0" w:color="auto"/>
                            <w:bottom w:val="none" w:sz="0" w:space="0" w:color="auto"/>
                            <w:right w:val="none" w:sz="0" w:space="0" w:color="auto"/>
                          </w:divBdr>
                          <w:divsChild>
                            <w:div w:id="548884726">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548884727">
      <w:marLeft w:val="0"/>
      <w:marRight w:val="0"/>
      <w:marTop w:val="0"/>
      <w:marBottom w:val="0"/>
      <w:divBdr>
        <w:top w:val="none" w:sz="0" w:space="0" w:color="auto"/>
        <w:left w:val="none" w:sz="0" w:space="0" w:color="auto"/>
        <w:bottom w:val="none" w:sz="0" w:space="0" w:color="auto"/>
        <w:right w:val="none" w:sz="0" w:space="0" w:color="auto"/>
      </w:divBdr>
    </w:div>
    <w:div w:id="552741574">
      <w:bodyDiv w:val="1"/>
      <w:marLeft w:val="0"/>
      <w:marRight w:val="0"/>
      <w:marTop w:val="0"/>
      <w:marBottom w:val="0"/>
      <w:divBdr>
        <w:top w:val="none" w:sz="0" w:space="0" w:color="auto"/>
        <w:left w:val="none" w:sz="0" w:space="0" w:color="auto"/>
        <w:bottom w:val="none" w:sz="0" w:space="0" w:color="auto"/>
        <w:right w:val="none" w:sz="0" w:space="0" w:color="auto"/>
      </w:divBdr>
      <w:divsChild>
        <w:div w:id="1349284937">
          <w:marLeft w:val="0"/>
          <w:marRight w:val="0"/>
          <w:marTop w:val="0"/>
          <w:marBottom w:val="0"/>
          <w:divBdr>
            <w:top w:val="none" w:sz="0" w:space="0" w:color="auto"/>
            <w:left w:val="none" w:sz="0" w:space="0" w:color="auto"/>
            <w:bottom w:val="none" w:sz="0" w:space="0" w:color="auto"/>
            <w:right w:val="none" w:sz="0" w:space="0" w:color="auto"/>
          </w:divBdr>
          <w:divsChild>
            <w:div w:id="1148941549">
              <w:marLeft w:val="0"/>
              <w:marRight w:val="0"/>
              <w:marTop w:val="615"/>
              <w:marBottom w:val="0"/>
              <w:divBdr>
                <w:top w:val="none" w:sz="0" w:space="0" w:color="auto"/>
                <w:left w:val="none" w:sz="0" w:space="0" w:color="auto"/>
                <w:bottom w:val="none" w:sz="0" w:space="0" w:color="auto"/>
                <w:right w:val="none" w:sz="0" w:space="0" w:color="auto"/>
              </w:divBdr>
              <w:divsChild>
                <w:div w:id="1644771274">
                  <w:marLeft w:val="0"/>
                  <w:marRight w:val="0"/>
                  <w:marTop w:val="0"/>
                  <w:marBottom w:val="0"/>
                  <w:divBdr>
                    <w:top w:val="none" w:sz="0" w:space="0" w:color="auto"/>
                    <w:left w:val="none" w:sz="0" w:space="0" w:color="auto"/>
                    <w:bottom w:val="none" w:sz="0" w:space="0" w:color="auto"/>
                    <w:right w:val="none" w:sz="0" w:space="0" w:color="auto"/>
                  </w:divBdr>
                </w:div>
                <w:div w:id="1785464493">
                  <w:marLeft w:val="0"/>
                  <w:marRight w:val="0"/>
                  <w:marTop w:val="0"/>
                  <w:marBottom w:val="0"/>
                  <w:divBdr>
                    <w:top w:val="none" w:sz="0" w:space="0" w:color="auto"/>
                    <w:left w:val="none" w:sz="0" w:space="0" w:color="auto"/>
                    <w:bottom w:val="none" w:sz="0" w:space="0" w:color="auto"/>
                    <w:right w:val="none" w:sz="0" w:space="0" w:color="auto"/>
                  </w:divBdr>
                </w:div>
                <w:div w:id="722019218">
                  <w:marLeft w:val="0"/>
                  <w:marRight w:val="0"/>
                  <w:marTop w:val="0"/>
                  <w:marBottom w:val="0"/>
                  <w:divBdr>
                    <w:top w:val="none" w:sz="0" w:space="0" w:color="auto"/>
                    <w:left w:val="none" w:sz="0" w:space="0" w:color="auto"/>
                    <w:bottom w:val="none" w:sz="0" w:space="0" w:color="auto"/>
                    <w:right w:val="none" w:sz="0" w:space="0" w:color="auto"/>
                  </w:divBdr>
                </w:div>
                <w:div w:id="856964363">
                  <w:marLeft w:val="0"/>
                  <w:marRight w:val="0"/>
                  <w:marTop w:val="0"/>
                  <w:marBottom w:val="0"/>
                  <w:divBdr>
                    <w:top w:val="none" w:sz="0" w:space="0" w:color="auto"/>
                    <w:left w:val="none" w:sz="0" w:space="0" w:color="auto"/>
                    <w:bottom w:val="none" w:sz="0" w:space="0" w:color="auto"/>
                    <w:right w:val="none" w:sz="0" w:space="0" w:color="auto"/>
                  </w:divBdr>
                </w:div>
                <w:div w:id="2048336779">
                  <w:marLeft w:val="0"/>
                  <w:marRight w:val="0"/>
                  <w:marTop w:val="0"/>
                  <w:marBottom w:val="0"/>
                  <w:divBdr>
                    <w:top w:val="none" w:sz="0" w:space="0" w:color="auto"/>
                    <w:left w:val="none" w:sz="0" w:space="0" w:color="auto"/>
                    <w:bottom w:val="none" w:sz="0" w:space="0" w:color="auto"/>
                    <w:right w:val="none" w:sz="0" w:space="0" w:color="auto"/>
                  </w:divBdr>
                </w:div>
                <w:div w:id="331106348">
                  <w:marLeft w:val="0"/>
                  <w:marRight w:val="0"/>
                  <w:marTop w:val="0"/>
                  <w:marBottom w:val="0"/>
                  <w:divBdr>
                    <w:top w:val="none" w:sz="0" w:space="0" w:color="auto"/>
                    <w:left w:val="none" w:sz="0" w:space="0" w:color="auto"/>
                    <w:bottom w:val="none" w:sz="0" w:space="0" w:color="auto"/>
                    <w:right w:val="none" w:sz="0" w:space="0" w:color="auto"/>
                  </w:divBdr>
                </w:div>
                <w:div w:id="1588071326">
                  <w:marLeft w:val="0"/>
                  <w:marRight w:val="0"/>
                  <w:marTop w:val="0"/>
                  <w:marBottom w:val="0"/>
                  <w:divBdr>
                    <w:top w:val="none" w:sz="0" w:space="0" w:color="auto"/>
                    <w:left w:val="none" w:sz="0" w:space="0" w:color="auto"/>
                    <w:bottom w:val="none" w:sz="0" w:space="0" w:color="auto"/>
                    <w:right w:val="none" w:sz="0" w:space="0" w:color="auto"/>
                  </w:divBdr>
                </w:div>
                <w:div w:id="739450549">
                  <w:marLeft w:val="0"/>
                  <w:marRight w:val="0"/>
                  <w:marTop w:val="0"/>
                  <w:marBottom w:val="0"/>
                  <w:divBdr>
                    <w:top w:val="none" w:sz="0" w:space="0" w:color="auto"/>
                    <w:left w:val="none" w:sz="0" w:space="0" w:color="auto"/>
                    <w:bottom w:val="none" w:sz="0" w:space="0" w:color="auto"/>
                    <w:right w:val="none" w:sz="0" w:space="0" w:color="auto"/>
                  </w:divBdr>
                </w:div>
                <w:div w:id="572619225">
                  <w:marLeft w:val="0"/>
                  <w:marRight w:val="0"/>
                  <w:marTop w:val="0"/>
                  <w:marBottom w:val="0"/>
                  <w:divBdr>
                    <w:top w:val="none" w:sz="0" w:space="0" w:color="auto"/>
                    <w:left w:val="none" w:sz="0" w:space="0" w:color="auto"/>
                    <w:bottom w:val="none" w:sz="0" w:space="0" w:color="auto"/>
                    <w:right w:val="none" w:sz="0" w:space="0" w:color="auto"/>
                  </w:divBdr>
                </w:div>
                <w:div w:id="449592835">
                  <w:marLeft w:val="0"/>
                  <w:marRight w:val="0"/>
                  <w:marTop w:val="0"/>
                  <w:marBottom w:val="0"/>
                  <w:divBdr>
                    <w:top w:val="none" w:sz="0" w:space="0" w:color="auto"/>
                    <w:left w:val="none" w:sz="0" w:space="0" w:color="auto"/>
                    <w:bottom w:val="none" w:sz="0" w:space="0" w:color="auto"/>
                    <w:right w:val="none" w:sz="0" w:space="0" w:color="auto"/>
                  </w:divBdr>
                </w:div>
                <w:div w:id="54264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5597">
          <w:marLeft w:val="0"/>
          <w:marRight w:val="0"/>
          <w:marTop w:val="0"/>
          <w:marBottom w:val="0"/>
          <w:divBdr>
            <w:top w:val="none" w:sz="0" w:space="0" w:color="auto"/>
            <w:left w:val="none" w:sz="0" w:space="0" w:color="auto"/>
            <w:bottom w:val="none" w:sz="0" w:space="0" w:color="auto"/>
            <w:right w:val="none" w:sz="0" w:space="0" w:color="auto"/>
          </w:divBdr>
          <w:divsChild>
            <w:div w:id="494762776">
              <w:marLeft w:val="0"/>
              <w:marRight w:val="0"/>
              <w:marTop w:val="0"/>
              <w:marBottom w:val="120"/>
              <w:divBdr>
                <w:top w:val="none" w:sz="0" w:space="0" w:color="auto"/>
                <w:left w:val="none" w:sz="0" w:space="0" w:color="auto"/>
                <w:bottom w:val="none" w:sz="0" w:space="0" w:color="auto"/>
                <w:right w:val="none" w:sz="0" w:space="0" w:color="auto"/>
              </w:divBdr>
              <w:divsChild>
                <w:div w:id="1046486943">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49958505">
          <w:marLeft w:val="0"/>
          <w:marRight w:val="0"/>
          <w:marTop w:val="0"/>
          <w:marBottom w:val="0"/>
          <w:divBdr>
            <w:top w:val="none" w:sz="0" w:space="0" w:color="auto"/>
            <w:left w:val="none" w:sz="0" w:space="0" w:color="auto"/>
            <w:bottom w:val="none" w:sz="0" w:space="0" w:color="auto"/>
            <w:right w:val="none" w:sz="0" w:space="0" w:color="auto"/>
          </w:divBdr>
          <w:divsChild>
            <w:div w:id="1893805624">
              <w:marLeft w:val="0"/>
              <w:marRight w:val="0"/>
              <w:marTop w:val="0"/>
              <w:marBottom w:val="0"/>
              <w:divBdr>
                <w:top w:val="none" w:sz="0" w:space="0" w:color="auto"/>
                <w:left w:val="none" w:sz="0" w:space="0" w:color="auto"/>
                <w:bottom w:val="none" w:sz="0" w:space="0" w:color="auto"/>
                <w:right w:val="none" w:sz="0" w:space="0" w:color="auto"/>
              </w:divBdr>
            </w:div>
            <w:div w:id="123818347">
              <w:marLeft w:val="0"/>
              <w:marRight w:val="0"/>
              <w:marTop w:val="0"/>
              <w:marBottom w:val="0"/>
              <w:divBdr>
                <w:top w:val="none" w:sz="0" w:space="0" w:color="auto"/>
                <w:left w:val="none" w:sz="0" w:space="0" w:color="auto"/>
                <w:bottom w:val="none" w:sz="0" w:space="0" w:color="auto"/>
                <w:right w:val="none" w:sz="0" w:space="0" w:color="auto"/>
              </w:divBdr>
            </w:div>
            <w:div w:id="363094779">
              <w:marLeft w:val="0"/>
              <w:marRight w:val="0"/>
              <w:marTop w:val="0"/>
              <w:marBottom w:val="0"/>
              <w:divBdr>
                <w:top w:val="none" w:sz="0" w:space="0" w:color="auto"/>
                <w:left w:val="none" w:sz="0" w:space="0" w:color="auto"/>
                <w:bottom w:val="none" w:sz="0" w:space="0" w:color="auto"/>
                <w:right w:val="none" w:sz="0" w:space="0" w:color="auto"/>
              </w:divBdr>
            </w:div>
            <w:div w:id="1182620878">
              <w:marLeft w:val="0"/>
              <w:marRight w:val="0"/>
              <w:marTop w:val="0"/>
              <w:marBottom w:val="0"/>
              <w:divBdr>
                <w:top w:val="none" w:sz="0" w:space="0" w:color="auto"/>
                <w:left w:val="none" w:sz="0" w:space="0" w:color="auto"/>
                <w:bottom w:val="none" w:sz="0" w:space="0" w:color="auto"/>
                <w:right w:val="none" w:sz="0" w:space="0" w:color="auto"/>
              </w:divBdr>
            </w:div>
            <w:div w:id="2135446199">
              <w:marLeft w:val="0"/>
              <w:marRight w:val="0"/>
              <w:marTop w:val="0"/>
              <w:marBottom w:val="0"/>
              <w:divBdr>
                <w:top w:val="none" w:sz="0" w:space="0" w:color="auto"/>
                <w:left w:val="none" w:sz="0" w:space="0" w:color="auto"/>
                <w:bottom w:val="none" w:sz="0" w:space="0" w:color="auto"/>
                <w:right w:val="none" w:sz="0" w:space="0" w:color="auto"/>
              </w:divBdr>
            </w:div>
            <w:div w:id="173146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65113">
      <w:bodyDiv w:val="1"/>
      <w:marLeft w:val="0"/>
      <w:marRight w:val="0"/>
      <w:marTop w:val="0"/>
      <w:marBottom w:val="0"/>
      <w:divBdr>
        <w:top w:val="none" w:sz="0" w:space="0" w:color="auto"/>
        <w:left w:val="none" w:sz="0" w:space="0" w:color="auto"/>
        <w:bottom w:val="none" w:sz="0" w:space="0" w:color="auto"/>
        <w:right w:val="none" w:sz="0" w:space="0" w:color="auto"/>
      </w:divBdr>
    </w:div>
    <w:div w:id="772821995">
      <w:bodyDiv w:val="1"/>
      <w:marLeft w:val="0"/>
      <w:marRight w:val="0"/>
      <w:marTop w:val="0"/>
      <w:marBottom w:val="0"/>
      <w:divBdr>
        <w:top w:val="none" w:sz="0" w:space="0" w:color="auto"/>
        <w:left w:val="none" w:sz="0" w:space="0" w:color="auto"/>
        <w:bottom w:val="none" w:sz="0" w:space="0" w:color="auto"/>
        <w:right w:val="none" w:sz="0" w:space="0" w:color="auto"/>
      </w:divBdr>
    </w:div>
    <w:div w:id="804155725">
      <w:bodyDiv w:val="1"/>
      <w:marLeft w:val="0"/>
      <w:marRight w:val="0"/>
      <w:marTop w:val="0"/>
      <w:marBottom w:val="0"/>
      <w:divBdr>
        <w:top w:val="none" w:sz="0" w:space="0" w:color="auto"/>
        <w:left w:val="none" w:sz="0" w:space="0" w:color="auto"/>
        <w:bottom w:val="none" w:sz="0" w:space="0" w:color="auto"/>
        <w:right w:val="none" w:sz="0" w:space="0" w:color="auto"/>
      </w:divBdr>
    </w:div>
    <w:div w:id="820466289">
      <w:bodyDiv w:val="1"/>
      <w:marLeft w:val="0"/>
      <w:marRight w:val="0"/>
      <w:marTop w:val="0"/>
      <w:marBottom w:val="0"/>
      <w:divBdr>
        <w:top w:val="none" w:sz="0" w:space="0" w:color="auto"/>
        <w:left w:val="none" w:sz="0" w:space="0" w:color="auto"/>
        <w:bottom w:val="none" w:sz="0" w:space="0" w:color="auto"/>
        <w:right w:val="none" w:sz="0" w:space="0" w:color="auto"/>
      </w:divBdr>
    </w:div>
    <w:div w:id="847595348">
      <w:bodyDiv w:val="1"/>
      <w:marLeft w:val="0"/>
      <w:marRight w:val="0"/>
      <w:marTop w:val="0"/>
      <w:marBottom w:val="0"/>
      <w:divBdr>
        <w:top w:val="none" w:sz="0" w:space="0" w:color="auto"/>
        <w:left w:val="none" w:sz="0" w:space="0" w:color="auto"/>
        <w:bottom w:val="none" w:sz="0" w:space="0" w:color="auto"/>
        <w:right w:val="none" w:sz="0" w:space="0" w:color="auto"/>
      </w:divBdr>
    </w:div>
    <w:div w:id="864367556">
      <w:bodyDiv w:val="1"/>
      <w:marLeft w:val="0"/>
      <w:marRight w:val="0"/>
      <w:marTop w:val="0"/>
      <w:marBottom w:val="0"/>
      <w:divBdr>
        <w:top w:val="none" w:sz="0" w:space="0" w:color="auto"/>
        <w:left w:val="none" w:sz="0" w:space="0" w:color="auto"/>
        <w:bottom w:val="none" w:sz="0" w:space="0" w:color="auto"/>
        <w:right w:val="none" w:sz="0" w:space="0" w:color="auto"/>
      </w:divBdr>
    </w:div>
    <w:div w:id="868491807">
      <w:bodyDiv w:val="1"/>
      <w:marLeft w:val="0"/>
      <w:marRight w:val="0"/>
      <w:marTop w:val="0"/>
      <w:marBottom w:val="0"/>
      <w:divBdr>
        <w:top w:val="none" w:sz="0" w:space="0" w:color="auto"/>
        <w:left w:val="none" w:sz="0" w:space="0" w:color="auto"/>
        <w:bottom w:val="none" w:sz="0" w:space="0" w:color="auto"/>
        <w:right w:val="none" w:sz="0" w:space="0" w:color="auto"/>
      </w:divBdr>
    </w:div>
    <w:div w:id="870918571">
      <w:bodyDiv w:val="1"/>
      <w:marLeft w:val="0"/>
      <w:marRight w:val="0"/>
      <w:marTop w:val="0"/>
      <w:marBottom w:val="0"/>
      <w:divBdr>
        <w:top w:val="none" w:sz="0" w:space="0" w:color="auto"/>
        <w:left w:val="none" w:sz="0" w:space="0" w:color="auto"/>
        <w:bottom w:val="none" w:sz="0" w:space="0" w:color="auto"/>
        <w:right w:val="none" w:sz="0" w:space="0" w:color="auto"/>
      </w:divBdr>
    </w:div>
    <w:div w:id="884878897">
      <w:bodyDiv w:val="1"/>
      <w:marLeft w:val="0"/>
      <w:marRight w:val="0"/>
      <w:marTop w:val="0"/>
      <w:marBottom w:val="0"/>
      <w:divBdr>
        <w:top w:val="none" w:sz="0" w:space="0" w:color="auto"/>
        <w:left w:val="none" w:sz="0" w:space="0" w:color="auto"/>
        <w:bottom w:val="none" w:sz="0" w:space="0" w:color="auto"/>
        <w:right w:val="none" w:sz="0" w:space="0" w:color="auto"/>
      </w:divBdr>
    </w:div>
    <w:div w:id="983969439">
      <w:bodyDiv w:val="1"/>
      <w:marLeft w:val="0"/>
      <w:marRight w:val="0"/>
      <w:marTop w:val="0"/>
      <w:marBottom w:val="0"/>
      <w:divBdr>
        <w:top w:val="none" w:sz="0" w:space="0" w:color="auto"/>
        <w:left w:val="none" w:sz="0" w:space="0" w:color="auto"/>
        <w:bottom w:val="none" w:sz="0" w:space="0" w:color="auto"/>
        <w:right w:val="none" w:sz="0" w:space="0" w:color="auto"/>
      </w:divBdr>
    </w:div>
    <w:div w:id="1044863216">
      <w:bodyDiv w:val="1"/>
      <w:marLeft w:val="0"/>
      <w:marRight w:val="0"/>
      <w:marTop w:val="0"/>
      <w:marBottom w:val="0"/>
      <w:divBdr>
        <w:top w:val="none" w:sz="0" w:space="0" w:color="auto"/>
        <w:left w:val="none" w:sz="0" w:space="0" w:color="auto"/>
        <w:bottom w:val="none" w:sz="0" w:space="0" w:color="auto"/>
        <w:right w:val="none" w:sz="0" w:space="0" w:color="auto"/>
      </w:divBdr>
    </w:div>
    <w:div w:id="1048728574">
      <w:bodyDiv w:val="1"/>
      <w:marLeft w:val="0"/>
      <w:marRight w:val="0"/>
      <w:marTop w:val="0"/>
      <w:marBottom w:val="0"/>
      <w:divBdr>
        <w:top w:val="none" w:sz="0" w:space="0" w:color="auto"/>
        <w:left w:val="none" w:sz="0" w:space="0" w:color="auto"/>
        <w:bottom w:val="none" w:sz="0" w:space="0" w:color="auto"/>
        <w:right w:val="none" w:sz="0" w:space="0" w:color="auto"/>
      </w:divBdr>
    </w:div>
    <w:div w:id="1073627280">
      <w:bodyDiv w:val="1"/>
      <w:marLeft w:val="0"/>
      <w:marRight w:val="0"/>
      <w:marTop w:val="0"/>
      <w:marBottom w:val="0"/>
      <w:divBdr>
        <w:top w:val="none" w:sz="0" w:space="0" w:color="auto"/>
        <w:left w:val="none" w:sz="0" w:space="0" w:color="auto"/>
        <w:bottom w:val="none" w:sz="0" w:space="0" w:color="auto"/>
        <w:right w:val="none" w:sz="0" w:space="0" w:color="auto"/>
      </w:divBdr>
    </w:div>
    <w:div w:id="1090733348">
      <w:bodyDiv w:val="1"/>
      <w:marLeft w:val="0"/>
      <w:marRight w:val="0"/>
      <w:marTop w:val="0"/>
      <w:marBottom w:val="0"/>
      <w:divBdr>
        <w:top w:val="none" w:sz="0" w:space="0" w:color="auto"/>
        <w:left w:val="none" w:sz="0" w:space="0" w:color="auto"/>
        <w:bottom w:val="none" w:sz="0" w:space="0" w:color="auto"/>
        <w:right w:val="none" w:sz="0" w:space="0" w:color="auto"/>
      </w:divBdr>
    </w:div>
    <w:div w:id="1215508946">
      <w:bodyDiv w:val="1"/>
      <w:marLeft w:val="0"/>
      <w:marRight w:val="0"/>
      <w:marTop w:val="0"/>
      <w:marBottom w:val="0"/>
      <w:divBdr>
        <w:top w:val="none" w:sz="0" w:space="0" w:color="auto"/>
        <w:left w:val="none" w:sz="0" w:space="0" w:color="auto"/>
        <w:bottom w:val="none" w:sz="0" w:space="0" w:color="auto"/>
        <w:right w:val="none" w:sz="0" w:space="0" w:color="auto"/>
      </w:divBdr>
    </w:div>
    <w:div w:id="1249997535">
      <w:bodyDiv w:val="1"/>
      <w:marLeft w:val="0"/>
      <w:marRight w:val="0"/>
      <w:marTop w:val="0"/>
      <w:marBottom w:val="0"/>
      <w:divBdr>
        <w:top w:val="none" w:sz="0" w:space="0" w:color="auto"/>
        <w:left w:val="none" w:sz="0" w:space="0" w:color="auto"/>
        <w:bottom w:val="none" w:sz="0" w:space="0" w:color="auto"/>
        <w:right w:val="none" w:sz="0" w:space="0" w:color="auto"/>
      </w:divBdr>
    </w:div>
    <w:div w:id="1350913767">
      <w:bodyDiv w:val="1"/>
      <w:marLeft w:val="0"/>
      <w:marRight w:val="0"/>
      <w:marTop w:val="0"/>
      <w:marBottom w:val="0"/>
      <w:divBdr>
        <w:top w:val="none" w:sz="0" w:space="0" w:color="auto"/>
        <w:left w:val="none" w:sz="0" w:space="0" w:color="auto"/>
        <w:bottom w:val="none" w:sz="0" w:space="0" w:color="auto"/>
        <w:right w:val="none" w:sz="0" w:space="0" w:color="auto"/>
      </w:divBdr>
    </w:div>
    <w:div w:id="1353461321">
      <w:bodyDiv w:val="1"/>
      <w:marLeft w:val="0"/>
      <w:marRight w:val="0"/>
      <w:marTop w:val="0"/>
      <w:marBottom w:val="0"/>
      <w:divBdr>
        <w:top w:val="none" w:sz="0" w:space="0" w:color="auto"/>
        <w:left w:val="none" w:sz="0" w:space="0" w:color="auto"/>
        <w:bottom w:val="none" w:sz="0" w:space="0" w:color="auto"/>
        <w:right w:val="none" w:sz="0" w:space="0" w:color="auto"/>
      </w:divBdr>
    </w:div>
    <w:div w:id="1361280143">
      <w:bodyDiv w:val="1"/>
      <w:marLeft w:val="0"/>
      <w:marRight w:val="0"/>
      <w:marTop w:val="0"/>
      <w:marBottom w:val="0"/>
      <w:divBdr>
        <w:top w:val="none" w:sz="0" w:space="0" w:color="auto"/>
        <w:left w:val="none" w:sz="0" w:space="0" w:color="auto"/>
        <w:bottom w:val="none" w:sz="0" w:space="0" w:color="auto"/>
        <w:right w:val="none" w:sz="0" w:space="0" w:color="auto"/>
      </w:divBdr>
    </w:div>
    <w:div w:id="1384406011">
      <w:bodyDiv w:val="1"/>
      <w:marLeft w:val="0"/>
      <w:marRight w:val="0"/>
      <w:marTop w:val="0"/>
      <w:marBottom w:val="0"/>
      <w:divBdr>
        <w:top w:val="none" w:sz="0" w:space="0" w:color="auto"/>
        <w:left w:val="none" w:sz="0" w:space="0" w:color="auto"/>
        <w:bottom w:val="none" w:sz="0" w:space="0" w:color="auto"/>
        <w:right w:val="none" w:sz="0" w:space="0" w:color="auto"/>
      </w:divBdr>
    </w:div>
    <w:div w:id="1422603669">
      <w:bodyDiv w:val="1"/>
      <w:marLeft w:val="0"/>
      <w:marRight w:val="0"/>
      <w:marTop w:val="0"/>
      <w:marBottom w:val="0"/>
      <w:divBdr>
        <w:top w:val="none" w:sz="0" w:space="0" w:color="auto"/>
        <w:left w:val="none" w:sz="0" w:space="0" w:color="auto"/>
        <w:bottom w:val="none" w:sz="0" w:space="0" w:color="auto"/>
        <w:right w:val="none" w:sz="0" w:space="0" w:color="auto"/>
      </w:divBdr>
    </w:div>
    <w:div w:id="1539053042">
      <w:bodyDiv w:val="1"/>
      <w:marLeft w:val="0"/>
      <w:marRight w:val="0"/>
      <w:marTop w:val="0"/>
      <w:marBottom w:val="0"/>
      <w:divBdr>
        <w:top w:val="none" w:sz="0" w:space="0" w:color="auto"/>
        <w:left w:val="none" w:sz="0" w:space="0" w:color="auto"/>
        <w:bottom w:val="none" w:sz="0" w:space="0" w:color="auto"/>
        <w:right w:val="none" w:sz="0" w:space="0" w:color="auto"/>
      </w:divBdr>
    </w:div>
    <w:div w:id="1547185421">
      <w:bodyDiv w:val="1"/>
      <w:marLeft w:val="0"/>
      <w:marRight w:val="0"/>
      <w:marTop w:val="0"/>
      <w:marBottom w:val="0"/>
      <w:divBdr>
        <w:top w:val="none" w:sz="0" w:space="0" w:color="auto"/>
        <w:left w:val="none" w:sz="0" w:space="0" w:color="auto"/>
        <w:bottom w:val="none" w:sz="0" w:space="0" w:color="auto"/>
        <w:right w:val="none" w:sz="0" w:space="0" w:color="auto"/>
      </w:divBdr>
    </w:div>
    <w:div w:id="1579248937">
      <w:bodyDiv w:val="1"/>
      <w:marLeft w:val="0"/>
      <w:marRight w:val="0"/>
      <w:marTop w:val="0"/>
      <w:marBottom w:val="0"/>
      <w:divBdr>
        <w:top w:val="none" w:sz="0" w:space="0" w:color="auto"/>
        <w:left w:val="none" w:sz="0" w:space="0" w:color="auto"/>
        <w:bottom w:val="none" w:sz="0" w:space="0" w:color="auto"/>
        <w:right w:val="none" w:sz="0" w:space="0" w:color="auto"/>
      </w:divBdr>
    </w:div>
    <w:div w:id="1643580251">
      <w:bodyDiv w:val="1"/>
      <w:marLeft w:val="0"/>
      <w:marRight w:val="0"/>
      <w:marTop w:val="0"/>
      <w:marBottom w:val="0"/>
      <w:divBdr>
        <w:top w:val="none" w:sz="0" w:space="0" w:color="auto"/>
        <w:left w:val="none" w:sz="0" w:space="0" w:color="auto"/>
        <w:bottom w:val="none" w:sz="0" w:space="0" w:color="auto"/>
        <w:right w:val="none" w:sz="0" w:space="0" w:color="auto"/>
      </w:divBdr>
    </w:div>
    <w:div w:id="1667905057">
      <w:bodyDiv w:val="1"/>
      <w:marLeft w:val="0"/>
      <w:marRight w:val="0"/>
      <w:marTop w:val="0"/>
      <w:marBottom w:val="0"/>
      <w:divBdr>
        <w:top w:val="none" w:sz="0" w:space="0" w:color="auto"/>
        <w:left w:val="none" w:sz="0" w:space="0" w:color="auto"/>
        <w:bottom w:val="none" w:sz="0" w:space="0" w:color="auto"/>
        <w:right w:val="none" w:sz="0" w:space="0" w:color="auto"/>
      </w:divBdr>
    </w:div>
    <w:div w:id="1676568715">
      <w:bodyDiv w:val="1"/>
      <w:marLeft w:val="0"/>
      <w:marRight w:val="0"/>
      <w:marTop w:val="0"/>
      <w:marBottom w:val="0"/>
      <w:divBdr>
        <w:top w:val="none" w:sz="0" w:space="0" w:color="auto"/>
        <w:left w:val="none" w:sz="0" w:space="0" w:color="auto"/>
        <w:bottom w:val="none" w:sz="0" w:space="0" w:color="auto"/>
        <w:right w:val="none" w:sz="0" w:space="0" w:color="auto"/>
      </w:divBdr>
    </w:div>
    <w:div w:id="1717272331">
      <w:bodyDiv w:val="1"/>
      <w:marLeft w:val="0"/>
      <w:marRight w:val="0"/>
      <w:marTop w:val="0"/>
      <w:marBottom w:val="0"/>
      <w:divBdr>
        <w:top w:val="none" w:sz="0" w:space="0" w:color="auto"/>
        <w:left w:val="none" w:sz="0" w:space="0" w:color="auto"/>
        <w:bottom w:val="none" w:sz="0" w:space="0" w:color="auto"/>
        <w:right w:val="none" w:sz="0" w:space="0" w:color="auto"/>
      </w:divBdr>
    </w:div>
    <w:div w:id="1794900619">
      <w:bodyDiv w:val="1"/>
      <w:marLeft w:val="0"/>
      <w:marRight w:val="0"/>
      <w:marTop w:val="0"/>
      <w:marBottom w:val="0"/>
      <w:divBdr>
        <w:top w:val="none" w:sz="0" w:space="0" w:color="auto"/>
        <w:left w:val="none" w:sz="0" w:space="0" w:color="auto"/>
        <w:bottom w:val="none" w:sz="0" w:space="0" w:color="auto"/>
        <w:right w:val="none" w:sz="0" w:space="0" w:color="auto"/>
      </w:divBdr>
    </w:div>
    <w:div w:id="1868062556">
      <w:bodyDiv w:val="1"/>
      <w:marLeft w:val="0"/>
      <w:marRight w:val="0"/>
      <w:marTop w:val="0"/>
      <w:marBottom w:val="0"/>
      <w:divBdr>
        <w:top w:val="none" w:sz="0" w:space="0" w:color="auto"/>
        <w:left w:val="none" w:sz="0" w:space="0" w:color="auto"/>
        <w:bottom w:val="none" w:sz="0" w:space="0" w:color="auto"/>
        <w:right w:val="none" w:sz="0" w:space="0" w:color="auto"/>
      </w:divBdr>
    </w:div>
    <w:div w:id="1890412199">
      <w:bodyDiv w:val="1"/>
      <w:marLeft w:val="0"/>
      <w:marRight w:val="0"/>
      <w:marTop w:val="0"/>
      <w:marBottom w:val="0"/>
      <w:divBdr>
        <w:top w:val="none" w:sz="0" w:space="0" w:color="auto"/>
        <w:left w:val="none" w:sz="0" w:space="0" w:color="auto"/>
        <w:bottom w:val="none" w:sz="0" w:space="0" w:color="auto"/>
        <w:right w:val="none" w:sz="0" w:space="0" w:color="auto"/>
      </w:divBdr>
    </w:div>
    <w:div w:id="1982801929">
      <w:bodyDiv w:val="1"/>
      <w:marLeft w:val="0"/>
      <w:marRight w:val="0"/>
      <w:marTop w:val="0"/>
      <w:marBottom w:val="0"/>
      <w:divBdr>
        <w:top w:val="none" w:sz="0" w:space="0" w:color="auto"/>
        <w:left w:val="none" w:sz="0" w:space="0" w:color="auto"/>
        <w:bottom w:val="none" w:sz="0" w:space="0" w:color="auto"/>
        <w:right w:val="none" w:sz="0" w:space="0" w:color="auto"/>
      </w:divBdr>
    </w:div>
    <w:div w:id="2097356513">
      <w:bodyDiv w:val="1"/>
      <w:marLeft w:val="0"/>
      <w:marRight w:val="0"/>
      <w:marTop w:val="0"/>
      <w:marBottom w:val="0"/>
      <w:divBdr>
        <w:top w:val="none" w:sz="0" w:space="0" w:color="auto"/>
        <w:left w:val="none" w:sz="0" w:space="0" w:color="auto"/>
        <w:bottom w:val="none" w:sz="0" w:space="0" w:color="auto"/>
        <w:right w:val="none" w:sz="0" w:space="0" w:color="auto"/>
      </w:divBdr>
    </w:div>
    <w:div w:id="2114472724">
      <w:bodyDiv w:val="1"/>
      <w:marLeft w:val="0"/>
      <w:marRight w:val="0"/>
      <w:marTop w:val="0"/>
      <w:marBottom w:val="0"/>
      <w:divBdr>
        <w:top w:val="none" w:sz="0" w:space="0" w:color="auto"/>
        <w:left w:val="none" w:sz="0" w:space="0" w:color="auto"/>
        <w:bottom w:val="none" w:sz="0" w:space="0" w:color="auto"/>
        <w:right w:val="none" w:sz="0" w:space="0" w:color="auto"/>
      </w:divBdr>
      <w:divsChild>
        <w:div w:id="323708626">
          <w:marLeft w:val="0"/>
          <w:marRight w:val="0"/>
          <w:marTop w:val="0"/>
          <w:marBottom w:val="240"/>
          <w:divBdr>
            <w:top w:val="none" w:sz="0" w:space="0" w:color="auto"/>
            <w:left w:val="none" w:sz="0" w:space="0" w:color="auto"/>
            <w:bottom w:val="single" w:sz="2" w:space="12" w:color="DFE8F0"/>
            <w:right w:val="none" w:sz="0" w:space="0" w:color="auto"/>
          </w:divBdr>
        </w:div>
        <w:div w:id="1210611226">
          <w:marLeft w:val="480"/>
          <w:marRight w:val="480"/>
          <w:marTop w:val="480"/>
          <w:marBottom w:val="4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lterskluwer.com/es-es/expert-insights/casilla-empresa-solidaria-sociedades-que-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753D1-E441-4B3A-9DB3-46DDEA3F3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5716</Words>
  <Characters>31441</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APUNTES SOBRE LA ACTUALIDAD FISCAL</vt:lpstr>
    </vt:vector>
  </TitlesOfParts>
  <Company>Diplover S.L.</Company>
  <LinksUpToDate>false</LinksUpToDate>
  <CharactersWithSpaces>37083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APUNTES SOBRE LA ACTUALIDAD FISCAL</dc:title>
  <dc:creator>Juan Lorente</dc:creator>
  <cp:lastModifiedBy>Jose Luis Chico Bersabe</cp:lastModifiedBy>
  <cp:revision>8</cp:revision>
  <cp:lastPrinted>2013-07-08T11:35:00Z</cp:lastPrinted>
  <dcterms:created xsi:type="dcterms:W3CDTF">2025-06-24T10:24:00Z</dcterms:created>
  <dcterms:modified xsi:type="dcterms:W3CDTF">2025-06-29T16:41:00Z</dcterms:modified>
</cp:coreProperties>
</file>