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shd w:val="clear" w:color="auto" w:fill="800000"/>
        <w:tblCellMar>
          <w:left w:w="70" w:type="dxa"/>
          <w:right w:w="70" w:type="dxa"/>
        </w:tblCellMar>
        <w:tblLook w:val="0000" w:firstRow="0" w:lastRow="0" w:firstColumn="0" w:lastColumn="0" w:noHBand="0" w:noVBand="0"/>
      </w:tblPr>
      <w:tblGrid>
        <w:gridCol w:w="1148"/>
        <w:gridCol w:w="7356"/>
      </w:tblGrid>
      <w:tr w:rsidR="0081014C" w:rsidRPr="00675537" w14:paraId="4307646C" w14:textId="77777777">
        <w:trPr>
          <w:trHeight w:val="889"/>
        </w:trPr>
        <w:tc>
          <w:tcPr>
            <w:tcW w:w="1150" w:type="dxa"/>
            <w:shd w:val="clear" w:color="auto" w:fill="000000"/>
            <w:vAlign w:val="center"/>
          </w:tcPr>
          <w:p w14:paraId="32D66DB2" w14:textId="77777777" w:rsidR="0081014C" w:rsidRPr="00675537" w:rsidRDefault="0081014C" w:rsidP="00735702">
            <w:pPr>
              <w:rPr>
                <w:rFonts w:ascii="Verdana" w:hAnsi="Verdana"/>
                <w:sz w:val="24"/>
              </w:rPr>
            </w:pPr>
            <w:r w:rsidRPr="00675537">
              <w:rPr>
                <w:rFonts w:ascii="Verdana" w:hAnsi="Verdana"/>
                <w:sz w:val="24"/>
              </w:rPr>
              <w:t>E</w:t>
            </w:r>
            <w:r w:rsidRPr="00675537">
              <w:rPr>
                <w:rFonts w:ascii="Verdana" w:hAnsi="Verdana"/>
                <w:b/>
                <w:bCs/>
                <w:sz w:val="24"/>
              </w:rPr>
              <w:t>NERO</w:t>
            </w:r>
          </w:p>
          <w:p w14:paraId="673B1C94" w14:textId="5F128304" w:rsidR="0081014C" w:rsidRPr="00675537" w:rsidRDefault="006A64C9" w:rsidP="00C435E3">
            <w:pPr>
              <w:jc w:val="center"/>
              <w:rPr>
                <w:rFonts w:ascii="Verdana" w:hAnsi="Verdana"/>
                <w:b/>
                <w:bCs/>
                <w:sz w:val="24"/>
              </w:rPr>
            </w:pPr>
            <w:r w:rsidRPr="00675537">
              <w:rPr>
                <w:rFonts w:ascii="Verdana" w:hAnsi="Verdana"/>
                <w:b/>
                <w:bCs/>
                <w:sz w:val="24"/>
              </w:rPr>
              <w:t>20</w:t>
            </w:r>
            <w:r w:rsidR="00556BF5" w:rsidRPr="00675537">
              <w:rPr>
                <w:rFonts w:ascii="Verdana" w:hAnsi="Verdana"/>
                <w:b/>
                <w:bCs/>
                <w:sz w:val="24"/>
              </w:rPr>
              <w:t>2</w:t>
            </w:r>
            <w:r w:rsidR="00795D84">
              <w:rPr>
                <w:rFonts w:ascii="Verdana" w:hAnsi="Verdana"/>
                <w:b/>
                <w:bCs/>
                <w:sz w:val="24"/>
              </w:rPr>
              <w:t>6</w:t>
            </w:r>
          </w:p>
        </w:tc>
        <w:tc>
          <w:tcPr>
            <w:tcW w:w="7494" w:type="dxa"/>
            <w:shd w:val="clear" w:color="auto" w:fill="993300"/>
            <w:vAlign w:val="center"/>
          </w:tcPr>
          <w:p w14:paraId="61C44E94" w14:textId="77777777" w:rsidR="0081014C" w:rsidRPr="00675537" w:rsidRDefault="0081014C">
            <w:pPr>
              <w:jc w:val="center"/>
              <w:rPr>
                <w:rFonts w:ascii="Verdana" w:hAnsi="Verdana"/>
                <w:b/>
                <w:bCs/>
                <w:color w:val="FFFFFF"/>
                <w:sz w:val="24"/>
              </w:rPr>
            </w:pPr>
            <w:r w:rsidRPr="00675537">
              <w:rPr>
                <w:rFonts w:ascii="Verdana" w:hAnsi="Verdana"/>
                <w:b/>
                <w:bCs/>
                <w:color w:val="FFFFFF"/>
                <w:sz w:val="24"/>
              </w:rPr>
              <w:t>APUNTES SOBRE LA ACTUALIDAD FISCAL</w:t>
            </w:r>
          </w:p>
        </w:tc>
      </w:tr>
    </w:tbl>
    <w:p w14:paraId="0DA46937" w14:textId="4968AB6E" w:rsidR="0081014C" w:rsidRDefault="003A55DA" w:rsidP="00F61E27">
      <w:pPr>
        <w:pStyle w:val="Subttulo"/>
        <w:widowControl/>
        <w:tabs>
          <w:tab w:val="left" w:pos="426"/>
        </w:tabs>
        <w:ind w:left="426" w:hanging="426"/>
      </w:pPr>
      <w:r>
        <w:t xml:space="preserve">    </w:t>
      </w:r>
    </w:p>
    <w:p w14:paraId="77651E9F" w14:textId="77777777" w:rsidR="00066EF4" w:rsidRPr="006F16CE" w:rsidRDefault="00066EF4">
      <w:pPr>
        <w:pStyle w:val="Subttulo"/>
        <w:widowControl/>
        <w:rPr>
          <w:sz w:val="18"/>
          <w:szCs w:val="18"/>
        </w:rPr>
      </w:pPr>
    </w:p>
    <w:p w14:paraId="7D54AA13" w14:textId="77777777" w:rsidR="0081014C" w:rsidRPr="00E32496" w:rsidRDefault="0081014C">
      <w:pPr>
        <w:pStyle w:val="Ttulo3"/>
        <w:widowControl/>
        <w:rPr>
          <w:rFonts w:ascii="Verdana" w:hAnsi="Verdana"/>
          <w:color w:val="800000"/>
          <w:sz w:val="22"/>
          <w:szCs w:val="22"/>
        </w:rPr>
      </w:pPr>
      <w:r w:rsidRPr="00E32496">
        <w:rPr>
          <w:rFonts w:ascii="Verdana" w:hAnsi="Verdana"/>
          <w:color w:val="800000"/>
          <w:sz w:val="22"/>
          <w:szCs w:val="22"/>
        </w:rPr>
        <w:t>SUMARIO</w:t>
      </w:r>
    </w:p>
    <w:p w14:paraId="340DA5E5" w14:textId="77777777" w:rsidR="0081014C" w:rsidRDefault="0081014C" w:rsidP="0029507D">
      <w:pPr>
        <w:tabs>
          <w:tab w:val="left" w:pos="360"/>
        </w:tabs>
        <w:jc w:val="both"/>
        <w:rPr>
          <w:rFonts w:ascii="Verdana" w:hAnsi="Verdana"/>
          <w:b/>
          <w:bCs/>
          <w:i/>
          <w:iCs/>
          <w:color w:val="800000"/>
          <w:sz w:val="18"/>
          <w:szCs w:val="18"/>
        </w:rPr>
      </w:pPr>
    </w:p>
    <w:p w14:paraId="422AE649" w14:textId="3D6632A3" w:rsidR="00005EB3" w:rsidRDefault="00005EB3">
      <w:pPr>
        <w:pStyle w:val="Prrafodelista"/>
        <w:numPr>
          <w:ilvl w:val="0"/>
          <w:numId w:val="4"/>
        </w:numPr>
        <w:tabs>
          <w:tab w:val="left" w:pos="426"/>
        </w:tabs>
        <w:ind w:left="426" w:hanging="284"/>
        <w:jc w:val="both"/>
        <w:rPr>
          <w:rFonts w:ascii="Verdana" w:hAnsi="Verdana"/>
          <w:b/>
          <w:bCs/>
          <w:i/>
          <w:iCs/>
          <w:color w:val="800000"/>
          <w:sz w:val="18"/>
          <w:szCs w:val="18"/>
        </w:rPr>
      </w:pPr>
      <w:r>
        <w:rPr>
          <w:rFonts w:ascii="Verdana" w:hAnsi="Verdana"/>
          <w:b/>
          <w:bCs/>
          <w:i/>
          <w:iCs/>
          <w:color w:val="800000"/>
          <w:sz w:val="18"/>
          <w:szCs w:val="18"/>
        </w:rPr>
        <w:t xml:space="preserve">RETRASO DE </w:t>
      </w:r>
      <w:r w:rsidRPr="00005EB3">
        <w:rPr>
          <w:rFonts w:ascii="Verdana" w:hAnsi="Verdana"/>
          <w:b/>
          <w:bCs/>
          <w:i/>
          <w:iCs/>
          <w:color w:val="800000"/>
          <w:sz w:val="18"/>
          <w:szCs w:val="18"/>
        </w:rPr>
        <w:t>LA ENTRADA EN VIGOR DEL REGLAMENTO QUE ESTABLECE LOS REQUISITOS QUE DEBEN ADOPTAR LOS SISTEMAS Y PROGRAMAS INFORMÁTICOS O ELECTRÓNICOS QUE SOPORTEN LOS PROCESOS DE FACTURACIÓN DE EMPRESARIOS Y PROFESIONALES.</w:t>
      </w:r>
    </w:p>
    <w:p w14:paraId="6087F20E" w14:textId="0F251371" w:rsidR="00F44E0A" w:rsidRDefault="00005EB3" w:rsidP="00005EB3">
      <w:pPr>
        <w:ind w:left="426" w:hanging="426"/>
        <w:jc w:val="both"/>
        <w:rPr>
          <w:rFonts w:ascii="Verdana" w:hAnsi="Verdana"/>
          <w:b/>
          <w:bCs/>
          <w:i/>
          <w:iCs/>
          <w:color w:val="800000"/>
          <w:sz w:val="18"/>
          <w:szCs w:val="18"/>
        </w:rPr>
      </w:pPr>
      <w:r>
        <w:rPr>
          <w:rFonts w:ascii="Verdana" w:hAnsi="Verdana"/>
          <w:b/>
          <w:bCs/>
          <w:i/>
          <w:iCs/>
          <w:color w:val="800000"/>
          <w:sz w:val="18"/>
          <w:szCs w:val="18"/>
        </w:rPr>
        <w:tab/>
      </w:r>
      <w:r w:rsidRPr="00005EB3">
        <w:rPr>
          <w:rFonts w:ascii="Verdana" w:hAnsi="Verdana"/>
          <w:b/>
          <w:bCs/>
          <w:i/>
          <w:iCs/>
          <w:color w:val="800000"/>
          <w:sz w:val="18"/>
          <w:szCs w:val="18"/>
        </w:rPr>
        <w:t>Se retrasa la entrada en vigor del Reglamento que establece los requisitos que deben adoptar los sistemas y programas informáticos o electrónicos que soporten los procesos de facturación de empresarios y profesionales.</w:t>
      </w:r>
    </w:p>
    <w:p w14:paraId="57240663" w14:textId="77777777" w:rsidR="00E97495" w:rsidRDefault="00E97495" w:rsidP="00005EB3">
      <w:pPr>
        <w:ind w:left="426" w:hanging="426"/>
        <w:jc w:val="both"/>
        <w:rPr>
          <w:rFonts w:ascii="Verdana" w:hAnsi="Verdana"/>
          <w:b/>
          <w:bCs/>
          <w:i/>
          <w:iCs/>
          <w:color w:val="800000"/>
          <w:sz w:val="18"/>
          <w:szCs w:val="18"/>
        </w:rPr>
      </w:pPr>
    </w:p>
    <w:p w14:paraId="10C7F888" w14:textId="503AB145" w:rsidR="00E97495" w:rsidRPr="00E97495" w:rsidRDefault="00E97495">
      <w:pPr>
        <w:pStyle w:val="Prrafodelista"/>
        <w:numPr>
          <w:ilvl w:val="0"/>
          <w:numId w:val="4"/>
        </w:numPr>
        <w:ind w:left="426" w:hanging="284"/>
        <w:jc w:val="both"/>
        <w:rPr>
          <w:rFonts w:ascii="Verdana" w:hAnsi="Verdana"/>
          <w:b/>
          <w:bCs/>
          <w:i/>
          <w:iCs/>
          <w:color w:val="800000"/>
          <w:sz w:val="18"/>
          <w:szCs w:val="18"/>
        </w:rPr>
      </w:pPr>
      <w:r w:rsidRPr="00E97495">
        <w:rPr>
          <w:rFonts w:ascii="Verdana" w:hAnsi="Verdana"/>
          <w:b/>
          <w:bCs/>
          <w:i/>
          <w:iCs/>
          <w:color w:val="800000"/>
          <w:sz w:val="18"/>
          <w:szCs w:val="18"/>
        </w:rPr>
        <w:t>CLAVES FISCALES PARA EL CIERRE DEL EJERCICIO Y PLANIFICACIÓN 2026</w:t>
      </w:r>
    </w:p>
    <w:p w14:paraId="699E8B9B" w14:textId="3A0A999B" w:rsidR="00005EB3" w:rsidRDefault="00E97495" w:rsidP="00E97495">
      <w:pPr>
        <w:tabs>
          <w:tab w:val="left" w:pos="360"/>
        </w:tabs>
        <w:ind w:left="426"/>
        <w:jc w:val="both"/>
        <w:rPr>
          <w:rFonts w:ascii="Verdana" w:hAnsi="Verdana"/>
          <w:b/>
          <w:bCs/>
          <w:i/>
          <w:iCs/>
          <w:color w:val="800000"/>
          <w:sz w:val="18"/>
          <w:szCs w:val="18"/>
        </w:rPr>
      </w:pPr>
      <w:r>
        <w:rPr>
          <w:rFonts w:ascii="Verdana" w:hAnsi="Verdana"/>
          <w:b/>
          <w:bCs/>
          <w:i/>
          <w:iCs/>
          <w:color w:val="800000"/>
          <w:sz w:val="18"/>
          <w:szCs w:val="18"/>
        </w:rPr>
        <w:t>Un breve resumen de aspectos a tener en cuenta</w:t>
      </w:r>
      <w:r w:rsidR="00F83E0C">
        <w:rPr>
          <w:rFonts w:ascii="Verdana" w:hAnsi="Verdana"/>
          <w:b/>
          <w:bCs/>
          <w:i/>
          <w:iCs/>
          <w:color w:val="800000"/>
          <w:sz w:val="18"/>
          <w:szCs w:val="18"/>
        </w:rPr>
        <w:t>.</w:t>
      </w:r>
    </w:p>
    <w:p w14:paraId="5FA35A82" w14:textId="77777777" w:rsidR="00F83E0C" w:rsidRDefault="00F83E0C" w:rsidP="00E97495">
      <w:pPr>
        <w:tabs>
          <w:tab w:val="left" w:pos="360"/>
        </w:tabs>
        <w:ind w:left="426"/>
        <w:jc w:val="both"/>
        <w:rPr>
          <w:rFonts w:ascii="Verdana" w:hAnsi="Verdana"/>
          <w:b/>
          <w:bCs/>
          <w:i/>
          <w:iCs/>
          <w:color w:val="800000"/>
          <w:sz w:val="18"/>
          <w:szCs w:val="18"/>
        </w:rPr>
      </w:pPr>
    </w:p>
    <w:p w14:paraId="1B590F3E" w14:textId="1F1C95CB" w:rsidR="00F83E0C" w:rsidRDefault="00F83E0C" w:rsidP="0095353C">
      <w:pPr>
        <w:pStyle w:val="Prrafodelista"/>
        <w:numPr>
          <w:ilvl w:val="0"/>
          <w:numId w:val="4"/>
        </w:numPr>
        <w:ind w:left="426" w:hanging="284"/>
        <w:jc w:val="both"/>
        <w:rPr>
          <w:rFonts w:ascii="Verdana" w:hAnsi="Verdana"/>
          <w:b/>
          <w:bCs/>
          <w:i/>
          <w:iCs/>
          <w:color w:val="800000"/>
          <w:sz w:val="18"/>
          <w:szCs w:val="18"/>
        </w:rPr>
      </w:pPr>
      <w:r w:rsidRPr="00F83E0C">
        <w:rPr>
          <w:rFonts w:ascii="Verdana" w:hAnsi="Verdana"/>
          <w:b/>
          <w:bCs/>
          <w:i/>
          <w:iCs/>
          <w:color w:val="800000"/>
          <w:sz w:val="18"/>
          <w:szCs w:val="18"/>
        </w:rPr>
        <w:t>NOVEDADES FISCALES DEL REAL DECRETO-LEY 16/2025</w:t>
      </w:r>
    </w:p>
    <w:p w14:paraId="09B0E2AF" w14:textId="507F6331" w:rsidR="00F83E0C" w:rsidRPr="00F83E0C" w:rsidRDefault="00F83E0C" w:rsidP="00F83E0C">
      <w:pPr>
        <w:tabs>
          <w:tab w:val="left" w:pos="360"/>
        </w:tabs>
        <w:ind w:left="426" w:hanging="426"/>
        <w:jc w:val="both"/>
        <w:rPr>
          <w:rFonts w:ascii="Verdana" w:hAnsi="Verdana"/>
          <w:b/>
          <w:bCs/>
          <w:i/>
          <w:iCs/>
          <w:color w:val="800000"/>
          <w:sz w:val="18"/>
          <w:szCs w:val="18"/>
        </w:rPr>
      </w:pPr>
      <w:r>
        <w:rPr>
          <w:rFonts w:ascii="Verdana" w:hAnsi="Verdana"/>
          <w:b/>
          <w:bCs/>
          <w:i/>
          <w:iCs/>
          <w:color w:val="800000"/>
          <w:sz w:val="18"/>
          <w:szCs w:val="18"/>
        </w:rPr>
        <w:tab/>
        <w:t xml:space="preserve"> </w:t>
      </w:r>
      <w:r w:rsidRPr="00F83E0C">
        <w:rPr>
          <w:rFonts w:ascii="Verdana" w:hAnsi="Verdana"/>
          <w:b/>
          <w:bCs/>
          <w:i/>
          <w:iCs/>
          <w:color w:val="800000"/>
          <w:sz w:val="18"/>
          <w:szCs w:val="18"/>
        </w:rPr>
        <w:t>El Gobierno ha aprobado una batería de medidas tributarias con efectos principalmente desde 2026, dirigidas a mantener la estabilidad del marco fiscal, apoyar a colectivos vulnerables, favorecer la transición energética y reforzar la justicia financiera territorial</w:t>
      </w:r>
      <w:r>
        <w:rPr>
          <w:rFonts w:ascii="Verdana" w:hAnsi="Verdana"/>
          <w:b/>
          <w:bCs/>
          <w:i/>
          <w:iCs/>
          <w:color w:val="800000"/>
          <w:sz w:val="18"/>
          <w:szCs w:val="18"/>
        </w:rPr>
        <w:t>.</w:t>
      </w:r>
      <w:r w:rsidRPr="00F83E0C">
        <w:rPr>
          <w:rFonts w:ascii="Verdana" w:hAnsi="Verdana"/>
          <w:b/>
          <w:bCs/>
          <w:i/>
          <w:iCs/>
          <w:color w:val="800000"/>
          <w:sz w:val="18"/>
          <w:szCs w:val="18"/>
        </w:rPr>
        <w:t xml:space="preserve"> </w:t>
      </w:r>
    </w:p>
    <w:p w14:paraId="070B27C0" w14:textId="77777777" w:rsidR="00005EB3" w:rsidRDefault="00005EB3" w:rsidP="00F83E0C">
      <w:pPr>
        <w:tabs>
          <w:tab w:val="left" w:pos="426"/>
        </w:tabs>
        <w:jc w:val="both"/>
        <w:rPr>
          <w:rFonts w:ascii="Verdana" w:hAnsi="Verdana"/>
          <w:b/>
          <w:bCs/>
          <w:i/>
          <w:iCs/>
          <w:color w:val="800000"/>
          <w:sz w:val="18"/>
          <w:szCs w:val="18"/>
        </w:rPr>
      </w:pPr>
    </w:p>
    <w:p w14:paraId="78A417FD" w14:textId="3972A7AA" w:rsidR="00237095" w:rsidRPr="00237095" w:rsidRDefault="00237095">
      <w:pPr>
        <w:pStyle w:val="Prrafodelista"/>
        <w:numPr>
          <w:ilvl w:val="0"/>
          <w:numId w:val="4"/>
        </w:numPr>
        <w:tabs>
          <w:tab w:val="left" w:pos="426"/>
        </w:tabs>
        <w:ind w:left="426" w:hanging="284"/>
        <w:jc w:val="both"/>
        <w:rPr>
          <w:rFonts w:ascii="Verdana" w:hAnsi="Verdana"/>
          <w:b/>
          <w:bCs/>
          <w:i/>
          <w:iCs/>
          <w:color w:val="800000"/>
          <w:sz w:val="18"/>
          <w:szCs w:val="18"/>
        </w:rPr>
      </w:pPr>
      <w:r w:rsidRPr="00237095">
        <w:rPr>
          <w:rFonts w:ascii="Verdana" w:hAnsi="Verdana"/>
          <w:b/>
          <w:bCs/>
          <w:i/>
          <w:iCs/>
          <w:color w:val="800000"/>
          <w:sz w:val="18"/>
          <w:szCs w:val="18"/>
        </w:rPr>
        <w:t>LA DERIVACIÓN DE RESPONSABILIDAD TRIBUTARIA A LAS PERSONAS O ENTIDADES CONTROLADAS POR LOS OBLIGADOS TRIBUTARIOS NO REQUIERE DECLARACIÓN PREVIA DE SIMULACIÓN, PERO EXIGE MOTIVACIÓN PRECISA QUE ACREDITE EL CONTROL SOCIETARIO Y LA VOLUNTAD DEFRAUDATORIA DEL OBLIGADO TRIBUTARIO PERSONA FÍSICA</w:t>
      </w:r>
    </w:p>
    <w:p w14:paraId="07E1EAA9" w14:textId="786ECD1C" w:rsidR="00F44E0A" w:rsidRDefault="00237095" w:rsidP="00237095">
      <w:pPr>
        <w:pStyle w:val="Prrafodelista"/>
        <w:tabs>
          <w:tab w:val="left" w:pos="426"/>
        </w:tabs>
        <w:ind w:left="426"/>
        <w:jc w:val="both"/>
        <w:rPr>
          <w:rFonts w:ascii="Verdana" w:hAnsi="Verdana"/>
          <w:b/>
          <w:bCs/>
          <w:i/>
          <w:iCs/>
          <w:color w:val="800000"/>
          <w:sz w:val="18"/>
          <w:szCs w:val="18"/>
        </w:rPr>
      </w:pPr>
      <w:r w:rsidRPr="00237095">
        <w:rPr>
          <w:rFonts w:ascii="Verdana" w:hAnsi="Verdana"/>
          <w:b/>
          <w:bCs/>
          <w:i/>
          <w:iCs/>
          <w:color w:val="800000"/>
          <w:sz w:val="18"/>
          <w:szCs w:val="18"/>
        </w:rPr>
        <w:t>La derivación de responsabilidad subsidiaria del artículo 43.1.h) de la Ley General Tributaria no requiere necesariamente la previa declaración de simulación de los contratos traslativos que ocasionan el vaciamiento patrimonial, pero sí exige que el acuerdo de derivación contenga una motivación precisa, clara y detallada que acredite todos los presupuestos legales.</w:t>
      </w:r>
    </w:p>
    <w:p w14:paraId="7B1F8AF6" w14:textId="77777777" w:rsidR="00005EB3" w:rsidRDefault="00005EB3" w:rsidP="00237095">
      <w:pPr>
        <w:pStyle w:val="Prrafodelista"/>
        <w:tabs>
          <w:tab w:val="left" w:pos="426"/>
        </w:tabs>
        <w:ind w:left="426"/>
        <w:jc w:val="both"/>
        <w:rPr>
          <w:rFonts w:ascii="Verdana" w:hAnsi="Verdana"/>
          <w:b/>
          <w:bCs/>
          <w:i/>
          <w:iCs/>
          <w:color w:val="800000"/>
          <w:sz w:val="18"/>
          <w:szCs w:val="18"/>
        </w:rPr>
      </w:pPr>
    </w:p>
    <w:p w14:paraId="7C673703" w14:textId="2D51E98C" w:rsidR="000B47B9" w:rsidRDefault="001D19A0">
      <w:pPr>
        <w:pStyle w:val="Prrafodelista"/>
        <w:numPr>
          <w:ilvl w:val="0"/>
          <w:numId w:val="4"/>
        </w:numPr>
        <w:tabs>
          <w:tab w:val="left" w:pos="426"/>
        </w:tabs>
        <w:ind w:left="426" w:hanging="284"/>
        <w:jc w:val="both"/>
        <w:rPr>
          <w:rFonts w:ascii="Verdana" w:hAnsi="Verdana"/>
          <w:b/>
          <w:bCs/>
          <w:i/>
          <w:iCs/>
          <w:color w:val="800000"/>
          <w:sz w:val="18"/>
          <w:szCs w:val="18"/>
        </w:rPr>
      </w:pPr>
      <w:r>
        <w:rPr>
          <w:rFonts w:ascii="Verdana" w:hAnsi="Verdana"/>
          <w:b/>
          <w:bCs/>
          <w:i/>
          <w:iCs/>
          <w:color w:val="800000"/>
          <w:sz w:val="18"/>
          <w:szCs w:val="18"/>
        </w:rPr>
        <w:t>IVA</w:t>
      </w:r>
      <w:r w:rsidR="000B47B9">
        <w:rPr>
          <w:rFonts w:ascii="Verdana" w:hAnsi="Verdana"/>
          <w:b/>
          <w:bCs/>
          <w:i/>
          <w:iCs/>
          <w:color w:val="800000"/>
          <w:sz w:val="18"/>
          <w:szCs w:val="18"/>
        </w:rPr>
        <w:t xml:space="preserve"> - NO </w:t>
      </w:r>
      <w:r w:rsidR="000B47B9" w:rsidRPr="000B47B9">
        <w:rPr>
          <w:rFonts w:ascii="Verdana" w:hAnsi="Verdana"/>
          <w:b/>
          <w:bCs/>
          <w:i/>
          <w:iCs/>
          <w:color w:val="800000"/>
          <w:sz w:val="18"/>
          <w:szCs w:val="18"/>
        </w:rPr>
        <w:t>EXENCIÓN EN IVA DE COLABORACIONES DE PERSONAS FÍSICAS EN UN BLOG</w:t>
      </w:r>
    </w:p>
    <w:p w14:paraId="7EA1488E" w14:textId="39CE8B48" w:rsidR="00237095" w:rsidRDefault="000B47B9" w:rsidP="00237095">
      <w:pPr>
        <w:pStyle w:val="Prrafodelista"/>
        <w:tabs>
          <w:tab w:val="left" w:pos="426"/>
        </w:tabs>
        <w:ind w:left="426"/>
        <w:jc w:val="both"/>
        <w:rPr>
          <w:rFonts w:ascii="Verdana" w:hAnsi="Verdana"/>
          <w:b/>
          <w:bCs/>
          <w:i/>
          <w:iCs/>
          <w:color w:val="800000"/>
          <w:sz w:val="18"/>
          <w:szCs w:val="18"/>
        </w:rPr>
      </w:pPr>
      <w:r w:rsidRPr="000B47B9">
        <w:rPr>
          <w:rFonts w:ascii="Verdana" w:hAnsi="Verdana"/>
          <w:b/>
          <w:bCs/>
          <w:i/>
          <w:iCs/>
          <w:color w:val="800000"/>
          <w:sz w:val="18"/>
          <w:szCs w:val="18"/>
        </w:rPr>
        <w:t>La exención prevista para escritores y colaboradores literarios de “periódicos y revistas” no puede extenderse a otros formatos, como blogs, incluso cuando su contenido tenga finalidad informativa o editorial.</w:t>
      </w:r>
    </w:p>
    <w:p w14:paraId="7E60103E" w14:textId="77777777" w:rsidR="00F148E8" w:rsidRDefault="00F148E8" w:rsidP="00F148E8">
      <w:pPr>
        <w:tabs>
          <w:tab w:val="left" w:pos="426"/>
        </w:tabs>
        <w:jc w:val="both"/>
        <w:rPr>
          <w:rFonts w:ascii="Verdana" w:hAnsi="Verdana"/>
          <w:b/>
          <w:bCs/>
          <w:i/>
          <w:iCs/>
          <w:color w:val="800000"/>
          <w:sz w:val="18"/>
          <w:szCs w:val="18"/>
        </w:rPr>
      </w:pPr>
    </w:p>
    <w:p w14:paraId="3A93167E" w14:textId="48A93E0E" w:rsidR="00F148E8" w:rsidRPr="00F148E8" w:rsidRDefault="00F148E8">
      <w:pPr>
        <w:pStyle w:val="Prrafodelista"/>
        <w:numPr>
          <w:ilvl w:val="0"/>
          <w:numId w:val="4"/>
        </w:numPr>
        <w:tabs>
          <w:tab w:val="left" w:pos="426"/>
        </w:tabs>
        <w:ind w:left="426" w:hanging="284"/>
        <w:jc w:val="both"/>
        <w:rPr>
          <w:rFonts w:ascii="Verdana" w:hAnsi="Verdana"/>
          <w:b/>
          <w:bCs/>
          <w:i/>
          <w:iCs/>
          <w:color w:val="800000"/>
          <w:sz w:val="18"/>
          <w:szCs w:val="18"/>
        </w:rPr>
      </w:pPr>
      <w:r w:rsidRPr="00F148E8">
        <w:rPr>
          <w:rFonts w:ascii="Verdana" w:hAnsi="Verdana"/>
          <w:b/>
          <w:bCs/>
          <w:i/>
          <w:iCs/>
          <w:color w:val="800000"/>
          <w:sz w:val="18"/>
          <w:szCs w:val="18"/>
        </w:rPr>
        <w:t>UTILIZACIÓN DE MEDIOS ELECTRÓNICOS, INFORMÁTICOS Y TELEMÁTICOS PARA LA INTERPOSICIÓN, TRAMITACIÓN Y RESOLUCIÓN DE LAS RECLAMACIONES Y RECURSOS EN VÍA ECONÓMICO-ADMINISTRATIVA POR LOS OBLIGADOS TRIBUTARIOS</w:t>
      </w:r>
    </w:p>
    <w:p w14:paraId="0F29650D" w14:textId="2A1593BA" w:rsidR="00F148E8" w:rsidRDefault="00F148E8" w:rsidP="00237095">
      <w:pPr>
        <w:pStyle w:val="Prrafodelista"/>
        <w:tabs>
          <w:tab w:val="left" w:pos="426"/>
        </w:tabs>
        <w:ind w:left="426"/>
        <w:jc w:val="both"/>
        <w:rPr>
          <w:rFonts w:ascii="Verdana" w:hAnsi="Verdana"/>
          <w:b/>
          <w:bCs/>
          <w:i/>
          <w:iCs/>
          <w:color w:val="800000"/>
          <w:sz w:val="18"/>
          <w:szCs w:val="18"/>
        </w:rPr>
      </w:pPr>
      <w:r>
        <w:rPr>
          <w:rFonts w:ascii="Verdana" w:hAnsi="Verdana"/>
          <w:b/>
          <w:bCs/>
          <w:i/>
          <w:iCs/>
          <w:color w:val="800000"/>
          <w:sz w:val="18"/>
          <w:szCs w:val="18"/>
        </w:rPr>
        <w:t>S</w:t>
      </w:r>
      <w:r w:rsidRPr="00F148E8">
        <w:rPr>
          <w:rFonts w:ascii="Verdana" w:hAnsi="Verdana"/>
          <w:b/>
          <w:bCs/>
          <w:i/>
          <w:iCs/>
          <w:color w:val="800000"/>
          <w:sz w:val="18"/>
          <w:szCs w:val="18"/>
        </w:rPr>
        <w:t>e regula la utilización de medios electrónicos, informáticos y telemáticos para la interposición, tramitación y resolución de las reclamaciones y recursos en vía económico-administrativa por los obligados tributarios, y se aprueban diversos formularios.</w:t>
      </w:r>
    </w:p>
    <w:p w14:paraId="0BB9780A" w14:textId="77777777" w:rsidR="00062E02" w:rsidRDefault="00062E02" w:rsidP="00237095">
      <w:pPr>
        <w:pStyle w:val="Prrafodelista"/>
        <w:tabs>
          <w:tab w:val="left" w:pos="426"/>
        </w:tabs>
        <w:ind w:left="426"/>
        <w:jc w:val="both"/>
        <w:rPr>
          <w:rFonts w:ascii="Verdana" w:hAnsi="Verdana"/>
          <w:b/>
          <w:bCs/>
          <w:i/>
          <w:iCs/>
          <w:color w:val="800000"/>
          <w:sz w:val="18"/>
          <w:szCs w:val="18"/>
        </w:rPr>
      </w:pPr>
    </w:p>
    <w:p w14:paraId="3475E92F" w14:textId="281F95E7" w:rsidR="00062E02" w:rsidRPr="00062E02" w:rsidRDefault="00062E02">
      <w:pPr>
        <w:pStyle w:val="Prrafodelista"/>
        <w:numPr>
          <w:ilvl w:val="0"/>
          <w:numId w:val="4"/>
        </w:numPr>
        <w:tabs>
          <w:tab w:val="left" w:pos="426"/>
        </w:tabs>
        <w:ind w:left="426" w:hanging="284"/>
        <w:jc w:val="both"/>
        <w:rPr>
          <w:rFonts w:ascii="Verdana" w:hAnsi="Verdana"/>
          <w:b/>
          <w:bCs/>
          <w:i/>
          <w:iCs/>
          <w:color w:val="800000"/>
          <w:sz w:val="18"/>
          <w:szCs w:val="18"/>
        </w:rPr>
      </w:pPr>
      <w:r>
        <w:rPr>
          <w:rFonts w:ascii="Verdana" w:hAnsi="Verdana"/>
          <w:b/>
          <w:bCs/>
          <w:i/>
          <w:iCs/>
          <w:color w:val="800000"/>
          <w:sz w:val="18"/>
          <w:szCs w:val="18"/>
        </w:rPr>
        <w:t xml:space="preserve">IRPF. - EL </w:t>
      </w:r>
      <w:r w:rsidRPr="00062E02">
        <w:rPr>
          <w:rFonts w:ascii="Verdana" w:hAnsi="Verdana"/>
          <w:b/>
          <w:bCs/>
          <w:i/>
          <w:iCs/>
          <w:color w:val="800000"/>
          <w:sz w:val="18"/>
          <w:szCs w:val="18"/>
        </w:rPr>
        <w:t>TEAC FIJA CRITERIO SOBRE LA CESIÓN GRATUITA DE BIENES DE LA SOCIEDAD A SOCIOS: CUÁNDO APLICAR OPERACIONES VINCULADAS Y CUÁNDO RENTA EN ESPECIE</w:t>
      </w:r>
    </w:p>
    <w:p w14:paraId="6D8697EC" w14:textId="4BCC06A4" w:rsidR="00F148E8" w:rsidRDefault="00062E02" w:rsidP="00062E02">
      <w:pPr>
        <w:pStyle w:val="Prrafodelista"/>
        <w:tabs>
          <w:tab w:val="left" w:pos="426"/>
          <w:tab w:val="left" w:pos="567"/>
        </w:tabs>
        <w:ind w:left="426"/>
        <w:jc w:val="both"/>
        <w:rPr>
          <w:rFonts w:ascii="Verdana" w:hAnsi="Verdana"/>
          <w:b/>
          <w:bCs/>
          <w:i/>
          <w:iCs/>
          <w:color w:val="800000"/>
          <w:sz w:val="18"/>
          <w:szCs w:val="18"/>
        </w:rPr>
      </w:pPr>
      <w:r w:rsidRPr="00062E02">
        <w:rPr>
          <w:rFonts w:ascii="Verdana" w:hAnsi="Verdana"/>
          <w:b/>
          <w:bCs/>
          <w:i/>
          <w:iCs/>
          <w:color w:val="800000"/>
          <w:sz w:val="18"/>
          <w:szCs w:val="18"/>
        </w:rPr>
        <w:t>El Tribunal Económico-Administrativo Central (TEAC), en resolución de 24 de septiembre de 2025 (RG 00/07312/2024), unifica criterio sobre la tributación en el IRPF del disfrute gratuito de bienes sociales por parte de los socios, aclarando la normativa de valoración aplicable.</w:t>
      </w:r>
    </w:p>
    <w:p w14:paraId="4A92F5ED" w14:textId="77777777" w:rsidR="0060781B" w:rsidRDefault="0060781B" w:rsidP="00062E02">
      <w:pPr>
        <w:pStyle w:val="Prrafodelista"/>
        <w:tabs>
          <w:tab w:val="left" w:pos="426"/>
          <w:tab w:val="left" w:pos="567"/>
        </w:tabs>
        <w:ind w:left="426"/>
        <w:jc w:val="both"/>
        <w:rPr>
          <w:rFonts w:ascii="Verdana" w:hAnsi="Verdana"/>
          <w:b/>
          <w:bCs/>
          <w:i/>
          <w:iCs/>
          <w:color w:val="800000"/>
          <w:sz w:val="18"/>
          <w:szCs w:val="18"/>
        </w:rPr>
      </w:pPr>
    </w:p>
    <w:p w14:paraId="7E9508B9" w14:textId="7B86E6BF" w:rsidR="0060781B" w:rsidRDefault="0060781B">
      <w:pPr>
        <w:pStyle w:val="Prrafodelista"/>
        <w:numPr>
          <w:ilvl w:val="0"/>
          <w:numId w:val="4"/>
        </w:numPr>
        <w:tabs>
          <w:tab w:val="left" w:pos="426"/>
          <w:tab w:val="left" w:pos="567"/>
        </w:tabs>
        <w:ind w:left="426" w:hanging="284"/>
        <w:jc w:val="both"/>
        <w:rPr>
          <w:rFonts w:ascii="Verdana" w:hAnsi="Verdana"/>
          <w:b/>
          <w:bCs/>
          <w:i/>
          <w:iCs/>
          <w:color w:val="800000"/>
          <w:sz w:val="18"/>
          <w:szCs w:val="18"/>
        </w:rPr>
      </w:pPr>
      <w:r>
        <w:rPr>
          <w:rFonts w:ascii="Verdana" w:hAnsi="Verdana"/>
          <w:b/>
          <w:bCs/>
          <w:i/>
          <w:iCs/>
          <w:color w:val="800000"/>
          <w:sz w:val="18"/>
          <w:szCs w:val="18"/>
        </w:rPr>
        <w:t>IP. -</w:t>
      </w:r>
      <w:r w:rsidRPr="0060781B">
        <w:t xml:space="preserve"> </w:t>
      </w:r>
      <w:r w:rsidRPr="0060781B">
        <w:rPr>
          <w:rFonts w:ascii="Verdana" w:hAnsi="Verdana"/>
          <w:b/>
          <w:bCs/>
          <w:i/>
          <w:iCs/>
          <w:color w:val="800000"/>
          <w:sz w:val="18"/>
          <w:szCs w:val="18"/>
        </w:rPr>
        <w:t>EL TEAC CONFIRMA QUE EL VALOR DE LOS INMUEBLES INCLUYE IVA, GASTOS Y MEJORAS EN LA BASE IMPONIBLE</w:t>
      </w:r>
      <w:r>
        <w:rPr>
          <w:rFonts w:ascii="Verdana" w:hAnsi="Verdana"/>
          <w:b/>
          <w:bCs/>
          <w:i/>
          <w:iCs/>
          <w:color w:val="800000"/>
          <w:sz w:val="18"/>
          <w:szCs w:val="18"/>
        </w:rPr>
        <w:t xml:space="preserve"> </w:t>
      </w:r>
    </w:p>
    <w:p w14:paraId="2C457D21" w14:textId="02B43042" w:rsidR="00F148E8" w:rsidRDefault="0060781B" w:rsidP="0060781B">
      <w:pPr>
        <w:pStyle w:val="Prrafodelista"/>
        <w:tabs>
          <w:tab w:val="left" w:pos="426"/>
        </w:tabs>
        <w:ind w:left="426"/>
        <w:jc w:val="both"/>
        <w:rPr>
          <w:rFonts w:ascii="Verdana" w:hAnsi="Verdana"/>
          <w:b/>
          <w:bCs/>
          <w:i/>
          <w:iCs/>
          <w:color w:val="800000"/>
          <w:sz w:val="18"/>
          <w:szCs w:val="18"/>
        </w:rPr>
      </w:pPr>
      <w:r w:rsidRPr="0060781B">
        <w:rPr>
          <w:rFonts w:ascii="Verdana" w:hAnsi="Verdana"/>
          <w:b/>
          <w:bCs/>
          <w:i/>
          <w:iCs/>
          <w:color w:val="800000"/>
          <w:sz w:val="18"/>
          <w:szCs w:val="18"/>
        </w:rPr>
        <w:t xml:space="preserve">El Tribunal Económico-Administrativo Central (TEAC), en resolución de 20 de octubre de 2025 (RG 00/11005/2022), reitera su doctrina sobre la </w:t>
      </w:r>
      <w:r w:rsidRPr="0060781B">
        <w:rPr>
          <w:rFonts w:ascii="Verdana" w:hAnsi="Verdana"/>
          <w:b/>
          <w:bCs/>
          <w:i/>
          <w:iCs/>
          <w:color w:val="800000"/>
          <w:sz w:val="18"/>
          <w:szCs w:val="18"/>
        </w:rPr>
        <w:lastRenderedPageBreak/>
        <w:t>determinación del valor de adquisición de los bienes inmuebles a efectos del Impuesto sobre el Patrimonio (IP) en supuestos de obligación real.</w:t>
      </w:r>
    </w:p>
    <w:p w14:paraId="15B69440" w14:textId="77777777" w:rsidR="00A04E81" w:rsidRDefault="00A04E81" w:rsidP="0060781B">
      <w:pPr>
        <w:pStyle w:val="Prrafodelista"/>
        <w:tabs>
          <w:tab w:val="left" w:pos="426"/>
        </w:tabs>
        <w:ind w:left="426"/>
        <w:jc w:val="both"/>
        <w:rPr>
          <w:rFonts w:ascii="Verdana" w:hAnsi="Verdana"/>
          <w:b/>
          <w:bCs/>
          <w:i/>
          <w:iCs/>
          <w:color w:val="800000"/>
          <w:sz w:val="18"/>
          <w:szCs w:val="18"/>
        </w:rPr>
      </w:pPr>
    </w:p>
    <w:p w14:paraId="1AE245DC" w14:textId="6C629F1F" w:rsidR="00BF2D47" w:rsidRDefault="00BF2D47" w:rsidP="004354AC">
      <w:pPr>
        <w:pStyle w:val="Prrafodelista"/>
        <w:numPr>
          <w:ilvl w:val="0"/>
          <w:numId w:val="11"/>
        </w:numPr>
        <w:ind w:left="426" w:hanging="284"/>
        <w:jc w:val="both"/>
        <w:rPr>
          <w:rFonts w:ascii="Verdana" w:hAnsi="Verdana"/>
          <w:b/>
          <w:bCs/>
          <w:i/>
          <w:iCs/>
          <w:color w:val="800000"/>
          <w:sz w:val="18"/>
          <w:szCs w:val="18"/>
        </w:rPr>
      </w:pPr>
      <w:r>
        <w:rPr>
          <w:rFonts w:ascii="Verdana" w:hAnsi="Verdana"/>
          <w:b/>
          <w:bCs/>
          <w:i/>
          <w:iCs/>
          <w:color w:val="800000"/>
          <w:sz w:val="18"/>
          <w:szCs w:val="18"/>
        </w:rPr>
        <w:t xml:space="preserve">IS.- </w:t>
      </w:r>
      <w:r w:rsidRPr="00BF2D47">
        <w:rPr>
          <w:rFonts w:ascii="Verdana" w:hAnsi="Verdana"/>
          <w:b/>
          <w:bCs/>
          <w:i/>
          <w:iCs/>
          <w:color w:val="800000"/>
          <w:sz w:val="18"/>
          <w:szCs w:val="18"/>
        </w:rPr>
        <w:t>EL TEAC REFUERZA EL CONTROL SOBRE LA RESERVA DE CAPITALIZACIÓN: EL MANTENIMIENTO DE LOS FONDOS PROPIOS DEBE CUMPLIRSE AÑO A AÑO</w:t>
      </w:r>
    </w:p>
    <w:p w14:paraId="763D843D" w14:textId="5C715987" w:rsidR="00005EB3" w:rsidRDefault="00C44998" w:rsidP="00237095">
      <w:pPr>
        <w:pStyle w:val="Prrafodelista"/>
        <w:tabs>
          <w:tab w:val="left" w:pos="426"/>
        </w:tabs>
        <w:ind w:left="426"/>
        <w:jc w:val="both"/>
        <w:rPr>
          <w:rFonts w:ascii="Verdana" w:hAnsi="Verdana"/>
          <w:b/>
          <w:bCs/>
          <w:i/>
          <w:iCs/>
          <w:color w:val="800000"/>
          <w:sz w:val="18"/>
          <w:szCs w:val="18"/>
        </w:rPr>
      </w:pPr>
      <w:r>
        <w:rPr>
          <w:rFonts w:ascii="Verdana" w:hAnsi="Verdana"/>
          <w:b/>
          <w:bCs/>
          <w:i/>
          <w:iCs/>
          <w:color w:val="800000"/>
          <w:sz w:val="18"/>
          <w:szCs w:val="18"/>
        </w:rPr>
        <w:t>La</w:t>
      </w:r>
      <w:r w:rsidRPr="00C44998">
        <w:rPr>
          <w:rFonts w:ascii="Verdana" w:hAnsi="Verdana"/>
          <w:b/>
          <w:bCs/>
          <w:i/>
          <w:iCs/>
          <w:color w:val="800000"/>
          <w:sz w:val="18"/>
          <w:szCs w:val="18"/>
        </w:rPr>
        <w:t xml:space="preserve"> aplicación práctica</w:t>
      </w:r>
      <w:r>
        <w:rPr>
          <w:rFonts w:ascii="Verdana" w:hAnsi="Verdana"/>
          <w:b/>
          <w:bCs/>
          <w:i/>
          <w:iCs/>
          <w:color w:val="800000"/>
          <w:sz w:val="18"/>
          <w:szCs w:val="18"/>
        </w:rPr>
        <w:t xml:space="preserve"> de la Reserva de </w:t>
      </w:r>
      <w:r w:rsidR="00DC6156">
        <w:rPr>
          <w:rFonts w:ascii="Verdana" w:hAnsi="Verdana"/>
          <w:b/>
          <w:bCs/>
          <w:i/>
          <w:iCs/>
          <w:color w:val="800000"/>
          <w:sz w:val="18"/>
          <w:szCs w:val="18"/>
        </w:rPr>
        <w:t>Cap</w:t>
      </w:r>
      <w:r w:rsidR="00666D91">
        <w:rPr>
          <w:rFonts w:ascii="Verdana" w:hAnsi="Verdana"/>
          <w:b/>
          <w:bCs/>
          <w:i/>
          <w:iCs/>
          <w:color w:val="800000"/>
          <w:sz w:val="18"/>
          <w:szCs w:val="18"/>
        </w:rPr>
        <w:t>i</w:t>
      </w:r>
      <w:r w:rsidR="00DC6156">
        <w:rPr>
          <w:rFonts w:ascii="Verdana" w:hAnsi="Verdana"/>
          <w:b/>
          <w:bCs/>
          <w:i/>
          <w:iCs/>
          <w:color w:val="800000"/>
          <w:sz w:val="18"/>
          <w:szCs w:val="18"/>
        </w:rPr>
        <w:t>talización</w:t>
      </w:r>
      <w:r w:rsidRPr="00C44998">
        <w:rPr>
          <w:rFonts w:ascii="Verdana" w:hAnsi="Verdana"/>
          <w:b/>
          <w:bCs/>
          <w:i/>
          <w:iCs/>
          <w:color w:val="800000"/>
          <w:sz w:val="18"/>
          <w:szCs w:val="18"/>
        </w:rPr>
        <w:t xml:space="preserve"> sigue generando controversias, especialmente en relación con el requisito de mantenimiento de dichos fondos propios.</w:t>
      </w:r>
    </w:p>
    <w:p w14:paraId="79C74BEB" w14:textId="77777777" w:rsidR="00BF2D47" w:rsidRDefault="00BF2D47" w:rsidP="00237095">
      <w:pPr>
        <w:pStyle w:val="Prrafodelista"/>
        <w:tabs>
          <w:tab w:val="left" w:pos="426"/>
        </w:tabs>
        <w:ind w:left="426"/>
        <w:jc w:val="both"/>
        <w:rPr>
          <w:rFonts w:ascii="Verdana" w:hAnsi="Verdana"/>
          <w:b/>
          <w:bCs/>
          <w:i/>
          <w:iCs/>
          <w:color w:val="800000"/>
          <w:sz w:val="18"/>
          <w:szCs w:val="18"/>
        </w:rPr>
      </w:pPr>
    </w:p>
    <w:p w14:paraId="57E36025" w14:textId="77777777" w:rsidR="00BF2D47" w:rsidRDefault="00BF2D47" w:rsidP="00237095">
      <w:pPr>
        <w:pStyle w:val="Prrafodelista"/>
        <w:tabs>
          <w:tab w:val="left" w:pos="426"/>
        </w:tabs>
        <w:ind w:left="426"/>
        <w:jc w:val="both"/>
        <w:rPr>
          <w:rFonts w:ascii="Verdana" w:hAnsi="Verdana"/>
          <w:b/>
          <w:bCs/>
          <w:i/>
          <w:iCs/>
          <w:color w:val="800000"/>
          <w:sz w:val="18"/>
          <w:szCs w:val="18"/>
        </w:rPr>
      </w:pPr>
    </w:p>
    <w:tbl>
      <w:tblPr>
        <w:tblW w:w="8640" w:type="dxa"/>
        <w:tblInd w:w="70" w:type="dxa"/>
        <w:tblCellMar>
          <w:left w:w="70" w:type="dxa"/>
          <w:right w:w="70" w:type="dxa"/>
        </w:tblCellMar>
        <w:tblLook w:val="0000" w:firstRow="0" w:lastRow="0" w:firstColumn="0" w:lastColumn="0" w:noHBand="0" w:noVBand="0"/>
      </w:tblPr>
      <w:tblGrid>
        <w:gridCol w:w="180"/>
        <w:gridCol w:w="8460"/>
      </w:tblGrid>
      <w:tr w:rsidR="004F5150" w:rsidRPr="004F5150" w14:paraId="4F28D365" w14:textId="77777777" w:rsidTr="00646179">
        <w:tc>
          <w:tcPr>
            <w:tcW w:w="180" w:type="dxa"/>
            <w:shd w:val="clear" w:color="auto" w:fill="FF6600"/>
          </w:tcPr>
          <w:p w14:paraId="51032E8E" w14:textId="77777777" w:rsidR="004F5150" w:rsidRPr="004F5150" w:rsidRDefault="004F5150" w:rsidP="00646179">
            <w:pPr>
              <w:ind w:left="360"/>
              <w:rPr>
                <w:rFonts w:ascii="Verdana" w:hAnsi="Verdana"/>
                <w:b/>
                <w:bCs/>
                <w:color w:val="800000"/>
                <w:sz w:val="18"/>
                <w:szCs w:val="18"/>
              </w:rPr>
            </w:pPr>
            <w:bookmarkStart w:id="0" w:name="_Hlk216865972"/>
          </w:p>
        </w:tc>
        <w:tc>
          <w:tcPr>
            <w:tcW w:w="8460" w:type="dxa"/>
          </w:tcPr>
          <w:p w14:paraId="021DE00C" w14:textId="17BAF558" w:rsidR="004F5150" w:rsidRPr="004F5150" w:rsidRDefault="004F5150">
            <w:pPr>
              <w:numPr>
                <w:ilvl w:val="1"/>
                <w:numId w:val="3"/>
              </w:numPr>
              <w:tabs>
                <w:tab w:val="num" w:pos="242"/>
              </w:tabs>
              <w:ind w:left="242" w:hanging="242"/>
              <w:jc w:val="both"/>
              <w:rPr>
                <w:rFonts w:ascii="Verdana" w:hAnsi="Verdana"/>
                <w:b/>
                <w:bCs/>
                <w:color w:val="800000"/>
                <w:sz w:val="18"/>
                <w:szCs w:val="18"/>
              </w:rPr>
            </w:pPr>
            <w:r w:rsidRPr="004F5150">
              <w:rPr>
                <w:rFonts w:ascii="Verdana" w:hAnsi="Verdana"/>
                <w:b/>
                <w:bCs/>
                <w:color w:val="800000"/>
                <w:sz w:val="18"/>
                <w:szCs w:val="18"/>
              </w:rPr>
              <w:t>RETRASO DE LA ENTRADA EN VIGOR DEL REGLAMENTO QUE ESTABLECE LOS REQUISITOS QUE DEBEN ADOPTAR LOS SISTEMAS Y PROGRAMAS INFORMÁTICOS O ELECTRÓNICOS QUE SOPORTEN LOS PROCESOS DE FACTURACIÓN DE EMPRESARIOS Y PROFESIONALES</w:t>
            </w:r>
          </w:p>
        </w:tc>
      </w:tr>
      <w:bookmarkEnd w:id="0"/>
    </w:tbl>
    <w:p w14:paraId="7A18C730" w14:textId="77777777" w:rsidR="00005EB3" w:rsidRDefault="00005EB3" w:rsidP="00237095">
      <w:pPr>
        <w:pStyle w:val="Prrafodelista"/>
        <w:tabs>
          <w:tab w:val="left" w:pos="426"/>
        </w:tabs>
        <w:ind w:left="426"/>
        <w:jc w:val="both"/>
        <w:rPr>
          <w:rFonts w:ascii="Verdana" w:hAnsi="Verdana"/>
          <w:b/>
          <w:bCs/>
          <w:i/>
          <w:iCs/>
          <w:color w:val="800000"/>
          <w:sz w:val="18"/>
          <w:szCs w:val="18"/>
        </w:rPr>
      </w:pPr>
    </w:p>
    <w:p w14:paraId="15BBFC93" w14:textId="7D4D67EE" w:rsidR="004F5150" w:rsidRDefault="004F5150" w:rsidP="004F5150">
      <w:pPr>
        <w:pStyle w:val="Prrafodelista"/>
        <w:tabs>
          <w:tab w:val="left" w:pos="426"/>
        </w:tabs>
        <w:ind w:left="426"/>
        <w:jc w:val="both"/>
        <w:rPr>
          <w:rFonts w:ascii="Verdana" w:hAnsi="Verdana"/>
          <w:sz w:val="18"/>
          <w:szCs w:val="18"/>
        </w:rPr>
      </w:pPr>
      <w:r w:rsidRPr="004F5150">
        <w:rPr>
          <w:rFonts w:ascii="Verdana" w:hAnsi="Verdana"/>
          <w:sz w:val="18"/>
          <w:szCs w:val="18"/>
        </w:rPr>
        <w:t xml:space="preserve">Como ya anticipamos en nuestra </w:t>
      </w:r>
      <w:r w:rsidRPr="00E47287">
        <w:rPr>
          <w:rFonts w:ascii="Verdana" w:hAnsi="Verdana"/>
          <w:i/>
          <w:iCs/>
          <w:sz w:val="18"/>
          <w:szCs w:val="18"/>
        </w:rPr>
        <w:t>adenda del pasado mes de diciembre</w:t>
      </w:r>
      <w:r w:rsidRPr="004F5150">
        <w:rPr>
          <w:rFonts w:ascii="Verdana" w:hAnsi="Verdana"/>
          <w:sz w:val="18"/>
          <w:szCs w:val="18"/>
        </w:rPr>
        <w:t xml:space="preserve">, </w:t>
      </w:r>
      <w:r>
        <w:rPr>
          <w:rFonts w:ascii="Verdana" w:hAnsi="Verdana"/>
          <w:sz w:val="18"/>
          <w:szCs w:val="18"/>
        </w:rPr>
        <w:t>c</w:t>
      </w:r>
      <w:r w:rsidRPr="004F5150">
        <w:rPr>
          <w:rFonts w:ascii="Verdana" w:hAnsi="Verdana"/>
          <w:sz w:val="18"/>
          <w:szCs w:val="18"/>
        </w:rPr>
        <w:t>on efectos desde el 4-12-2025, se amplían los plazos de adaptación de los sistemas informáticos de facturación a los requisitos previstos en el reglamento. En concreto, las entidades y empresarios que utilicen estos sistemas deben tenerlos adaptados e implementados en las fechas siguientes (RD 1007/2023 art.3.1):</w:t>
      </w:r>
    </w:p>
    <w:p w14:paraId="1306A1EC" w14:textId="77777777" w:rsidR="004F5150" w:rsidRPr="004F5150" w:rsidRDefault="004F5150" w:rsidP="004F5150">
      <w:pPr>
        <w:pStyle w:val="Prrafodelista"/>
        <w:tabs>
          <w:tab w:val="left" w:pos="426"/>
        </w:tabs>
        <w:ind w:left="426"/>
        <w:jc w:val="both"/>
        <w:rPr>
          <w:rFonts w:ascii="Verdana" w:hAnsi="Verdana"/>
          <w:sz w:val="18"/>
          <w:szCs w:val="18"/>
        </w:rPr>
      </w:pPr>
    </w:p>
    <w:p w14:paraId="67D5417B" w14:textId="4C7AC0B9" w:rsidR="004F5150" w:rsidRDefault="004F5150" w:rsidP="00FF6AF8">
      <w:pPr>
        <w:pStyle w:val="Prrafodelista"/>
        <w:numPr>
          <w:ilvl w:val="0"/>
          <w:numId w:val="54"/>
        </w:numPr>
        <w:tabs>
          <w:tab w:val="left" w:pos="426"/>
        </w:tabs>
        <w:jc w:val="both"/>
        <w:rPr>
          <w:rFonts w:ascii="Verdana" w:hAnsi="Verdana"/>
          <w:sz w:val="18"/>
          <w:szCs w:val="18"/>
        </w:rPr>
      </w:pPr>
      <w:r w:rsidRPr="004F5150">
        <w:rPr>
          <w:rFonts w:ascii="Verdana" w:hAnsi="Verdana"/>
          <w:b/>
          <w:bCs/>
          <w:sz w:val="18"/>
          <w:szCs w:val="18"/>
        </w:rPr>
        <w:t>Contribuyentes del IS</w:t>
      </w:r>
      <w:r w:rsidRPr="004F5150">
        <w:rPr>
          <w:rFonts w:ascii="Verdana" w:hAnsi="Verdana"/>
          <w:sz w:val="18"/>
          <w:szCs w:val="18"/>
        </w:rPr>
        <w:t>, a partir de 1-1-2027.</w:t>
      </w:r>
    </w:p>
    <w:p w14:paraId="68252D26" w14:textId="77777777" w:rsidR="004F5150" w:rsidRPr="004F5150" w:rsidRDefault="004F5150" w:rsidP="004F5150">
      <w:pPr>
        <w:pStyle w:val="Prrafodelista"/>
        <w:tabs>
          <w:tab w:val="left" w:pos="426"/>
        </w:tabs>
        <w:ind w:left="426"/>
        <w:jc w:val="both"/>
        <w:rPr>
          <w:rFonts w:ascii="Verdana" w:hAnsi="Verdana"/>
          <w:sz w:val="18"/>
          <w:szCs w:val="18"/>
        </w:rPr>
      </w:pPr>
    </w:p>
    <w:p w14:paraId="7B3E00B8" w14:textId="6B2C001D" w:rsidR="004F5150" w:rsidRDefault="004F5150" w:rsidP="00FF6AF8">
      <w:pPr>
        <w:pStyle w:val="Prrafodelista"/>
        <w:numPr>
          <w:ilvl w:val="0"/>
          <w:numId w:val="54"/>
        </w:numPr>
        <w:tabs>
          <w:tab w:val="left" w:pos="426"/>
        </w:tabs>
        <w:jc w:val="both"/>
        <w:rPr>
          <w:rFonts w:ascii="Verdana" w:hAnsi="Verdana"/>
          <w:sz w:val="18"/>
          <w:szCs w:val="18"/>
        </w:rPr>
      </w:pPr>
      <w:r w:rsidRPr="004F5150">
        <w:rPr>
          <w:rFonts w:ascii="Verdana" w:hAnsi="Verdana"/>
          <w:b/>
          <w:bCs/>
          <w:sz w:val="18"/>
          <w:szCs w:val="18"/>
        </w:rPr>
        <w:t>Contribuyentes del IRPF que desarrollen actividades económicas</w:t>
      </w:r>
      <w:r w:rsidRPr="004F5150">
        <w:rPr>
          <w:rFonts w:ascii="Verdana" w:hAnsi="Verdana"/>
          <w:sz w:val="18"/>
          <w:szCs w:val="18"/>
        </w:rPr>
        <w:t xml:space="preserve">, </w:t>
      </w:r>
      <w:r w:rsidRPr="00AC0BBB">
        <w:rPr>
          <w:rFonts w:ascii="Verdana" w:hAnsi="Verdana"/>
          <w:b/>
          <w:bCs/>
          <w:sz w:val="18"/>
          <w:szCs w:val="18"/>
        </w:rPr>
        <w:t>los contribuyentes del IRNR que obtengan rentas mediante establecimiento permanente, y entidades en régimen de atribución de rentas que desarrollen actividades económicas</w:t>
      </w:r>
      <w:r w:rsidRPr="004F5150">
        <w:rPr>
          <w:rFonts w:ascii="Verdana" w:hAnsi="Verdana"/>
          <w:sz w:val="18"/>
          <w:szCs w:val="18"/>
        </w:rPr>
        <w:t>, a partir de 1-7-2027.</w:t>
      </w:r>
    </w:p>
    <w:p w14:paraId="48EC86A5" w14:textId="77777777" w:rsidR="004F5150" w:rsidRPr="004F5150" w:rsidRDefault="004F5150" w:rsidP="004F5150">
      <w:pPr>
        <w:pStyle w:val="Prrafodelista"/>
        <w:tabs>
          <w:tab w:val="left" w:pos="426"/>
        </w:tabs>
        <w:ind w:left="426"/>
        <w:jc w:val="both"/>
        <w:rPr>
          <w:rFonts w:ascii="Verdana" w:hAnsi="Verdana"/>
          <w:sz w:val="18"/>
          <w:szCs w:val="18"/>
        </w:rPr>
      </w:pPr>
    </w:p>
    <w:p w14:paraId="11517AA4" w14:textId="14AE8869" w:rsidR="00005EB3" w:rsidRDefault="004F5150" w:rsidP="004F5150">
      <w:pPr>
        <w:pStyle w:val="Prrafodelista"/>
        <w:tabs>
          <w:tab w:val="left" w:pos="426"/>
        </w:tabs>
        <w:ind w:left="426"/>
        <w:jc w:val="both"/>
        <w:rPr>
          <w:rFonts w:ascii="Verdana" w:hAnsi="Verdana"/>
          <w:sz w:val="18"/>
          <w:szCs w:val="18"/>
        </w:rPr>
      </w:pPr>
      <w:r w:rsidRPr="004F5150">
        <w:rPr>
          <w:rFonts w:ascii="Verdana" w:hAnsi="Verdana"/>
          <w:sz w:val="18"/>
          <w:szCs w:val="18"/>
        </w:rPr>
        <w:t xml:space="preserve">Asimismo, </w:t>
      </w:r>
      <w:r w:rsidRPr="004F5150">
        <w:rPr>
          <w:rFonts w:ascii="Verdana" w:hAnsi="Verdana"/>
          <w:b/>
          <w:bCs/>
          <w:sz w:val="18"/>
          <w:szCs w:val="18"/>
        </w:rPr>
        <w:t>se adecúa el plazo previsto para productores y comercializadores de sistemas informáticos</w:t>
      </w:r>
      <w:r w:rsidRPr="004F5150">
        <w:rPr>
          <w:rFonts w:ascii="Verdana" w:hAnsi="Verdana"/>
          <w:sz w:val="18"/>
          <w:szCs w:val="18"/>
        </w:rPr>
        <w:t>, manteniendo la regla de los nueve meses desde la entrada en vigor de la OM HAC/1177/2024, sin perjuicio de la adaptación obligatoria antes de las nuevas fechas límite señaladas.</w:t>
      </w:r>
    </w:p>
    <w:p w14:paraId="316DBF0B" w14:textId="77777777" w:rsidR="00E97495" w:rsidRDefault="00E97495" w:rsidP="004F5150">
      <w:pPr>
        <w:pStyle w:val="Prrafodelista"/>
        <w:tabs>
          <w:tab w:val="left" w:pos="426"/>
        </w:tabs>
        <w:ind w:left="426"/>
        <w:jc w:val="both"/>
        <w:rPr>
          <w:rFonts w:ascii="Verdana" w:hAnsi="Verdana"/>
          <w:sz w:val="18"/>
          <w:szCs w:val="18"/>
        </w:rPr>
      </w:pPr>
    </w:p>
    <w:p w14:paraId="6167F038" w14:textId="77777777" w:rsidR="00AC0BBB" w:rsidRDefault="00AC0BBB" w:rsidP="004F5150">
      <w:pPr>
        <w:pStyle w:val="Prrafodelista"/>
        <w:tabs>
          <w:tab w:val="left" w:pos="426"/>
        </w:tabs>
        <w:ind w:left="426"/>
        <w:jc w:val="both"/>
        <w:rPr>
          <w:rFonts w:ascii="Verdana" w:hAnsi="Verdana"/>
          <w:sz w:val="18"/>
          <w:szCs w:val="18"/>
        </w:rPr>
      </w:pPr>
    </w:p>
    <w:tbl>
      <w:tblPr>
        <w:tblW w:w="8640" w:type="dxa"/>
        <w:tblInd w:w="70" w:type="dxa"/>
        <w:tblCellMar>
          <w:left w:w="70" w:type="dxa"/>
          <w:right w:w="70" w:type="dxa"/>
        </w:tblCellMar>
        <w:tblLook w:val="0000" w:firstRow="0" w:lastRow="0" w:firstColumn="0" w:lastColumn="0" w:noHBand="0" w:noVBand="0"/>
      </w:tblPr>
      <w:tblGrid>
        <w:gridCol w:w="180"/>
        <w:gridCol w:w="8460"/>
      </w:tblGrid>
      <w:tr w:rsidR="00E97495" w:rsidRPr="009202F3" w14:paraId="48ECE40C" w14:textId="77777777" w:rsidTr="00761185">
        <w:tc>
          <w:tcPr>
            <w:tcW w:w="180" w:type="dxa"/>
            <w:shd w:val="clear" w:color="auto" w:fill="FF6600"/>
          </w:tcPr>
          <w:p w14:paraId="0A559ABD" w14:textId="77777777" w:rsidR="00E97495" w:rsidRPr="009202F3" w:rsidRDefault="00E97495" w:rsidP="00761185">
            <w:pPr>
              <w:ind w:left="360"/>
              <w:rPr>
                <w:rFonts w:ascii="Verdana" w:hAnsi="Verdana"/>
                <w:b/>
                <w:bCs/>
                <w:color w:val="800000"/>
                <w:sz w:val="18"/>
                <w:szCs w:val="18"/>
              </w:rPr>
            </w:pPr>
            <w:bookmarkStart w:id="1" w:name="_Hlk217487422"/>
          </w:p>
        </w:tc>
        <w:tc>
          <w:tcPr>
            <w:tcW w:w="8460" w:type="dxa"/>
          </w:tcPr>
          <w:p w14:paraId="111E0D32" w14:textId="38E0C20F" w:rsidR="00E97495" w:rsidRPr="009202F3" w:rsidRDefault="00E97495">
            <w:pPr>
              <w:numPr>
                <w:ilvl w:val="1"/>
                <w:numId w:val="3"/>
              </w:numPr>
              <w:tabs>
                <w:tab w:val="num" w:pos="242"/>
              </w:tabs>
              <w:ind w:left="242" w:hanging="242"/>
              <w:jc w:val="both"/>
              <w:rPr>
                <w:rFonts w:ascii="Verdana" w:hAnsi="Verdana"/>
                <w:b/>
                <w:bCs/>
                <w:color w:val="800000"/>
                <w:sz w:val="18"/>
                <w:szCs w:val="18"/>
              </w:rPr>
            </w:pPr>
            <w:r w:rsidRPr="009202F3">
              <w:rPr>
                <w:rFonts w:ascii="Verdana" w:hAnsi="Verdana"/>
                <w:b/>
                <w:bCs/>
                <w:color w:val="800000"/>
                <w:sz w:val="18"/>
                <w:szCs w:val="18"/>
              </w:rPr>
              <w:t>CLAVES FISCALES PARA EL CIERRE DEL EJERCICIO Y PLANIFICACIÓN 2026</w:t>
            </w:r>
          </w:p>
        </w:tc>
      </w:tr>
      <w:bookmarkEnd w:id="1"/>
    </w:tbl>
    <w:p w14:paraId="233C635A" w14:textId="77777777" w:rsidR="00E97495" w:rsidRPr="00E97495" w:rsidRDefault="00E97495" w:rsidP="00E97495">
      <w:pPr>
        <w:pStyle w:val="Prrafodelista"/>
        <w:tabs>
          <w:tab w:val="left" w:pos="426"/>
        </w:tabs>
        <w:ind w:left="426"/>
        <w:jc w:val="both"/>
        <w:rPr>
          <w:rFonts w:ascii="Verdana" w:hAnsi="Verdana"/>
          <w:sz w:val="18"/>
          <w:szCs w:val="18"/>
        </w:rPr>
      </w:pPr>
    </w:p>
    <w:p w14:paraId="5EBC28AB" w14:textId="619697CD" w:rsidR="00E97495" w:rsidRPr="00E97495" w:rsidRDefault="00E97495" w:rsidP="00E97495">
      <w:pPr>
        <w:pStyle w:val="Prrafodelista"/>
        <w:tabs>
          <w:tab w:val="left" w:pos="426"/>
        </w:tabs>
        <w:ind w:left="426"/>
        <w:jc w:val="both"/>
        <w:rPr>
          <w:rFonts w:ascii="Verdana" w:hAnsi="Verdana"/>
          <w:sz w:val="18"/>
          <w:szCs w:val="18"/>
        </w:rPr>
      </w:pPr>
      <w:r w:rsidRPr="00E97495">
        <w:rPr>
          <w:rFonts w:ascii="Verdana" w:hAnsi="Verdana"/>
          <w:sz w:val="18"/>
          <w:szCs w:val="18"/>
        </w:rPr>
        <w:t>De cara al cierre del ejercicio 2025, se destacan las siguientes recomendaciones fiscales relevantes para empresas:</w:t>
      </w:r>
    </w:p>
    <w:p w14:paraId="73711211" w14:textId="77777777" w:rsidR="00E97495" w:rsidRPr="00E97495" w:rsidRDefault="00E97495" w:rsidP="00E97495">
      <w:pPr>
        <w:pStyle w:val="Prrafodelista"/>
        <w:tabs>
          <w:tab w:val="left" w:pos="426"/>
        </w:tabs>
        <w:ind w:left="426"/>
        <w:jc w:val="both"/>
        <w:rPr>
          <w:rFonts w:ascii="Verdana" w:hAnsi="Verdana"/>
          <w:sz w:val="18"/>
          <w:szCs w:val="18"/>
        </w:rPr>
      </w:pPr>
    </w:p>
    <w:p w14:paraId="207C2CC3" w14:textId="77777777" w:rsidR="00E97495" w:rsidRPr="00E97495" w:rsidRDefault="00E97495" w:rsidP="00E97495">
      <w:pPr>
        <w:pStyle w:val="Prrafodelista"/>
        <w:tabs>
          <w:tab w:val="left" w:pos="426"/>
        </w:tabs>
        <w:ind w:left="426"/>
        <w:jc w:val="both"/>
        <w:rPr>
          <w:rFonts w:ascii="Verdana" w:hAnsi="Verdana"/>
          <w:b/>
          <w:bCs/>
          <w:color w:val="A20000"/>
          <w:sz w:val="18"/>
          <w:szCs w:val="18"/>
        </w:rPr>
      </w:pPr>
      <w:r w:rsidRPr="00E97495">
        <w:rPr>
          <w:rFonts w:ascii="Verdana" w:hAnsi="Verdana"/>
          <w:b/>
          <w:bCs/>
          <w:color w:val="A20000"/>
          <w:sz w:val="18"/>
          <w:szCs w:val="18"/>
        </w:rPr>
        <w:t>Impuesto sobre Sociedades – Bajada de tipos en 2026</w:t>
      </w:r>
    </w:p>
    <w:p w14:paraId="56CDEED5" w14:textId="77777777" w:rsidR="00E97495" w:rsidRPr="00E97495" w:rsidRDefault="00E97495" w:rsidP="00E97495">
      <w:pPr>
        <w:pStyle w:val="Prrafodelista"/>
        <w:tabs>
          <w:tab w:val="left" w:pos="426"/>
        </w:tabs>
        <w:ind w:left="426"/>
        <w:jc w:val="both"/>
        <w:rPr>
          <w:rFonts w:ascii="Verdana" w:hAnsi="Verdana"/>
          <w:sz w:val="18"/>
          <w:szCs w:val="18"/>
        </w:rPr>
      </w:pPr>
      <w:r w:rsidRPr="00E97495">
        <w:rPr>
          <w:rFonts w:ascii="Verdana" w:hAnsi="Verdana"/>
          <w:sz w:val="18"/>
          <w:szCs w:val="18"/>
        </w:rPr>
        <w:t xml:space="preserve">Las entidades con facturación inferior a 1 millón de euros y las de reducida dimensión (menos de 10 millones) se beneficiarán </w:t>
      </w:r>
      <w:r w:rsidRPr="009202F3">
        <w:rPr>
          <w:rFonts w:ascii="Verdana" w:hAnsi="Verdana"/>
          <w:b/>
          <w:bCs/>
          <w:sz w:val="18"/>
          <w:szCs w:val="18"/>
        </w:rPr>
        <w:t>en 2026</w:t>
      </w:r>
      <w:r w:rsidRPr="00E97495">
        <w:rPr>
          <w:rFonts w:ascii="Verdana" w:hAnsi="Verdana"/>
          <w:sz w:val="18"/>
          <w:szCs w:val="18"/>
        </w:rPr>
        <w:t xml:space="preserve"> de una nueva reducción de tipos. Puede ser conveniente diferir ingresos o resultados para aprovechar estos menores gravámenes, siempre que no se trate de entidades patrimoniales.</w:t>
      </w:r>
    </w:p>
    <w:p w14:paraId="355051D9" w14:textId="77777777" w:rsidR="00E97495" w:rsidRPr="00E97495" w:rsidRDefault="00E97495" w:rsidP="00E97495">
      <w:pPr>
        <w:pStyle w:val="Prrafodelista"/>
        <w:tabs>
          <w:tab w:val="left" w:pos="426"/>
        </w:tabs>
        <w:ind w:left="426"/>
        <w:jc w:val="both"/>
        <w:rPr>
          <w:rFonts w:ascii="Verdana" w:hAnsi="Verdana"/>
          <w:sz w:val="18"/>
          <w:szCs w:val="18"/>
        </w:rPr>
      </w:pPr>
    </w:p>
    <w:p w14:paraId="6560BDF5" w14:textId="77777777" w:rsidR="00E97495" w:rsidRPr="00E97495" w:rsidRDefault="00E97495" w:rsidP="00E97495">
      <w:pPr>
        <w:pStyle w:val="Prrafodelista"/>
        <w:tabs>
          <w:tab w:val="left" w:pos="426"/>
        </w:tabs>
        <w:ind w:left="426"/>
        <w:jc w:val="both"/>
        <w:rPr>
          <w:rFonts w:ascii="Verdana" w:hAnsi="Verdana"/>
          <w:b/>
          <w:bCs/>
          <w:color w:val="A20000"/>
          <w:sz w:val="18"/>
          <w:szCs w:val="18"/>
        </w:rPr>
      </w:pPr>
      <w:r w:rsidRPr="00E97495">
        <w:rPr>
          <w:rFonts w:ascii="Verdana" w:hAnsi="Verdana"/>
          <w:b/>
          <w:bCs/>
          <w:color w:val="A20000"/>
          <w:sz w:val="18"/>
          <w:szCs w:val="18"/>
        </w:rPr>
        <w:t>Liquidez, créditos fiscales y consolidación fiscal</w:t>
      </w:r>
    </w:p>
    <w:p w14:paraId="4B644ED3" w14:textId="0DF9B5CE" w:rsidR="00E97495" w:rsidRPr="00E97495" w:rsidRDefault="00E97495" w:rsidP="00E97495">
      <w:pPr>
        <w:pStyle w:val="Prrafodelista"/>
        <w:tabs>
          <w:tab w:val="left" w:pos="426"/>
        </w:tabs>
        <w:ind w:left="426"/>
        <w:jc w:val="both"/>
        <w:rPr>
          <w:rFonts w:ascii="Verdana" w:hAnsi="Verdana"/>
          <w:sz w:val="18"/>
          <w:szCs w:val="18"/>
        </w:rPr>
      </w:pPr>
      <w:r w:rsidRPr="00E97495">
        <w:rPr>
          <w:rFonts w:ascii="Verdana" w:hAnsi="Verdana"/>
          <w:sz w:val="18"/>
          <w:szCs w:val="18"/>
        </w:rPr>
        <w:t>Es clave analizar pagos fraccionados, previsión de resultados y créditos fiscales pendientes (BIN</w:t>
      </w:r>
      <w:r w:rsidR="00A77C30">
        <w:rPr>
          <w:rFonts w:ascii="Verdana" w:hAnsi="Verdana"/>
          <w:sz w:val="18"/>
          <w:szCs w:val="18"/>
        </w:rPr>
        <w:t>S</w:t>
      </w:r>
      <w:r w:rsidRPr="00E97495">
        <w:rPr>
          <w:rFonts w:ascii="Verdana" w:hAnsi="Verdana"/>
          <w:sz w:val="18"/>
          <w:szCs w:val="18"/>
        </w:rPr>
        <w:t>, deducciones, reservas). La anticipación en su aplicación mejora su valor económico. Asimismo, diciembre es el último mes para acordar la opción por el régimen de consolidación fiscal aplicable en 2026.</w:t>
      </w:r>
    </w:p>
    <w:p w14:paraId="6230C0ED" w14:textId="77777777" w:rsidR="00E97495" w:rsidRPr="00E97495" w:rsidRDefault="00E97495" w:rsidP="00E97495">
      <w:pPr>
        <w:pStyle w:val="Prrafodelista"/>
        <w:tabs>
          <w:tab w:val="left" w:pos="426"/>
        </w:tabs>
        <w:ind w:left="426"/>
        <w:jc w:val="both"/>
        <w:rPr>
          <w:rFonts w:ascii="Verdana" w:hAnsi="Verdana"/>
          <w:sz w:val="18"/>
          <w:szCs w:val="18"/>
        </w:rPr>
      </w:pPr>
    </w:p>
    <w:p w14:paraId="036640DB" w14:textId="77777777" w:rsidR="00E97495" w:rsidRPr="00E97495" w:rsidRDefault="00E97495" w:rsidP="00E97495">
      <w:pPr>
        <w:pStyle w:val="Prrafodelista"/>
        <w:tabs>
          <w:tab w:val="left" w:pos="426"/>
        </w:tabs>
        <w:ind w:left="426"/>
        <w:jc w:val="both"/>
        <w:rPr>
          <w:rFonts w:ascii="Verdana" w:hAnsi="Verdana"/>
          <w:b/>
          <w:bCs/>
          <w:color w:val="A20000"/>
          <w:sz w:val="18"/>
          <w:szCs w:val="18"/>
        </w:rPr>
      </w:pPr>
      <w:r w:rsidRPr="00E97495">
        <w:rPr>
          <w:rFonts w:ascii="Verdana" w:hAnsi="Verdana"/>
          <w:b/>
          <w:bCs/>
          <w:color w:val="A20000"/>
          <w:sz w:val="18"/>
          <w:szCs w:val="18"/>
        </w:rPr>
        <w:t>Reestructuraciones empresariales</w:t>
      </w:r>
    </w:p>
    <w:p w14:paraId="04D2D599" w14:textId="77777777" w:rsidR="00E97495" w:rsidRPr="00E97495" w:rsidRDefault="00E97495" w:rsidP="00E97495">
      <w:pPr>
        <w:pStyle w:val="Prrafodelista"/>
        <w:tabs>
          <w:tab w:val="left" w:pos="426"/>
        </w:tabs>
        <w:ind w:left="426"/>
        <w:jc w:val="both"/>
        <w:rPr>
          <w:rFonts w:ascii="Verdana" w:hAnsi="Verdana"/>
          <w:sz w:val="18"/>
          <w:szCs w:val="18"/>
        </w:rPr>
      </w:pPr>
      <w:r w:rsidRPr="00E97495">
        <w:rPr>
          <w:rFonts w:ascii="Verdana" w:hAnsi="Verdana"/>
          <w:sz w:val="18"/>
          <w:szCs w:val="18"/>
        </w:rPr>
        <w:t>Las operaciones previstas para 2026 deberían planificarse para el primer semestre, utilizando el balance cerrado a 31 de diciembre de 2025 y evitando costes adicionales. Es esencial documentar adecuadamente los motivos económicos válidos para acceder al régimen de neutralidad fiscal, dada la interpretación cada vez más restrictiva de la Administración.</w:t>
      </w:r>
    </w:p>
    <w:p w14:paraId="2758FF5D" w14:textId="77777777" w:rsidR="00E97495" w:rsidRPr="00E97495" w:rsidRDefault="00E97495" w:rsidP="00E97495">
      <w:pPr>
        <w:pStyle w:val="Prrafodelista"/>
        <w:tabs>
          <w:tab w:val="left" w:pos="426"/>
        </w:tabs>
        <w:ind w:left="426"/>
        <w:jc w:val="both"/>
        <w:rPr>
          <w:rFonts w:ascii="Verdana" w:hAnsi="Verdana"/>
          <w:sz w:val="18"/>
          <w:szCs w:val="18"/>
        </w:rPr>
      </w:pPr>
    </w:p>
    <w:p w14:paraId="1C494FC7" w14:textId="77777777" w:rsidR="00E97495" w:rsidRPr="00E97495" w:rsidRDefault="00E97495" w:rsidP="00E97495">
      <w:pPr>
        <w:pStyle w:val="Prrafodelista"/>
        <w:tabs>
          <w:tab w:val="left" w:pos="426"/>
        </w:tabs>
        <w:ind w:left="426"/>
        <w:jc w:val="both"/>
        <w:rPr>
          <w:rFonts w:ascii="Verdana" w:hAnsi="Verdana"/>
          <w:b/>
          <w:bCs/>
          <w:color w:val="A20000"/>
          <w:sz w:val="18"/>
          <w:szCs w:val="18"/>
        </w:rPr>
      </w:pPr>
      <w:r w:rsidRPr="00E97495">
        <w:rPr>
          <w:rFonts w:ascii="Verdana" w:hAnsi="Verdana"/>
          <w:b/>
          <w:bCs/>
          <w:color w:val="A20000"/>
          <w:sz w:val="18"/>
          <w:szCs w:val="18"/>
        </w:rPr>
        <w:t>IVA – Opción por la prorrata especial</w:t>
      </w:r>
    </w:p>
    <w:p w14:paraId="43865996" w14:textId="55BB4660" w:rsidR="00E97495" w:rsidRPr="00E97495" w:rsidRDefault="00E97495" w:rsidP="00E97495">
      <w:pPr>
        <w:pStyle w:val="Prrafodelista"/>
        <w:tabs>
          <w:tab w:val="left" w:pos="426"/>
        </w:tabs>
        <w:ind w:left="426"/>
        <w:jc w:val="both"/>
        <w:rPr>
          <w:rFonts w:ascii="Verdana" w:hAnsi="Verdana"/>
          <w:sz w:val="18"/>
          <w:szCs w:val="18"/>
        </w:rPr>
      </w:pPr>
      <w:r w:rsidRPr="00E97495">
        <w:rPr>
          <w:rFonts w:ascii="Verdana" w:hAnsi="Verdana"/>
          <w:sz w:val="18"/>
          <w:szCs w:val="18"/>
        </w:rPr>
        <w:t>Debe valorarse la conveniencia de optar por la prorrata especial del IVA, que puede resultar más eficiente en determinadas estructuras de actividad. La opción para 202</w:t>
      </w:r>
      <w:r w:rsidR="009202F3">
        <w:rPr>
          <w:rFonts w:ascii="Verdana" w:hAnsi="Verdana"/>
          <w:sz w:val="18"/>
          <w:szCs w:val="18"/>
        </w:rPr>
        <w:t>6</w:t>
      </w:r>
      <w:r w:rsidRPr="00E97495">
        <w:rPr>
          <w:rFonts w:ascii="Verdana" w:hAnsi="Verdana"/>
          <w:sz w:val="18"/>
          <w:szCs w:val="18"/>
        </w:rPr>
        <w:t xml:space="preserve"> puede ejercerse en la última autoliquidación del año, con regularización de las deducciones practicadas.</w:t>
      </w:r>
    </w:p>
    <w:p w14:paraId="1427B699" w14:textId="77777777" w:rsidR="00E97495" w:rsidRPr="00E97495" w:rsidRDefault="00E97495" w:rsidP="00E97495">
      <w:pPr>
        <w:pStyle w:val="Prrafodelista"/>
        <w:tabs>
          <w:tab w:val="left" w:pos="426"/>
        </w:tabs>
        <w:ind w:left="426"/>
        <w:jc w:val="both"/>
        <w:rPr>
          <w:rFonts w:ascii="Verdana" w:hAnsi="Verdana"/>
          <w:sz w:val="18"/>
          <w:szCs w:val="18"/>
        </w:rPr>
      </w:pPr>
    </w:p>
    <w:p w14:paraId="5294BCA9" w14:textId="77777777" w:rsidR="00E97495" w:rsidRPr="00E97495" w:rsidRDefault="00E97495" w:rsidP="00E97495">
      <w:pPr>
        <w:pStyle w:val="Prrafodelista"/>
        <w:tabs>
          <w:tab w:val="left" w:pos="426"/>
        </w:tabs>
        <w:ind w:left="426"/>
        <w:jc w:val="both"/>
        <w:rPr>
          <w:rFonts w:ascii="Verdana" w:hAnsi="Verdana"/>
          <w:b/>
          <w:bCs/>
          <w:color w:val="A20000"/>
          <w:sz w:val="18"/>
          <w:szCs w:val="18"/>
        </w:rPr>
      </w:pPr>
      <w:r w:rsidRPr="00E97495">
        <w:rPr>
          <w:rFonts w:ascii="Verdana" w:hAnsi="Verdana"/>
          <w:b/>
          <w:bCs/>
          <w:color w:val="A20000"/>
          <w:sz w:val="18"/>
          <w:szCs w:val="18"/>
        </w:rPr>
        <w:lastRenderedPageBreak/>
        <w:t>Facturación electrónica – VERI*FACTU y SII</w:t>
      </w:r>
    </w:p>
    <w:p w14:paraId="2F167843" w14:textId="6553C7FD" w:rsidR="00E97495" w:rsidRPr="00E97495" w:rsidRDefault="00E97495" w:rsidP="00E97495">
      <w:pPr>
        <w:pStyle w:val="Prrafodelista"/>
        <w:tabs>
          <w:tab w:val="left" w:pos="426"/>
        </w:tabs>
        <w:ind w:left="426"/>
        <w:jc w:val="both"/>
        <w:rPr>
          <w:rFonts w:ascii="Verdana" w:hAnsi="Verdana"/>
          <w:sz w:val="18"/>
          <w:szCs w:val="18"/>
        </w:rPr>
      </w:pPr>
      <w:r w:rsidRPr="00E97495">
        <w:rPr>
          <w:rFonts w:ascii="Verdana" w:hAnsi="Verdana"/>
          <w:sz w:val="18"/>
          <w:szCs w:val="18"/>
        </w:rPr>
        <w:t xml:space="preserve">La entrada en vigor del sistema VERI*FACTU se retrasa un año: será obligatorio desde el 1 de enero de 2027 para sociedades y desde el 1 de julio de 2027 para personas físicas. No obstante, </w:t>
      </w:r>
      <w:r w:rsidRPr="00AC0BBB">
        <w:rPr>
          <w:rFonts w:ascii="Verdana" w:hAnsi="Verdana"/>
          <w:b/>
          <w:bCs/>
          <w:sz w:val="18"/>
          <w:szCs w:val="18"/>
        </w:rPr>
        <w:t>conviene revisar decisiones recientes de adhesión voluntaria al SII</w:t>
      </w:r>
      <w:r w:rsidRPr="00E97495">
        <w:rPr>
          <w:rFonts w:ascii="Verdana" w:hAnsi="Verdana"/>
          <w:sz w:val="18"/>
          <w:szCs w:val="18"/>
        </w:rPr>
        <w:t>, dado que pueden implicar obligaciones innecesarias tras el aplazamiento normativo.</w:t>
      </w:r>
      <w:r w:rsidR="00263F84">
        <w:rPr>
          <w:rFonts w:ascii="Verdana" w:hAnsi="Verdana"/>
          <w:sz w:val="18"/>
          <w:szCs w:val="18"/>
        </w:rPr>
        <w:t xml:space="preserve"> En el Real Decreto-ley 16/2025 se establece la renuncia extraordinaria a la obligación del SII que se comenta en el siguiente apartado de estos Apuntes.</w:t>
      </w:r>
    </w:p>
    <w:p w14:paraId="0C106627" w14:textId="77777777" w:rsidR="00E97495" w:rsidRPr="00E97495" w:rsidRDefault="00E97495" w:rsidP="00E97495">
      <w:pPr>
        <w:pStyle w:val="Prrafodelista"/>
        <w:tabs>
          <w:tab w:val="left" w:pos="426"/>
        </w:tabs>
        <w:ind w:left="426"/>
        <w:jc w:val="both"/>
        <w:rPr>
          <w:rFonts w:ascii="Verdana" w:hAnsi="Verdana"/>
          <w:sz w:val="18"/>
          <w:szCs w:val="18"/>
        </w:rPr>
      </w:pPr>
    </w:p>
    <w:p w14:paraId="37B82B9D" w14:textId="7123E5CD" w:rsidR="00E97495" w:rsidRDefault="00E97495" w:rsidP="00E97495">
      <w:pPr>
        <w:pStyle w:val="Prrafodelista"/>
        <w:tabs>
          <w:tab w:val="left" w:pos="426"/>
        </w:tabs>
        <w:ind w:left="426"/>
        <w:jc w:val="both"/>
        <w:rPr>
          <w:rFonts w:ascii="Verdana" w:hAnsi="Verdana"/>
          <w:sz w:val="18"/>
          <w:szCs w:val="18"/>
        </w:rPr>
      </w:pPr>
      <w:r w:rsidRPr="009202F3">
        <w:rPr>
          <w:rFonts w:ascii="Verdana" w:hAnsi="Verdana"/>
          <w:b/>
          <w:bCs/>
          <w:sz w:val="18"/>
          <w:szCs w:val="18"/>
        </w:rPr>
        <w:t>En un contexto de elevada inseguridad jurídica y creciente intensidad de las comprobaciones tributarias</w:t>
      </w:r>
      <w:r w:rsidRPr="00E97495">
        <w:rPr>
          <w:rFonts w:ascii="Verdana" w:hAnsi="Verdana"/>
          <w:sz w:val="18"/>
          <w:szCs w:val="18"/>
        </w:rPr>
        <w:t xml:space="preserve">, resulta imprescindible adoptar una actitud proactiva, reforzar la planificación fiscal y evaluar preventivamente las posibles contingencias </w:t>
      </w:r>
      <w:r w:rsidRPr="009202F3">
        <w:rPr>
          <w:rFonts w:ascii="Verdana" w:hAnsi="Verdana"/>
          <w:b/>
          <w:bCs/>
          <w:sz w:val="18"/>
          <w:szCs w:val="18"/>
        </w:rPr>
        <w:t>mediante revisiones y auditorías tributarias</w:t>
      </w:r>
      <w:r w:rsidRPr="00E97495">
        <w:rPr>
          <w:rFonts w:ascii="Verdana" w:hAnsi="Verdana"/>
          <w:sz w:val="18"/>
          <w:szCs w:val="18"/>
        </w:rPr>
        <w:t>.</w:t>
      </w:r>
    </w:p>
    <w:p w14:paraId="6C2C94A5" w14:textId="77777777" w:rsidR="00263F84" w:rsidRDefault="00263F84" w:rsidP="00E97495">
      <w:pPr>
        <w:pStyle w:val="Prrafodelista"/>
        <w:tabs>
          <w:tab w:val="left" w:pos="426"/>
        </w:tabs>
        <w:ind w:left="426"/>
        <w:jc w:val="both"/>
        <w:rPr>
          <w:rFonts w:ascii="Verdana" w:hAnsi="Verdana"/>
          <w:sz w:val="18"/>
          <w:szCs w:val="18"/>
        </w:rPr>
      </w:pPr>
    </w:p>
    <w:p w14:paraId="04C2012A" w14:textId="77777777" w:rsidR="00F83E0C" w:rsidRDefault="00F83E0C" w:rsidP="00E97495">
      <w:pPr>
        <w:pStyle w:val="Prrafodelista"/>
        <w:tabs>
          <w:tab w:val="left" w:pos="426"/>
        </w:tabs>
        <w:ind w:left="426"/>
        <w:jc w:val="both"/>
        <w:rPr>
          <w:rFonts w:ascii="Verdana" w:hAnsi="Verdana"/>
          <w:sz w:val="18"/>
          <w:szCs w:val="18"/>
        </w:rPr>
      </w:pPr>
    </w:p>
    <w:tbl>
      <w:tblPr>
        <w:tblW w:w="8640" w:type="dxa"/>
        <w:tblInd w:w="70" w:type="dxa"/>
        <w:tblCellMar>
          <w:left w:w="70" w:type="dxa"/>
          <w:right w:w="70" w:type="dxa"/>
        </w:tblCellMar>
        <w:tblLook w:val="0000" w:firstRow="0" w:lastRow="0" w:firstColumn="0" w:lastColumn="0" w:noHBand="0" w:noVBand="0"/>
      </w:tblPr>
      <w:tblGrid>
        <w:gridCol w:w="180"/>
        <w:gridCol w:w="8460"/>
      </w:tblGrid>
      <w:tr w:rsidR="00F83E0C" w:rsidRPr="00F83E0C" w14:paraId="4A1F8634" w14:textId="77777777" w:rsidTr="00B61422">
        <w:tc>
          <w:tcPr>
            <w:tcW w:w="180" w:type="dxa"/>
            <w:shd w:val="clear" w:color="auto" w:fill="FF6600"/>
          </w:tcPr>
          <w:p w14:paraId="275F99ED" w14:textId="77777777" w:rsidR="00F83E0C" w:rsidRPr="00F83E0C" w:rsidRDefault="00F83E0C" w:rsidP="00B61422">
            <w:pPr>
              <w:ind w:left="360"/>
              <w:rPr>
                <w:rFonts w:ascii="Verdana" w:hAnsi="Verdana"/>
                <w:b/>
                <w:bCs/>
                <w:color w:val="800000"/>
                <w:sz w:val="18"/>
                <w:szCs w:val="18"/>
              </w:rPr>
            </w:pPr>
          </w:p>
        </w:tc>
        <w:tc>
          <w:tcPr>
            <w:tcW w:w="8460" w:type="dxa"/>
          </w:tcPr>
          <w:p w14:paraId="19A0D531" w14:textId="0526E194" w:rsidR="00F83E0C" w:rsidRPr="00F83E0C" w:rsidRDefault="00F83E0C" w:rsidP="00B61422">
            <w:pPr>
              <w:numPr>
                <w:ilvl w:val="1"/>
                <w:numId w:val="3"/>
              </w:numPr>
              <w:tabs>
                <w:tab w:val="num" w:pos="242"/>
              </w:tabs>
              <w:ind w:left="242" w:hanging="242"/>
              <w:jc w:val="both"/>
              <w:rPr>
                <w:rFonts w:ascii="Verdana" w:hAnsi="Verdana"/>
                <w:b/>
                <w:bCs/>
                <w:color w:val="800000"/>
                <w:sz w:val="18"/>
                <w:szCs w:val="18"/>
              </w:rPr>
            </w:pPr>
            <w:r w:rsidRPr="00F83E0C">
              <w:rPr>
                <w:rFonts w:ascii="Verdana" w:hAnsi="Verdana"/>
                <w:b/>
                <w:bCs/>
                <w:color w:val="800000"/>
                <w:sz w:val="18"/>
                <w:szCs w:val="18"/>
              </w:rPr>
              <w:t>NOVEDADES FISCALES DEL REAL DECRETO-LEY 16/2025</w:t>
            </w:r>
          </w:p>
        </w:tc>
      </w:tr>
    </w:tbl>
    <w:p w14:paraId="05B64DFA" w14:textId="77777777" w:rsidR="00F83E0C" w:rsidRDefault="00F83E0C" w:rsidP="00E97495">
      <w:pPr>
        <w:pStyle w:val="Prrafodelista"/>
        <w:tabs>
          <w:tab w:val="left" w:pos="426"/>
        </w:tabs>
        <w:ind w:left="426"/>
        <w:jc w:val="both"/>
        <w:rPr>
          <w:rFonts w:ascii="Verdana" w:hAnsi="Verdana"/>
          <w:sz w:val="18"/>
          <w:szCs w:val="18"/>
        </w:rPr>
      </w:pPr>
    </w:p>
    <w:p w14:paraId="4C6F8211" w14:textId="77777777" w:rsidR="00F83E0C" w:rsidRPr="00F83E0C" w:rsidRDefault="00F83E0C" w:rsidP="00F83E0C">
      <w:pPr>
        <w:pStyle w:val="Prrafodelista"/>
        <w:tabs>
          <w:tab w:val="left" w:pos="426"/>
        </w:tabs>
        <w:ind w:left="426"/>
        <w:jc w:val="both"/>
        <w:rPr>
          <w:rFonts w:ascii="Verdana" w:hAnsi="Verdana"/>
          <w:b/>
          <w:bCs/>
          <w:sz w:val="18"/>
          <w:szCs w:val="18"/>
        </w:rPr>
      </w:pPr>
      <w:bookmarkStart w:id="2" w:name="_Hlk217487283"/>
      <w:r w:rsidRPr="00F83E0C">
        <w:rPr>
          <w:rFonts w:ascii="Verdana" w:hAnsi="Verdana"/>
          <w:b/>
          <w:bCs/>
          <w:sz w:val="18"/>
          <w:szCs w:val="18"/>
        </w:rPr>
        <w:t xml:space="preserve">Novedades fiscales del Real Decreto-ley 16/2025 </w:t>
      </w:r>
      <w:bookmarkEnd w:id="2"/>
      <w:r w:rsidRPr="00F83E0C">
        <w:rPr>
          <w:rFonts w:ascii="Verdana" w:hAnsi="Verdana"/>
          <w:b/>
          <w:bCs/>
          <w:sz w:val="18"/>
          <w:szCs w:val="18"/>
        </w:rPr>
        <w:t>(BOE 23 de diciembre)</w:t>
      </w:r>
    </w:p>
    <w:p w14:paraId="6CDD9DEA" w14:textId="054F77A1" w:rsidR="00F83E0C" w:rsidRPr="00F83E0C" w:rsidRDefault="00F83E0C" w:rsidP="00F83E0C">
      <w:pPr>
        <w:pStyle w:val="Prrafodelista"/>
        <w:tabs>
          <w:tab w:val="left" w:pos="426"/>
        </w:tabs>
        <w:ind w:left="426"/>
        <w:jc w:val="both"/>
        <w:rPr>
          <w:rFonts w:ascii="Verdana" w:hAnsi="Verdana"/>
          <w:sz w:val="18"/>
          <w:szCs w:val="18"/>
        </w:rPr>
      </w:pPr>
      <w:r w:rsidRPr="00F83E0C">
        <w:rPr>
          <w:rFonts w:ascii="Verdana" w:hAnsi="Verdana"/>
          <w:sz w:val="18"/>
          <w:szCs w:val="18"/>
        </w:rPr>
        <w:t xml:space="preserve">El Gobierno ha aprobado una batería de medidas tributarias con efectos principalmente desde </w:t>
      </w:r>
      <w:r w:rsidRPr="00F83E0C">
        <w:rPr>
          <w:rFonts w:ascii="Verdana" w:hAnsi="Verdana"/>
          <w:b/>
          <w:bCs/>
          <w:sz w:val="18"/>
          <w:szCs w:val="18"/>
        </w:rPr>
        <w:t>2026</w:t>
      </w:r>
      <w:r w:rsidRPr="00F83E0C">
        <w:rPr>
          <w:rFonts w:ascii="Verdana" w:hAnsi="Verdana"/>
          <w:sz w:val="18"/>
          <w:szCs w:val="18"/>
        </w:rPr>
        <w:t>, dirigidas a mantener la estabilidad del marco fiscal, apoyar a colectivos vulnerables, favorecer la transición energética y reforzar la justicia financiera territorial</w:t>
      </w:r>
      <w:r w:rsidR="00263F84">
        <w:rPr>
          <w:rFonts w:ascii="Verdana" w:hAnsi="Verdana"/>
          <w:sz w:val="18"/>
          <w:szCs w:val="18"/>
        </w:rPr>
        <w:t>.</w:t>
      </w:r>
      <w:r w:rsidRPr="00F83E0C">
        <w:rPr>
          <w:rFonts w:ascii="Verdana" w:hAnsi="Verdana"/>
          <w:sz w:val="18"/>
          <w:szCs w:val="18"/>
        </w:rPr>
        <w:t xml:space="preserve"> </w:t>
      </w:r>
    </w:p>
    <w:p w14:paraId="527D75BE" w14:textId="77777777" w:rsidR="00F83E0C" w:rsidRPr="00F83E0C" w:rsidRDefault="00FF6AF8" w:rsidP="00F83E0C">
      <w:pPr>
        <w:pStyle w:val="Prrafodelista"/>
        <w:tabs>
          <w:tab w:val="left" w:pos="426"/>
        </w:tabs>
        <w:ind w:left="426"/>
        <w:jc w:val="both"/>
        <w:rPr>
          <w:rFonts w:ascii="Verdana" w:hAnsi="Verdana"/>
          <w:sz w:val="18"/>
          <w:szCs w:val="18"/>
        </w:rPr>
      </w:pPr>
      <w:r>
        <w:rPr>
          <w:rFonts w:ascii="Verdana" w:hAnsi="Verdana"/>
          <w:sz w:val="18"/>
          <w:szCs w:val="18"/>
        </w:rPr>
        <w:pict w14:anchorId="678BA6D7">
          <v:rect id="_x0000_i1025" style="width:0;height:1.5pt" o:hralign="center" o:hrstd="t" o:hr="t" fillcolor="#a0a0a0" stroked="f"/>
        </w:pict>
      </w:r>
    </w:p>
    <w:p w14:paraId="321AD36A" w14:textId="3FA8A775" w:rsidR="00F83E0C" w:rsidRPr="00F83E0C" w:rsidRDefault="00F83E0C" w:rsidP="00F83E0C">
      <w:pPr>
        <w:pStyle w:val="Prrafodelista"/>
        <w:tabs>
          <w:tab w:val="left" w:pos="426"/>
        </w:tabs>
        <w:ind w:left="426"/>
        <w:jc w:val="both"/>
        <w:rPr>
          <w:rFonts w:ascii="Verdana" w:hAnsi="Verdana"/>
          <w:b/>
          <w:bCs/>
          <w:color w:val="806000" w:themeColor="accent4" w:themeShade="80"/>
          <w:sz w:val="18"/>
          <w:szCs w:val="18"/>
        </w:rPr>
      </w:pPr>
      <w:r w:rsidRPr="00F83E0C">
        <w:rPr>
          <w:rFonts w:ascii="Verdana" w:hAnsi="Verdana"/>
          <w:b/>
          <w:bCs/>
          <w:color w:val="806000" w:themeColor="accent4" w:themeShade="80"/>
          <w:sz w:val="18"/>
          <w:szCs w:val="18"/>
        </w:rPr>
        <w:t>Pr</w:t>
      </w:r>
      <w:r w:rsidRPr="00F83E0C">
        <w:rPr>
          <w:rFonts w:ascii="Verdana" w:hAnsi="Verdana" w:cs="Verdana"/>
          <w:b/>
          <w:bCs/>
          <w:color w:val="806000" w:themeColor="accent4" w:themeShade="80"/>
          <w:sz w:val="18"/>
          <w:szCs w:val="18"/>
        </w:rPr>
        <w:t>ó</w:t>
      </w:r>
      <w:r w:rsidRPr="00F83E0C">
        <w:rPr>
          <w:rFonts w:ascii="Verdana" w:hAnsi="Verdana"/>
          <w:b/>
          <w:bCs/>
          <w:color w:val="806000" w:themeColor="accent4" w:themeShade="80"/>
          <w:sz w:val="18"/>
          <w:szCs w:val="18"/>
        </w:rPr>
        <w:t>rroga de incentivos y medidas en IRPF e Impuesto sobre Sociedades</w:t>
      </w:r>
    </w:p>
    <w:p w14:paraId="4A2D57BC" w14:textId="0E0CEC71" w:rsidR="00F83E0C" w:rsidRPr="00F83E0C" w:rsidRDefault="00F83E0C" w:rsidP="00F83E0C">
      <w:pPr>
        <w:pStyle w:val="Prrafodelista"/>
        <w:tabs>
          <w:tab w:val="left" w:pos="426"/>
        </w:tabs>
        <w:ind w:left="426"/>
        <w:jc w:val="both"/>
        <w:rPr>
          <w:rFonts w:ascii="Verdana" w:hAnsi="Verdana"/>
          <w:sz w:val="18"/>
          <w:szCs w:val="18"/>
        </w:rPr>
      </w:pPr>
      <w:r w:rsidRPr="00F83E0C">
        <w:rPr>
          <w:rFonts w:ascii="Verdana" w:hAnsi="Verdana"/>
          <w:sz w:val="18"/>
          <w:szCs w:val="18"/>
        </w:rPr>
        <w:t>Aunque España continúa en prórroga presupuestaria, el Ejecutivo confirma que ello no impide la aprobación de estímulos económicos mediante beneficios fiscales en IRPF y Sociedades</w:t>
      </w:r>
      <w:r w:rsidR="00263F84">
        <w:rPr>
          <w:rFonts w:ascii="Verdana" w:hAnsi="Verdana"/>
          <w:sz w:val="18"/>
          <w:szCs w:val="18"/>
        </w:rPr>
        <w:t>.</w:t>
      </w:r>
    </w:p>
    <w:p w14:paraId="4DD424E9" w14:textId="77777777" w:rsidR="00F83E0C" w:rsidRPr="00F83E0C" w:rsidRDefault="00FF6AF8" w:rsidP="00F83E0C">
      <w:pPr>
        <w:pStyle w:val="Prrafodelista"/>
        <w:tabs>
          <w:tab w:val="left" w:pos="426"/>
        </w:tabs>
        <w:ind w:left="426"/>
        <w:jc w:val="both"/>
        <w:rPr>
          <w:rFonts w:ascii="Verdana" w:hAnsi="Verdana"/>
          <w:sz w:val="18"/>
          <w:szCs w:val="18"/>
        </w:rPr>
      </w:pPr>
      <w:r>
        <w:rPr>
          <w:rFonts w:ascii="Verdana" w:hAnsi="Verdana"/>
          <w:sz w:val="18"/>
          <w:szCs w:val="18"/>
        </w:rPr>
        <w:pict w14:anchorId="738C6975">
          <v:rect id="_x0000_i1026" style="width:0;height:1.5pt" o:hralign="center" o:hrstd="t" o:hr="t" fillcolor="#a0a0a0" stroked="f"/>
        </w:pict>
      </w:r>
    </w:p>
    <w:p w14:paraId="5E98D329" w14:textId="58B4E28F" w:rsidR="00F83E0C" w:rsidRPr="00F83E0C" w:rsidRDefault="00F83E0C" w:rsidP="00F83E0C">
      <w:pPr>
        <w:pStyle w:val="Prrafodelista"/>
        <w:tabs>
          <w:tab w:val="left" w:pos="426"/>
        </w:tabs>
        <w:ind w:left="426"/>
        <w:jc w:val="both"/>
        <w:rPr>
          <w:rFonts w:ascii="Verdana" w:hAnsi="Verdana"/>
          <w:b/>
          <w:bCs/>
          <w:color w:val="806000" w:themeColor="accent4" w:themeShade="80"/>
          <w:sz w:val="18"/>
          <w:szCs w:val="18"/>
        </w:rPr>
      </w:pPr>
      <w:r w:rsidRPr="00F83E0C">
        <w:rPr>
          <w:rFonts w:ascii="Verdana" w:hAnsi="Verdana"/>
          <w:b/>
          <w:bCs/>
          <w:color w:val="806000" w:themeColor="accent4" w:themeShade="80"/>
          <w:sz w:val="18"/>
          <w:szCs w:val="18"/>
        </w:rPr>
        <w:t>Autónomos y regímenes especiales</w:t>
      </w:r>
    </w:p>
    <w:p w14:paraId="0687F009" w14:textId="6379EAEE" w:rsidR="00F83E0C" w:rsidRDefault="00F83E0C" w:rsidP="00F83E0C">
      <w:pPr>
        <w:pStyle w:val="Prrafodelista"/>
        <w:tabs>
          <w:tab w:val="left" w:pos="426"/>
        </w:tabs>
        <w:ind w:left="426"/>
        <w:jc w:val="both"/>
        <w:rPr>
          <w:rFonts w:ascii="Verdana" w:hAnsi="Verdana"/>
          <w:sz w:val="18"/>
          <w:szCs w:val="18"/>
        </w:rPr>
      </w:pPr>
      <w:r w:rsidRPr="00F83E0C">
        <w:rPr>
          <w:rFonts w:ascii="Segoe UI Symbol" w:hAnsi="Segoe UI Symbol" w:cs="Segoe UI Symbol"/>
          <w:sz w:val="18"/>
          <w:szCs w:val="18"/>
        </w:rPr>
        <w:t>✔</w:t>
      </w:r>
      <w:r w:rsidRPr="00F83E0C">
        <w:rPr>
          <w:rFonts w:ascii="Verdana" w:hAnsi="Verdana"/>
          <w:sz w:val="18"/>
          <w:szCs w:val="18"/>
        </w:rPr>
        <w:t xml:space="preserve"> Se mantienen en 2026 los </w:t>
      </w:r>
      <w:r w:rsidRPr="00F83E0C">
        <w:rPr>
          <w:rFonts w:ascii="Verdana" w:hAnsi="Verdana"/>
          <w:b/>
          <w:bCs/>
          <w:sz w:val="18"/>
          <w:szCs w:val="18"/>
        </w:rPr>
        <w:t>límites cuantitativos del sistema de módulos</w:t>
      </w:r>
      <w:r w:rsidRPr="00F83E0C">
        <w:rPr>
          <w:rFonts w:ascii="Verdana" w:hAnsi="Verdana"/>
          <w:sz w:val="18"/>
          <w:szCs w:val="18"/>
        </w:rPr>
        <w:t xml:space="preserve"> del IRPF, excepto para actividades agrícolas, ganaderas y forestales que conservan sus límites específicos.</w:t>
      </w:r>
      <w:r w:rsidR="00263F84">
        <w:rPr>
          <w:rFonts w:ascii="Verdana" w:hAnsi="Verdana"/>
          <w:sz w:val="18"/>
          <w:szCs w:val="18"/>
        </w:rPr>
        <w:t xml:space="preserve"> Prorrogándose igualmente los límites al Régimen Simplificado y al Régimen Especial de Agricultura, Ganadería y Pesca del IVA.</w:t>
      </w:r>
    </w:p>
    <w:p w14:paraId="27E9C7E7" w14:textId="156E3420" w:rsidR="00F83E0C" w:rsidRPr="00F83E0C" w:rsidRDefault="00F83E0C" w:rsidP="00F83E0C">
      <w:pPr>
        <w:pStyle w:val="Prrafodelista"/>
        <w:tabs>
          <w:tab w:val="left" w:pos="426"/>
        </w:tabs>
        <w:ind w:left="426"/>
        <w:jc w:val="both"/>
        <w:rPr>
          <w:rFonts w:ascii="Verdana" w:hAnsi="Verdana"/>
          <w:sz w:val="18"/>
          <w:szCs w:val="18"/>
        </w:rPr>
      </w:pPr>
      <w:r w:rsidRPr="00F83E0C">
        <w:rPr>
          <w:rFonts w:ascii="Verdana" w:hAnsi="Verdana"/>
          <w:sz w:val="18"/>
          <w:szCs w:val="18"/>
        </w:rPr>
        <w:br/>
      </w:r>
      <w:r w:rsidRPr="00F83E0C">
        <w:rPr>
          <w:rFonts w:ascii="Segoe UI Symbol" w:hAnsi="Segoe UI Symbol" w:cs="Segoe UI Symbol"/>
          <w:sz w:val="18"/>
          <w:szCs w:val="18"/>
        </w:rPr>
        <w:t>✔</w:t>
      </w:r>
      <w:r w:rsidRPr="00F83E0C">
        <w:rPr>
          <w:rFonts w:ascii="Verdana" w:hAnsi="Verdana"/>
          <w:sz w:val="18"/>
          <w:szCs w:val="18"/>
        </w:rPr>
        <w:t xml:space="preserve"> Se concede un </w:t>
      </w:r>
      <w:r w:rsidRPr="00F83E0C">
        <w:rPr>
          <w:rFonts w:ascii="Verdana" w:hAnsi="Verdana"/>
          <w:b/>
          <w:bCs/>
          <w:sz w:val="18"/>
          <w:szCs w:val="18"/>
        </w:rPr>
        <w:t>plazo extraordinario</w:t>
      </w:r>
      <w:r w:rsidRPr="00F83E0C">
        <w:rPr>
          <w:rFonts w:ascii="Verdana" w:hAnsi="Verdana"/>
          <w:sz w:val="18"/>
          <w:szCs w:val="18"/>
        </w:rPr>
        <w:t xml:space="preserve"> para </w:t>
      </w:r>
      <w:r w:rsidR="00263F84">
        <w:rPr>
          <w:rFonts w:ascii="Verdana" w:hAnsi="Verdana"/>
          <w:sz w:val="18"/>
          <w:szCs w:val="18"/>
        </w:rPr>
        <w:t xml:space="preserve">presentar </w:t>
      </w:r>
      <w:r w:rsidRPr="00F83E0C">
        <w:rPr>
          <w:rFonts w:ascii="Verdana" w:hAnsi="Verdana"/>
          <w:sz w:val="18"/>
          <w:szCs w:val="18"/>
        </w:rPr>
        <w:t xml:space="preserve">renuncias y revocaciones válidas </w:t>
      </w:r>
      <w:r w:rsidR="00263F84">
        <w:rPr>
          <w:rFonts w:ascii="Verdana" w:hAnsi="Verdana"/>
          <w:sz w:val="18"/>
          <w:szCs w:val="18"/>
        </w:rPr>
        <w:t xml:space="preserve">a estos regímenes, otorgando validez a las </w:t>
      </w:r>
      <w:r w:rsidRPr="00F83E0C">
        <w:rPr>
          <w:rFonts w:ascii="Verdana" w:hAnsi="Verdana"/>
          <w:sz w:val="18"/>
          <w:szCs w:val="18"/>
        </w:rPr>
        <w:t>presentadas en diciembre de 2025</w:t>
      </w:r>
      <w:r w:rsidR="00263F84">
        <w:rPr>
          <w:rFonts w:ascii="Verdana" w:hAnsi="Verdana"/>
          <w:sz w:val="18"/>
          <w:szCs w:val="18"/>
        </w:rPr>
        <w:t xml:space="preserve"> y </w:t>
      </w:r>
      <w:r w:rsidR="00263F84" w:rsidRPr="00F83E0C">
        <w:rPr>
          <w:rFonts w:ascii="Verdana" w:hAnsi="Verdana"/>
          <w:sz w:val="18"/>
          <w:szCs w:val="18"/>
        </w:rPr>
        <w:t>facilitando</w:t>
      </w:r>
      <w:r w:rsidRPr="00F83E0C">
        <w:rPr>
          <w:rFonts w:ascii="Verdana" w:hAnsi="Verdana"/>
          <w:sz w:val="18"/>
          <w:szCs w:val="18"/>
        </w:rPr>
        <w:t xml:space="preserve"> ajustes durante 2026 </w:t>
      </w:r>
    </w:p>
    <w:p w14:paraId="711B34BB" w14:textId="77777777" w:rsidR="00F83E0C" w:rsidRPr="00F83E0C" w:rsidRDefault="00FF6AF8" w:rsidP="00F83E0C">
      <w:pPr>
        <w:pStyle w:val="Prrafodelista"/>
        <w:tabs>
          <w:tab w:val="left" w:pos="426"/>
        </w:tabs>
        <w:ind w:left="426"/>
        <w:jc w:val="both"/>
        <w:rPr>
          <w:rFonts w:ascii="Verdana" w:hAnsi="Verdana"/>
          <w:sz w:val="18"/>
          <w:szCs w:val="18"/>
        </w:rPr>
      </w:pPr>
      <w:r>
        <w:rPr>
          <w:rFonts w:ascii="Verdana" w:hAnsi="Verdana"/>
          <w:sz w:val="18"/>
          <w:szCs w:val="18"/>
        </w:rPr>
        <w:pict w14:anchorId="6CB6A829">
          <v:rect id="_x0000_i1027" style="width:0;height:1.5pt" o:hralign="center" o:hrstd="t" o:hr="t" fillcolor="#a0a0a0" stroked="f"/>
        </w:pict>
      </w:r>
    </w:p>
    <w:p w14:paraId="3BC2E172" w14:textId="22042435" w:rsidR="00F83E0C" w:rsidRPr="00F83E0C" w:rsidRDefault="00263F84" w:rsidP="00F83E0C">
      <w:pPr>
        <w:pStyle w:val="Prrafodelista"/>
        <w:tabs>
          <w:tab w:val="left" w:pos="426"/>
        </w:tabs>
        <w:ind w:left="426"/>
        <w:jc w:val="both"/>
        <w:rPr>
          <w:rFonts w:ascii="Verdana" w:hAnsi="Verdana"/>
          <w:b/>
          <w:bCs/>
          <w:color w:val="806000" w:themeColor="accent4" w:themeShade="80"/>
          <w:sz w:val="18"/>
          <w:szCs w:val="18"/>
        </w:rPr>
      </w:pPr>
      <w:r>
        <w:rPr>
          <w:rFonts w:ascii="Verdana" w:hAnsi="Verdana"/>
          <w:b/>
          <w:bCs/>
          <w:color w:val="806000" w:themeColor="accent4" w:themeShade="80"/>
          <w:sz w:val="18"/>
          <w:szCs w:val="18"/>
        </w:rPr>
        <w:t>I</w:t>
      </w:r>
      <w:r w:rsidR="00F83E0C" w:rsidRPr="00F83E0C">
        <w:rPr>
          <w:rFonts w:ascii="Verdana" w:hAnsi="Verdana"/>
          <w:b/>
          <w:bCs/>
          <w:color w:val="806000" w:themeColor="accent4" w:themeShade="80"/>
          <w:sz w:val="18"/>
          <w:szCs w:val="18"/>
        </w:rPr>
        <w:t xml:space="preserve">ncentivos a </w:t>
      </w:r>
      <w:r w:rsidR="00A3457D">
        <w:rPr>
          <w:rFonts w:ascii="Verdana" w:hAnsi="Verdana"/>
          <w:b/>
          <w:bCs/>
          <w:color w:val="806000" w:themeColor="accent4" w:themeShade="80"/>
          <w:sz w:val="18"/>
          <w:szCs w:val="18"/>
        </w:rPr>
        <w:t xml:space="preserve">la </w:t>
      </w:r>
      <w:r w:rsidR="00F83E0C" w:rsidRPr="00F83E0C">
        <w:rPr>
          <w:rFonts w:ascii="Verdana" w:hAnsi="Verdana"/>
          <w:b/>
          <w:bCs/>
          <w:color w:val="806000" w:themeColor="accent4" w:themeShade="80"/>
          <w:sz w:val="18"/>
          <w:szCs w:val="18"/>
        </w:rPr>
        <w:t>movilidad sostenible y energ</w:t>
      </w:r>
      <w:r w:rsidR="00F83E0C" w:rsidRPr="00F83E0C">
        <w:rPr>
          <w:rFonts w:ascii="Verdana" w:hAnsi="Verdana" w:cs="Verdana"/>
          <w:b/>
          <w:bCs/>
          <w:color w:val="806000" w:themeColor="accent4" w:themeShade="80"/>
          <w:sz w:val="18"/>
          <w:szCs w:val="18"/>
        </w:rPr>
        <w:t>í</w:t>
      </w:r>
      <w:r w:rsidR="00F83E0C" w:rsidRPr="00F83E0C">
        <w:rPr>
          <w:rFonts w:ascii="Verdana" w:hAnsi="Verdana"/>
          <w:b/>
          <w:bCs/>
          <w:color w:val="806000" w:themeColor="accent4" w:themeShade="80"/>
          <w:sz w:val="18"/>
          <w:szCs w:val="18"/>
        </w:rPr>
        <w:t>as renovables</w:t>
      </w:r>
    </w:p>
    <w:p w14:paraId="3E4FA177" w14:textId="77777777" w:rsidR="00F83E0C" w:rsidRPr="00F83E0C" w:rsidRDefault="00F83E0C" w:rsidP="00F83E0C">
      <w:pPr>
        <w:pStyle w:val="Prrafodelista"/>
        <w:tabs>
          <w:tab w:val="left" w:pos="426"/>
        </w:tabs>
        <w:ind w:left="426"/>
        <w:jc w:val="both"/>
        <w:rPr>
          <w:rFonts w:ascii="Verdana" w:hAnsi="Verdana"/>
          <w:sz w:val="18"/>
          <w:szCs w:val="18"/>
        </w:rPr>
      </w:pPr>
      <w:r w:rsidRPr="00F83E0C">
        <w:rPr>
          <w:rFonts w:ascii="Verdana" w:hAnsi="Verdana"/>
          <w:sz w:val="18"/>
          <w:szCs w:val="18"/>
        </w:rPr>
        <w:t>En línea con el plan España Auto 2030:</w:t>
      </w:r>
    </w:p>
    <w:p w14:paraId="0FF21DE9" w14:textId="3207CA9B" w:rsidR="00F83E0C" w:rsidRPr="00F83E0C" w:rsidRDefault="00FF6AF8" w:rsidP="00F83E0C">
      <w:pPr>
        <w:pStyle w:val="Prrafodelista"/>
        <w:tabs>
          <w:tab w:val="left" w:pos="426"/>
        </w:tabs>
        <w:ind w:left="426"/>
        <w:jc w:val="both"/>
        <w:rPr>
          <w:rFonts w:ascii="Verdana" w:hAnsi="Verdana"/>
          <w:b/>
          <w:bCs/>
          <w:sz w:val="18"/>
          <w:szCs w:val="18"/>
        </w:rPr>
      </w:pPr>
      <w:r w:rsidRPr="00F83E0C">
        <w:rPr>
          <w:rFonts w:ascii="Segoe UI Symbol" w:hAnsi="Segoe UI Symbol" w:cs="Segoe UI Symbol"/>
          <w:sz w:val="18"/>
          <w:szCs w:val="18"/>
        </w:rPr>
        <w:t>✔</w:t>
      </w:r>
      <w:r w:rsidRPr="00F83E0C">
        <w:rPr>
          <w:rFonts w:ascii="Verdana" w:hAnsi="Verdana"/>
          <w:sz w:val="18"/>
          <w:szCs w:val="18"/>
        </w:rPr>
        <w:t xml:space="preserve"> </w:t>
      </w:r>
      <w:r w:rsidR="00F83E0C" w:rsidRPr="00F83E0C">
        <w:rPr>
          <w:rFonts w:ascii="Verdana" w:hAnsi="Verdana"/>
          <w:b/>
          <w:bCs/>
          <w:sz w:val="18"/>
          <w:szCs w:val="18"/>
        </w:rPr>
        <w:t>IRPF</w:t>
      </w:r>
    </w:p>
    <w:p w14:paraId="567238A7" w14:textId="77777777" w:rsidR="00F83E0C" w:rsidRPr="00F83E0C" w:rsidRDefault="00F83E0C" w:rsidP="00F83E0C">
      <w:pPr>
        <w:pStyle w:val="Prrafodelista"/>
        <w:tabs>
          <w:tab w:val="left" w:pos="426"/>
        </w:tabs>
        <w:ind w:left="426"/>
        <w:jc w:val="both"/>
        <w:rPr>
          <w:rFonts w:ascii="Verdana" w:hAnsi="Verdana"/>
          <w:sz w:val="18"/>
          <w:szCs w:val="18"/>
        </w:rPr>
      </w:pPr>
      <w:r w:rsidRPr="00F83E0C">
        <w:rPr>
          <w:rFonts w:ascii="Verdana" w:hAnsi="Verdana"/>
          <w:sz w:val="18"/>
          <w:szCs w:val="18"/>
        </w:rPr>
        <w:t>Se amplía el plazo para aplicar:</w:t>
      </w:r>
    </w:p>
    <w:p w14:paraId="76F443AB" w14:textId="77777777" w:rsidR="00F83E0C" w:rsidRPr="00F83E0C" w:rsidRDefault="00F83E0C" w:rsidP="00F83E0C">
      <w:pPr>
        <w:pStyle w:val="Prrafodelista"/>
        <w:numPr>
          <w:ilvl w:val="0"/>
          <w:numId w:val="49"/>
        </w:numPr>
        <w:tabs>
          <w:tab w:val="clear" w:pos="720"/>
          <w:tab w:val="left" w:pos="993"/>
        </w:tabs>
        <w:ind w:hanging="153"/>
        <w:jc w:val="both"/>
        <w:rPr>
          <w:rFonts w:ascii="Verdana" w:hAnsi="Verdana"/>
          <w:sz w:val="18"/>
          <w:szCs w:val="18"/>
        </w:rPr>
      </w:pPr>
      <w:r w:rsidRPr="00F83E0C">
        <w:rPr>
          <w:rFonts w:ascii="Verdana" w:hAnsi="Verdana"/>
          <w:sz w:val="18"/>
          <w:szCs w:val="18"/>
        </w:rPr>
        <w:t>Deducción por adquisición de vehículos eléctricos enchufables y de pila de combustible.</w:t>
      </w:r>
    </w:p>
    <w:p w14:paraId="13D4F1A2" w14:textId="7E1F4B17" w:rsidR="00F83E0C" w:rsidRDefault="00F83E0C" w:rsidP="00F83E0C">
      <w:pPr>
        <w:pStyle w:val="Prrafodelista"/>
        <w:numPr>
          <w:ilvl w:val="0"/>
          <w:numId w:val="49"/>
        </w:numPr>
        <w:tabs>
          <w:tab w:val="clear" w:pos="720"/>
          <w:tab w:val="left" w:pos="993"/>
        </w:tabs>
        <w:ind w:hanging="153"/>
        <w:jc w:val="both"/>
        <w:rPr>
          <w:rFonts w:ascii="Verdana" w:hAnsi="Verdana"/>
          <w:sz w:val="18"/>
          <w:szCs w:val="18"/>
        </w:rPr>
      </w:pPr>
      <w:r w:rsidRPr="00F83E0C">
        <w:rPr>
          <w:rFonts w:ascii="Verdana" w:hAnsi="Verdana"/>
          <w:sz w:val="18"/>
          <w:szCs w:val="18"/>
        </w:rPr>
        <w:t>Deducción por instalación de puntos de recarga</w:t>
      </w:r>
      <w:r>
        <w:rPr>
          <w:rFonts w:ascii="Verdana" w:hAnsi="Verdana"/>
          <w:sz w:val="18"/>
          <w:szCs w:val="18"/>
        </w:rPr>
        <w:t>.</w:t>
      </w:r>
    </w:p>
    <w:p w14:paraId="2488229E" w14:textId="77777777" w:rsidR="00FF6AF8" w:rsidRPr="00F83E0C" w:rsidRDefault="00FF6AF8" w:rsidP="00FF6AF8">
      <w:pPr>
        <w:pStyle w:val="Prrafodelista"/>
        <w:tabs>
          <w:tab w:val="left" w:pos="993"/>
        </w:tabs>
        <w:ind w:left="720"/>
        <w:jc w:val="both"/>
        <w:rPr>
          <w:rFonts w:ascii="Verdana" w:hAnsi="Verdana"/>
          <w:sz w:val="18"/>
          <w:szCs w:val="18"/>
        </w:rPr>
      </w:pPr>
    </w:p>
    <w:p w14:paraId="4B9682DA" w14:textId="56943EE5" w:rsidR="00F83E0C" w:rsidRPr="00F83E0C" w:rsidRDefault="00FF6AF8" w:rsidP="00F83E0C">
      <w:pPr>
        <w:pStyle w:val="Prrafodelista"/>
        <w:tabs>
          <w:tab w:val="left" w:pos="426"/>
        </w:tabs>
        <w:ind w:left="426"/>
        <w:jc w:val="both"/>
        <w:rPr>
          <w:rFonts w:ascii="Verdana" w:hAnsi="Verdana"/>
          <w:b/>
          <w:bCs/>
          <w:sz w:val="18"/>
          <w:szCs w:val="18"/>
        </w:rPr>
      </w:pPr>
      <w:r w:rsidRPr="00F83E0C">
        <w:rPr>
          <w:rFonts w:ascii="Segoe UI Symbol" w:hAnsi="Segoe UI Symbol" w:cs="Segoe UI Symbol"/>
          <w:sz w:val="18"/>
          <w:szCs w:val="18"/>
        </w:rPr>
        <w:t>✔</w:t>
      </w:r>
      <w:r w:rsidRPr="00F83E0C">
        <w:rPr>
          <w:rFonts w:ascii="Verdana" w:hAnsi="Verdana"/>
          <w:sz w:val="18"/>
          <w:szCs w:val="18"/>
        </w:rPr>
        <w:t xml:space="preserve"> </w:t>
      </w:r>
      <w:r w:rsidR="00F83E0C" w:rsidRPr="00F83E0C">
        <w:rPr>
          <w:rFonts w:ascii="Verdana" w:hAnsi="Verdana"/>
          <w:b/>
          <w:bCs/>
          <w:sz w:val="18"/>
          <w:szCs w:val="18"/>
        </w:rPr>
        <w:t>Impuesto sobre Sociedades</w:t>
      </w:r>
    </w:p>
    <w:p w14:paraId="6826BE5C" w14:textId="4BF80123" w:rsidR="00F83E0C" w:rsidRPr="00F83E0C" w:rsidRDefault="00F83E0C" w:rsidP="00F83E0C">
      <w:pPr>
        <w:pStyle w:val="Prrafodelista"/>
        <w:tabs>
          <w:tab w:val="left" w:pos="426"/>
        </w:tabs>
        <w:ind w:left="426"/>
        <w:jc w:val="both"/>
        <w:rPr>
          <w:rFonts w:ascii="Verdana" w:hAnsi="Verdana"/>
          <w:sz w:val="18"/>
          <w:szCs w:val="18"/>
        </w:rPr>
      </w:pPr>
      <w:r w:rsidRPr="00F83E0C">
        <w:rPr>
          <w:rFonts w:ascii="Verdana" w:hAnsi="Verdana"/>
          <w:sz w:val="18"/>
          <w:szCs w:val="18"/>
        </w:rPr>
        <w:t xml:space="preserve">Se prorroga la </w:t>
      </w:r>
      <w:r w:rsidRPr="00F83E0C">
        <w:rPr>
          <w:rFonts w:ascii="Verdana" w:hAnsi="Verdana"/>
          <w:b/>
          <w:bCs/>
          <w:sz w:val="18"/>
          <w:szCs w:val="18"/>
        </w:rPr>
        <w:t>libertad de amortización</w:t>
      </w:r>
      <w:r w:rsidRPr="00F83E0C">
        <w:rPr>
          <w:rFonts w:ascii="Verdana" w:hAnsi="Verdana"/>
          <w:sz w:val="18"/>
          <w:szCs w:val="18"/>
        </w:rPr>
        <w:t xml:space="preserve"> para inversiones en instalaciones de autoconsumo eléctrico o térmico con renovables que sustituyan equipos de fuentes fósiles </w:t>
      </w:r>
      <w:r w:rsidR="00263F84">
        <w:rPr>
          <w:rFonts w:ascii="Verdana" w:hAnsi="Verdana"/>
          <w:sz w:val="18"/>
          <w:szCs w:val="18"/>
        </w:rPr>
        <w:t>no renovables.</w:t>
      </w:r>
    </w:p>
    <w:p w14:paraId="66EA2CF3" w14:textId="77777777" w:rsidR="00F83E0C" w:rsidRPr="00F83E0C" w:rsidRDefault="00FF6AF8" w:rsidP="00F83E0C">
      <w:pPr>
        <w:pStyle w:val="Prrafodelista"/>
        <w:tabs>
          <w:tab w:val="left" w:pos="426"/>
        </w:tabs>
        <w:ind w:left="426"/>
        <w:jc w:val="both"/>
        <w:rPr>
          <w:rFonts w:ascii="Verdana" w:hAnsi="Verdana"/>
          <w:sz w:val="18"/>
          <w:szCs w:val="18"/>
        </w:rPr>
      </w:pPr>
      <w:r>
        <w:rPr>
          <w:rFonts w:ascii="Verdana" w:hAnsi="Verdana"/>
          <w:sz w:val="18"/>
          <w:szCs w:val="18"/>
        </w:rPr>
        <w:pict w14:anchorId="365E1412">
          <v:rect id="_x0000_i1028" style="width:0;height:1.5pt" o:hralign="center" o:hrstd="t" o:hr="t" fillcolor="#a0a0a0" stroked="f"/>
        </w:pict>
      </w:r>
    </w:p>
    <w:p w14:paraId="40CB51BA" w14:textId="11909FF4" w:rsidR="00F83E0C" w:rsidRPr="00F83E0C" w:rsidRDefault="00F83E0C" w:rsidP="00F83E0C">
      <w:pPr>
        <w:pStyle w:val="Prrafodelista"/>
        <w:tabs>
          <w:tab w:val="left" w:pos="426"/>
        </w:tabs>
        <w:ind w:left="426"/>
        <w:jc w:val="both"/>
        <w:rPr>
          <w:rFonts w:ascii="Verdana" w:hAnsi="Verdana"/>
          <w:b/>
          <w:bCs/>
          <w:color w:val="806000" w:themeColor="accent4" w:themeShade="80"/>
          <w:sz w:val="18"/>
          <w:szCs w:val="18"/>
        </w:rPr>
      </w:pPr>
      <w:r w:rsidRPr="00F83E0C">
        <w:rPr>
          <w:rFonts w:ascii="Verdana" w:hAnsi="Verdana"/>
          <w:b/>
          <w:bCs/>
          <w:color w:val="806000" w:themeColor="accent4" w:themeShade="80"/>
          <w:sz w:val="18"/>
          <w:szCs w:val="18"/>
        </w:rPr>
        <w:t>Medidas asistenciales ante emergencias</w:t>
      </w:r>
    </w:p>
    <w:p w14:paraId="2A5743EB" w14:textId="77777777" w:rsidR="00F83E0C" w:rsidRDefault="00F83E0C" w:rsidP="00F83E0C">
      <w:pPr>
        <w:pStyle w:val="Prrafodelista"/>
        <w:tabs>
          <w:tab w:val="left" w:pos="426"/>
        </w:tabs>
        <w:ind w:left="567" w:hanging="141"/>
        <w:jc w:val="both"/>
        <w:rPr>
          <w:rFonts w:ascii="Verdana" w:hAnsi="Verdana"/>
          <w:sz w:val="18"/>
          <w:szCs w:val="18"/>
        </w:rPr>
      </w:pPr>
      <w:r w:rsidRPr="00F83E0C">
        <w:rPr>
          <w:rFonts w:ascii="Segoe UI Symbol" w:hAnsi="Segoe UI Symbol" w:cs="Segoe UI Symbol"/>
          <w:sz w:val="18"/>
          <w:szCs w:val="18"/>
        </w:rPr>
        <w:t>✔</w:t>
      </w:r>
      <w:r w:rsidRPr="00F83E0C">
        <w:rPr>
          <w:rFonts w:ascii="Verdana" w:hAnsi="Verdana"/>
          <w:sz w:val="18"/>
          <w:szCs w:val="18"/>
        </w:rPr>
        <w:t xml:space="preserve"> Exenci</w:t>
      </w:r>
      <w:r w:rsidRPr="00F83E0C">
        <w:rPr>
          <w:rFonts w:ascii="Verdana" w:hAnsi="Verdana" w:cs="Verdana"/>
          <w:sz w:val="18"/>
          <w:szCs w:val="18"/>
        </w:rPr>
        <w:t>ó</w:t>
      </w:r>
      <w:r w:rsidRPr="00F83E0C">
        <w:rPr>
          <w:rFonts w:ascii="Verdana" w:hAnsi="Verdana"/>
          <w:sz w:val="18"/>
          <w:szCs w:val="18"/>
        </w:rPr>
        <w:t>n en IRPF para ayudas a afectados por incendios y emergencias de protecci</w:t>
      </w:r>
      <w:r w:rsidRPr="00F83E0C">
        <w:rPr>
          <w:rFonts w:ascii="Verdana" w:hAnsi="Verdana" w:cs="Verdana"/>
          <w:sz w:val="18"/>
          <w:szCs w:val="18"/>
        </w:rPr>
        <w:t>ó</w:t>
      </w:r>
      <w:r w:rsidRPr="00F83E0C">
        <w:rPr>
          <w:rFonts w:ascii="Verdana" w:hAnsi="Verdana"/>
          <w:sz w:val="18"/>
          <w:szCs w:val="18"/>
        </w:rPr>
        <w:t>n civil entre 23/06/2025 y 25/08/2025.</w:t>
      </w:r>
    </w:p>
    <w:p w14:paraId="05AB36E9" w14:textId="77777777" w:rsidR="00DD45CE" w:rsidRDefault="00DD45CE" w:rsidP="00F83E0C">
      <w:pPr>
        <w:pStyle w:val="Prrafodelista"/>
        <w:tabs>
          <w:tab w:val="left" w:pos="426"/>
        </w:tabs>
        <w:ind w:left="567" w:hanging="141"/>
        <w:jc w:val="both"/>
        <w:rPr>
          <w:rFonts w:ascii="Verdana" w:hAnsi="Verdana"/>
          <w:sz w:val="18"/>
          <w:szCs w:val="18"/>
        </w:rPr>
      </w:pPr>
    </w:p>
    <w:p w14:paraId="530B122E" w14:textId="24DE178B" w:rsidR="00F83E0C" w:rsidRPr="00F83E0C" w:rsidRDefault="00F83E0C" w:rsidP="00F83E0C">
      <w:pPr>
        <w:pStyle w:val="Prrafodelista"/>
        <w:tabs>
          <w:tab w:val="left" w:pos="426"/>
        </w:tabs>
        <w:ind w:left="567" w:hanging="141"/>
        <w:jc w:val="both"/>
        <w:rPr>
          <w:rFonts w:ascii="Verdana" w:hAnsi="Verdana"/>
          <w:sz w:val="18"/>
          <w:szCs w:val="18"/>
        </w:rPr>
      </w:pPr>
      <w:r w:rsidRPr="00F83E0C">
        <w:rPr>
          <w:rFonts w:ascii="Segoe UI Symbol" w:hAnsi="Segoe UI Symbol" w:cs="Segoe UI Symbol"/>
          <w:sz w:val="18"/>
          <w:szCs w:val="18"/>
        </w:rPr>
        <w:t>✔</w:t>
      </w:r>
      <w:r w:rsidRPr="00F83E0C">
        <w:rPr>
          <w:rFonts w:ascii="Verdana" w:hAnsi="Verdana"/>
          <w:sz w:val="18"/>
          <w:szCs w:val="18"/>
        </w:rPr>
        <w:t xml:space="preserve"> Cobertura ampliada de ayudas a entidades perjudicadas por la DANA 2024, incluyendo exenciones espec</w:t>
      </w:r>
      <w:r w:rsidRPr="00F83E0C">
        <w:rPr>
          <w:rFonts w:ascii="Verdana" w:hAnsi="Verdana" w:cs="Verdana"/>
          <w:sz w:val="18"/>
          <w:szCs w:val="18"/>
        </w:rPr>
        <w:t>í</w:t>
      </w:r>
      <w:r w:rsidRPr="00F83E0C">
        <w:rPr>
          <w:rFonts w:ascii="Verdana" w:hAnsi="Verdana"/>
          <w:sz w:val="18"/>
          <w:szCs w:val="18"/>
        </w:rPr>
        <w:t xml:space="preserve">ficas gestionadas por la </w:t>
      </w:r>
      <w:proofErr w:type="spellStart"/>
      <w:r w:rsidRPr="00F83E0C">
        <w:rPr>
          <w:rFonts w:ascii="Verdana" w:hAnsi="Verdana"/>
          <w:sz w:val="18"/>
          <w:szCs w:val="18"/>
        </w:rPr>
        <w:t>Comunitat</w:t>
      </w:r>
      <w:proofErr w:type="spellEnd"/>
      <w:r w:rsidRPr="00F83E0C">
        <w:rPr>
          <w:rFonts w:ascii="Verdana" w:hAnsi="Verdana"/>
          <w:sz w:val="18"/>
          <w:szCs w:val="18"/>
        </w:rPr>
        <w:t xml:space="preserve"> Valenciana</w:t>
      </w:r>
      <w:r w:rsidR="00A3457D">
        <w:rPr>
          <w:rFonts w:ascii="Verdana" w:hAnsi="Verdana"/>
          <w:sz w:val="18"/>
          <w:szCs w:val="18"/>
        </w:rPr>
        <w:t>.</w:t>
      </w:r>
    </w:p>
    <w:p w14:paraId="45756CFB" w14:textId="77777777" w:rsidR="00F83E0C" w:rsidRPr="00F83E0C" w:rsidRDefault="00FF6AF8" w:rsidP="00F83E0C">
      <w:pPr>
        <w:pStyle w:val="Prrafodelista"/>
        <w:tabs>
          <w:tab w:val="left" w:pos="426"/>
        </w:tabs>
        <w:ind w:left="426"/>
        <w:jc w:val="both"/>
        <w:rPr>
          <w:rFonts w:ascii="Verdana" w:hAnsi="Verdana"/>
          <w:sz w:val="18"/>
          <w:szCs w:val="18"/>
        </w:rPr>
      </w:pPr>
      <w:r>
        <w:rPr>
          <w:rFonts w:ascii="Verdana" w:hAnsi="Verdana"/>
          <w:sz w:val="18"/>
          <w:szCs w:val="18"/>
        </w:rPr>
        <w:pict w14:anchorId="5234D506">
          <v:rect id="_x0000_i1029" style="width:0;height:1.5pt" o:hralign="center" o:hrstd="t" o:hr="t" fillcolor="#a0a0a0" stroked="f"/>
        </w:pict>
      </w:r>
    </w:p>
    <w:p w14:paraId="44E2A3AA" w14:textId="6FC4BD9B" w:rsidR="00F83E0C" w:rsidRPr="00F83E0C" w:rsidRDefault="00F83E0C" w:rsidP="00F83E0C">
      <w:pPr>
        <w:pStyle w:val="Prrafodelista"/>
        <w:tabs>
          <w:tab w:val="left" w:pos="426"/>
        </w:tabs>
        <w:ind w:left="426"/>
        <w:jc w:val="both"/>
        <w:rPr>
          <w:rFonts w:ascii="Verdana" w:hAnsi="Verdana"/>
          <w:b/>
          <w:bCs/>
          <w:color w:val="806000" w:themeColor="accent4" w:themeShade="80"/>
          <w:sz w:val="18"/>
          <w:szCs w:val="18"/>
        </w:rPr>
      </w:pPr>
      <w:r w:rsidRPr="00F83E0C">
        <w:rPr>
          <w:rFonts w:ascii="Verdana" w:hAnsi="Verdana"/>
          <w:b/>
          <w:bCs/>
          <w:color w:val="806000" w:themeColor="accent4" w:themeShade="80"/>
          <w:sz w:val="18"/>
          <w:szCs w:val="18"/>
        </w:rPr>
        <w:t xml:space="preserve">Medidas en el </w:t>
      </w:r>
      <w:r w:rsidRPr="00F83E0C">
        <w:rPr>
          <w:rFonts w:ascii="Verdana" w:hAnsi="Verdana" w:cs="Verdana"/>
          <w:b/>
          <w:bCs/>
          <w:color w:val="806000" w:themeColor="accent4" w:themeShade="80"/>
          <w:sz w:val="18"/>
          <w:szCs w:val="18"/>
        </w:rPr>
        <w:t>á</w:t>
      </w:r>
      <w:r w:rsidRPr="00F83E0C">
        <w:rPr>
          <w:rFonts w:ascii="Verdana" w:hAnsi="Verdana"/>
          <w:b/>
          <w:bCs/>
          <w:color w:val="806000" w:themeColor="accent4" w:themeShade="80"/>
          <w:sz w:val="18"/>
          <w:szCs w:val="18"/>
        </w:rPr>
        <w:t>mbito inmobiliario</w:t>
      </w:r>
    </w:p>
    <w:p w14:paraId="45AD795D" w14:textId="683D1858" w:rsidR="00F83E0C" w:rsidRPr="00F83E0C" w:rsidRDefault="00F83E0C" w:rsidP="00F83E0C">
      <w:pPr>
        <w:pStyle w:val="Prrafodelista"/>
        <w:tabs>
          <w:tab w:val="left" w:pos="426"/>
        </w:tabs>
        <w:ind w:left="426"/>
        <w:jc w:val="both"/>
        <w:rPr>
          <w:rFonts w:ascii="Verdana" w:hAnsi="Verdana"/>
          <w:sz w:val="18"/>
          <w:szCs w:val="18"/>
        </w:rPr>
      </w:pPr>
      <w:r w:rsidRPr="00F83E0C">
        <w:rPr>
          <w:rFonts w:ascii="Verdana" w:hAnsi="Verdana"/>
          <w:b/>
          <w:bCs/>
          <w:sz w:val="18"/>
          <w:szCs w:val="18"/>
        </w:rPr>
        <w:t>Eficiencia energética en vivienda</w:t>
      </w:r>
    </w:p>
    <w:p w14:paraId="2B15BF00" w14:textId="0051C716" w:rsidR="00F83E0C" w:rsidRDefault="00F83E0C" w:rsidP="00F83E0C">
      <w:pPr>
        <w:pStyle w:val="Prrafodelista"/>
        <w:numPr>
          <w:ilvl w:val="0"/>
          <w:numId w:val="50"/>
        </w:numPr>
        <w:tabs>
          <w:tab w:val="left" w:pos="426"/>
        </w:tabs>
        <w:jc w:val="both"/>
        <w:rPr>
          <w:rFonts w:ascii="Verdana" w:hAnsi="Verdana"/>
          <w:sz w:val="18"/>
          <w:szCs w:val="18"/>
        </w:rPr>
      </w:pPr>
      <w:r w:rsidRPr="00F83E0C">
        <w:rPr>
          <w:rFonts w:ascii="Verdana" w:hAnsi="Verdana"/>
          <w:sz w:val="18"/>
          <w:szCs w:val="18"/>
        </w:rPr>
        <w:t xml:space="preserve">Se </w:t>
      </w:r>
      <w:r w:rsidR="00A3457D">
        <w:rPr>
          <w:rFonts w:ascii="Verdana" w:hAnsi="Verdana"/>
          <w:sz w:val="18"/>
          <w:szCs w:val="18"/>
        </w:rPr>
        <w:t>prorrogan</w:t>
      </w:r>
      <w:r w:rsidRPr="00F83E0C">
        <w:rPr>
          <w:rFonts w:ascii="Verdana" w:hAnsi="Verdana"/>
          <w:sz w:val="18"/>
          <w:szCs w:val="18"/>
        </w:rPr>
        <w:t xml:space="preserve"> deducciones por inversiones de mejora energética.</w:t>
      </w:r>
    </w:p>
    <w:p w14:paraId="7DDE8217" w14:textId="77777777" w:rsidR="00DD45CE" w:rsidRDefault="00DD45CE" w:rsidP="00F83E0C">
      <w:pPr>
        <w:pStyle w:val="Prrafodelista"/>
        <w:tabs>
          <w:tab w:val="left" w:pos="426"/>
        </w:tabs>
        <w:ind w:left="426"/>
        <w:jc w:val="both"/>
        <w:rPr>
          <w:rFonts w:ascii="Segoe UI Emoji" w:hAnsi="Segoe UI Emoji" w:cs="Segoe UI Emoji"/>
          <w:sz w:val="18"/>
          <w:szCs w:val="18"/>
        </w:rPr>
      </w:pPr>
    </w:p>
    <w:p w14:paraId="7C4D3126" w14:textId="38543DAC" w:rsidR="00F83E0C" w:rsidRPr="00F83E0C" w:rsidRDefault="00F83E0C" w:rsidP="00F83E0C">
      <w:pPr>
        <w:pStyle w:val="Prrafodelista"/>
        <w:tabs>
          <w:tab w:val="left" w:pos="426"/>
        </w:tabs>
        <w:ind w:left="426"/>
        <w:jc w:val="both"/>
        <w:rPr>
          <w:rFonts w:ascii="Verdana" w:hAnsi="Verdana"/>
          <w:sz w:val="18"/>
          <w:szCs w:val="18"/>
        </w:rPr>
      </w:pPr>
      <w:r w:rsidRPr="00F83E0C">
        <w:rPr>
          <w:rFonts w:ascii="Verdana" w:hAnsi="Verdana"/>
          <w:b/>
          <w:bCs/>
          <w:sz w:val="18"/>
          <w:szCs w:val="18"/>
        </w:rPr>
        <w:t>Imputación de rentas inmobiliarias</w:t>
      </w:r>
    </w:p>
    <w:p w14:paraId="386369F4" w14:textId="77777777" w:rsidR="00F83E0C" w:rsidRDefault="00F83E0C" w:rsidP="00F83E0C">
      <w:pPr>
        <w:pStyle w:val="Prrafodelista"/>
        <w:numPr>
          <w:ilvl w:val="0"/>
          <w:numId w:val="51"/>
        </w:numPr>
        <w:tabs>
          <w:tab w:val="left" w:pos="426"/>
        </w:tabs>
        <w:jc w:val="both"/>
        <w:rPr>
          <w:rFonts w:ascii="Verdana" w:hAnsi="Verdana"/>
          <w:sz w:val="18"/>
          <w:szCs w:val="18"/>
        </w:rPr>
      </w:pPr>
      <w:r w:rsidRPr="00F83E0C">
        <w:rPr>
          <w:rFonts w:ascii="Verdana" w:hAnsi="Verdana"/>
          <w:sz w:val="18"/>
          <w:szCs w:val="18"/>
        </w:rPr>
        <w:t>Se mantiene el porcentaje vigente para 2025, evitando incrementos de tributación respecto a 2024.</w:t>
      </w:r>
    </w:p>
    <w:p w14:paraId="0CDA193C" w14:textId="77777777" w:rsidR="00DD45CE" w:rsidRDefault="00DD45CE" w:rsidP="00DD45CE">
      <w:pPr>
        <w:tabs>
          <w:tab w:val="left" w:pos="426"/>
        </w:tabs>
        <w:ind w:left="360"/>
        <w:jc w:val="both"/>
        <w:rPr>
          <w:rFonts w:ascii="Verdana" w:hAnsi="Verdana"/>
          <w:sz w:val="18"/>
          <w:szCs w:val="18"/>
        </w:rPr>
      </w:pPr>
    </w:p>
    <w:p w14:paraId="08ADF47D" w14:textId="77777777" w:rsidR="00824684" w:rsidRDefault="00824684" w:rsidP="00DD45CE">
      <w:pPr>
        <w:tabs>
          <w:tab w:val="left" w:pos="426"/>
        </w:tabs>
        <w:ind w:left="360"/>
        <w:jc w:val="both"/>
        <w:rPr>
          <w:rFonts w:ascii="Verdana" w:hAnsi="Verdana"/>
          <w:sz w:val="18"/>
          <w:szCs w:val="18"/>
        </w:rPr>
      </w:pPr>
    </w:p>
    <w:p w14:paraId="58E485E3" w14:textId="12CECCA0" w:rsidR="00F83E0C" w:rsidRPr="00F83E0C" w:rsidRDefault="00F83E0C" w:rsidP="00F83E0C">
      <w:pPr>
        <w:pStyle w:val="Prrafodelista"/>
        <w:tabs>
          <w:tab w:val="left" w:pos="426"/>
        </w:tabs>
        <w:ind w:left="426"/>
        <w:jc w:val="both"/>
        <w:rPr>
          <w:rFonts w:ascii="Verdana" w:hAnsi="Verdana"/>
          <w:sz w:val="18"/>
          <w:szCs w:val="18"/>
        </w:rPr>
      </w:pPr>
      <w:r w:rsidRPr="00F83E0C">
        <w:rPr>
          <w:rFonts w:ascii="Verdana" w:hAnsi="Verdana"/>
          <w:b/>
          <w:bCs/>
          <w:sz w:val="18"/>
          <w:szCs w:val="18"/>
        </w:rPr>
        <w:t>Plusvalía municipal</w:t>
      </w:r>
    </w:p>
    <w:p w14:paraId="51F143E9" w14:textId="505B393F" w:rsidR="00F83E0C" w:rsidRPr="00F83E0C" w:rsidRDefault="00F83E0C" w:rsidP="00F83E0C">
      <w:pPr>
        <w:pStyle w:val="Prrafodelista"/>
        <w:numPr>
          <w:ilvl w:val="0"/>
          <w:numId w:val="52"/>
        </w:numPr>
        <w:tabs>
          <w:tab w:val="left" w:pos="426"/>
        </w:tabs>
        <w:jc w:val="both"/>
        <w:rPr>
          <w:rFonts w:ascii="Verdana" w:hAnsi="Verdana"/>
          <w:sz w:val="18"/>
          <w:szCs w:val="18"/>
        </w:rPr>
      </w:pPr>
      <w:r w:rsidRPr="00F83E0C">
        <w:rPr>
          <w:rFonts w:ascii="Verdana" w:hAnsi="Verdana"/>
          <w:sz w:val="18"/>
          <w:szCs w:val="18"/>
        </w:rPr>
        <w:t>Actualización de coeficientes máximos del valor del terreno con efectos 2026</w:t>
      </w:r>
      <w:r w:rsidR="00FF6AF8">
        <w:rPr>
          <w:rFonts w:ascii="Verdana" w:hAnsi="Verdana"/>
          <w:sz w:val="18"/>
          <w:szCs w:val="18"/>
        </w:rPr>
        <w:t>.</w:t>
      </w:r>
    </w:p>
    <w:p w14:paraId="0D1C3FE3" w14:textId="77777777" w:rsidR="00F83E0C" w:rsidRPr="00F83E0C" w:rsidRDefault="00FF6AF8" w:rsidP="00F83E0C">
      <w:pPr>
        <w:pStyle w:val="Prrafodelista"/>
        <w:tabs>
          <w:tab w:val="left" w:pos="426"/>
        </w:tabs>
        <w:ind w:left="426"/>
        <w:jc w:val="both"/>
        <w:rPr>
          <w:rFonts w:ascii="Verdana" w:hAnsi="Verdana"/>
          <w:sz w:val="18"/>
          <w:szCs w:val="18"/>
        </w:rPr>
      </w:pPr>
      <w:r>
        <w:rPr>
          <w:rFonts w:ascii="Verdana" w:hAnsi="Verdana"/>
          <w:sz w:val="18"/>
          <w:szCs w:val="18"/>
        </w:rPr>
        <w:pict w14:anchorId="4FDD22E4">
          <v:rect id="_x0000_i1030" style="width:0;height:1.5pt" o:hralign="center" o:hrstd="t" o:hr="t" fillcolor="#a0a0a0" stroked="f"/>
        </w:pict>
      </w:r>
    </w:p>
    <w:p w14:paraId="0FCBA9DB" w14:textId="0EF22D9E" w:rsidR="00F83E0C" w:rsidRPr="00F83E0C" w:rsidRDefault="00F83E0C" w:rsidP="00F83E0C">
      <w:pPr>
        <w:pStyle w:val="Prrafodelista"/>
        <w:tabs>
          <w:tab w:val="left" w:pos="426"/>
        </w:tabs>
        <w:ind w:left="426"/>
        <w:jc w:val="both"/>
        <w:rPr>
          <w:rFonts w:ascii="Verdana" w:hAnsi="Verdana"/>
          <w:b/>
          <w:bCs/>
          <w:color w:val="806000" w:themeColor="accent4" w:themeShade="80"/>
          <w:sz w:val="18"/>
          <w:szCs w:val="18"/>
        </w:rPr>
      </w:pPr>
      <w:r w:rsidRPr="00F83E0C">
        <w:rPr>
          <w:rFonts w:ascii="Verdana" w:hAnsi="Verdana"/>
          <w:b/>
          <w:bCs/>
          <w:color w:val="806000" w:themeColor="accent4" w:themeShade="80"/>
          <w:sz w:val="18"/>
          <w:szCs w:val="18"/>
        </w:rPr>
        <w:t>IVA: flexibilizaci</w:t>
      </w:r>
      <w:r w:rsidRPr="00F83E0C">
        <w:rPr>
          <w:rFonts w:ascii="Verdana" w:hAnsi="Verdana" w:cs="Verdana"/>
          <w:b/>
          <w:bCs/>
          <w:color w:val="806000" w:themeColor="accent4" w:themeShade="80"/>
          <w:sz w:val="18"/>
          <w:szCs w:val="18"/>
        </w:rPr>
        <w:t>ó</w:t>
      </w:r>
      <w:r w:rsidRPr="00F83E0C">
        <w:rPr>
          <w:rFonts w:ascii="Verdana" w:hAnsi="Verdana"/>
          <w:b/>
          <w:bCs/>
          <w:color w:val="806000" w:themeColor="accent4" w:themeShade="80"/>
          <w:sz w:val="18"/>
          <w:szCs w:val="18"/>
        </w:rPr>
        <w:t>n extraordinaria</w:t>
      </w:r>
    </w:p>
    <w:p w14:paraId="1246B5FC" w14:textId="24C3FF22" w:rsidR="00DD45CE" w:rsidRDefault="00F83E0C" w:rsidP="00F83E0C">
      <w:pPr>
        <w:pStyle w:val="Prrafodelista"/>
        <w:tabs>
          <w:tab w:val="left" w:pos="426"/>
        </w:tabs>
        <w:ind w:left="426"/>
        <w:jc w:val="both"/>
        <w:rPr>
          <w:rFonts w:ascii="Verdana" w:hAnsi="Verdana"/>
          <w:sz w:val="18"/>
          <w:szCs w:val="18"/>
        </w:rPr>
      </w:pPr>
      <w:r w:rsidRPr="00F83E0C">
        <w:rPr>
          <w:rFonts w:ascii="Segoe UI Symbol" w:hAnsi="Segoe UI Symbol" w:cs="Segoe UI Symbol"/>
          <w:sz w:val="18"/>
          <w:szCs w:val="18"/>
        </w:rPr>
        <w:t>✔</w:t>
      </w:r>
      <w:r w:rsidRPr="00F83E0C">
        <w:rPr>
          <w:rFonts w:ascii="Verdana" w:hAnsi="Verdana"/>
          <w:sz w:val="18"/>
          <w:szCs w:val="18"/>
        </w:rPr>
        <w:t xml:space="preserve"> </w:t>
      </w:r>
      <w:r w:rsidRPr="009D1108">
        <w:rPr>
          <w:rFonts w:ascii="Verdana" w:hAnsi="Verdana"/>
          <w:b/>
          <w:bCs/>
          <w:sz w:val="18"/>
          <w:szCs w:val="18"/>
        </w:rPr>
        <w:t xml:space="preserve">Renuncia extraordinaria </w:t>
      </w:r>
      <w:r w:rsidR="009D1108" w:rsidRPr="009D1108">
        <w:rPr>
          <w:rFonts w:ascii="Verdana" w:hAnsi="Verdana"/>
          <w:b/>
          <w:bCs/>
          <w:sz w:val="18"/>
          <w:szCs w:val="18"/>
        </w:rPr>
        <w:t>hasta 31 de</w:t>
      </w:r>
      <w:r w:rsidRPr="009D1108">
        <w:rPr>
          <w:rFonts w:ascii="Verdana" w:hAnsi="Verdana"/>
          <w:b/>
          <w:bCs/>
          <w:sz w:val="18"/>
          <w:szCs w:val="18"/>
        </w:rPr>
        <w:t xml:space="preserve"> </w:t>
      </w:r>
      <w:r w:rsidR="00C86699" w:rsidRPr="009D1108">
        <w:rPr>
          <w:rFonts w:ascii="Verdana" w:hAnsi="Verdana"/>
          <w:b/>
          <w:bCs/>
          <w:sz w:val="18"/>
          <w:szCs w:val="18"/>
        </w:rPr>
        <w:t>enero</w:t>
      </w:r>
      <w:r w:rsidR="009D1108" w:rsidRPr="009D1108">
        <w:rPr>
          <w:rFonts w:ascii="Verdana" w:hAnsi="Verdana"/>
          <w:b/>
          <w:bCs/>
          <w:sz w:val="18"/>
          <w:szCs w:val="18"/>
        </w:rPr>
        <w:t xml:space="preserve"> de </w:t>
      </w:r>
      <w:r w:rsidRPr="009D1108">
        <w:rPr>
          <w:rFonts w:ascii="Verdana" w:hAnsi="Verdana"/>
          <w:b/>
          <w:bCs/>
          <w:sz w:val="18"/>
          <w:szCs w:val="18"/>
        </w:rPr>
        <w:t>2026 a la obligaci</w:t>
      </w:r>
      <w:r w:rsidRPr="009D1108">
        <w:rPr>
          <w:rFonts w:ascii="Verdana" w:hAnsi="Verdana" w:cs="Verdana"/>
          <w:b/>
          <w:bCs/>
          <w:sz w:val="18"/>
          <w:szCs w:val="18"/>
        </w:rPr>
        <w:t>ó</w:t>
      </w:r>
      <w:r w:rsidRPr="009D1108">
        <w:rPr>
          <w:rFonts w:ascii="Verdana" w:hAnsi="Verdana"/>
          <w:b/>
          <w:bCs/>
          <w:sz w:val="18"/>
          <w:szCs w:val="18"/>
        </w:rPr>
        <w:t>n de SII</w:t>
      </w:r>
      <w:r w:rsidRPr="00F83E0C">
        <w:rPr>
          <w:rFonts w:ascii="Verdana" w:hAnsi="Verdana"/>
          <w:sz w:val="18"/>
          <w:szCs w:val="18"/>
        </w:rPr>
        <w:t xml:space="preserve"> (Libros registro de IVA en Sede electr</w:t>
      </w:r>
      <w:r w:rsidRPr="00F83E0C">
        <w:rPr>
          <w:rFonts w:ascii="Verdana" w:hAnsi="Verdana" w:cs="Verdana"/>
          <w:sz w:val="18"/>
          <w:szCs w:val="18"/>
        </w:rPr>
        <w:t>ó</w:t>
      </w:r>
      <w:r w:rsidRPr="00F83E0C">
        <w:rPr>
          <w:rFonts w:ascii="Verdana" w:hAnsi="Verdana"/>
          <w:sz w:val="18"/>
          <w:szCs w:val="18"/>
        </w:rPr>
        <w:t>nica AEAT).</w:t>
      </w:r>
    </w:p>
    <w:p w14:paraId="608E4866" w14:textId="59DD8817" w:rsidR="009D1108" w:rsidRDefault="00F83E0C" w:rsidP="00F83E0C">
      <w:pPr>
        <w:pStyle w:val="Prrafodelista"/>
        <w:tabs>
          <w:tab w:val="left" w:pos="426"/>
        </w:tabs>
        <w:ind w:left="426"/>
        <w:jc w:val="both"/>
        <w:rPr>
          <w:rFonts w:ascii="Verdana" w:hAnsi="Verdana"/>
          <w:sz w:val="18"/>
          <w:szCs w:val="18"/>
        </w:rPr>
      </w:pPr>
      <w:r w:rsidRPr="00F83E0C">
        <w:rPr>
          <w:rFonts w:ascii="Verdana" w:hAnsi="Verdana"/>
          <w:sz w:val="18"/>
          <w:szCs w:val="18"/>
        </w:rPr>
        <w:br/>
      </w:r>
      <w:r w:rsidRPr="00F83E0C">
        <w:rPr>
          <w:rFonts w:ascii="Segoe UI Symbol" w:hAnsi="Segoe UI Symbol" w:cs="Segoe UI Symbol"/>
          <w:sz w:val="18"/>
          <w:szCs w:val="18"/>
        </w:rPr>
        <w:t>✔</w:t>
      </w:r>
      <w:r w:rsidRPr="00F83E0C">
        <w:rPr>
          <w:rFonts w:ascii="Verdana" w:hAnsi="Verdana"/>
          <w:sz w:val="18"/>
          <w:szCs w:val="18"/>
        </w:rPr>
        <w:t xml:space="preserve"> </w:t>
      </w:r>
      <w:r w:rsidRPr="009D1108">
        <w:rPr>
          <w:rFonts w:ascii="Verdana" w:hAnsi="Verdana"/>
          <w:b/>
          <w:bCs/>
          <w:sz w:val="18"/>
          <w:szCs w:val="18"/>
        </w:rPr>
        <w:t xml:space="preserve">Posibilidad de baja extraordinaria </w:t>
      </w:r>
      <w:r w:rsidR="009D1108">
        <w:rPr>
          <w:rFonts w:ascii="Verdana" w:hAnsi="Verdana"/>
          <w:b/>
          <w:bCs/>
          <w:sz w:val="18"/>
          <w:szCs w:val="18"/>
        </w:rPr>
        <w:t>hasta 31 de enero de 202</w:t>
      </w:r>
      <w:r w:rsidR="00C0077F">
        <w:rPr>
          <w:rFonts w:ascii="Verdana" w:hAnsi="Verdana"/>
          <w:b/>
          <w:bCs/>
          <w:sz w:val="18"/>
          <w:szCs w:val="18"/>
        </w:rPr>
        <w:t xml:space="preserve">6 </w:t>
      </w:r>
      <w:r w:rsidRPr="009D1108">
        <w:rPr>
          <w:rFonts w:ascii="Verdana" w:hAnsi="Verdana"/>
          <w:b/>
          <w:bCs/>
          <w:sz w:val="18"/>
          <w:szCs w:val="18"/>
        </w:rPr>
        <w:t>del registro de devoluci</w:t>
      </w:r>
      <w:r w:rsidRPr="009D1108">
        <w:rPr>
          <w:rFonts w:ascii="Verdana" w:hAnsi="Verdana" w:cs="Verdana"/>
          <w:b/>
          <w:bCs/>
          <w:sz w:val="18"/>
          <w:szCs w:val="18"/>
        </w:rPr>
        <w:t>ó</w:t>
      </w:r>
      <w:r w:rsidRPr="009D1108">
        <w:rPr>
          <w:rFonts w:ascii="Verdana" w:hAnsi="Verdana"/>
          <w:b/>
          <w:bCs/>
          <w:sz w:val="18"/>
          <w:szCs w:val="18"/>
        </w:rPr>
        <w:t>n mensual del IVA</w:t>
      </w:r>
      <w:r w:rsidRPr="00F83E0C">
        <w:rPr>
          <w:rFonts w:ascii="Verdana" w:hAnsi="Verdana"/>
          <w:sz w:val="18"/>
          <w:szCs w:val="18"/>
        </w:rPr>
        <w:t>.</w:t>
      </w:r>
    </w:p>
    <w:p w14:paraId="133FFE7C" w14:textId="679B3E44" w:rsidR="00F83E0C" w:rsidRPr="00F83E0C" w:rsidRDefault="00F83E0C" w:rsidP="00F83E0C">
      <w:pPr>
        <w:pStyle w:val="Prrafodelista"/>
        <w:tabs>
          <w:tab w:val="left" w:pos="426"/>
        </w:tabs>
        <w:ind w:left="426"/>
        <w:jc w:val="both"/>
        <w:rPr>
          <w:rFonts w:ascii="Verdana" w:hAnsi="Verdana"/>
          <w:sz w:val="18"/>
          <w:szCs w:val="18"/>
        </w:rPr>
      </w:pPr>
      <w:r w:rsidRPr="00F83E0C">
        <w:rPr>
          <w:rFonts w:ascii="Verdana" w:hAnsi="Verdana"/>
          <w:sz w:val="18"/>
          <w:szCs w:val="18"/>
        </w:rPr>
        <w:br/>
        <w:t>Estas medidas aportan mayor flexibilidad en situaciones excepcionales</w:t>
      </w:r>
      <w:r w:rsidR="00A3457D">
        <w:rPr>
          <w:rFonts w:ascii="Verdana" w:hAnsi="Verdana"/>
          <w:sz w:val="18"/>
          <w:szCs w:val="18"/>
        </w:rPr>
        <w:t>.</w:t>
      </w:r>
    </w:p>
    <w:p w14:paraId="386FA058" w14:textId="77777777" w:rsidR="00F83E0C" w:rsidRPr="00F83E0C" w:rsidRDefault="00FF6AF8" w:rsidP="00F83E0C">
      <w:pPr>
        <w:pStyle w:val="Prrafodelista"/>
        <w:tabs>
          <w:tab w:val="left" w:pos="426"/>
        </w:tabs>
        <w:ind w:left="426"/>
        <w:jc w:val="both"/>
        <w:rPr>
          <w:rFonts w:ascii="Verdana" w:hAnsi="Verdana"/>
          <w:sz w:val="18"/>
          <w:szCs w:val="18"/>
        </w:rPr>
      </w:pPr>
      <w:r>
        <w:rPr>
          <w:rFonts w:ascii="Verdana" w:hAnsi="Verdana"/>
          <w:sz w:val="18"/>
          <w:szCs w:val="18"/>
        </w:rPr>
        <w:pict w14:anchorId="71906B41">
          <v:rect id="_x0000_i1031" style="width:0;height:1.5pt" o:hralign="center" o:hrstd="t" o:hr="t" fillcolor="#a0a0a0" stroked="f"/>
        </w:pict>
      </w:r>
    </w:p>
    <w:p w14:paraId="2D6719ED" w14:textId="6EDB289B" w:rsidR="00F83E0C" w:rsidRDefault="00DD45CE" w:rsidP="00F83E0C">
      <w:pPr>
        <w:pStyle w:val="Prrafodelista"/>
        <w:tabs>
          <w:tab w:val="left" w:pos="426"/>
        </w:tabs>
        <w:ind w:left="426"/>
        <w:jc w:val="both"/>
        <w:rPr>
          <w:rFonts w:ascii="Verdana" w:hAnsi="Verdana"/>
          <w:b/>
          <w:bCs/>
          <w:color w:val="806000" w:themeColor="accent4" w:themeShade="80"/>
          <w:sz w:val="18"/>
          <w:szCs w:val="18"/>
        </w:rPr>
      </w:pPr>
      <w:r w:rsidRPr="00F83E0C">
        <w:rPr>
          <w:rFonts w:ascii="Verdana" w:hAnsi="Verdana"/>
          <w:b/>
          <w:bCs/>
          <w:color w:val="806000" w:themeColor="accent4" w:themeShade="80"/>
          <w:sz w:val="18"/>
          <w:szCs w:val="18"/>
        </w:rPr>
        <w:t>CONCLUSI</w:t>
      </w:r>
      <w:r w:rsidRPr="00F83E0C">
        <w:rPr>
          <w:rFonts w:ascii="Verdana" w:hAnsi="Verdana" w:cs="Verdana"/>
          <w:b/>
          <w:bCs/>
          <w:color w:val="806000" w:themeColor="accent4" w:themeShade="80"/>
          <w:sz w:val="18"/>
          <w:szCs w:val="18"/>
        </w:rPr>
        <w:t>Ó</w:t>
      </w:r>
      <w:r w:rsidRPr="00F83E0C">
        <w:rPr>
          <w:rFonts w:ascii="Verdana" w:hAnsi="Verdana"/>
          <w:b/>
          <w:bCs/>
          <w:color w:val="806000" w:themeColor="accent4" w:themeShade="80"/>
          <w:sz w:val="18"/>
          <w:szCs w:val="18"/>
        </w:rPr>
        <w:t>N</w:t>
      </w:r>
    </w:p>
    <w:p w14:paraId="675A5749" w14:textId="5BCE97A4" w:rsidR="00F83E0C" w:rsidRPr="00F83E0C" w:rsidRDefault="00F83E0C" w:rsidP="00F83E0C">
      <w:pPr>
        <w:pStyle w:val="Prrafodelista"/>
        <w:tabs>
          <w:tab w:val="left" w:pos="426"/>
        </w:tabs>
        <w:ind w:left="426"/>
        <w:jc w:val="both"/>
        <w:rPr>
          <w:rFonts w:ascii="Verdana" w:hAnsi="Verdana"/>
          <w:sz w:val="18"/>
          <w:szCs w:val="18"/>
        </w:rPr>
      </w:pPr>
      <w:r w:rsidRPr="00F83E0C">
        <w:rPr>
          <w:rFonts w:ascii="Verdana" w:hAnsi="Verdana"/>
          <w:sz w:val="18"/>
          <w:szCs w:val="18"/>
        </w:rPr>
        <w:t xml:space="preserve">El Real Decreto-ley 16/2025 consolida un marco fiscal de </w:t>
      </w:r>
      <w:r w:rsidR="00C86699" w:rsidRPr="00F83E0C">
        <w:rPr>
          <w:rFonts w:ascii="Verdana" w:hAnsi="Verdana"/>
          <w:sz w:val="18"/>
          <w:szCs w:val="18"/>
        </w:rPr>
        <w:t>continuidad,</w:t>
      </w:r>
      <w:r w:rsidRPr="00F83E0C">
        <w:rPr>
          <w:rFonts w:ascii="Verdana" w:hAnsi="Verdana"/>
          <w:sz w:val="18"/>
          <w:szCs w:val="18"/>
        </w:rPr>
        <w:t xml:space="preserve"> pero con enfoque social y económico:</w:t>
      </w:r>
    </w:p>
    <w:p w14:paraId="0FD38295" w14:textId="77777777" w:rsidR="00F83E0C" w:rsidRPr="00F83E0C" w:rsidRDefault="00F83E0C" w:rsidP="00F83E0C">
      <w:pPr>
        <w:pStyle w:val="Prrafodelista"/>
        <w:numPr>
          <w:ilvl w:val="0"/>
          <w:numId w:val="53"/>
        </w:numPr>
        <w:tabs>
          <w:tab w:val="left" w:pos="426"/>
        </w:tabs>
        <w:jc w:val="both"/>
        <w:rPr>
          <w:rFonts w:ascii="Verdana" w:hAnsi="Verdana"/>
          <w:sz w:val="18"/>
          <w:szCs w:val="18"/>
        </w:rPr>
      </w:pPr>
      <w:r w:rsidRPr="00F83E0C">
        <w:rPr>
          <w:rFonts w:ascii="Verdana" w:hAnsi="Verdana"/>
          <w:sz w:val="18"/>
          <w:szCs w:val="18"/>
        </w:rPr>
        <w:t>apoyo a autónomos,</w:t>
      </w:r>
    </w:p>
    <w:p w14:paraId="404559A8" w14:textId="77777777" w:rsidR="00F83E0C" w:rsidRPr="00F83E0C" w:rsidRDefault="00F83E0C" w:rsidP="00F83E0C">
      <w:pPr>
        <w:pStyle w:val="Prrafodelista"/>
        <w:numPr>
          <w:ilvl w:val="0"/>
          <w:numId w:val="53"/>
        </w:numPr>
        <w:tabs>
          <w:tab w:val="left" w:pos="426"/>
        </w:tabs>
        <w:jc w:val="both"/>
        <w:rPr>
          <w:rFonts w:ascii="Verdana" w:hAnsi="Verdana"/>
          <w:sz w:val="18"/>
          <w:szCs w:val="18"/>
        </w:rPr>
      </w:pPr>
      <w:r w:rsidRPr="00F83E0C">
        <w:rPr>
          <w:rFonts w:ascii="Verdana" w:hAnsi="Verdana"/>
          <w:sz w:val="18"/>
          <w:szCs w:val="18"/>
        </w:rPr>
        <w:t>impulso a movilidad eléctrica y renovables,</w:t>
      </w:r>
    </w:p>
    <w:p w14:paraId="3F8D5F78" w14:textId="77777777" w:rsidR="00F83E0C" w:rsidRPr="00F83E0C" w:rsidRDefault="00F83E0C" w:rsidP="00F83E0C">
      <w:pPr>
        <w:pStyle w:val="Prrafodelista"/>
        <w:numPr>
          <w:ilvl w:val="0"/>
          <w:numId w:val="53"/>
        </w:numPr>
        <w:tabs>
          <w:tab w:val="left" w:pos="426"/>
        </w:tabs>
        <w:jc w:val="both"/>
        <w:rPr>
          <w:rFonts w:ascii="Verdana" w:hAnsi="Verdana"/>
          <w:sz w:val="18"/>
          <w:szCs w:val="18"/>
        </w:rPr>
      </w:pPr>
      <w:r w:rsidRPr="00F83E0C">
        <w:rPr>
          <w:rFonts w:ascii="Verdana" w:hAnsi="Verdana"/>
          <w:sz w:val="18"/>
          <w:szCs w:val="18"/>
        </w:rPr>
        <w:t>protección ante emergencias,</w:t>
      </w:r>
    </w:p>
    <w:p w14:paraId="2D94457A" w14:textId="77777777" w:rsidR="00F83E0C" w:rsidRPr="00F83E0C" w:rsidRDefault="00F83E0C" w:rsidP="00F83E0C">
      <w:pPr>
        <w:pStyle w:val="Prrafodelista"/>
        <w:numPr>
          <w:ilvl w:val="0"/>
          <w:numId w:val="53"/>
        </w:numPr>
        <w:tabs>
          <w:tab w:val="left" w:pos="426"/>
        </w:tabs>
        <w:jc w:val="both"/>
        <w:rPr>
          <w:rFonts w:ascii="Verdana" w:hAnsi="Verdana"/>
          <w:sz w:val="18"/>
          <w:szCs w:val="18"/>
        </w:rPr>
      </w:pPr>
      <w:r w:rsidRPr="00F83E0C">
        <w:rPr>
          <w:rFonts w:ascii="Verdana" w:hAnsi="Verdana"/>
          <w:sz w:val="18"/>
          <w:szCs w:val="18"/>
        </w:rPr>
        <w:t>estabilidad en tributación inmobiliaria,</w:t>
      </w:r>
    </w:p>
    <w:p w14:paraId="2C3A2CB8" w14:textId="77777777" w:rsidR="00F83E0C" w:rsidRPr="00F83E0C" w:rsidRDefault="00F83E0C" w:rsidP="00F83E0C">
      <w:pPr>
        <w:pStyle w:val="Prrafodelista"/>
        <w:numPr>
          <w:ilvl w:val="0"/>
          <w:numId w:val="53"/>
        </w:numPr>
        <w:tabs>
          <w:tab w:val="left" w:pos="426"/>
        </w:tabs>
        <w:jc w:val="both"/>
        <w:rPr>
          <w:rFonts w:ascii="Verdana" w:hAnsi="Verdana"/>
          <w:sz w:val="18"/>
          <w:szCs w:val="18"/>
        </w:rPr>
      </w:pPr>
      <w:r w:rsidRPr="00F83E0C">
        <w:rPr>
          <w:rFonts w:ascii="Verdana" w:hAnsi="Verdana"/>
          <w:sz w:val="18"/>
          <w:szCs w:val="18"/>
        </w:rPr>
        <w:t>y mayor flexibilidad en obligaciones de IVA.</w:t>
      </w:r>
    </w:p>
    <w:p w14:paraId="7252A5C1" w14:textId="77777777" w:rsidR="00F83E0C" w:rsidRDefault="00F83E0C" w:rsidP="00E97495">
      <w:pPr>
        <w:pStyle w:val="Prrafodelista"/>
        <w:tabs>
          <w:tab w:val="left" w:pos="426"/>
        </w:tabs>
        <w:ind w:left="426"/>
        <w:jc w:val="both"/>
        <w:rPr>
          <w:rFonts w:ascii="Verdana" w:hAnsi="Verdana"/>
          <w:sz w:val="18"/>
          <w:szCs w:val="18"/>
        </w:rPr>
      </w:pPr>
    </w:p>
    <w:p w14:paraId="45C4152E" w14:textId="77777777" w:rsidR="00237095" w:rsidRDefault="00237095" w:rsidP="00237095">
      <w:pPr>
        <w:pStyle w:val="Prrafodelista"/>
        <w:tabs>
          <w:tab w:val="left" w:pos="426"/>
        </w:tabs>
        <w:ind w:left="426"/>
        <w:jc w:val="both"/>
        <w:rPr>
          <w:rFonts w:ascii="Verdana" w:hAnsi="Verdana"/>
          <w:b/>
          <w:bCs/>
          <w:i/>
          <w:iCs/>
          <w:color w:val="800000"/>
          <w:sz w:val="18"/>
          <w:szCs w:val="18"/>
        </w:rPr>
      </w:pPr>
    </w:p>
    <w:tbl>
      <w:tblPr>
        <w:tblW w:w="8640" w:type="dxa"/>
        <w:tblInd w:w="70" w:type="dxa"/>
        <w:tblCellMar>
          <w:left w:w="70" w:type="dxa"/>
          <w:right w:w="70" w:type="dxa"/>
        </w:tblCellMar>
        <w:tblLook w:val="0000" w:firstRow="0" w:lastRow="0" w:firstColumn="0" w:lastColumn="0" w:noHBand="0" w:noVBand="0"/>
      </w:tblPr>
      <w:tblGrid>
        <w:gridCol w:w="180"/>
        <w:gridCol w:w="8460"/>
      </w:tblGrid>
      <w:tr w:rsidR="00CE6E27" w:rsidRPr="00CE6E27" w14:paraId="69DA01F9" w14:textId="77777777" w:rsidTr="006C0315">
        <w:tc>
          <w:tcPr>
            <w:tcW w:w="180" w:type="dxa"/>
            <w:shd w:val="clear" w:color="auto" w:fill="FF6600"/>
          </w:tcPr>
          <w:p w14:paraId="3D5722BC" w14:textId="77777777" w:rsidR="00CE6E27" w:rsidRPr="00CE6E27" w:rsidRDefault="00CE6E27" w:rsidP="006C0315">
            <w:pPr>
              <w:ind w:left="360"/>
              <w:rPr>
                <w:rFonts w:ascii="Verdana" w:hAnsi="Verdana"/>
                <w:b/>
                <w:bCs/>
                <w:color w:val="800000"/>
                <w:sz w:val="18"/>
                <w:szCs w:val="18"/>
              </w:rPr>
            </w:pPr>
            <w:bookmarkStart w:id="3" w:name="_Hlk216112369"/>
          </w:p>
        </w:tc>
        <w:tc>
          <w:tcPr>
            <w:tcW w:w="8460" w:type="dxa"/>
          </w:tcPr>
          <w:p w14:paraId="52DC55F2" w14:textId="16CB3B33" w:rsidR="00CE6E27" w:rsidRPr="00CE6E27" w:rsidRDefault="00CE6E27">
            <w:pPr>
              <w:numPr>
                <w:ilvl w:val="1"/>
                <w:numId w:val="3"/>
              </w:numPr>
              <w:tabs>
                <w:tab w:val="num" w:pos="242"/>
              </w:tabs>
              <w:ind w:left="242" w:hanging="242"/>
              <w:jc w:val="both"/>
              <w:rPr>
                <w:rFonts w:ascii="Verdana" w:hAnsi="Verdana"/>
                <w:b/>
                <w:bCs/>
                <w:color w:val="800000"/>
                <w:sz w:val="18"/>
                <w:szCs w:val="18"/>
              </w:rPr>
            </w:pPr>
            <w:r w:rsidRPr="00CE6E27">
              <w:rPr>
                <w:rFonts w:ascii="Verdana" w:hAnsi="Verdana"/>
                <w:b/>
                <w:bCs/>
                <w:color w:val="800000"/>
                <w:sz w:val="18"/>
                <w:szCs w:val="18"/>
              </w:rPr>
              <w:t>LA DERIVACIÓN DE RESPONSABILIDAD TRIBUTARIA A LAS PERSONAS O ENTIDADES CONTROLADAS POR LOS OBLIGADOS TRIBUTARIOS NO REQUIERE DECLARACIÓN PREVIA DE SIMULACIÓN, PERO EXIGE MOTIVACIÓN PRECISA QUE ACREDITE EL CONTROL SOCIETARIO Y LA VOLUNTAD DEFRAUDATORIA DEL OBLIGADO TRIBUTARIO PERSONA FÍSICA</w:t>
            </w:r>
          </w:p>
        </w:tc>
      </w:tr>
    </w:tbl>
    <w:bookmarkEnd w:id="3"/>
    <w:p w14:paraId="62780BBE" w14:textId="62F436DE" w:rsidR="00237095" w:rsidRPr="00237095" w:rsidRDefault="00237095" w:rsidP="00AB043D">
      <w:pPr>
        <w:pStyle w:val="NormalWeb"/>
        <w:ind w:left="284"/>
        <w:jc w:val="both"/>
        <w:rPr>
          <w:rFonts w:ascii="Verdana" w:hAnsi="Verdana"/>
          <w:sz w:val="18"/>
          <w:szCs w:val="18"/>
        </w:rPr>
      </w:pPr>
      <w:r w:rsidRPr="00237095">
        <w:rPr>
          <w:rFonts w:ascii="Verdana" w:hAnsi="Verdana"/>
          <w:sz w:val="18"/>
          <w:szCs w:val="18"/>
        </w:rPr>
        <w:t>El Tribunal Supremo</w:t>
      </w:r>
      <w:r w:rsidR="00AB043D">
        <w:rPr>
          <w:rFonts w:ascii="Verdana" w:hAnsi="Verdana"/>
          <w:sz w:val="18"/>
          <w:szCs w:val="18"/>
        </w:rPr>
        <w:t xml:space="preserve"> en </w:t>
      </w:r>
      <w:r w:rsidR="00197979">
        <w:rPr>
          <w:rFonts w:ascii="Verdana" w:hAnsi="Verdana"/>
          <w:sz w:val="18"/>
          <w:szCs w:val="18"/>
        </w:rPr>
        <w:t xml:space="preserve">su </w:t>
      </w:r>
      <w:r w:rsidR="00197979" w:rsidRPr="00237095">
        <w:rPr>
          <w:rFonts w:ascii="Verdana" w:hAnsi="Verdana"/>
          <w:sz w:val="18"/>
          <w:szCs w:val="18"/>
        </w:rPr>
        <w:t>Sentencia</w:t>
      </w:r>
      <w:r w:rsidR="00AB043D" w:rsidRPr="00AB043D">
        <w:rPr>
          <w:rFonts w:ascii="Verdana" w:hAnsi="Verdana"/>
          <w:sz w:val="18"/>
          <w:szCs w:val="18"/>
        </w:rPr>
        <w:t>, Sala de lo Contencioso, de 20 de octubre de 2025 (Rec. 5702/2</w:t>
      </w:r>
      <w:r w:rsidR="00197979" w:rsidRPr="00AB043D">
        <w:rPr>
          <w:rFonts w:ascii="Verdana" w:hAnsi="Verdana"/>
          <w:sz w:val="18"/>
          <w:szCs w:val="18"/>
        </w:rPr>
        <w:t>2023) ha</w:t>
      </w:r>
      <w:r w:rsidR="00197979" w:rsidRPr="00237095">
        <w:rPr>
          <w:rFonts w:ascii="Verdana" w:hAnsi="Verdana"/>
          <w:sz w:val="18"/>
          <w:szCs w:val="18"/>
        </w:rPr>
        <w:t xml:space="preserve"> aclarado</w:t>
      </w:r>
      <w:r w:rsidRPr="00237095">
        <w:rPr>
          <w:rFonts w:ascii="Verdana" w:hAnsi="Verdana"/>
          <w:sz w:val="18"/>
          <w:szCs w:val="18"/>
        </w:rPr>
        <w:t xml:space="preserve"> los requisitos para derivar</w:t>
      </w:r>
      <w:r w:rsidR="00A3457D">
        <w:rPr>
          <w:rFonts w:ascii="Verdana" w:hAnsi="Verdana"/>
          <w:sz w:val="18"/>
          <w:szCs w:val="18"/>
        </w:rPr>
        <w:t xml:space="preserve"> la</w:t>
      </w:r>
      <w:r w:rsidRPr="00237095">
        <w:rPr>
          <w:rFonts w:ascii="Verdana" w:hAnsi="Verdana"/>
          <w:sz w:val="18"/>
          <w:szCs w:val="18"/>
        </w:rPr>
        <w:t xml:space="preserve"> responsabilidad subsidiaria conforme al </w:t>
      </w:r>
      <w:r w:rsidRPr="00237095">
        <w:rPr>
          <w:rStyle w:val="Textoennegrita"/>
          <w:rFonts w:ascii="Verdana" w:hAnsi="Verdana"/>
          <w:sz w:val="18"/>
          <w:szCs w:val="18"/>
        </w:rPr>
        <w:t>art. 43.1.h) de la LGT</w:t>
      </w:r>
      <w:r w:rsidRPr="00237095">
        <w:rPr>
          <w:rFonts w:ascii="Verdana" w:hAnsi="Verdana"/>
          <w:sz w:val="18"/>
          <w:szCs w:val="18"/>
        </w:rPr>
        <w:t xml:space="preserve">, relativo al </w:t>
      </w:r>
      <w:r w:rsidRPr="00237095">
        <w:rPr>
          <w:rStyle w:val="Textoennegrita"/>
          <w:rFonts w:ascii="Verdana" w:hAnsi="Verdana"/>
          <w:sz w:val="18"/>
          <w:szCs w:val="18"/>
        </w:rPr>
        <w:t>uso abusivo o fraudulento de sociedades</w:t>
      </w:r>
      <w:r w:rsidRPr="00237095">
        <w:rPr>
          <w:rFonts w:ascii="Verdana" w:hAnsi="Verdana"/>
          <w:sz w:val="18"/>
          <w:szCs w:val="18"/>
        </w:rPr>
        <w:t xml:space="preserve"> para eludir el pago de deudas tributarias.</w:t>
      </w:r>
    </w:p>
    <w:p w14:paraId="326752C3" w14:textId="77777777" w:rsidR="00237095" w:rsidRPr="00237095" w:rsidRDefault="00237095" w:rsidP="00AB043D">
      <w:pPr>
        <w:pStyle w:val="NormalWeb"/>
        <w:ind w:left="284"/>
        <w:jc w:val="both"/>
        <w:rPr>
          <w:rFonts w:ascii="Verdana" w:hAnsi="Verdana"/>
          <w:sz w:val="18"/>
          <w:szCs w:val="18"/>
        </w:rPr>
      </w:pPr>
      <w:r w:rsidRPr="00237095">
        <w:rPr>
          <w:rFonts w:ascii="Verdana" w:hAnsi="Verdana"/>
          <w:sz w:val="18"/>
          <w:szCs w:val="18"/>
        </w:rPr>
        <w:t>El caso analizado partía de la adquisición de dos fincas por una sociedad vinculada familiarmente con la sociedad vendedora, que mantenía deudas tributarias en período ejecutivo. La Administración derivó responsabilidad a la sociedad compradora por considerar que existía un vaciamiento patrimonial fraudulento. Sin embargo, el Tribunal Supremo determina que:</w:t>
      </w:r>
    </w:p>
    <w:p w14:paraId="2EB8CA28" w14:textId="45954020" w:rsidR="00AB043D" w:rsidRDefault="00237095" w:rsidP="00FF6AF8">
      <w:pPr>
        <w:pStyle w:val="NormalWeb"/>
        <w:numPr>
          <w:ilvl w:val="0"/>
          <w:numId w:val="5"/>
        </w:numPr>
        <w:tabs>
          <w:tab w:val="left" w:pos="567"/>
        </w:tabs>
        <w:spacing w:before="0" w:beforeAutospacing="0" w:after="0" w:afterAutospacing="0"/>
        <w:ind w:left="568" w:hanging="284"/>
        <w:contextualSpacing/>
        <w:jc w:val="both"/>
        <w:rPr>
          <w:rFonts w:ascii="Verdana" w:hAnsi="Verdana"/>
          <w:sz w:val="18"/>
          <w:szCs w:val="18"/>
        </w:rPr>
      </w:pPr>
      <w:r w:rsidRPr="00237095">
        <w:rPr>
          <w:rStyle w:val="Textoennegrita"/>
          <w:rFonts w:ascii="Verdana" w:hAnsi="Verdana"/>
          <w:sz w:val="18"/>
          <w:szCs w:val="18"/>
        </w:rPr>
        <w:t>No es necesaria una declaración previa de simulación</w:t>
      </w:r>
      <w:r w:rsidRPr="00237095">
        <w:rPr>
          <w:rFonts w:ascii="Verdana" w:hAnsi="Verdana"/>
          <w:sz w:val="18"/>
          <w:szCs w:val="18"/>
        </w:rPr>
        <w:t xml:space="preserve"> para aplicar el art. 43.1.h) LGT, pero sí debe acreditarse la existencia de </w:t>
      </w:r>
      <w:r w:rsidRPr="00237095">
        <w:rPr>
          <w:rStyle w:val="Textoennegrita"/>
          <w:rFonts w:ascii="Verdana" w:hAnsi="Verdana"/>
          <w:sz w:val="18"/>
          <w:szCs w:val="18"/>
        </w:rPr>
        <w:t>finalidad defraudatoria</w:t>
      </w:r>
      <w:r w:rsidRPr="00237095">
        <w:rPr>
          <w:rFonts w:ascii="Verdana" w:hAnsi="Verdana"/>
          <w:sz w:val="18"/>
          <w:szCs w:val="18"/>
        </w:rPr>
        <w:t xml:space="preserve"> y </w:t>
      </w:r>
      <w:r w:rsidRPr="00A3457D">
        <w:rPr>
          <w:rFonts w:ascii="Verdana" w:hAnsi="Verdana"/>
          <w:b/>
          <w:bCs/>
          <w:sz w:val="18"/>
          <w:szCs w:val="18"/>
        </w:rPr>
        <w:t>el</w:t>
      </w:r>
      <w:r w:rsidRPr="00237095">
        <w:rPr>
          <w:rFonts w:ascii="Verdana" w:hAnsi="Verdana"/>
          <w:sz w:val="18"/>
          <w:szCs w:val="18"/>
        </w:rPr>
        <w:t xml:space="preserve"> </w:t>
      </w:r>
      <w:r w:rsidRPr="00237095">
        <w:rPr>
          <w:rStyle w:val="Textoennegrita"/>
          <w:rFonts w:ascii="Verdana" w:hAnsi="Verdana"/>
          <w:sz w:val="18"/>
          <w:szCs w:val="18"/>
        </w:rPr>
        <w:t>control efectivo</w:t>
      </w:r>
      <w:r w:rsidRPr="00237095">
        <w:rPr>
          <w:rFonts w:ascii="Verdana" w:hAnsi="Verdana"/>
          <w:sz w:val="18"/>
          <w:szCs w:val="18"/>
        </w:rPr>
        <w:t xml:space="preserve"> del obligado tributario sobre la sociedad interpuesta.</w:t>
      </w:r>
    </w:p>
    <w:p w14:paraId="404BA68A" w14:textId="77777777" w:rsidR="00FF6AF8" w:rsidRDefault="00FF6AF8" w:rsidP="00FF6AF8">
      <w:pPr>
        <w:pStyle w:val="NormalWeb"/>
        <w:tabs>
          <w:tab w:val="left" w:pos="567"/>
        </w:tabs>
        <w:spacing w:before="0" w:beforeAutospacing="0" w:after="0" w:afterAutospacing="0"/>
        <w:ind w:left="568"/>
        <w:contextualSpacing/>
        <w:jc w:val="both"/>
        <w:rPr>
          <w:rFonts w:ascii="Verdana" w:hAnsi="Verdana"/>
          <w:sz w:val="18"/>
          <w:szCs w:val="18"/>
        </w:rPr>
      </w:pPr>
    </w:p>
    <w:p w14:paraId="4093F315" w14:textId="77777777" w:rsidR="00237095" w:rsidRPr="00237095" w:rsidRDefault="00237095" w:rsidP="00FF6AF8">
      <w:pPr>
        <w:pStyle w:val="NormalWeb"/>
        <w:numPr>
          <w:ilvl w:val="0"/>
          <w:numId w:val="5"/>
        </w:numPr>
        <w:tabs>
          <w:tab w:val="left" w:pos="567"/>
        </w:tabs>
        <w:spacing w:before="0" w:beforeAutospacing="0" w:after="0" w:afterAutospacing="0"/>
        <w:ind w:left="567" w:hanging="283"/>
        <w:jc w:val="both"/>
        <w:rPr>
          <w:rFonts w:ascii="Verdana" w:hAnsi="Verdana"/>
          <w:sz w:val="18"/>
          <w:szCs w:val="18"/>
        </w:rPr>
      </w:pPr>
      <w:r w:rsidRPr="00237095">
        <w:rPr>
          <w:rFonts w:ascii="Verdana" w:hAnsi="Verdana"/>
          <w:sz w:val="18"/>
          <w:szCs w:val="18"/>
        </w:rPr>
        <w:t xml:space="preserve">El acuerdo de derivación de responsabilidad debe contener </w:t>
      </w:r>
      <w:r w:rsidRPr="00237095">
        <w:rPr>
          <w:rStyle w:val="Textoennegrita"/>
          <w:rFonts w:ascii="Verdana" w:hAnsi="Verdana"/>
          <w:sz w:val="18"/>
          <w:szCs w:val="18"/>
        </w:rPr>
        <w:t>motivación suficiente</w:t>
      </w:r>
      <w:r w:rsidRPr="00237095">
        <w:rPr>
          <w:rFonts w:ascii="Verdana" w:hAnsi="Verdana"/>
          <w:sz w:val="18"/>
          <w:szCs w:val="18"/>
        </w:rPr>
        <w:t>, identificando claramente:</w:t>
      </w:r>
    </w:p>
    <w:p w14:paraId="06E13F5B" w14:textId="77777777" w:rsidR="00237095" w:rsidRPr="00237095" w:rsidRDefault="00237095" w:rsidP="00FF6AF8">
      <w:pPr>
        <w:pStyle w:val="NormalWeb"/>
        <w:numPr>
          <w:ilvl w:val="1"/>
          <w:numId w:val="5"/>
        </w:numPr>
        <w:tabs>
          <w:tab w:val="clear" w:pos="1440"/>
          <w:tab w:val="left" w:pos="567"/>
          <w:tab w:val="num" w:pos="851"/>
        </w:tabs>
        <w:spacing w:before="0" w:beforeAutospacing="0" w:after="0" w:afterAutospacing="0"/>
        <w:ind w:left="567" w:firstLine="0"/>
        <w:jc w:val="both"/>
        <w:rPr>
          <w:rFonts w:ascii="Verdana" w:hAnsi="Verdana"/>
          <w:sz w:val="18"/>
          <w:szCs w:val="18"/>
        </w:rPr>
      </w:pPr>
      <w:r w:rsidRPr="00237095">
        <w:rPr>
          <w:rFonts w:ascii="Verdana" w:hAnsi="Verdana"/>
          <w:sz w:val="18"/>
          <w:szCs w:val="18"/>
        </w:rPr>
        <w:t xml:space="preserve">al </w:t>
      </w:r>
      <w:r w:rsidRPr="00237095">
        <w:rPr>
          <w:rStyle w:val="Textoennegrita"/>
          <w:rFonts w:ascii="Verdana" w:hAnsi="Verdana"/>
          <w:sz w:val="18"/>
          <w:szCs w:val="18"/>
        </w:rPr>
        <w:t>obligado tributario dominador</w:t>
      </w:r>
      <w:r w:rsidRPr="00237095">
        <w:rPr>
          <w:rFonts w:ascii="Verdana" w:hAnsi="Verdana"/>
          <w:sz w:val="18"/>
          <w:szCs w:val="18"/>
        </w:rPr>
        <w:t>,</w:t>
      </w:r>
    </w:p>
    <w:p w14:paraId="0A48278E" w14:textId="77777777" w:rsidR="00237095" w:rsidRPr="00237095" w:rsidRDefault="00237095" w:rsidP="00FF6AF8">
      <w:pPr>
        <w:pStyle w:val="NormalWeb"/>
        <w:numPr>
          <w:ilvl w:val="1"/>
          <w:numId w:val="5"/>
        </w:numPr>
        <w:tabs>
          <w:tab w:val="clear" w:pos="1440"/>
          <w:tab w:val="left" w:pos="567"/>
          <w:tab w:val="num" w:pos="851"/>
        </w:tabs>
        <w:spacing w:before="0" w:beforeAutospacing="0" w:after="0" w:afterAutospacing="0"/>
        <w:ind w:left="567" w:firstLine="0"/>
        <w:jc w:val="both"/>
        <w:rPr>
          <w:rFonts w:ascii="Verdana" w:hAnsi="Verdana"/>
          <w:sz w:val="18"/>
          <w:szCs w:val="18"/>
        </w:rPr>
      </w:pPr>
      <w:r w:rsidRPr="00237095">
        <w:rPr>
          <w:rFonts w:ascii="Verdana" w:hAnsi="Verdana"/>
          <w:sz w:val="18"/>
          <w:szCs w:val="18"/>
        </w:rPr>
        <w:t xml:space="preserve">las </w:t>
      </w:r>
      <w:r w:rsidRPr="00237095">
        <w:rPr>
          <w:rStyle w:val="Textoennegrita"/>
          <w:rFonts w:ascii="Verdana" w:hAnsi="Verdana"/>
          <w:sz w:val="18"/>
          <w:szCs w:val="18"/>
        </w:rPr>
        <w:t>deudas concretas</w:t>
      </w:r>
      <w:r w:rsidRPr="00237095">
        <w:rPr>
          <w:rFonts w:ascii="Verdana" w:hAnsi="Verdana"/>
          <w:sz w:val="18"/>
          <w:szCs w:val="18"/>
        </w:rPr>
        <w:t xml:space="preserve"> pendientes de este,</w:t>
      </w:r>
    </w:p>
    <w:p w14:paraId="0D222D7C" w14:textId="77777777" w:rsidR="00237095" w:rsidRDefault="00237095" w:rsidP="00FF6AF8">
      <w:pPr>
        <w:pStyle w:val="NormalWeb"/>
        <w:numPr>
          <w:ilvl w:val="1"/>
          <w:numId w:val="5"/>
        </w:numPr>
        <w:tabs>
          <w:tab w:val="clear" w:pos="1440"/>
          <w:tab w:val="left" w:pos="567"/>
          <w:tab w:val="num" w:pos="851"/>
        </w:tabs>
        <w:spacing w:before="0" w:beforeAutospacing="0" w:after="0" w:afterAutospacing="0" w:line="480" w:lineRule="auto"/>
        <w:ind w:left="567" w:firstLine="0"/>
        <w:contextualSpacing/>
        <w:jc w:val="both"/>
        <w:rPr>
          <w:rFonts w:ascii="Verdana" w:hAnsi="Verdana"/>
          <w:sz w:val="18"/>
          <w:szCs w:val="18"/>
        </w:rPr>
      </w:pPr>
      <w:r w:rsidRPr="00237095">
        <w:rPr>
          <w:rFonts w:ascii="Verdana" w:hAnsi="Verdana"/>
          <w:sz w:val="18"/>
          <w:szCs w:val="18"/>
        </w:rPr>
        <w:t>y la forma en que utilizó la sociedad para perjudicar el crédito tributario.</w:t>
      </w:r>
    </w:p>
    <w:p w14:paraId="733798AE" w14:textId="77777777" w:rsidR="00237095" w:rsidRPr="00237095" w:rsidRDefault="00237095" w:rsidP="00FF6AF8">
      <w:pPr>
        <w:pStyle w:val="NormalWeb"/>
        <w:numPr>
          <w:ilvl w:val="0"/>
          <w:numId w:val="5"/>
        </w:numPr>
        <w:tabs>
          <w:tab w:val="clear" w:pos="720"/>
        </w:tabs>
        <w:spacing w:before="0" w:beforeAutospacing="0" w:after="0" w:afterAutospacing="0"/>
        <w:ind w:left="567" w:hanging="283"/>
        <w:contextualSpacing/>
        <w:jc w:val="both"/>
        <w:rPr>
          <w:rFonts w:ascii="Verdana" w:hAnsi="Verdana"/>
          <w:sz w:val="18"/>
          <w:szCs w:val="18"/>
        </w:rPr>
      </w:pPr>
      <w:r w:rsidRPr="00237095">
        <w:rPr>
          <w:rFonts w:ascii="Verdana" w:hAnsi="Verdana"/>
          <w:sz w:val="18"/>
          <w:szCs w:val="18"/>
        </w:rPr>
        <w:t xml:space="preserve">En el caso concreto, la Administración </w:t>
      </w:r>
      <w:r w:rsidRPr="00FF6AF8">
        <w:rPr>
          <w:rFonts w:ascii="Verdana" w:hAnsi="Verdana"/>
          <w:b/>
          <w:bCs/>
          <w:sz w:val="18"/>
          <w:szCs w:val="18"/>
        </w:rPr>
        <w:t>no acreditó adecuadamente</w:t>
      </w:r>
      <w:r w:rsidRPr="00FF6AF8">
        <w:rPr>
          <w:rFonts w:ascii="Verdana" w:hAnsi="Verdana"/>
          <w:sz w:val="12"/>
          <w:szCs w:val="12"/>
        </w:rPr>
        <w:t xml:space="preserve"> </w:t>
      </w:r>
      <w:r w:rsidRPr="00237095">
        <w:rPr>
          <w:rFonts w:ascii="Verdana" w:hAnsi="Verdana"/>
          <w:sz w:val="18"/>
          <w:szCs w:val="18"/>
        </w:rPr>
        <w:t>estos elementos y se limitó a afirmar un poder amplio sobre la sociedad adquirente sin justificar la existencia de ánimo defraudatorio.</w:t>
      </w:r>
    </w:p>
    <w:p w14:paraId="36E9329D" w14:textId="313EFC4F" w:rsidR="00237095" w:rsidRDefault="00237095" w:rsidP="008E0375">
      <w:pPr>
        <w:pStyle w:val="NormalWeb"/>
        <w:ind w:left="284"/>
        <w:jc w:val="both"/>
        <w:rPr>
          <w:rFonts w:ascii="Verdana" w:hAnsi="Verdana"/>
          <w:sz w:val="18"/>
          <w:szCs w:val="18"/>
        </w:rPr>
      </w:pPr>
      <w:r w:rsidRPr="00237095">
        <w:rPr>
          <w:rFonts w:ascii="Verdana" w:hAnsi="Verdana"/>
          <w:sz w:val="18"/>
          <w:szCs w:val="18"/>
        </w:rPr>
        <w:t xml:space="preserve">El Tribunal Supremo </w:t>
      </w:r>
      <w:r w:rsidRPr="00237095">
        <w:rPr>
          <w:rStyle w:val="Textoennegrita"/>
          <w:rFonts w:ascii="Verdana" w:hAnsi="Verdana"/>
          <w:sz w:val="18"/>
          <w:szCs w:val="18"/>
        </w:rPr>
        <w:t>estima el recurso</w:t>
      </w:r>
      <w:r w:rsidRPr="00237095">
        <w:rPr>
          <w:rFonts w:ascii="Verdana" w:hAnsi="Verdana"/>
          <w:sz w:val="18"/>
          <w:szCs w:val="18"/>
        </w:rPr>
        <w:t xml:space="preserve">, anula la derivación de responsabilidad y confirma que </w:t>
      </w:r>
      <w:r w:rsidRPr="00237095">
        <w:rPr>
          <w:rStyle w:val="Textoennegrita"/>
          <w:rFonts w:ascii="Verdana" w:hAnsi="Verdana"/>
          <w:sz w:val="18"/>
          <w:szCs w:val="18"/>
        </w:rPr>
        <w:t>no basta la mera existencia de vínculos familiares o societarios</w:t>
      </w:r>
      <w:r w:rsidRPr="00237095">
        <w:rPr>
          <w:rFonts w:ascii="Verdana" w:hAnsi="Verdana"/>
          <w:sz w:val="18"/>
          <w:szCs w:val="18"/>
        </w:rPr>
        <w:t xml:space="preserve"> para apreciar un supuesto de responsabilidad subsidiaria por vaciamiento patrimonial; es imprescindible una </w:t>
      </w:r>
      <w:r w:rsidRPr="00237095">
        <w:rPr>
          <w:rStyle w:val="Textoennegrita"/>
          <w:rFonts w:ascii="Verdana" w:hAnsi="Verdana"/>
          <w:sz w:val="18"/>
          <w:szCs w:val="18"/>
        </w:rPr>
        <w:t>motivación técnica sólida y detallada</w:t>
      </w:r>
      <w:r w:rsidRPr="00237095">
        <w:rPr>
          <w:rFonts w:ascii="Verdana" w:hAnsi="Verdana"/>
          <w:sz w:val="18"/>
          <w:szCs w:val="18"/>
        </w:rPr>
        <w:t>.</w:t>
      </w:r>
    </w:p>
    <w:p w14:paraId="5D42F9AE" w14:textId="77777777" w:rsidR="00824684" w:rsidRDefault="00824684" w:rsidP="008E0375">
      <w:pPr>
        <w:pStyle w:val="NormalWeb"/>
        <w:ind w:left="284"/>
        <w:jc w:val="both"/>
        <w:rPr>
          <w:rFonts w:ascii="Verdana" w:hAnsi="Verdana"/>
          <w:sz w:val="18"/>
          <w:szCs w:val="18"/>
        </w:rPr>
      </w:pPr>
    </w:p>
    <w:tbl>
      <w:tblPr>
        <w:tblW w:w="8640" w:type="dxa"/>
        <w:tblInd w:w="70" w:type="dxa"/>
        <w:tblCellMar>
          <w:left w:w="70" w:type="dxa"/>
          <w:right w:w="70" w:type="dxa"/>
        </w:tblCellMar>
        <w:tblLook w:val="0000" w:firstRow="0" w:lastRow="0" w:firstColumn="0" w:lastColumn="0" w:noHBand="0" w:noVBand="0"/>
      </w:tblPr>
      <w:tblGrid>
        <w:gridCol w:w="180"/>
        <w:gridCol w:w="8460"/>
      </w:tblGrid>
      <w:tr w:rsidR="00005EB3" w:rsidRPr="00CE6E27" w14:paraId="02B037A0" w14:textId="77777777" w:rsidTr="00646179">
        <w:tc>
          <w:tcPr>
            <w:tcW w:w="180" w:type="dxa"/>
            <w:shd w:val="clear" w:color="auto" w:fill="FF6600"/>
          </w:tcPr>
          <w:p w14:paraId="4EF70B5C" w14:textId="77777777" w:rsidR="00005EB3" w:rsidRPr="00CE6E27" w:rsidRDefault="00005EB3" w:rsidP="00646179">
            <w:pPr>
              <w:ind w:left="360"/>
              <w:rPr>
                <w:rFonts w:ascii="Verdana" w:hAnsi="Verdana"/>
                <w:b/>
                <w:bCs/>
                <w:color w:val="800000"/>
                <w:sz w:val="18"/>
                <w:szCs w:val="18"/>
              </w:rPr>
            </w:pPr>
            <w:bookmarkStart w:id="4" w:name="_Hlk216538671"/>
          </w:p>
        </w:tc>
        <w:tc>
          <w:tcPr>
            <w:tcW w:w="8460" w:type="dxa"/>
          </w:tcPr>
          <w:p w14:paraId="767BB3DE" w14:textId="77777777" w:rsidR="00005EB3" w:rsidRPr="00CE6E27" w:rsidRDefault="00005EB3">
            <w:pPr>
              <w:numPr>
                <w:ilvl w:val="1"/>
                <w:numId w:val="3"/>
              </w:numPr>
              <w:tabs>
                <w:tab w:val="num" w:pos="242"/>
              </w:tabs>
              <w:ind w:left="242" w:hanging="242"/>
              <w:jc w:val="both"/>
              <w:rPr>
                <w:rFonts w:ascii="Verdana" w:hAnsi="Verdana"/>
                <w:b/>
                <w:bCs/>
                <w:color w:val="800000"/>
                <w:sz w:val="18"/>
                <w:szCs w:val="18"/>
              </w:rPr>
            </w:pPr>
            <w:r w:rsidRPr="00BE17E0">
              <w:rPr>
                <w:rFonts w:ascii="Verdana" w:hAnsi="Verdana"/>
                <w:b/>
                <w:bCs/>
                <w:color w:val="800000"/>
                <w:sz w:val="18"/>
                <w:szCs w:val="18"/>
              </w:rPr>
              <w:t>IVA.</w:t>
            </w:r>
            <w:r w:rsidRPr="00CE6E27">
              <w:rPr>
                <w:rFonts w:ascii="Verdana" w:hAnsi="Verdana"/>
                <w:b/>
                <w:bCs/>
                <w:color w:val="800000"/>
                <w:sz w:val="18"/>
                <w:szCs w:val="18"/>
              </w:rPr>
              <w:t xml:space="preserve"> - NO EXENCIÓN EN IVA DE COLABORACIONES DE PERSONAS FÍSICAS EN UN BLOG</w:t>
            </w:r>
          </w:p>
        </w:tc>
      </w:tr>
    </w:tbl>
    <w:bookmarkEnd w:id="4"/>
    <w:p w14:paraId="3FF802D1" w14:textId="0D43280F" w:rsidR="001D19A0" w:rsidRPr="00BE17E0" w:rsidRDefault="001D19A0" w:rsidP="001D19A0">
      <w:pPr>
        <w:spacing w:before="100" w:beforeAutospacing="1" w:after="100" w:afterAutospacing="1"/>
        <w:ind w:left="284"/>
        <w:jc w:val="both"/>
        <w:outlineLvl w:val="2"/>
        <w:rPr>
          <w:rFonts w:ascii="Verdana" w:hAnsi="Verdana"/>
          <w:sz w:val="18"/>
          <w:szCs w:val="18"/>
        </w:rPr>
      </w:pPr>
      <w:r w:rsidRPr="001D19A0">
        <w:rPr>
          <w:rFonts w:ascii="Verdana" w:hAnsi="Verdana"/>
          <w:sz w:val="18"/>
          <w:szCs w:val="18"/>
        </w:rPr>
        <w:t>El TEAR de Cataluña</w:t>
      </w:r>
      <w:r>
        <w:rPr>
          <w:rFonts w:ascii="Verdana" w:hAnsi="Verdana"/>
          <w:sz w:val="18"/>
          <w:szCs w:val="18"/>
        </w:rPr>
        <w:t xml:space="preserve"> en su resolución de 22 de agosto de 2025,</w:t>
      </w:r>
      <w:r w:rsidRPr="001D19A0">
        <w:rPr>
          <w:rFonts w:ascii="Verdana" w:hAnsi="Verdana"/>
          <w:sz w:val="18"/>
          <w:szCs w:val="18"/>
        </w:rPr>
        <w:t xml:space="preserve"> analiza si las colaboraciones realizadas por una persona física en un </w:t>
      </w:r>
      <w:r w:rsidRPr="001D19A0">
        <w:rPr>
          <w:rFonts w:ascii="Verdana" w:hAnsi="Verdana"/>
          <w:b/>
          <w:bCs/>
          <w:sz w:val="18"/>
          <w:szCs w:val="18"/>
        </w:rPr>
        <w:t>blog</w:t>
      </w:r>
      <w:r w:rsidRPr="001D19A0">
        <w:rPr>
          <w:rFonts w:ascii="Verdana" w:hAnsi="Verdana"/>
          <w:sz w:val="18"/>
          <w:szCs w:val="18"/>
        </w:rPr>
        <w:t xml:space="preserve"> pueden acogerse a la </w:t>
      </w:r>
      <w:r w:rsidRPr="001D19A0">
        <w:rPr>
          <w:rFonts w:ascii="Verdana" w:hAnsi="Verdana"/>
          <w:b/>
          <w:bCs/>
          <w:sz w:val="18"/>
          <w:szCs w:val="18"/>
        </w:rPr>
        <w:t>exención del IVA</w:t>
      </w:r>
      <w:r w:rsidRPr="001D19A0">
        <w:rPr>
          <w:rFonts w:ascii="Verdana" w:hAnsi="Verdana"/>
          <w:sz w:val="18"/>
          <w:szCs w:val="18"/>
        </w:rPr>
        <w:t xml:space="preserve"> prevista para escritores y colaboradores de </w:t>
      </w:r>
      <w:r w:rsidRPr="001D19A0">
        <w:rPr>
          <w:rFonts w:ascii="Verdana" w:hAnsi="Verdana"/>
          <w:b/>
          <w:bCs/>
          <w:sz w:val="18"/>
          <w:szCs w:val="18"/>
        </w:rPr>
        <w:t>periódicos y revistas</w:t>
      </w:r>
      <w:r w:rsidRPr="001D19A0">
        <w:rPr>
          <w:rFonts w:ascii="Verdana" w:hAnsi="Verdana"/>
          <w:sz w:val="18"/>
          <w:szCs w:val="18"/>
        </w:rPr>
        <w:t xml:space="preserve"> (art.20.Uno.26º</w:t>
      </w:r>
      <w:r w:rsidR="00824684">
        <w:rPr>
          <w:rFonts w:ascii="Verdana" w:hAnsi="Verdana"/>
          <w:sz w:val="18"/>
          <w:szCs w:val="18"/>
        </w:rPr>
        <w:t>).</w:t>
      </w:r>
      <w:r w:rsidRPr="001D19A0">
        <w:rPr>
          <w:rFonts w:ascii="Verdana" w:hAnsi="Verdana"/>
          <w:sz w:val="18"/>
          <w:szCs w:val="18"/>
        </w:rPr>
        <w:t xml:space="preserve"> </w:t>
      </w:r>
    </w:p>
    <w:p w14:paraId="7DBAA10D" w14:textId="41109524" w:rsidR="001D19A0" w:rsidRPr="00BE17E0" w:rsidRDefault="001D19A0" w:rsidP="001D19A0">
      <w:pPr>
        <w:spacing w:before="100" w:beforeAutospacing="1" w:after="100" w:afterAutospacing="1"/>
        <w:ind w:left="284"/>
        <w:jc w:val="both"/>
        <w:outlineLvl w:val="2"/>
        <w:rPr>
          <w:rFonts w:ascii="Verdana" w:hAnsi="Verdana"/>
          <w:b/>
          <w:bCs/>
          <w:sz w:val="18"/>
          <w:szCs w:val="18"/>
        </w:rPr>
      </w:pPr>
      <w:r w:rsidRPr="00BE17E0">
        <w:rPr>
          <w:rFonts w:ascii="Verdana" w:hAnsi="Verdana"/>
          <w:b/>
          <w:bCs/>
          <w:sz w:val="18"/>
          <w:szCs w:val="18"/>
        </w:rPr>
        <w:t>Criterio del Tribunal</w:t>
      </w:r>
    </w:p>
    <w:p w14:paraId="7BC1610C" w14:textId="77777777" w:rsidR="001D19A0" w:rsidRPr="00BE17E0" w:rsidRDefault="001D19A0" w:rsidP="00FF6AF8">
      <w:pPr>
        <w:numPr>
          <w:ilvl w:val="0"/>
          <w:numId w:val="6"/>
        </w:numPr>
        <w:tabs>
          <w:tab w:val="clear" w:pos="720"/>
        </w:tabs>
        <w:spacing w:before="100" w:beforeAutospacing="1" w:after="100" w:afterAutospacing="1"/>
        <w:ind w:left="567" w:hanging="283"/>
        <w:jc w:val="both"/>
        <w:rPr>
          <w:rFonts w:ascii="Verdana" w:hAnsi="Verdana"/>
          <w:sz w:val="18"/>
          <w:szCs w:val="18"/>
        </w:rPr>
      </w:pPr>
      <w:r w:rsidRPr="00BE17E0">
        <w:rPr>
          <w:rFonts w:ascii="Verdana" w:hAnsi="Verdana"/>
          <w:sz w:val="18"/>
          <w:szCs w:val="18"/>
        </w:rPr>
        <w:t xml:space="preserve">La exención se aplica únicamente a colaboraciones realizadas </w:t>
      </w:r>
      <w:r w:rsidRPr="00BE17E0">
        <w:rPr>
          <w:rFonts w:ascii="Verdana" w:hAnsi="Verdana"/>
          <w:b/>
          <w:bCs/>
          <w:sz w:val="18"/>
          <w:szCs w:val="18"/>
        </w:rPr>
        <w:t>para periódicos y revistas</w:t>
      </w:r>
      <w:r w:rsidRPr="00BE17E0">
        <w:rPr>
          <w:rFonts w:ascii="Verdana" w:hAnsi="Verdana"/>
          <w:sz w:val="18"/>
          <w:szCs w:val="18"/>
        </w:rPr>
        <w:t xml:space="preserve">, en formato </w:t>
      </w:r>
      <w:r w:rsidRPr="00BE17E0">
        <w:rPr>
          <w:rFonts w:ascii="Verdana" w:hAnsi="Verdana"/>
          <w:b/>
          <w:bCs/>
          <w:sz w:val="18"/>
          <w:szCs w:val="18"/>
        </w:rPr>
        <w:t>escrito o digital</w:t>
      </w:r>
      <w:r w:rsidRPr="00BE17E0">
        <w:rPr>
          <w:rFonts w:ascii="Verdana" w:hAnsi="Verdana"/>
          <w:sz w:val="18"/>
          <w:szCs w:val="18"/>
        </w:rPr>
        <w:t>.</w:t>
      </w:r>
    </w:p>
    <w:p w14:paraId="44B4FB7A" w14:textId="77777777" w:rsidR="001D19A0" w:rsidRPr="00BE17E0" w:rsidRDefault="001D19A0" w:rsidP="00FF6AF8">
      <w:pPr>
        <w:numPr>
          <w:ilvl w:val="0"/>
          <w:numId w:val="6"/>
        </w:numPr>
        <w:tabs>
          <w:tab w:val="clear" w:pos="720"/>
        </w:tabs>
        <w:spacing w:before="100" w:beforeAutospacing="1" w:after="100" w:afterAutospacing="1"/>
        <w:ind w:left="567" w:hanging="283"/>
        <w:jc w:val="both"/>
        <w:rPr>
          <w:rFonts w:ascii="Verdana" w:hAnsi="Verdana"/>
          <w:sz w:val="18"/>
          <w:szCs w:val="18"/>
        </w:rPr>
      </w:pPr>
      <w:r w:rsidRPr="00BE17E0">
        <w:rPr>
          <w:rFonts w:ascii="Verdana" w:hAnsi="Verdana"/>
          <w:sz w:val="18"/>
          <w:szCs w:val="18"/>
        </w:rPr>
        <w:t xml:space="preserve">El Tribunal afirma que </w:t>
      </w:r>
      <w:r w:rsidRPr="00BE17E0">
        <w:rPr>
          <w:rFonts w:ascii="Verdana" w:hAnsi="Verdana"/>
          <w:b/>
          <w:bCs/>
          <w:sz w:val="18"/>
          <w:szCs w:val="18"/>
        </w:rPr>
        <w:t>no puede extenderse a los blogs</w:t>
      </w:r>
      <w:r w:rsidRPr="00BE17E0">
        <w:rPr>
          <w:rFonts w:ascii="Verdana" w:hAnsi="Verdana"/>
          <w:sz w:val="18"/>
          <w:szCs w:val="18"/>
        </w:rPr>
        <w:t>, aunque estos tengan finalidad informativa o editorial.</w:t>
      </w:r>
    </w:p>
    <w:p w14:paraId="6E20435F" w14:textId="587AFEDE" w:rsidR="001D19A0" w:rsidRPr="00BE17E0" w:rsidRDefault="001D19A0" w:rsidP="00FF6AF8">
      <w:pPr>
        <w:numPr>
          <w:ilvl w:val="0"/>
          <w:numId w:val="6"/>
        </w:numPr>
        <w:tabs>
          <w:tab w:val="clear" w:pos="720"/>
        </w:tabs>
        <w:spacing w:before="100" w:beforeAutospacing="1" w:after="100" w:afterAutospacing="1"/>
        <w:ind w:left="567" w:hanging="283"/>
        <w:jc w:val="both"/>
        <w:rPr>
          <w:rFonts w:ascii="Verdana" w:hAnsi="Verdana"/>
          <w:sz w:val="18"/>
          <w:szCs w:val="18"/>
        </w:rPr>
      </w:pPr>
      <w:r w:rsidRPr="00BE17E0">
        <w:rPr>
          <w:rFonts w:ascii="Verdana" w:hAnsi="Verdana"/>
          <w:sz w:val="18"/>
          <w:szCs w:val="18"/>
        </w:rPr>
        <w:t xml:space="preserve">Recuerda que se trata de una exención </w:t>
      </w:r>
      <w:r w:rsidRPr="00BE17E0">
        <w:rPr>
          <w:rFonts w:ascii="Verdana" w:hAnsi="Verdana"/>
          <w:b/>
          <w:bCs/>
          <w:sz w:val="18"/>
          <w:szCs w:val="18"/>
        </w:rPr>
        <w:t>limitada por destino</w:t>
      </w:r>
      <w:r w:rsidRPr="00BE17E0">
        <w:rPr>
          <w:rFonts w:ascii="Verdana" w:hAnsi="Verdana"/>
          <w:sz w:val="18"/>
          <w:szCs w:val="18"/>
        </w:rPr>
        <w:t xml:space="preserve"> y sujeta a la cláusula </w:t>
      </w:r>
      <w:r w:rsidRPr="00BE17E0">
        <w:rPr>
          <w:rFonts w:ascii="Verdana" w:hAnsi="Verdana"/>
          <w:b/>
          <w:bCs/>
          <w:sz w:val="18"/>
          <w:szCs w:val="18"/>
        </w:rPr>
        <w:t xml:space="preserve">“stand </w:t>
      </w:r>
      <w:proofErr w:type="spellStart"/>
      <w:r w:rsidRPr="00BE17E0">
        <w:rPr>
          <w:rFonts w:ascii="Verdana" w:hAnsi="Verdana"/>
          <w:b/>
          <w:bCs/>
          <w:sz w:val="18"/>
          <w:szCs w:val="18"/>
        </w:rPr>
        <w:t>still</w:t>
      </w:r>
      <w:proofErr w:type="spellEnd"/>
      <w:r w:rsidRPr="00BE17E0">
        <w:rPr>
          <w:rFonts w:ascii="Verdana" w:hAnsi="Verdana"/>
          <w:b/>
          <w:bCs/>
          <w:sz w:val="18"/>
          <w:szCs w:val="18"/>
        </w:rPr>
        <w:t>”</w:t>
      </w:r>
      <w:r w:rsidRPr="00BE17E0">
        <w:rPr>
          <w:rFonts w:ascii="Verdana" w:hAnsi="Verdana"/>
          <w:sz w:val="18"/>
          <w:szCs w:val="18"/>
        </w:rPr>
        <w:t xml:space="preserve"> de la Directiva 2006/112/CE, que impide ampliar el ámbito existente a 1-1-1993.</w:t>
      </w:r>
    </w:p>
    <w:p w14:paraId="66C57B5C" w14:textId="77777777" w:rsidR="001D19A0" w:rsidRPr="00BE17E0" w:rsidRDefault="001D19A0" w:rsidP="001D19A0">
      <w:pPr>
        <w:spacing w:before="100" w:beforeAutospacing="1" w:after="100" w:afterAutospacing="1"/>
        <w:ind w:left="284"/>
        <w:jc w:val="both"/>
        <w:outlineLvl w:val="2"/>
        <w:rPr>
          <w:rFonts w:ascii="Verdana" w:hAnsi="Verdana"/>
          <w:b/>
          <w:bCs/>
          <w:sz w:val="18"/>
          <w:szCs w:val="18"/>
        </w:rPr>
      </w:pPr>
      <w:r w:rsidRPr="00BE17E0">
        <w:rPr>
          <w:rFonts w:ascii="Verdana" w:hAnsi="Verdana"/>
          <w:b/>
          <w:bCs/>
          <w:sz w:val="18"/>
          <w:szCs w:val="18"/>
        </w:rPr>
        <w:t>Otros aspectos relevantes</w:t>
      </w:r>
    </w:p>
    <w:p w14:paraId="499C7875" w14:textId="77777777" w:rsidR="00BE17E0" w:rsidRPr="00BE17E0" w:rsidRDefault="001D19A0" w:rsidP="00BE17E0">
      <w:pPr>
        <w:numPr>
          <w:ilvl w:val="0"/>
          <w:numId w:val="7"/>
        </w:numPr>
        <w:spacing w:before="100" w:beforeAutospacing="1" w:after="100" w:afterAutospacing="1"/>
        <w:ind w:left="284" w:firstLine="0"/>
        <w:rPr>
          <w:rFonts w:ascii="Verdana" w:hAnsi="Verdana"/>
          <w:sz w:val="18"/>
          <w:szCs w:val="18"/>
        </w:rPr>
      </w:pPr>
      <w:r w:rsidRPr="00BE17E0">
        <w:rPr>
          <w:rFonts w:ascii="Verdana" w:hAnsi="Verdana"/>
          <w:b/>
          <w:bCs/>
          <w:sz w:val="18"/>
          <w:szCs w:val="18"/>
        </w:rPr>
        <w:t>Cuotas deducibles:</w:t>
      </w:r>
    </w:p>
    <w:p w14:paraId="411A6F55" w14:textId="0C5DE6C6" w:rsidR="001D19A0" w:rsidRPr="00BE17E0" w:rsidRDefault="001D19A0" w:rsidP="00BE17E0">
      <w:pPr>
        <w:spacing w:before="100" w:beforeAutospacing="1" w:after="100" w:afterAutospacing="1"/>
        <w:ind w:left="284"/>
        <w:rPr>
          <w:rFonts w:ascii="Verdana" w:hAnsi="Verdana"/>
          <w:sz w:val="18"/>
          <w:szCs w:val="18"/>
        </w:rPr>
      </w:pPr>
      <w:r w:rsidRPr="00BE17E0">
        <w:rPr>
          <w:rFonts w:ascii="Verdana" w:hAnsi="Verdana"/>
          <w:sz w:val="18"/>
          <w:szCs w:val="18"/>
        </w:rPr>
        <w:t xml:space="preserve">La regularización realizada por la Administración es incorrecta, pues el contribuyente </w:t>
      </w:r>
      <w:r w:rsidRPr="00BE17E0">
        <w:rPr>
          <w:rFonts w:ascii="Verdana" w:hAnsi="Verdana"/>
          <w:b/>
          <w:bCs/>
          <w:sz w:val="18"/>
          <w:szCs w:val="18"/>
        </w:rPr>
        <w:t>no había deducido cuotas soportadas</w:t>
      </w:r>
      <w:r w:rsidRPr="00BE17E0">
        <w:rPr>
          <w:rFonts w:ascii="Verdana" w:hAnsi="Verdana"/>
          <w:sz w:val="18"/>
          <w:szCs w:val="18"/>
        </w:rPr>
        <w:t xml:space="preserve">. Conforme al principio de </w:t>
      </w:r>
      <w:r w:rsidRPr="00BE17E0">
        <w:rPr>
          <w:rFonts w:ascii="Verdana" w:hAnsi="Verdana"/>
          <w:b/>
          <w:bCs/>
          <w:sz w:val="18"/>
          <w:szCs w:val="18"/>
        </w:rPr>
        <w:t>regularización íntegra</w:t>
      </w:r>
      <w:r w:rsidRPr="00BE17E0">
        <w:rPr>
          <w:rFonts w:ascii="Verdana" w:hAnsi="Verdana"/>
          <w:sz w:val="18"/>
          <w:szCs w:val="18"/>
        </w:rPr>
        <w:t>, debió solicitarse también el ajuste de dichas cuotas.</w:t>
      </w:r>
    </w:p>
    <w:p w14:paraId="1484B1C3" w14:textId="77777777" w:rsidR="00A4213E" w:rsidRPr="00A4213E" w:rsidRDefault="001D19A0" w:rsidP="000A2B39">
      <w:pPr>
        <w:numPr>
          <w:ilvl w:val="0"/>
          <w:numId w:val="7"/>
        </w:numPr>
        <w:spacing w:before="100" w:beforeAutospacing="1" w:after="100" w:afterAutospacing="1"/>
        <w:ind w:left="284" w:firstLine="0"/>
        <w:rPr>
          <w:rFonts w:ascii="Verdana" w:hAnsi="Verdana"/>
          <w:sz w:val="18"/>
          <w:szCs w:val="18"/>
        </w:rPr>
      </w:pPr>
      <w:r w:rsidRPr="00BE17E0">
        <w:rPr>
          <w:rFonts w:ascii="Verdana" w:hAnsi="Verdana"/>
          <w:b/>
          <w:bCs/>
          <w:sz w:val="18"/>
          <w:szCs w:val="18"/>
        </w:rPr>
        <w:t>Sanción anulada:</w:t>
      </w:r>
    </w:p>
    <w:p w14:paraId="2E2DF3D6" w14:textId="2607CE5E" w:rsidR="001D19A0" w:rsidRPr="00BE17E0" w:rsidRDefault="001D19A0" w:rsidP="00FF6AF8">
      <w:pPr>
        <w:ind w:left="284"/>
        <w:rPr>
          <w:rFonts w:ascii="Verdana" w:hAnsi="Verdana"/>
          <w:sz w:val="18"/>
          <w:szCs w:val="18"/>
        </w:rPr>
      </w:pPr>
      <w:r w:rsidRPr="00BE17E0">
        <w:rPr>
          <w:rFonts w:ascii="Verdana" w:hAnsi="Verdana"/>
          <w:b/>
          <w:bCs/>
          <w:sz w:val="18"/>
          <w:szCs w:val="18"/>
        </w:rPr>
        <w:br/>
      </w:r>
      <w:r w:rsidRPr="00BE17E0">
        <w:rPr>
          <w:rFonts w:ascii="Verdana" w:hAnsi="Verdana"/>
          <w:sz w:val="18"/>
          <w:szCs w:val="18"/>
        </w:rPr>
        <w:t>Se elimina la sanción por:</w:t>
      </w:r>
    </w:p>
    <w:p w14:paraId="33F0180F" w14:textId="77777777" w:rsidR="001D19A0" w:rsidRPr="00BE17E0" w:rsidRDefault="001D19A0" w:rsidP="00FF6AF8">
      <w:pPr>
        <w:numPr>
          <w:ilvl w:val="1"/>
          <w:numId w:val="7"/>
        </w:numPr>
        <w:tabs>
          <w:tab w:val="clear" w:pos="1440"/>
        </w:tabs>
        <w:ind w:left="284" w:firstLine="0"/>
        <w:jc w:val="both"/>
        <w:rPr>
          <w:rFonts w:ascii="Verdana" w:hAnsi="Verdana"/>
          <w:sz w:val="18"/>
          <w:szCs w:val="18"/>
        </w:rPr>
      </w:pPr>
      <w:r w:rsidRPr="00BE17E0">
        <w:rPr>
          <w:rFonts w:ascii="Verdana" w:hAnsi="Verdana"/>
          <w:sz w:val="18"/>
          <w:szCs w:val="18"/>
        </w:rPr>
        <w:t>falta de motivación sobre la culpabilidad,</w:t>
      </w:r>
    </w:p>
    <w:p w14:paraId="1CD7BD96" w14:textId="706FE6E9" w:rsidR="001D19A0" w:rsidRPr="00BE17E0" w:rsidRDefault="001D19A0" w:rsidP="00FF6AF8">
      <w:pPr>
        <w:numPr>
          <w:ilvl w:val="1"/>
          <w:numId w:val="7"/>
        </w:numPr>
        <w:tabs>
          <w:tab w:val="clear" w:pos="1440"/>
        </w:tabs>
        <w:ind w:left="709" w:hanging="425"/>
        <w:jc w:val="both"/>
        <w:rPr>
          <w:rFonts w:ascii="Verdana" w:hAnsi="Verdana"/>
          <w:sz w:val="18"/>
          <w:szCs w:val="18"/>
        </w:rPr>
      </w:pPr>
      <w:r w:rsidRPr="00BE17E0">
        <w:rPr>
          <w:rFonts w:ascii="Verdana" w:hAnsi="Verdana"/>
          <w:sz w:val="18"/>
          <w:szCs w:val="18"/>
        </w:rPr>
        <w:t xml:space="preserve">existencia de </w:t>
      </w:r>
      <w:r w:rsidRPr="00BE17E0">
        <w:rPr>
          <w:rFonts w:ascii="Verdana" w:hAnsi="Verdana"/>
          <w:b/>
          <w:bCs/>
          <w:sz w:val="18"/>
          <w:szCs w:val="18"/>
        </w:rPr>
        <w:t>duda interpretativa razonable</w:t>
      </w:r>
      <w:r w:rsidRPr="00BE17E0">
        <w:rPr>
          <w:rFonts w:ascii="Verdana" w:hAnsi="Verdana"/>
          <w:sz w:val="18"/>
          <w:szCs w:val="18"/>
        </w:rPr>
        <w:t xml:space="preserve"> (especialmente sobre si un blog es un     medio de comunicación),</w:t>
      </w:r>
    </w:p>
    <w:p w14:paraId="1B90D792" w14:textId="77777777" w:rsidR="001D19A0" w:rsidRPr="00BE17E0" w:rsidRDefault="001D19A0" w:rsidP="00A4213E">
      <w:pPr>
        <w:numPr>
          <w:ilvl w:val="1"/>
          <w:numId w:val="7"/>
        </w:numPr>
        <w:tabs>
          <w:tab w:val="clear" w:pos="1440"/>
        </w:tabs>
        <w:spacing w:before="100" w:beforeAutospacing="1" w:after="100" w:afterAutospacing="1"/>
        <w:ind w:left="709" w:hanging="425"/>
        <w:jc w:val="both"/>
        <w:rPr>
          <w:rFonts w:ascii="Verdana" w:hAnsi="Verdana"/>
          <w:sz w:val="18"/>
          <w:szCs w:val="18"/>
        </w:rPr>
      </w:pPr>
      <w:r w:rsidRPr="00BE17E0">
        <w:rPr>
          <w:rFonts w:ascii="Verdana" w:hAnsi="Verdana"/>
          <w:sz w:val="18"/>
          <w:szCs w:val="18"/>
        </w:rPr>
        <w:t>incumplimiento de la doctrina consolidada del Tribunal Supremo y Tribunal Constitucional acerca de la necesidad de motivación individualizada y la prohibición de sancionar por el mero resultado objetivo.</w:t>
      </w:r>
    </w:p>
    <w:p w14:paraId="1EAAB8BC" w14:textId="77777777" w:rsidR="001D19A0" w:rsidRPr="00BE17E0" w:rsidRDefault="001D19A0" w:rsidP="001D19A0">
      <w:pPr>
        <w:spacing w:before="100" w:beforeAutospacing="1" w:after="100" w:afterAutospacing="1"/>
        <w:ind w:left="284"/>
        <w:jc w:val="both"/>
        <w:outlineLvl w:val="2"/>
        <w:rPr>
          <w:rFonts w:ascii="Verdana" w:hAnsi="Verdana"/>
          <w:b/>
          <w:bCs/>
          <w:sz w:val="18"/>
          <w:szCs w:val="18"/>
        </w:rPr>
      </w:pPr>
      <w:r w:rsidRPr="00BE17E0">
        <w:rPr>
          <w:rFonts w:ascii="Verdana" w:hAnsi="Verdana"/>
          <w:b/>
          <w:bCs/>
          <w:sz w:val="18"/>
          <w:szCs w:val="18"/>
        </w:rPr>
        <w:t>Conclusión</w:t>
      </w:r>
    </w:p>
    <w:p w14:paraId="167DBCB9" w14:textId="77777777" w:rsidR="001D19A0" w:rsidRDefault="001D19A0" w:rsidP="001D19A0">
      <w:pPr>
        <w:spacing w:before="100" w:beforeAutospacing="1" w:after="100" w:afterAutospacing="1"/>
        <w:ind w:left="284"/>
        <w:jc w:val="both"/>
        <w:rPr>
          <w:rFonts w:ascii="Verdana" w:hAnsi="Verdana"/>
          <w:sz w:val="18"/>
          <w:szCs w:val="18"/>
        </w:rPr>
      </w:pPr>
      <w:r w:rsidRPr="00BE17E0">
        <w:rPr>
          <w:rFonts w:ascii="Verdana" w:hAnsi="Verdana"/>
          <w:sz w:val="18"/>
          <w:szCs w:val="18"/>
        </w:rPr>
        <w:t xml:space="preserve">El TEAR </w:t>
      </w:r>
      <w:r w:rsidRPr="00BE17E0">
        <w:rPr>
          <w:rFonts w:ascii="Verdana" w:hAnsi="Verdana"/>
          <w:b/>
          <w:bCs/>
          <w:sz w:val="18"/>
          <w:szCs w:val="18"/>
        </w:rPr>
        <w:t>estima parcialmente</w:t>
      </w:r>
      <w:r w:rsidRPr="00BE17E0">
        <w:rPr>
          <w:rFonts w:ascii="Verdana" w:hAnsi="Verdana"/>
          <w:sz w:val="18"/>
          <w:szCs w:val="18"/>
        </w:rPr>
        <w:t xml:space="preserve"> la reclamación: mantiene la tributación por IVA de las colaboraciones en blogs, pero corrige la regularización en deducciones y </w:t>
      </w:r>
      <w:r w:rsidRPr="00BE17E0">
        <w:rPr>
          <w:rFonts w:ascii="Verdana" w:hAnsi="Verdana"/>
          <w:b/>
          <w:bCs/>
          <w:sz w:val="18"/>
          <w:szCs w:val="18"/>
        </w:rPr>
        <w:t>anula la sanción</w:t>
      </w:r>
      <w:r w:rsidRPr="00BE17E0">
        <w:rPr>
          <w:rFonts w:ascii="Verdana" w:hAnsi="Verdana"/>
          <w:sz w:val="18"/>
          <w:szCs w:val="18"/>
        </w:rPr>
        <w:t xml:space="preserve"> impuesta.</w:t>
      </w:r>
    </w:p>
    <w:p w14:paraId="774C0073" w14:textId="77777777" w:rsidR="00FF6AF8" w:rsidRPr="00BE17E0" w:rsidRDefault="00FF6AF8" w:rsidP="00FF6AF8">
      <w:pPr>
        <w:ind w:left="284"/>
        <w:jc w:val="both"/>
        <w:rPr>
          <w:rFonts w:ascii="Verdana" w:hAnsi="Verdana"/>
          <w:sz w:val="18"/>
          <w:szCs w:val="18"/>
        </w:rPr>
      </w:pPr>
    </w:p>
    <w:tbl>
      <w:tblPr>
        <w:tblW w:w="8640" w:type="dxa"/>
        <w:tblInd w:w="70" w:type="dxa"/>
        <w:tblCellMar>
          <w:left w:w="70" w:type="dxa"/>
          <w:right w:w="70" w:type="dxa"/>
        </w:tblCellMar>
        <w:tblLook w:val="0000" w:firstRow="0" w:lastRow="0" w:firstColumn="0" w:lastColumn="0" w:noHBand="0" w:noVBand="0"/>
      </w:tblPr>
      <w:tblGrid>
        <w:gridCol w:w="180"/>
        <w:gridCol w:w="8460"/>
      </w:tblGrid>
      <w:tr w:rsidR="00F148E8" w:rsidRPr="00F148E8" w14:paraId="722F5455" w14:textId="77777777" w:rsidTr="00646179">
        <w:tc>
          <w:tcPr>
            <w:tcW w:w="180" w:type="dxa"/>
            <w:shd w:val="clear" w:color="auto" w:fill="FF6600"/>
          </w:tcPr>
          <w:p w14:paraId="3136D8ED" w14:textId="77777777" w:rsidR="00F148E8" w:rsidRPr="00F148E8" w:rsidRDefault="00F148E8" w:rsidP="00646179">
            <w:pPr>
              <w:ind w:left="360"/>
              <w:rPr>
                <w:rFonts w:ascii="Verdana" w:hAnsi="Verdana"/>
                <w:b/>
                <w:bCs/>
                <w:color w:val="800000"/>
                <w:sz w:val="18"/>
                <w:szCs w:val="18"/>
              </w:rPr>
            </w:pPr>
            <w:bookmarkStart w:id="5" w:name="_Hlk216802956"/>
          </w:p>
        </w:tc>
        <w:tc>
          <w:tcPr>
            <w:tcW w:w="8460" w:type="dxa"/>
          </w:tcPr>
          <w:p w14:paraId="202CCFDF" w14:textId="087455A7" w:rsidR="00F148E8" w:rsidRPr="00F148E8" w:rsidRDefault="00F148E8">
            <w:pPr>
              <w:numPr>
                <w:ilvl w:val="1"/>
                <w:numId w:val="3"/>
              </w:numPr>
              <w:tabs>
                <w:tab w:val="num" w:pos="242"/>
              </w:tabs>
              <w:ind w:left="242" w:hanging="242"/>
              <w:jc w:val="both"/>
              <w:rPr>
                <w:rFonts w:ascii="Verdana" w:hAnsi="Verdana"/>
                <w:b/>
                <w:bCs/>
                <w:color w:val="800000"/>
                <w:sz w:val="18"/>
                <w:szCs w:val="18"/>
              </w:rPr>
            </w:pPr>
            <w:r w:rsidRPr="00F148E8">
              <w:rPr>
                <w:rFonts w:ascii="Verdana" w:hAnsi="Verdana"/>
                <w:b/>
                <w:bCs/>
                <w:color w:val="800000"/>
                <w:sz w:val="18"/>
                <w:szCs w:val="18"/>
              </w:rPr>
              <w:t>UTILIZACIÓN DE MEDIOS ELECTRÓNICOS, INFORMÁTICOS Y TELEMÁTICOS PARA LA INTERPOSICIÓN, TRAMITACIÓN Y RESOLUCIÓN DE LAS RECLAMACIONES Y RECURSOS EN VÍA ECONÓMICO-ADMINISTRATIVA POR LOS OBLIGADOS TRIBUTARIOS</w:t>
            </w:r>
          </w:p>
        </w:tc>
      </w:tr>
    </w:tbl>
    <w:bookmarkEnd w:id="5"/>
    <w:p w14:paraId="5F4B8345" w14:textId="44456056" w:rsidR="00BD2F80" w:rsidRPr="00BD2F80" w:rsidRDefault="00BD2F80" w:rsidP="00BD2F80">
      <w:pPr>
        <w:spacing w:before="100" w:beforeAutospacing="1" w:after="100" w:afterAutospacing="1"/>
        <w:ind w:left="426"/>
        <w:jc w:val="both"/>
        <w:rPr>
          <w:rFonts w:ascii="Verdana" w:hAnsi="Verdana"/>
          <w:sz w:val="18"/>
          <w:szCs w:val="18"/>
        </w:rPr>
      </w:pPr>
      <w:r w:rsidRPr="00BD2F80">
        <w:rPr>
          <w:rFonts w:ascii="Verdana" w:hAnsi="Verdana"/>
          <w:sz w:val="18"/>
          <w:szCs w:val="18"/>
        </w:rPr>
        <w:t xml:space="preserve">En el BOE de 2 de diciembre de 2025 se ha publicado la </w:t>
      </w:r>
      <w:r w:rsidRPr="00BD2F80">
        <w:rPr>
          <w:rFonts w:ascii="Verdana" w:hAnsi="Verdana"/>
          <w:b/>
          <w:bCs/>
          <w:sz w:val="18"/>
          <w:szCs w:val="18"/>
        </w:rPr>
        <w:t>Orden HAC/1361/2025, de 20 de noviembre</w:t>
      </w:r>
      <w:r w:rsidRPr="00BD2F80">
        <w:rPr>
          <w:rFonts w:ascii="Verdana" w:hAnsi="Verdana"/>
          <w:sz w:val="18"/>
          <w:szCs w:val="18"/>
        </w:rPr>
        <w:t xml:space="preserve">, que regula de forma específica la </w:t>
      </w:r>
      <w:r w:rsidRPr="00BD2F80">
        <w:rPr>
          <w:rFonts w:ascii="Verdana" w:hAnsi="Verdana"/>
          <w:b/>
          <w:bCs/>
          <w:sz w:val="18"/>
          <w:szCs w:val="18"/>
        </w:rPr>
        <w:t>utilización de medios electrónicos, informáticos y telemáticos</w:t>
      </w:r>
      <w:r w:rsidRPr="00BD2F80">
        <w:rPr>
          <w:rFonts w:ascii="Verdana" w:hAnsi="Verdana"/>
          <w:sz w:val="18"/>
          <w:szCs w:val="18"/>
        </w:rPr>
        <w:t xml:space="preserve"> para la interposición, tramitación y resolución de las reclamaciones y recursos en la vía económico-administrativa, así como la aprobación de nuevos </w:t>
      </w:r>
      <w:r w:rsidRPr="00BD2F80">
        <w:rPr>
          <w:rFonts w:ascii="Verdana" w:hAnsi="Verdana"/>
          <w:b/>
          <w:bCs/>
          <w:sz w:val="18"/>
          <w:szCs w:val="18"/>
        </w:rPr>
        <w:t>formularios normalizados</w:t>
      </w:r>
      <w:r w:rsidR="00BE17E0">
        <w:rPr>
          <w:rFonts w:ascii="Verdana" w:hAnsi="Verdana"/>
          <w:b/>
          <w:bCs/>
          <w:sz w:val="18"/>
          <w:szCs w:val="18"/>
        </w:rPr>
        <w:t>.</w:t>
      </w:r>
      <w:r w:rsidRPr="00BD2F80">
        <w:rPr>
          <w:rFonts w:ascii="Verdana" w:hAnsi="Verdana"/>
          <w:sz w:val="18"/>
          <w:szCs w:val="18"/>
        </w:rPr>
        <w:t xml:space="preserve"> </w:t>
      </w:r>
    </w:p>
    <w:p w14:paraId="2857EE21" w14:textId="77777777" w:rsidR="00BD2F80" w:rsidRPr="00BD2F80" w:rsidRDefault="00BD2F80" w:rsidP="00BD2F80">
      <w:pPr>
        <w:spacing w:before="100" w:beforeAutospacing="1" w:after="100" w:afterAutospacing="1"/>
        <w:ind w:left="426"/>
        <w:jc w:val="both"/>
        <w:rPr>
          <w:rFonts w:ascii="Verdana" w:hAnsi="Verdana"/>
          <w:sz w:val="18"/>
          <w:szCs w:val="18"/>
        </w:rPr>
      </w:pPr>
      <w:r w:rsidRPr="00BD2F80">
        <w:rPr>
          <w:rFonts w:ascii="Verdana" w:hAnsi="Verdana"/>
          <w:sz w:val="18"/>
          <w:szCs w:val="18"/>
        </w:rPr>
        <w:t xml:space="preserve">La norma tiene como finalidad </w:t>
      </w:r>
      <w:r w:rsidRPr="00BD2F80">
        <w:rPr>
          <w:rFonts w:ascii="Verdana" w:hAnsi="Verdana"/>
          <w:b/>
          <w:bCs/>
          <w:sz w:val="18"/>
          <w:szCs w:val="18"/>
        </w:rPr>
        <w:t>simplificar y facilitar las relaciones de los obligados tributarios con los Tribunales Económico-Administrativos</w:t>
      </w:r>
      <w:r w:rsidRPr="00BD2F80">
        <w:rPr>
          <w:rFonts w:ascii="Verdana" w:hAnsi="Verdana"/>
          <w:sz w:val="18"/>
          <w:szCs w:val="18"/>
        </w:rPr>
        <w:t>, clarificando los canales electrónicos disponibles para cada tipo de reclamación o recurso y estandarizando los trámites mediante formularios específicos.</w:t>
      </w:r>
    </w:p>
    <w:p w14:paraId="50573BC2" w14:textId="315D47EB" w:rsidR="00BD2F80" w:rsidRPr="00BD2F80" w:rsidRDefault="00BD2F80" w:rsidP="00BD2F80">
      <w:pPr>
        <w:spacing w:before="100" w:beforeAutospacing="1" w:after="100" w:afterAutospacing="1"/>
        <w:ind w:left="426"/>
        <w:jc w:val="both"/>
        <w:rPr>
          <w:rFonts w:ascii="Verdana" w:hAnsi="Verdana"/>
          <w:sz w:val="18"/>
          <w:szCs w:val="18"/>
        </w:rPr>
      </w:pPr>
      <w:r w:rsidRPr="00BD2F80">
        <w:rPr>
          <w:rFonts w:ascii="Verdana" w:hAnsi="Verdana"/>
          <w:sz w:val="18"/>
          <w:szCs w:val="18"/>
        </w:rPr>
        <w:lastRenderedPageBreak/>
        <w:t xml:space="preserve">Asimismo, se establece la plena aplicación en la vía económico-administrativa de la normativa vigente en la </w:t>
      </w:r>
      <w:r w:rsidRPr="00BD2F80">
        <w:rPr>
          <w:rFonts w:ascii="Verdana" w:hAnsi="Verdana"/>
          <w:b/>
          <w:bCs/>
          <w:sz w:val="18"/>
          <w:szCs w:val="18"/>
        </w:rPr>
        <w:t>Agencia Estatal de Administración Tributaria</w:t>
      </w:r>
      <w:r w:rsidRPr="00BD2F80">
        <w:rPr>
          <w:rFonts w:ascii="Verdana" w:hAnsi="Verdana"/>
          <w:sz w:val="18"/>
          <w:szCs w:val="18"/>
        </w:rPr>
        <w:t xml:space="preserve"> en materia de administración electrónica, incluyendo sistemas de representación y apoderamientos, notificaciones electrónicas, sellos electrónicos, firma y código seguro de verificación</w:t>
      </w:r>
      <w:r w:rsidR="00BE17E0">
        <w:rPr>
          <w:rFonts w:ascii="Verdana" w:hAnsi="Verdana"/>
          <w:sz w:val="18"/>
          <w:szCs w:val="18"/>
        </w:rPr>
        <w:t>.</w:t>
      </w:r>
      <w:r w:rsidRPr="00BD2F80">
        <w:rPr>
          <w:rFonts w:ascii="Verdana" w:hAnsi="Verdana"/>
          <w:sz w:val="18"/>
          <w:szCs w:val="18"/>
        </w:rPr>
        <w:t xml:space="preserve"> </w:t>
      </w:r>
    </w:p>
    <w:p w14:paraId="39E5C451" w14:textId="07AE0FBA" w:rsidR="00BD2F80" w:rsidRDefault="00BD2F80" w:rsidP="00A4213E">
      <w:pPr>
        <w:tabs>
          <w:tab w:val="left" w:pos="851"/>
        </w:tabs>
        <w:spacing w:before="100" w:beforeAutospacing="1" w:after="100" w:afterAutospacing="1"/>
        <w:ind w:left="426"/>
        <w:jc w:val="both"/>
        <w:rPr>
          <w:rFonts w:ascii="Verdana" w:hAnsi="Verdana"/>
          <w:sz w:val="18"/>
          <w:szCs w:val="18"/>
        </w:rPr>
      </w:pPr>
      <w:r w:rsidRPr="00BD2F80">
        <w:rPr>
          <w:rFonts w:ascii="Verdana" w:hAnsi="Verdana"/>
          <w:sz w:val="18"/>
          <w:szCs w:val="18"/>
        </w:rPr>
        <w:t>Con esta orden se culmina el proceso de modernización tecnológica iniciado en años anteriores, adaptando la actuación y funcionamiento de los Tribunales Económico-Administrativos a los avances normativos y tecnológicos actuales, y reforzando el uso de la administración electrónica en los procedimientos de revisión tributaria</w:t>
      </w:r>
      <w:r w:rsidR="00BE17E0">
        <w:rPr>
          <w:rFonts w:ascii="Verdana" w:hAnsi="Verdana"/>
          <w:sz w:val="18"/>
          <w:szCs w:val="18"/>
        </w:rPr>
        <w:t>.</w:t>
      </w:r>
    </w:p>
    <w:p w14:paraId="1D285E74" w14:textId="77777777" w:rsidR="00FF6AF8" w:rsidRDefault="00FF6AF8" w:rsidP="00FF6AF8">
      <w:pPr>
        <w:tabs>
          <w:tab w:val="left" w:pos="851"/>
        </w:tabs>
        <w:ind w:left="425"/>
        <w:jc w:val="both"/>
        <w:rPr>
          <w:rFonts w:ascii="Verdana" w:hAnsi="Verdana"/>
          <w:sz w:val="18"/>
          <w:szCs w:val="18"/>
        </w:rPr>
      </w:pPr>
    </w:p>
    <w:tbl>
      <w:tblPr>
        <w:tblW w:w="8640" w:type="dxa"/>
        <w:tblInd w:w="70" w:type="dxa"/>
        <w:tblCellMar>
          <w:left w:w="70" w:type="dxa"/>
          <w:right w:w="70" w:type="dxa"/>
        </w:tblCellMar>
        <w:tblLook w:val="0000" w:firstRow="0" w:lastRow="0" w:firstColumn="0" w:lastColumn="0" w:noHBand="0" w:noVBand="0"/>
      </w:tblPr>
      <w:tblGrid>
        <w:gridCol w:w="180"/>
        <w:gridCol w:w="8460"/>
      </w:tblGrid>
      <w:tr w:rsidR="00062E02" w:rsidRPr="00062E02" w14:paraId="5267409A" w14:textId="77777777" w:rsidTr="000E767B">
        <w:tc>
          <w:tcPr>
            <w:tcW w:w="180" w:type="dxa"/>
            <w:shd w:val="clear" w:color="auto" w:fill="FF6600"/>
          </w:tcPr>
          <w:p w14:paraId="6A785C53" w14:textId="77777777" w:rsidR="00062E02" w:rsidRPr="00062E02" w:rsidRDefault="00062E02" w:rsidP="000E767B">
            <w:pPr>
              <w:ind w:left="360"/>
              <w:rPr>
                <w:rFonts w:ascii="Verdana" w:hAnsi="Verdana"/>
                <w:b/>
                <w:bCs/>
                <w:color w:val="800000"/>
                <w:sz w:val="18"/>
                <w:szCs w:val="18"/>
              </w:rPr>
            </w:pPr>
            <w:bookmarkStart w:id="6" w:name="_Hlk216803954"/>
          </w:p>
        </w:tc>
        <w:tc>
          <w:tcPr>
            <w:tcW w:w="8460" w:type="dxa"/>
          </w:tcPr>
          <w:p w14:paraId="76779697" w14:textId="77777777" w:rsidR="00062E02" w:rsidRDefault="00062E02">
            <w:pPr>
              <w:numPr>
                <w:ilvl w:val="1"/>
                <w:numId w:val="3"/>
              </w:numPr>
              <w:tabs>
                <w:tab w:val="num" w:pos="242"/>
              </w:tabs>
              <w:ind w:left="242" w:hanging="242"/>
              <w:jc w:val="both"/>
              <w:rPr>
                <w:rFonts w:ascii="Verdana" w:hAnsi="Verdana"/>
                <w:b/>
                <w:bCs/>
                <w:color w:val="800000"/>
                <w:sz w:val="18"/>
                <w:szCs w:val="18"/>
              </w:rPr>
            </w:pPr>
            <w:r w:rsidRPr="00062E02">
              <w:rPr>
                <w:rFonts w:ascii="Verdana" w:hAnsi="Verdana"/>
                <w:b/>
                <w:bCs/>
                <w:color w:val="800000"/>
                <w:sz w:val="18"/>
                <w:szCs w:val="18"/>
              </w:rPr>
              <w:t>IRPF. - EL TEAC FIJA CRITERIO SOBRE LA CESIÓN GRATUITA DE BIENES DE LA SOCIEDAD A SOCIOS: CUÁNDO APLICAR OPERACIONES VINCULADAS Y CUÁNDO RENTA EN ESPECIE</w:t>
            </w:r>
          </w:p>
          <w:p w14:paraId="267ADC6E" w14:textId="79ED095E" w:rsidR="002B4038" w:rsidRPr="00062E02" w:rsidRDefault="002B4038" w:rsidP="00FF6AF8">
            <w:pPr>
              <w:tabs>
                <w:tab w:val="num" w:pos="994"/>
              </w:tabs>
              <w:ind w:left="242"/>
              <w:jc w:val="both"/>
              <w:rPr>
                <w:rFonts w:ascii="Verdana" w:hAnsi="Verdana"/>
                <w:b/>
                <w:bCs/>
                <w:color w:val="800000"/>
                <w:sz w:val="18"/>
                <w:szCs w:val="18"/>
              </w:rPr>
            </w:pPr>
          </w:p>
        </w:tc>
      </w:tr>
    </w:tbl>
    <w:bookmarkEnd w:id="6"/>
    <w:p w14:paraId="3CED5849" w14:textId="1CAD5FC2" w:rsidR="00A04E81" w:rsidRDefault="00A04E81" w:rsidP="002B4038">
      <w:pPr>
        <w:pStyle w:val="NormalWeb"/>
        <w:spacing w:before="0" w:beforeAutospacing="0" w:after="0" w:afterAutospacing="0"/>
        <w:ind w:left="567"/>
        <w:jc w:val="both"/>
        <w:rPr>
          <w:rFonts w:ascii="Verdana" w:hAnsi="Verdana"/>
          <w:sz w:val="18"/>
          <w:szCs w:val="18"/>
        </w:rPr>
      </w:pPr>
      <w:r w:rsidRPr="00A04E81">
        <w:rPr>
          <w:rFonts w:ascii="Verdana" w:hAnsi="Verdana"/>
          <w:sz w:val="18"/>
          <w:szCs w:val="18"/>
        </w:rPr>
        <w:t xml:space="preserve">El </w:t>
      </w:r>
      <w:r w:rsidRPr="00A04E81">
        <w:rPr>
          <w:rFonts w:ascii="Verdana" w:hAnsi="Verdana"/>
          <w:b/>
          <w:bCs/>
          <w:sz w:val="18"/>
          <w:szCs w:val="18"/>
        </w:rPr>
        <w:t>TEAC</w:t>
      </w:r>
      <w:r w:rsidRPr="00A04E81">
        <w:rPr>
          <w:rFonts w:ascii="Verdana" w:hAnsi="Verdana"/>
          <w:sz w:val="18"/>
          <w:szCs w:val="18"/>
        </w:rPr>
        <w:t xml:space="preserve">, en resolución de </w:t>
      </w:r>
      <w:r w:rsidRPr="00A04E81">
        <w:rPr>
          <w:rFonts w:ascii="Verdana" w:hAnsi="Verdana"/>
          <w:b/>
          <w:bCs/>
          <w:sz w:val="18"/>
          <w:szCs w:val="18"/>
        </w:rPr>
        <w:t>24 de septiembre de 2025</w:t>
      </w:r>
      <w:r w:rsidRPr="00A04E81">
        <w:rPr>
          <w:rFonts w:ascii="Verdana" w:hAnsi="Verdana"/>
          <w:sz w:val="18"/>
          <w:szCs w:val="18"/>
        </w:rPr>
        <w:t xml:space="preserve"> (RG 00/07312/2024), unifica criterio sobre la </w:t>
      </w:r>
      <w:r w:rsidRPr="00A04E81">
        <w:rPr>
          <w:rFonts w:ascii="Verdana" w:hAnsi="Verdana"/>
          <w:b/>
          <w:bCs/>
          <w:sz w:val="18"/>
          <w:szCs w:val="18"/>
        </w:rPr>
        <w:t>calificación y valoración en el IRPF del disfrute gratuito por un socio de bienes propiedad de la sociedad</w:t>
      </w:r>
      <w:r w:rsidRPr="00A04E81">
        <w:rPr>
          <w:rFonts w:ascii="Verdana" w:hAnsi="Verdana"/>
          <w:sz w:val="18"/>
          <w:szCs w:val="18"/>
        </w:rPr>
        <w:t>.</w:t>
      </w:r>
      <w:r w:rsidR="002B4038">
        <w:rPr>
          <w:rFonts w:ascii="Verdana" w:hAnsi="Verdana"/>
          <w:sz w:val="18"/>
          <w:szCs w:val="18"/>
        </w:rPr>
        <w:t xml:space="preserve"> </w:t>
      </w:r>
      <w:r w:rsidRPr="00A04E81">
        <w:rPr>
          <w:rFonts w:ascii="Verdana" w:hAnsi="Verdana"/>
          <w:sz w:val="18"/>
          <w:szCs w:val="18"/>
        </w:rPr>
        <w:t>El Tribunal distingue dos supuestos:</w:t>
      </w:r>
    </w:p>
    <w:p w14:paraId="103D918F" w14:textId="77777777" w:rsidR="002B4038" w:rsidRPr="00A04E81" w:rsidRDefault="002B4038" w:rsidP="002B4038">
      <w:pPr>
        <w:pStyle w:val="NormalWeb"/>
        <w:spacing w:before="0" w:beforeAutospacing="0" w:after="0" w:afterAutospacing="0"/>
        <w:ind w:left="567"/>
        <w:jc w:val="both"/>
        <w:rPr>
          <w:rFonts w:ascii="Verdana" w:hAnsi="Verdana"/>
          <w:sz w:val="18"/>
          <w:szCs w:val="18"/>
        </w:rPr>
      </w:pPr>
    </w:p>
    <w:p w14:paraId="4D45D14F" w14:textId="77777777" w:rsidR="00BE17E0" w:rsidRDefault="00A04E81" w:rsidP="002B4038">
      <w:pPr>
        <w:pStyle w:val="NormalWeb"/>
        <w:numPr>
          <w:ilvl w:val="0"/>
          <w:numId w:val="10"/>
        </w:numPr>
        <w:spacing w:before="0" w:beforeAutospacing="0" w:after="0" w:afterAutospacing="0"/>
        <w:rPr>
          <w:rFonts w:ascii="Verdana" w:hAnsi="Verdana"/>
          <w:sz w:val="18"/>
          <w:szCs w:val="18"/>
        </w:rPr>
      </w:pPr>
      <w:r w:rsidRPr="00A04E81">
        <w:rPr>
          <w:rFonts w:ascii="Verdana" w:hAnsi="Verdana"/>
          <w:b/>
          <w:bCs/>
          <w:sz w:val="18"/>
          <w:szCs w:val="18"/>
        </w:rPr>
        <w:t>Bienes afectos a la actividad ordinaria de la sociedad</w:t>
      </w:r>
    </w:p>
    <w:p w14:paraId="6A021228" w14:textId="6AC11707" w:rsidR="00A04E81" w:rsidRPr="00BE17E0" w:rsidRDefault="00A04E81" w:rsidP="002B4038">
      <w:pPr>
        <w:pStyle w:val="NormalWeb"/>
        <w:spacing w:before="0" w:beforeAutospacing="0" w:after="0" w:afterAutospacing="0"/>
        <w:ind w:left="851"/>
        <w:rPr>
          <w:rFonts w:ascii="Verdana" w:hAnsi="Verdana"/>
          <w:sz w:val="18"/>
          <w:szCs w:val="18"/>
        </w:rPr>
      </w:pPr>
      <w:r w:rsidRPr="00BE17E0">
        <w:rPr>
          <w:rFonts w:ascii="Verdana" w:hAnsi="Verdana"/>
          <w:sz w:val="18"/>
          <w:szCs w:val="18"/>
        </w:rPr>
        <w:t xml:space="preserve">Cuando el socio disfruta gratuitamente de un bien que la sociedad utiliza o explota en el marco de su actividad habitual (bien adquirido para el desarrollo del negocio), la regularización debe realizarse conforme a la </w:t>
      </w:r>
      <w:r w:rsidRPr="00BE17E0">
        <w:rPr>
          <w:rFonts w:ascii="Verdana" w:hAnsi="Verdana"/>
          <w:b/>
          <w:bCs/>
          <w:sz w:val="18"/>
          <w:szCs w:val="18"/>
        </w:rPr>
        <w:t>normativa de operaciones vinculadas</w:t>
      </w:r>
      <w:r w:rsidRPr="00BE17E0">
        <w:rPr>
          <w:rFonts w:ascii="Verdana" w:hAnsi="Verdana"/>
          <w:sz w:val="18"/>
          <w:szCs w:val="18"/>
        </w:rPr>
        <w:t>.</w:t>
      </w:r>
      <w:r w:rsidRPr="00BE17E0">
        <w:rPr>
          <w:rFonts w:ascii="Verdana" w:hAnsi="Verdana"/>
          <w:sz w:val="18"/>
          <w:szCs w:val="18"/>
        </w:rPr>
        <w:br/>
        <w:t xml:space="preserve">Resulta aplicable el </w:t>
      </w:r>
      <w:r w:rsidRPr="00BE17E0">
        <w:rPr>
          <w:rFonts w:ascii="Verdana" w:hAnsi="Verdana"/>
          <w:b/>
          <w:bCs/>
          <w:sz w:val="18"/>
          <w:szCs w:val="18"/>
        </w:rPr>
        <w:t>artículo 41 LIRPF</w:t>
      </w:r>
      <w:r w:rsidRPr="00BE17E0">
        <w:rPr>
          <w:rFonts w:ascii="Verdana" w:hAnsi="Verdana"/>
          <w:sz w:val="18"/>
          <w:szCs w:val="18"/>
        </w:rPr>
        <w:t xml:space="preserve">, con remisión al </w:t>
      </w:r>
      <w:r w:rsidRPr="00BE17E0">
        <w:rPr>
          <w:rFonts w:ascii="Verdana" w:hAnsi="Verdana"/>
          <w:b/>
          <w:bCs/>
          <w:sz w:val="18"/>
          <w:szCs w:val="18"/>
        </w:rPr>
        <w:t>artículo 18 de la LIS</w:t>
      </w:r>
      <w:r w:rsidRPr="00BE17E0">
        <w:rPr>
          <w:rFonts w:ascii="Verdana" w:hAnsi="Verdana"/>
          <w:sz w:val="18"/>
          <w:szCs w:val="18"/>
        </w:rPr>
        <w:t xml:space="preserve">, valorando la operación a </w:t>
      </w:r>
      <w:r w:rsidRPr="00BE17E0">
        <w:rPr>
          <w:rFonts w:ascii="Verdana" w:hAnsi="Verdana"/>
          <w:b/>
          <w:bCs/>
          <w:sz w:val="18"/>
          <w:szCs w:val="18"/>
        </w:rPr>
        <w:t>valor de mercado</w:t>
      </w:r>
      <w:r w:rsidRPr="00BE17E0">
        <w:rPr>
          <w:rFonts w:ascii="Verdana" w:hAnsi="Verdana"/>
          <w:sz w:val="18"/>
          <w:szCs w:val="18"/>
        </w:rPr>
        <w:t xml:space="preserve"> como operación vinculada.</w:t>
      </w:r>
    </w:p>
    <w:p w14:paraId="5512B23C" w14:textId="77777777" w:rsidR="00A04E81" w:rsidRDefault="00A04E81" w:rsidP="002B4038">
      <w:pPr>
        <w:pStyle w:val="NormalWeb"/>
        <w:spacing w:before="0" w:beforeAutospacing="0" w:after="0" w:afterAutospacing="0"/>
        <w:contextualSpacing/>
        <w:jc w:val="both"/>
        <w:rPr>
          <w:rFonts w:ascii="Verdana" w:hAnsi="Verdana"/>
          <w:sz w:val="18"/>
          <w:szCs w:val="18"/>
        </w:rPr>
      </w:pPr>
    </w:p>
    <w:p w14:paraId="0EABF51C" w14:textId="77777777" w:rsidR="00BE17E0" w:rsidRDefault="00A04E81" w:rsidP="002B4038">
      <w:pPr>
        <w:pStyle w:val="NormalWeb"/>
        <w:numPr>
          <w:ilvl w:val="0"/>
          <w:numId w:val="48"/>
        </w:numPr>
        <w:spacing w:before="0" w:beforeAutospacing="0" w:after="0" w:afterAutospacing="0"/>
        <w:rPr>
          <w:rFonts w:ascii="Verdana" w:hAnsi="Verdana"/>
          <w:b/>
          <w:bCs/>
          <w:sz w:val="18"/>
          <w:szCs w:val="18"/>
        </w:rPr>
      </w:pPr>
      <w:r>
        <w:rPr>
          <w:rFonts w:ascii="Verdana" w:hAnsi="Verdana"/>
          <w:b/>
          <w:bCs/>
          <w:sz w:val="18"/>
          <w:szCs w:val="18"/>
        </w:rPr>
        <w:t>B</w:t>
      </w:r>
      <w:r w:rsidRPr="00A04E81">
        <w:rPr>
          <w:rFonts w:ascii="Verdana" w:hAnsi="Verdana"/>
          <w:b/>
          <w:bCs/>
          <w:sz w:val="18"/>
          <w:szCs w:val="18"/>
        </w:rPr>
        <w:t>ienes adquiridos específicamente para el disfrute del socio</w:t>
      </w:r>
    </w:p>
    <w:p w14:paraId="33C50CD1" w14:textId="4A4AE8A6" w:rsidR="00A04E81" w:rsidRPr="008E0375" w:rsidRDefault="00A04E81" w:rsidP="002B4038">
      <w:pPr>
        <w:pStyle w:val="NormalWeb"/>
        <w:spacing w:before="0" w:beforeAutospacing="0" w:after="0" w:afterAutospacing="0"/>
        <w:ind w:left="851"/>
        <w:rPr>
          <w:rFonts w:ascii="Verdana" w:hAnsi="Verdana"/>
          <w:sz w:val="18"/>
          <w:szCs w:val="18"/>
        </w:rPr>
      </w:pPr>
      <w:r w:rsidRPr="00A04E81">
        <w:rPr>
          <w:rFonts w:ascii="Verdana" w:hAnsi="Verdana"/>
          <w:sz w:val="18"/>
          <w:szCs w:val="18"/>
        </w:rPr>
        <w:t xml:space="preserve">Si el bien fue adquirido por la sociedad </w:t>
      </w:r>
      <w:r w:rsidRPr="00A04E81">
        <w:rPr>
          <w:rFonts w:ascii="Verdana" w:hAnsi="Verdana"/>
          <w:b/>
          <w:bCs/>
          <w:sz w:val="18"/>
          <w:szCs w:val="18"/>
        </w:rPr>
        <w:t>con la finalidad de permitir su uso gratuito por el socio</w:t>
      </w:r>
      <w:r w:rsidRPr="00A04E81">
        <w:rPr>
          <w:rFonts w:ascii="Verdana" w:hAnsi="Verdana"/>
          <w:sz w:val="18"/>
          <w:szCs w:val="18"/>
        </w:rPr>
        <w:t>, sin relación con la actividad ordinaria, no existe una operación vinculada que valorar.</w:t>
      </w:r>
      <w:r w:rsidRPr="008E0375">
        <w:rPr>
          <w:rFonts w:ascii="Verdana" w:hAnsi="Verdana"/>
          <w:sz w:val="18"/>
          <w:szCs w:val="18"/>
        </w:rPr>
        <w:br/>
        <w:t xml:space="preserve">La renta debe calificarse como </w:t>
      </w:r>
      <w:r w:rsidRPr="008E0375">
        <w:rPr>
          <w:rFonts w:ascii="Verdana" w:hAnsi="Verdana"/>
          <w:b/>
          <w:bCs/>
          <w:sz w:val="18"/>
          <w:szCs w:val="18"/>
        </w:rPr>
        <w:t>rendimiento del capital mobiliario en especie</w:t>
      </w:r>
      <w:r w:rsidRPr="008E0375">
        <w:rPr>
          <w:rFonts w:ascii="Verdana" w:hAnsi="Verdana"/>
          <w:sz w:val="18"/>
          <w:szCs w:val="18"/>
        </w:rPr>
        <w:t xml:space="preserve"> por la condición de socio (</w:t>
      </w:r>
      <w:r w:rsidRPr="008E0375">
        <w:rPr>
          <w:rFonts w:ascii="Verdana" w:hAnsi="Verdana"/>
          <w:b/>
          <w:bCs/>
          <w:sz w:val="18"/>
          <w:szCs w:val="18"/>
        </w:rPr>
        <w:t>art. 25.1.d LIRPF</w:t>
      </w:r>
      <w:r w:rsidRPr="008E0375">
        <w:rPr>
          <w:rFonts w:ascii="Verdana" w:hAnsi="Verdana"/>
          <w:sz w:val="18"/>
          <w:szCs w:val="18"/>
        </w:rPr>
        <w:t xml:space="preserve">) y valorarse conforme a las reglas generales de </w:t>
      </w:r>
      <w:r w:rsidRPr="008E0375">
        <w:rPr>
          <w:rFonts w:ascii="Verdana" w:hAnsi="Verdana"/>
          <w:b/>
          <w:bCs/>
          <w:sz w:val="18"/>
          <w:szCs w:val="18"/>
        </w:rPr>
        <w:t>rentas en especie del artículo 43 LIRPF</w:t>
      </w:r>
      <w:r w:rsidRPr="008E0375">
        <w:rPr>
          <w:rFonts w:ascii="Verdana" w:hAnsi="Verdana"/>
          <w:sz w:val="18"/>
          <w:szCs w:val="18"/>
        </w:rPr>
        <w:t>.</w:t>
      </w:r>
    </w:p>
    <w:p w14:paraId="29898C43" w14:textId="77777777" w:rsidR="00A04E81" w:rsidRPr="00A04E81" w:rsidRDefault="00A04E81" w:rsidP="002B4038">
      <w:pPr>
        <w:pStyle w:val="NormalWeb"/>
        <w:spacing w:before="0" w:beforeAutospacing="0" w:after="0" w:afterAutospacing="0"/>
        <w:ind w:left="851"/>
        <w:jc w:val="both"/>
        <w:rPr>
          <w:rFonts w:ascii="Verdana" w:hAnsi="Verdana"/>
          <w:sz w:val="18"/>
          <w:szCs w:val="18"/>
        </w:rPr>
      </w:pPr>
      <w:r w:rsidRPr="00A04E81">
        <w:rPr>
          <w:rFonts w:ascii="Verdana" w:hAnsi="Verdana"/>
          <w:sz w:val="18"/>
          <w:szCs w:val="18"/>
        </w:rPr>
        <w:t xml:space="preserve">El TEAC aclara que </w:t>
      </w:r>
      <w:r w:rsidRPr="00A04E81">
        <w:rPr>
          <w:rFonts w:ascii="Verdana" w:hAnsi="Verdana"/>
          <w:b/>
          <w:bCs/>
          <w:sz w:val="18"/>
          <w:szCs w:val="18"/>
        </w:rPr>
        <w:t>la mera existencia de vinculación socio-sociedad no implica automáticamente la aplicación del artículo 41 LIRPF</w:t>
      </w:r>
      <w:r w:rsidRPr="00A04E81">
        <w:rPr>
          <w:rFonts w:ascii="Verdana" w:hAnsi="Verdana"/>
          <w:sz w:val="18"/>
          <w:szCs w:val="18"/>
        </w:rPr>
        <w:t xml:space="preserve">: es imprescindible analizar si existe una </w:t>
      </w:r>
      <w:r w:rsidRPr="00A04E81">
        <w:rPr>
          <w:rFonts w:ascii="Verdana" w:hAnsi="Verdana"/>
          <w:b/>
          <w:bCs/>
          <w:sz w:val="18"/>
          <w:szCs w:val="18"/>
        </w:rPr>
        <w:t>operación económica vinculada</w:t>
      </w:r>
      <w:r w:rsidRPr="00A04E81">
        <w:rPr>
          <w:rFonts w:ascii="Verdana" w:hAnsi="Verdana"/>
          <w:sz w:val="18"/>
          <w:szCs w:val="18"/>
        </w:rPr>
        <w:t xml:space="preserve"> o si se trata simplemente de una </w:t>
      </w:r>
      <w:r w:rsidRPr="00A04E81">
        <w:rPr>
          <w:rFonts w:ascii="Verdana" w:hAnsi="Verdana"/>
          <w:b/>
          <w:bCs/>
          <w:sz w:val="18"/>
          <w:szCs w:val="18"/>
        </w:rPr>
        <w:t>retribución en especie derivada de la condición de socio</w:t>
      </w:r>
      <w:r w:rsidRPr="00A04E81">
        <w:rPr>
          <w:rFonts w:ascii="Verdana" w:hAnsi="Verdana"/>
          <w:sz w:val="18"/>
          <w:szCs w:val="18"/>
        </w:rPr>
        <w:t>.</w:t>
      </w:r>
    </w:p>
    <w:p w14:paraId="1D00373A" w14:textId="77777777" w:rsidR="002B4038" w:rsidRDefault="002B4038" w:rsidP="002B4038">
      <w:pPr>
        <w:pStyle w:val="NormalWeb"/>
        <w:spacing w:before="0" w:beforeAutospacing="0" w:after="0" w:afterAutospacing="0"/>
        <w:ind w:left="567"/>
        <w:jc w:val="both"/>
        <w:rPr>
          <w:rFonts w:ascii="Verdana" w:hAnsi="Verdana"/>
          <w:b/>
          <w:bCs/>
          <w:sz w:val="18"/>
          <w:szCs w:val="18"/>
        </w:rPr>
      </w:pPr>
    </w:p>
    <w:p w14:paraId="1CD6B41E" w14:textId="29F45226" w:rsidR="00A04E81" w:rsidRDefault="00A04E81" w:rsidP="002B4038">
      <w:pPr>
        <w:pStyle w:val="NormalWeb"/>
        <w:spacing w:before="0" w:beforeAutospacing="0" w:after="0" w:afterAutospacing="0"/>
        <w:ind w:left="567"/>
        <w:jc w:val="both"/>
        <w:rPr>
          <w:rFonts w:ascii="Verdana" w:hAnsi="Verdana"/>
          <w:sz w:val="18"/>
          <w:szCs w:val="18"/>
        </w:rPr>
      </w:pPr>
      <w:r w:rsidRPr="00A04E81">
        <w:rPr>
          <w:rFonts w:ascii="Verdana" w:hAnsi="Verdana"/>
          <w:b/>
          <w:bCs/>
          <w:sz w:val="18"/>
          <w:szCs w:val="18"/>
        </w:rPr>
        <w:t>Conclusión:</w:t>
      </w:r>
      <w:r w:rsidRPr="00A04E81">
        <w:rPr>
          <w:rFonts w:ascii="Verdana" w:hAnsi="Verdana"/>
          <w:sz w:val="18"/>
          <w:szCs w:val="18"/>
        </w:rPr>
        <w:br/>
        <w:t xml:space="preserve">La clave no es la vinculación subjetiva, sino la </w:t>
      </w:r>
      <w:r w:rsidRPr="00A04E81">
        <w:rPr>
          <w:rFonts w:ascii="Verdana" w:hAnsi="Verdana"/>
          <w:b/>
          <w:bCs/>
          <w:sz w:val="18"/>
          <w:szCs w:val="18"/>
        </w:rPr>
        <w:t>finalidad y naturaleza del bien</w:t>
      </w:r>
      <w:r w:rsidRPr="00A04E81">
        <w:rPr>
          <w:rFonts w:ascii="Verdana" w:hAnsi="Verdana"/>
          <w:sz w:val="18"/>
          <w:szCs w:val="18"/>
        </w:rPr>
        <w:t xml:space="preserve"> y del uso realizado. En función de ello, procede aplicar la normativa de </w:t>
      </w:r>
      <w:r w:rsidRPr="00A04E81">
        <w:rPr>
          <w:rFonts w:ascii="Verdana" w:hAnsi="Verdana"/>
          <w:b/>
          <w:bCs/>
          <w:sz w:val="18"/>
          <w:szCs w:val="18"/>
        </w:rPr>
        <w:t>operaciones vin</w:t>
      </w:r>
      <w:r>
        <w:rPr>
          <w:rFonts w:ascii="Verdana" w:hAnsi="Verdana"/>
          <w:b/>
          <w:bCs/>
          <w:sz w:val="18"/>
          <w:szCs w:val="18"/>
        </w:rPr>
        <w:t>c</w:t>
      </w:r>
      <w:r w:rsidRPr="00A04E81">
        <w:rPr>
          <w:rFonts w:ascii="Verdana" w:hAnsi="Verdana"/>
          <w:b/>
          <w:bCs/>
          <w:sz w:val="18"/>
          <w:szCs w:val="18"/>
        </w:rPr>
        <w:t>uladas</w:t>
      </w:r>
      <w:r w:rsidRPr="00A04E81">
        <w:rPr>
          <w:rFonts w:ascii="Verdana" w:hAnsi="Verdana"/>
          <w:sz w:val="18"/>
          <w:szCs w:val="18"/>
        </w:rPr>
        <w:t xml:space="preserve"> o la de </w:t>
      </w:r>
      <w:r w:rsidRPr="00A04E81">
        <w:rPr>
          <w:rFonts w:ascii="Verdana" w:hAnsi="Verdana"/>
          <w:b/>
          <w:bCs/>
          <w:sz w:val="18"/>
          <w:szCs w:val="18"/>
        </w:rPr>
        <w:t>rendimientos del capital mobiliario en especie</w:t>
      </w:r>
      <w:r w:rsidRPr="00A04E81">
        <w:rPr>
          <w:rFonts w:ascii="Verdana" w:hAnsi="Verdana"/>
          <w:sz w:val="18"/>
          <w:szCs w:val="18"/>
        </w:rPr>
        <w:t>.</w:t>
      </w:r>
    </w:p>
    <w:p w14:paraId="419B3630" w14:textId="77777777" w:rsidR="002B4038" w:rsidRDefault="002B4038" w:rsidP="002B4038">
      <w:pPr>
        <w:pStyle w:val="NormalWeb"/>
        <w:spacing w:before="0" w:beforeAutospacing="0" w:after="0" w:afterAutospacing="0"/>
        <w:ind w:left="567"/>
        <w:jc w:val="both"/>
        <w:rPr>
          <w:rFonts w:ascii="Verdana" w:hAnsi="Verdana"/>
          <w:sz w:val="18"/>
          <w:szCs w:val="18"/>
        </w:rPr>
      </w:pPr>
    </w:p>
    <w:p w14:paraId="2ED76E17" w14:textId="5AD3E552" w:rsidR="004354AC" w:rsidRDefault="00320DC6" w:rsidP="002B4038">
      <w:pPr>
        <w:pStyle w:val="NormalWeb"/>
        <w:spacing w:before="0" w:beforeAutospacing="0" w:after="0" w:afterAutospacing="0"/>
        <w:ind w:left="567"/>
        <w:jc w:val="both"/>
        <w:rPr>
          <w:rFonts w:ascii="Verdana" w:hAnsi="Verdana"/>
          <w:sz w:val="18"/>
          <w:szCs w:val="18"/>
        </w:rPr>
      </w:pPr>
      <w:r w:rsidRPr="00320DC6">
        <w:rPr>
          <w:rFonts w:ascii="Verdana" w:hAnsi="Verdana"/>
          <w:sz w:val="18"/>
          <w:szCs w:val="18"/>
        </w:rPr>
        <w:t xml:space="preserve">Con esta resolución, el TEAC </w:t>
      </w:r>
      <w:r w:rsidRPr="00320DC6">
        <w:rPr>
          <w:rFonts w:ascii="Verdana" w:hAnsi="Verdana"/>
          <w:b/>
          <w:bCs/>
          <w:sz w:val="18"/>
          <w:szCs w:val="18"/>
        </w:rPr>
        <w:t>unifica criterio</w:t>
      </w:r>
      <w:r w:rsidRPr="00320DC6">
        <w:rPr>
          <w:rFonts w:ascii="Verdana" w:hAnsi="Verdana"/>
          <w:sz w:val="18"/>
          <w:szCs w:val="18"/>
        </w:rPr>
        <w:t xml:space="preserve"> y aporta seguridad jurídica en un ámbito especialmente conflictivo en inspección, delimitando correctamente el tratamiento fiscal del uso gratuito de bienes sociales y evitando aplicaciones automáticas del régimen de </w:t>
      </w:r>
      <w:r w:rsidR="00A3457D" w:rsidRPr="00320DC6">
        <w:rPr>
          <w:rFonts w:ascii="Verdana" w:hAnsi="Verdana"/>
          <w:sz w:val="18"/>
          <w:szCs w:val="18"/>
        </w:rPr>
        <w:t>operaciones</w:t>
      </w:r>
      <w:r w:rsidRPr="00320DC6">
        <w:rPr>
          <w:rFonts w:ascii="Verdana" w:hAnsi="Verdana"/>
          <w:sz w:val="18"/>
          <w:szCs w:val="18"/>
        </w:rPr>
        <w:t xml:space="preserve"> vinculadas</w:t>
      </w:r>
      <w:r w:rsidR="00A3457D">
        <w:rPr>
          <w:rFonts w:ascii="Verdana" w:hAnsi="Verdana"/>
          <w:sz w:val="18"/>
          <w:szCs w:val="18"/>
        </w:rPr>
        <w:t>.</w:t>
      </w:r>
    </w:p>
    <w:p w14:paraId="4F8051AC" w14:textId="77777777" w:rsidR="002B4038" w:rsidRDefault="002B4038" w:rsidP="002B4038">
      <w:pPr>
        <w:pStyle w:val="NormalWeb"/>
        <w:spacing w:before="0" w:beforeAutospacing="0" w:after="0" w:afterAutospacing="0"/>
        <w:ind w:left="567"/>
        <w:jc w:val="both"/>
        <w:rPr>
          <w:rFonts w:ascii="Verdana" w:hAnsi="Verdana"/>
          <w:sz w:val="18"/>
          <w:szCs w:val="18"/>
        </w:rPr>
      </w:pPr>
    </w:p>
    <w:p w14:paraId="48A20F84" w14:textId="77777777" w:rsidR="002B4038" w:rsidRDefault="002B4038" w:rsidP="002B4038">
      <w:pPr>
        <w:pStyle w:val="NormalWeb"/>
        <w:spacing w:before="0" w:beforeAutospacing="0" w:after="0" w:afterAutospacing="0"/>
        <w:ind w:left="567"/>
        <w:jc w:val="both"/>
        <w:rPr>
          <w:rFonts w:ascii="Verdana" w:hAnsi="Verdana"/>
          <w:sz w:val="18"/>
          <w:szCs w:val="18"/>
        </w:rPr>
      </w:pPr>
    </w:p>
    <w:tbl>
      <w:tblPr>
        <w:tblW w:w="8640" w:type="dxa"/>
        <w:tblInd w:w="70" w:type="dxa"/>
        <w:tblCellMar>
          <w:left w:w="70" w:type="dxa"/>
          <w:right w:w="70" w:type="dxa"/>
        </w:tblCellMar>
        <w:tblLook w:val="0000" w:firstRow="0" w:lastRow="0" w:firstColumn="0" w:lastColumn="0" w:noHBand="0" w:noVBand="0"/>
      </w:tblPr>
      <w:tblGrid>
        <w:gridCol w:w="180"/>
        <w:gridCol w:w="8460"/>
      </w:tblGrid>
      <w:tr w:rsidR="0060781B" w:rsidRPr="00B779FA" w14:paraId="57E38220" w14:textId="77777777" w:rsidTr="000E767B">
        <w:tc>
          <w:tcPr>
            <w:tcW w:w="180" w:type="dxa"/>
            <w:shd w:val="clear" w:color="auto" w:fill="FF6600"/>
          </w:tcPr>
          <w:p w14:paraId="1CEFD646" w14:textId="77777777" w:rsidR="0060781B" w:rsidRPr="00B779FA" w:rsidRDefault="0060781B" w:rsidP="000E767B">
            <w:pPr>
              <w:ind w:left="360"/>
              <w:rPr>
                <w:rFonts w:ascii="Verdana" w:hAnsi="Verdana"/>
                <w:b/>
                <w:bCs/>
                <w:color w:val="800000"/>
                <w:sz w:val="18"/>
                <w:szCs w:val="18"/>
              </w:rPr>
            </w:pPr>
            <w:bookmarkStart w:id="7" w:name="_Hlk216805200"/>
          </w:p>
        </w:tc>
        <w:tc>
          <w:tcPr>
            <w:tcW w:w="8460" w:type="dxa"/>
          </w:tcPr>
          <w:p w14:paraId="37FBF49A" w14:textId="68F87B2C" w:rsidR="0060781B" w:rsidRPr="00B779FA" w:rsidRDefault="00B779FA">
            <w:pPr>
              <w:numPr>
                <w:ilvl w:val="1"/>
                <w:numId w:val="3"/>
              </w:numPr>
              <w:tabs>
                <w:tab w:val="num" w:pos="242"/>
              </w:tabs>
              <w:ind w:left="242" w:hanging="242"/>
              <w:jc w:val="both"/>
              <w:rPr>
                <w:rFonts w:ascii="Verdana" w:hAnsi="Verdana"/>
                <w:b/>
                <w:bCs/>
                <w:color w:val="800000"/>
                <w:sz w:val="18"/>
                <w:szCs w:val="18"/>
              </w:rPr>
            </w:pPr>
            <w:r w:rsidRPr="00B779FA">
              <w:rPr>
                <w:rFonts w:ascii="Verdana" w:hAnsi="Verdana"/>
                <w:b/>
                <w:bCs/>
                <w:color w:val="800000"/>
                <w:sz w:val="18"/>
                <w:szCs w:val="18"/>
              </w:rPr>
              <w:t>IP. -</w:t>
            </w:r>
            <w:r w:rsidRPr="00B779FA">
              <w:t xml:space="preserve"> </w:t>
            </w:r>
            <w:r w:rsidRPr="00B779FA">
              <w:rPr>
                <w:rFonts w:ascii="Verdana" w:hAnsi="Verdana"/>
                <w:b/>
                <w:bCs/>
                <w:color w:val="800000"/>
                <w:sz w:val="18"/>
                <w:szCs w:val="18"/>
              </w:rPr>
              <w:t>EL TEAC CONFIRMA QUE EL VALOR DE LOS INMUEBLES INCLUYE IVA, GASTOS Y MEJORAS EN LA BASE IMPONIBLE</w:t>
            </w:r>
          </w:p>
        </w:tc>
      </w:tr>
    </w:tbl>
    <w:bookmarkEnd w:id="7"/>
    <w:p w14:paraId="52448887" w14:textId="77777777" w:rsidR="00B779FA" w:rsidRPr="00B779FA" w:rsidRDefault="00B779FA" w:rsidP="00B779FA">
      <w:pPr>
        <w:pStyle w:val="NormalWeb"/>
        <w:ind w:left="284"/>
        <w:jc w:val="both"/>
        <w:rPr>
          <w:rFonts w:ascii="Verdana" w:hAnsi="Verdana"/>
          <w:sz w:val="18"/>
          <w:szCs w:val="18"/>
        </w:rPr>
      </w:pPr>
      <w:r w:rsidRPr="00B779FA">
        <w:rPr>
          <w:rFonts w:ascii="Verdana" w:hAnsi="Verdana"/>
          <w:sz w:val="18"/>
          <w:szCs w:val="18"/>
        </w:rPr>
        <w:t xml:space="preserve">El Tribunal Económico-Administrativo Central (TEAC), en resolución de </w:t>
      </w:r>
      <w:r w:rsidRPr="00B779FA">
        <w:rPr>
          <w:rFonts w:ascii="Verdana" w:hAnsi="Verdana"/>
          <w:b/>
          <w:bCs/>
          <w:sz w:val="18"/>
          <w:szCs w:val="18"/>
        </w:rPr>
        <w:t>20 de octubre de 2025</w:t>
      </w:r>
      <w:r w:rsidRPr="00B779FA">
        <w:rPr>
          <w:rFonts w:ascii="Verdana" w:hAnsi="Verdana"/>
          <w:sz w:val="18"/>
          <w:szCs w:val="18"/>
        </w:rPr>
        <w:t xml:space="preserve"> (RG 00/11005/2022), reitera su doctrina sobre la </w:t>
      </w:r>
      <w:r w:rsidRPr="00B779FA">
        <w:rPr>
          <w:rFonts w:ascii="Verdana" w:hAnsi="Verdana"/>
          <w:b/>
          <w:bCs/>
          <w:sz w:val="18"/>
          <w:szCs w:val="18"/>
        </w:rPr>
        <w:t>determinación del valor de adquisición de los bienes inmuebles</w:t>
      </w:r>
      <w:r w:rsidRPr="00B779FA">
        <w:rPr>
          <w:rFonts w:ascii="Verdana" w:hAnsi="Verdana"/>
          <w:sz w:val="18"/>
          <w:szCs w:val="18"/>
        </w:rPr>
        <w:t xml:space="preserve"> a efectos del </w:t>
      </w:r>
      <w:r w:rsidRPr="00B779FA">
        <w:rPr>
          <w:rFonts w:ascii="Verdana" w:hAnsi="Verdana"/>
          <w:b/>
          <w:bCs/>
          <w:sz w:val="18"/>
          <w:szCs w:val="18"/>
        </w:rPr>
        <w:t>Impuesto sobre el Patrimonio (IP)</w:t>
      </w:r>
      <w:r w:rsidRPr="00B779FA">
        <w:rPr>
          <w:rFonts w:ascii="Verdana" w:hAnsi="Verdana"/>
          <w:sz w:val="18"/>
          <w:szCs w:val="18"/>
        </w:rPr>
        <w:t xml:space="preserve"> en supuestos de </w:t>
      </w:r>
      <w:r w:rsidRPr="00B779FA">
        <w:rPr>
          <w:rFonts w:ascii="Verdana" w:hAnsi="Verdana"/>
          <w:b/>
          <w:bCs/>
          <w:sz w:val="18"/>
          <w:szCs w:val="18"/>
        </w:rPr>
        <w:t>obligación real</w:t>
      </w:r>
      <w:r w:rsidRPr="00B779FA">
        <w:rPr>
          <w:rFonts w:ascii="Verdana" w:hAnsi="Verdana"/>
          <w:sz w:val="18"/>
          <w:szCs w:val="18"/>
        </w:rPr>
        <w:t>.</w:t>
      </w:r>
    </w:p>
    <w:p w14:paraId="2A3683ED" w14:textId="77777777" w:rsidR="00B779FA" w:rsidRDefault="00B779FA" w:rsidP="00B779FA">
      <w:pPr>
        <w:pStyle w:val="NormalWeb"/>
        <w:ind w:left="284"/>
        <w:jc w:val="both"/>
        <w:rPr>
          <w:rFonts w:ascii="Verdana" w:hAnsi="Verdana"/>
          <w:sz w:val="18"/>
          <w:szCs w:val="18"/>
        </w:rPr>
      </w:pPr>
      <w:r w:rsidRPr="00B779FA">
        <w:rPr>
          <w:rFonts w:ascii="Verdana" w:hAnsi="Verdana"/>
          <w:sz w:val="18"/>
          <w:szCs w:val="18"/>
        </w:rPr>
        <w:t xml:space="preserve">El TEAC confirma que, para calcular la </w:t>
      </w:r>
      <w:r w:rsidRPr="00B779FA">
        <w:rPr>
          <w:rFonts w:ascii="Verdana" w:hAnsi="Verdana"/>
          <w:b/>
          <w:bCs/>
          <w:sz w:val="18"/>
          <w:szCs w:val="18"/>
        </w:rPr>
        <w:t>base imponible del IP</w:t>
      </w:r>
      <w:r w:rsidRPr="00B779FA">
        <w:rPr>
          <w:rFonts w:ascii="Verdana" w:hAnsi="Verdana"/>
          <w:sz w:val="18"/>
          <w:szCs w:val="18"/>
        </w:rPr>
        <w:t xml:space="preserve">, el “precio, contraprestación o valor de adquisición” del inmueble debe incluir </w:t>
      </w:r>
      <w:r w:rsidRPr="00B779FA">
        <w:rPr>
          <w:rFonts w:ascii="Verdana" w:hAnsi="Verdana"/>
          <w:b/>
          <w:bCs/>
          <w:sz w:val="18"/>
          <w:szCs w:val="18"/>
        </w:rPr>
        <w:t>no solo el precio pactado</w:t>
      </w:r>
      <w:r w:rsidRPr="00B779FA">
        <w:rPr>
          <w:rFonts w:ascii="Verdana" w:hAnsi="Verdana"/>
          <w:sz w:val="18"/>
          <w:szCs w:val="18"/>
        </w:rPr>
        <w:t>, sino también:</w:t>
      </w:r>
    </w:p>
    <w:p w14:paraId="52F70AE3" w14:textId="77777777" w:rsidR="00FF6AF8" w:rsidRPr="00B779FA" w:rsidRDefault="00FF6AF8" w:rsidP="00B779FA">
      <w:pPr>
        <w:pStyle w:val="NormalWeb"/>
        <w:ind w:left="284"/>
        <w:jc w:val="both"/>
        <w:rPr>
          <w:rFonts w:ascii="Verdana" w:hAnsi="Verdana"/>
          <w:sz w:val="18"/>
          <w:szCs w:val="18"/>
        </w:rPr>
      </w:pPr>
    </w:p>
    <w:p w14:paraId="086FEF9F" w14:textId="77777777" w:rsidR="00B779FA" w:rsidRPr="00B779FA" w:rsidRDefault="00B779FA">
      <w:pPr>
        <w:pStyle w:val="NormalWeb"/>
        <w:numPr>
          <w:ilvl w:val="0"/>
          <w:numId w:val="8"/>
        </w:numPr>
        <w:jc w:val="both"/>
        <w:rPr>
          <w:rFonts w:ascii="Verdana" w:hAnsi="Verdana"/>
          <w:sz w:val="18"/>
          <w:szCs w:val="18"/>
        </w:rPr>
      </w:pPr>
      <w:r w:rsidRPr="00B779FA">
        <w:rPr>
          <w:rFonts w:ascii="Verdana" w:hAnsi="Verdana"/>
          <w:sz w:val="18"/>
          <w:szCs w:val="18"/>
        </w:rPr>
        <w:lastRenderedPageBreak/>
        <w:t xml:space="preserve">El </w:t>
      </w:r>
      <w:r w:rsidRPr="00B779FA">
        <w:rPr>
          <w:rFonts w:ascii="Verdana" w:hAnsi="Verdana"/>
          <w:b/>
          <w:bCs/>
          <w:sz w:val="18"/>
          <w:szCs w:val="18"/>
        </w:rPr>
        <w:t>coste de las inversiones y mejoras</w:t>
      </w:r>
      <w:r w:rsidRPr="00B779FA">
        <w:rPr>
          <w:rFonts w:ascii="Verdana" w:hAnsi="Verdana"/>
          <w:sz w:val="18"/>
          <w:szCs w:val="18"/>
        </w:rPr>
        <w:t xml:space="preserve"> realizadas.</w:t>
      </w:r>
    </w:p>
    <w:p w14:paraId="4948560B" w14:textId="77777777" w:rsidR="00B779FA" w:rsidRPr="00B779FA" w:rsidRDefault="00B779FA">
      <w:pPr>
        <w:pStyle w:val="NormalWeb"/>
        <w:numPr>
          <w:ilvl w:val="0"/>
          <w:numId w:val="8"/>
        </w:numPr>
        <w:jc w:val="both"/>
        <w:rPr>
          <w:rFonts w:ascii="Verdana" w:hAnsi="Verdana"/>
          <w:sz w:val="18"/>
          <w:szCs w:val="18"/>
        </w:rPr>
      </w:pPr>
      <w:r w:rsidRPr="00B779FA">
        <w:rPr>
          <w:rFonts w:ascii="Verdana" w:hAnsi="Verdana"/>
          <w:sz w:val="18"/>
          <w:szCs w:val="18"/>
        </w:rPr>
        <w:t xml:space="preserve">Los </w:t>
      </w:r>
      <w:r w:rsidRPr="00B779FA">
        <w:rPr>
          <w:rFonts w:ascii="Verdana" w:hAnsi="Verdana"/>
          <w:b/>
          <w:bCs/>
          <w:sz w:val="18"/>
          <w:szCs w:val="18"/>
        </w:rPr>
        <w:t>gastos y tributos inherentes a la adquisición</w:t>
      </w:r>
      <w:r w:rsidRPr="00B779FA">
        <w:rPr>
          <w:rFonts w:ascii="Verdana" w:hAnsi="Verdana"/>
          <w:sz w:val="18"/>
          <w:szCs w:val="18"/>
        </w:rPr>
        <w:t xml:space="preserve">, como el </w:t>
      </w:r>
      <w:r w:rsidRPr="00B779FA">
        <w:rPr>
          <w:rFonts w:ascii="Verdana" w:hAnsi="Verdana"/>
          <w:b/>
          <w:bCs/>
          <w:sz w:val="18"/>
          <w:szCs w:val="18"/>
        </w:rPr>
        <w:t>IVA</w:t>
      </w:r>
      <w:r w:rsidRPr="00B779FA">
        <w:rPr>
          <w:rFonts w:ascii="Verdana" w:hAnsi="Verdana"/>
          <w:sz w:val="18"/>
          <w:szCs w:val="18"/>
        </w:rPr>
        <w:t xml:space="preserve">, el </w:t>
      </w:r>
      <w:r w:rsidRPr="00B779FA">
        <w:rPr>
          <w:rFonts w:ascii="Verdana" w:hAnsi="Verdana"/>
          <w:b/>
          <w:bCs/>
          <w:sz w:val="18"/>
          <w:szCs w:val="18"/>
        </w:rPr>
        <w:t>ITPAJD</w:t>
      </w:r>
      <w:r w:rsidRPr="00B779FA">
        <w:rPr>
          <w:rFonts w:ascii="Verdana" w:hAnsi="Verdana"/>
          <w:sz w:val="18"/>
          <w:szCs w:val="18"/>
        </w:rPr>
        <w:t xml:space="preserve">, así como </w:t>
      </w:r>
      <w:r w:rsidRPr="00B779FA">
        <w:rPr>
          <w:rFonts w:ascii="Verdana" w:hAnsi="Verdana"/>
          <w:b/>
          <w:bCs/>
          <w:sz w:val="18"/>
          <w:szCs w:val="18"/>
        </w:rPr>
        <w:t>gastos de notaría y registro</w:t>
      </w:r>
      <w:r w:rsidRPr="00B779FA">
        <w:rPr>
          <w:rFonts w:ascii="Verdana" w:hAnsi="Verdana"/>
          <w:sz w:val="18"/>
          <w:szCs w:val="18"/>
        </w:rPr>
        <w:t>.</w:t>
      </w:r>
    </w:p>
    <w:p w14:paraId="7719AF12" w14:textId="77777777" w:rsidR="00B779FA" w:rsidRPr="00B779FA" w:rsidRDefault="00B779FA">
      <w:pPr>
        <w:pStyle w:val="NormalWeb"/>
        <w:numPr>
          <w:ilvl w:val="0"/>
          <w:numId w:val="8"/>
        </w:numPr>
        <w:jc w:val="both"/>
        <w:rPr>
          <w:rFonts w:ascii="Verdana" w:hAnsi="Verdana"/>
          <w:sz w:val="18"/>
          <w:szCs w:val="18"/>
        </w:rPr>
      </w:pPr>
      <w:r w:rsidRPr="00B779FA">
        <w:rPr>
          <w:rFonts w:ascii="Verdana" w:hAnsi="Verdana"/>
          <w:sz w:val="18"/>
          <w:szCs w:val="18"/>
        </w:rPr>
        <w:t xml:space="preserve">Quedan excluidos únicamente los </w:t>
      </w:r>
      <w:r w:rsidRPr="00B779FA">
        <w:rPr>
          <w:rFonts w:ascii="Verdana" w:hAnsi="Verdana"/>
          <w:b/>
          <w:bCs/>
          <w:sz w:val="18"/>
          <w:szCs w:val="18"/>
        </w:rPr>
        <w:t>intereses</w:t>
      </w:r>
      <w:r w:rsidRPr="00B779FA">
        <w:rPr>
          <w:rFonts w:ascii="Verdana" w:hAnsi="Verdana"/>
          <w:sz w:val="18"/>
          <w:szCs w:val="18"/>
        </w:rPr>
        <w:t>.</w:t>
      </w:r>
    </w:p>
    <w:p w14:paraId="2F5E45E4" w14:textId="77777777" w:rsidR="00B779FA" w:rsidRPr="00B779FA" w:rsidRDefault="00B779FA" w:rsidP="00B779FA">
      <w:pPr>
        <w:pStyle w:val="NormalWeb"/>
        <w:ind w:left="284"/>
        <w:jc w:val="both"/>
        <w:rPr>
          <w:rFonts w:ascii="Verdana" w:hAnsi="Verdana"/>
          <w:sz w:val="18"/>
          <w:szCs w:val="18"/>
        </w:rPr>
      </w:pPr>
      <w:r w:rsidRPr="00B779FA">
        <w:rPr>
          <w:rFonts w:ascii="Verdana" w:hAnsi="Verdana"/>
          <w:sz w:val="18"/>
          <w:szCs w:val="18"/>
        </w:rPr>
        <w:t xml:space="preserve">Este criterio se fundamenta en la aplicación analógica del </w:t>
      </w:r>
      <w:r w:rsidRPr="00B779FA">
        <w:rPr>
          <w:rFonts w:ascii="Verdana" w:hAnsi="Verdana"/>
          <w:b/>
          <w:bCs/>
          <w:sz w:val="18"/>
          <w:szCs w:val="18"/>
        </w:rPr>
        <w:t>artículo 35.1 de la Ley del IRPF</w:t>
      </w:r>
      <w:r w:rsidRPr="00B779FA">
        <w:rPr>
          <w:rFonts w:ascii="Verdana" w:hAnsi="Verdana"/>
          <w:sz w:val="18"/>
          <w:szCs w:val="18"/>
        </w:rPr>
        <w:t xml:space="preserve">, dada la interrelación entre ambos impuestos, y </w:t>
      </w:r>
      <w:r w:rsidRPr="00B779FA">
        <w:rPr>
          <w:rFonts w:ascii="Verdana" w:hAnsi="Verdana"/>
          <w:b/>
          <w:bCs/>
          <w:sz w:val="18"/>
          <w:szCs w:val="18"/>
        </w:rPr>
        <w:t>confirma la doctrina reiterada de la Dirección General de Tributos</w:t>
      </w:r>
      <w:r w:rsidRPr="00B779FA">
        <w:rPr>
          <w:rFonts w:ascii="Verdana" w:hAnsi="Verdana"/>
          <w:sz w:val="18"/>
          <w:szCs w:val="18"/>
        </w:rPr>
        <w:t>, ya respaldada por el propio TEAC en resoluciones anteriores.</w:t>
      </w:r>
    </w:p>
    <w:p w14:paraId="4EAC1B83" w14:textId="77777777" w:rsidR="00B779FA" w:rsidRPr="00B779FA" w:rsidRDefault="00B779FA" w:rsidP="00FF6AF8">
      <w:pPr>
        <w:pStyle w:val="NormalWeb"/>
        <w:spacing w:before="0" w:beforeAutospacing="0" w:after="0" w:afterAutospacing="0"/>
        <w:ind w:left="284"/>
        <w:jc w:val="both"/>
        <w:rPr>
          <w:rFonts w:ascii="Verdana" w:hAnsi="Verdana"/>
          <w:sz w:val="18"/>
          <w:szCs w:val="18"/>
        </w:rPr>
      </w:pPr>
      <w:r w:rsidRPr="00B779FA">
        <w:rPr>
          <w:rFonts w:ascii="Verdana" w:hAnsi="Verdana"/>
          <w:sz w:val="18"/>
          <w:szCs w:val="18"/>
        </w:rPr>
        <w:t>Asimismo, el Tribunal rechaza:</w:t>
      </w:r>
    </w:p>
    <w:p w14:paraId="3BA848B5" w14:textId="77777777" w:rsidR="00B779FA" w:rsidRPr="00B779FA" w:rsidRDefault="00B779FA" w:rsidP="00FF6AF8">
      <w:pPr>
        <w:pStyle w:val="NormalWeb"/>
        <w:numPr>
          <w:ilvl w:val="0"/>
          <w:numId w:val="9"/>
        </w:numPr>
        <w:spacing w:before="0" w:beforeAutospacing="0" w:after="0" w:afterAutospacing="0"/>
        <w:jc w:val="both"/>
        <w:rPr>
          <w:rFonts w:ascii="Verdana" w:hAnsi="Verdana"/>
          <w:sz w:val="18"/>
          <w:szCs w:val="18"/>
        </w:rPr>
      </w:pPr>
      <w:r w:rsidRPr="00B779FA">
        <w:rPr>
          <w:rFonts w:ascii="Verdana" w:hAnsi="Verdana"/>
          <w:sz w:val="18"/>
          <w:szCs w:val="18"/>
        </w:rPr>
        <w:t xml:space="preserve">La exclusión del </w:t>
      </w:r>
      <w:r w:rsidRPr="00B779FA">
        <w:rPr>
          <w:rFonts w:ascii="Verdana" w:hAnsi="Verdana"/>
          <w:b/>
          <w:bCs/>
          <w:sz w:val="18"/>
          <w:szCs w:val="18"/>
        </w:rPr>
        <w:t>IVA soportado</w:t>
      </w:r>
      <w:r w:rsidRPr="00B779FA">
        <w:rPr>
          <w:rFonts w:ascii="Verdana" w:hAnsi="Verdana"/>
          <w:sz w:val="18"/>
          <w:szCs w:val="18"/>
        </w:rPr>
        <w:t xml:space="preserve"> del valor del inmueble.</w:t>
      </w:r>
    </w:p>
    <w:p w14:paraId="41FA129C" w14:textId="77777777" w:rsidR="00B779FA" w:rsidRPr="00B779FA" w:rsidRDefault="00B779FA" w:rsidP="00FF6AF8">
      <w:pPr>
        <w:pStyle w:val="NormalWeb"/>
        <w:numPr>
          <w:ilvl w:val="0"/>
          <w:numId w:val="9"/>
        </w:numPr>
        <w:spacing w:before="0" w:beforeAutospacing="0" w:after="0" w:afterAutospacing="0"/>
        <w:jc w:val="both"/>
        <w:rPr>
          <w:rFonts w:ascii="Verdana" w:hAnsi="Verdana"/>
          <w:sz w:val="18"/>
          <w:szCs w:val="18"/>
        </w:rPr>
      </w:pPr>
      <w:r w:rsidRPr="00B779FA">
        <w:rPr>
          <w:rFonts w:ascii="Verdana" w:hAnsi="Verdana"/>
          <w:sz w:val="18"/>
          <w:szCs w:val="18"/>
        </w:rPr>
        <w:t xml:space="preserve">La minoración del valor por </w:t>
      </w:r>
      <w:r w:rsidRPr="00B779FA">
        <w:rPr>
          <w:rFonts w:ascii="Verdana" w:hAnsi="Verdana"/>
          <w:b/>
          <w:bCs/>
          <w:sz w:val="18"/>
          <w:szCs w:val="18"/>
        </w:rPr>
        <w:t>ajuar doméstico o mobiliario</w:t>
      </w:r>
      <w:r w:rsidRPr="00B779FA">
        <w:rPr>
          <w:rFonts w:ascii="Verdana" w:hAnsi="Verdana"/>
          <w:sz w:val="18"/>
          <w:szCs w:val="18"/>
        </w:rPr>
        <w:t>, al no haberse acreditado su existencia ni valoración individualizada.</w:t>
      </w:r>
    </w:p>
    <w:p w14:paraId="31A8AFC2" w14:textId="77777777" w:rsidR="00B779FA" w:rsidRDefault="00B779FA" w:rsidP="00FF6AF8">
      <w:pPr>
        <w:pStyle w:val="NormalWeb"/>
        <w:numPr>
          <w:ilvl w:val="0"/>
          <w:numId w:val="9"/>
        </w:numPr>
        <w:spacing w:before="0" w:beforeAutospacing="0" w:after="0" w:afterAutospacing="0"/>
        <w:jc w:val="both"/>
        <w:rPr>
          <w:rFonts w:ascii="Verdana" w:hAnsi="Verdana"/>
          <w:sz w:val="18"/>
          <w:szCs w:val="18"/>
        </w:rPr>
      </w:pPr>
      <w:r w:rsidRPr="00B779FA">
        <w:rPr>
          <w:rFonts w:ascii="Verdana" w:hAnsi="Verdana"/>
          <w:sz w:val="18"/>
          <w:szCs w:val="18"/>
        </w:rPr>
        <w:t xml:space="preserve">La aplicación del </w:t>
      </w:r>
      <w:r w:rsidRPr="00B779FA">
        <w:rPr>
          <w:rFonts w:ascii="Verdana" w:hAnsi="Verdana"/>
          <w:b/>
          <w:bCs/>
          <w:sz w:val="18"/>
          <w:szCs w:val="18"/>
        </w:rPr>
        <w:t>límite conjunto IP–IRPF del artículo 31 LIP</w:t>
      </w:r>
      <w:r w:rsidRPr="00B779FA">
        <w:rPr>
          <w:rFonts w:ascii="Verdana" w:hAnsi="Verdana"/>
          <w:sz w:val="18"/>
          <w:szCs w:val="18"/>
        </w:rPr>
        <w:t xml:space="preserve">, al tratarse de un contribuyente </w:t>
      </w:r>
      <w:r w:rsidRPr="00B779FA">
        <w:rPr>
          <w:rFonts w:ascii="Verdana" w:hAnsi="Verdana"/>
          <w:b/>
          <w:bCs/>
          <w:sz w:val="18"/>
          <w:szCs w:val="18"/>
        </w:rPr>
        <w:t>no residente</w:t>
      </w:r>
      <w:r w:rsidRPr="00B779FA">
        <w:rPr>
          <w:rFonts w:ascii="Verdana" w:hAnsi="Verdana"/>
          <w:sz w:val="18"/>
          <w:szCs w:val="18"/>
        </w:rPr>
        <w:t>, sometido al impuesto por obligación real.</w:t>
      </w:r>
    </w:p>
    <w:p w14:paraId="6712BA90" w14:textId="77777777" w:rsidR="00FF6AF8" w:rsidRDefault="00FF6AF8" w:rsidP="00FF6AF8">
      <w:pPr>
        <w:pStyle w:val="NormalWeb"/>
        <w:spacing w:before="0" w:beforeAutospacing="0" w:after="0" w:afterAutospacing="0"/>
        <w:ind w:left="284"/>
        <w:jc w:val="both"/>
        <w:rPr>
          <w:rFonts w:ascii="Verdana" w:hAnsi="Verdana"/>
          <w:b/>
          <w:bCs/>
          <w:sz w:val="18"/>
          <w:szCs w:val="18"/>
        </w:rPr>
      </w:pPr>
    </w:p>
    <w:p w14:paraId="1E6C761D" w14:textId="77777777" w:rsidR="00FF6AF8" w:rsidRDefault="00FF6AF8" w:rsidP="00FF6AF8">
      <w:pPr>
        <w:pStyle w:val="NormalWeb"/>
        <w:spacing w:before="0" w:beforeAutospacing="0" w:after="0" w:afterAutospacing="0"/>
        <w:ind w:left="284"/>
        <w:jc w:val="both"/>
        <w:rPr>
          <w:rFonts w:ascii="Verdana" w:hAnsi="Verdana"/>
          <w:b/>
          <w:bCs/>
          <w:sz w:val="18"/>
          <w:szCs w:val="18"/>
        </w:rPr>
      </w:pPr>
    </w:p>
    <w:p w14:paraId="3A1D8251" w14:textId="548C1E1F" w:rsidR="00146172" w:rsidRDefault="00A04E81" w:rsidP="00FF6AF8">
      <w:pPr>
        <w:pStyle w:val="NormalWeb"/>
        <w:spacing w:before="0" w:beforeAutospacing="0" w:after="0" w:afterAutospacing="0"/>
        <w:ind w:left="284"/>
        <w:jc w:val="both"/>
        <w:rPr>
          <w:rFonts w:ascii="Verdana" w:hAnsi="Verdana"/>
          <w:b/>
          <w:bCs/>
          <w:sz w:val="18"/>
          <w:szCs w:val="18"/>
        </w:rPr>
      </w:pPr>
      <w:r w:rsidRPr="00A04E81">
        <w:rPr>
          <w:rFonts w:ascii="Verdana" w:hAnsi="Verdana"/>
          <w:b/>
          <w:bCs/>
          <w:sz w:val="18"/>
          <w:szCs w:val="18"/>
        </w:rPr>
        <w:t>Conclusión práctica</w:t>
      </w:r>
    </w:p>
    <w:p w14:paraId="4B8CF61E" w14:textId="178D7D00" w:rsidR="00A04E81" w:rsidRDefault="00A04E81" w:rsidP="00FF6AF8">
      <w:pPr>
        <w:pStyle w:val="NormalWeb"/>
        <w:spacing w:before="0" w:beforeAutospacing="0" w:after="0" w:afterAutospacing="0"/>
        <w:ind w:left="284"/>
        <w:jc w:val="both"/>
        <w:rPr>
          <w:rFonts w:ascii="Verdana" w:hAnsi="Verdana"/>
          <w:sz w:val="18"/>
          <w:szCs w:val="18"/>
        </w:rPr>
      </w:pPr>
      <w:r w:rsidRPr="00A04E81">
        <w:rPr>
          <w:rFonts w:ascii="Verdana" w:hAnsi="Verdana"/>
          <w:sz w:val="18"/>
          <w:szCs w:val="18"/>
        </w:rPr>
        <w:t xml:space="preserve">En el Impuesto sobre el Patrimonio, el valor de adquisición de los inmuebles debe calcularse de forma </w:t>
      </w:r>
      <w:r w:rsidRPr="00A04E81">
        <w:rPr>
          <w:rFonts w:ascii="Verdana" w:hAnsi="Verdana"/>
          <w:b/>
          <w:bCs/>
          <w:sz w:val="18"/>
          <w:szCs w:val="18"/>
        </w:rPr>
        <w:t>amplia</w:t>
      </w:r>
      <w:r w:rsidRPr="00A04E81">
        <w:rPr>
          <w:rFonts w:ascii="Verdana" w:hAnsi="Verdana"/>
          <w:sz w:val="18"/>
          <w:szCs w:val="18"/>
        </w:rPr>
        <w:t xml:space="preserve">, incorporando todos los gastos y tributos asociados a la compra, lo que puede tener un </w:t>
      </w:r>
      <w:r w:rsidRPr="00A04E81">
        <w:rPr>
          <w:rFonts w:ascii="Verdana" w:hAnsi="Verdana"/>
          <w:b/>
          <w:bCs/>
          <w:sz w:val="18"/>
          <w:szCs w:val="18"/>
        </w:rPr>
        <w:t>impacto relevante en la cuota a ingresar</w:t>
      </w:r>
      <w:r w:rsidRPr="00A04E81">
        <w:rPr>
          <w:rFonts w:ascii="Verdana" w:hAnsi="Verdana"/>
          <w:sz w:val="18"/>
          <w:szCs w:val="18"/>
        </w:rPr>
        <w:t>, especialmente para contribuyentes no residentes.</w:t>
      </w:r>
    </w:p>
    <w:p w14:paraId="5E86AFAA" w14:textId="77777777" w:rsidR="00FF6AF8" w:rsidRDefault="00FF6AF8" w:rsidP="00A04E81">
      <w:pPr>
        <w:pStyle w:val="NormalWeb"/>
        <w:ind w:left="284"/>
        <w:jc w:val="both"/>
        <w:rPr>
          <w:rFonts w:ascii="Verdana" w:hAnsi="Verdana"/>
          <w:sz w:val="18"/>
          <w:szCs w:val="18"/>
        </w:rPr>
      </w:pPr>
    </w:p>
    <w:tbl>
      <w:tblPr>
        <w:tblW w:w="8640" w:type="dxa"/>
        <w:tblInd w:w="70" w:type="dxa"/>
        <w:tblCellMar>
          <w:left w:w="70" w:type="dxa"/>
          <w:right w:w="70" w:type="dxa"/>
        </w:tblCellMar>
        <w:tblLook w:val="0000" w:firstRow="0" w:lastRow="0" w:firstColumn="0" w:lastColumn="0" w:noHBand="0" w:noVBand="0"/>
      </w:tblPr>
      <w:tblGrid>
        <w:gridCol w:w="180"/>
        <w:gridCol w:w="8460"/>
      </w:tblGrid>
      <w:tr w:rsidR="00C44998" w:rsidRPr="00C44998" w14:paraId="4E7F7FAD" w14:textId="77777777" w:rsidTr="000E767B">
        <w:tc>
          <w:tcPr>
            <w:tcW w:w="180" w:type="dxa"/>
            <w:shd w:val="clear" w:color="auto" w:fill="FF6600"/>
          </w:tcPr>
          <w:p w14:paraId="3A725B0C" w14:textId="77777777" w:rsidR="00C44998" w:rsidRPr="00C44998" w:rsidRDefault="00C44998" w:rsidP="000E767B">
            <w:pPr>
              <w:ind w:left="360"/>
              <w:rPr>
                <w:rFonts w:ascii="Verdana" w:hAnsi="Verdana"/>
                <w:b/>
                <w:bCs/>
                <w:color w:val="800000"/>
                <w:sz w:val="18"/>
                <w:szCs w:val="18"/>
              </w:rPr>
            </w:pPr>
          </w:p>
        </w:tc>
        <w:tc>
          <w:tcPr>
            <w:tcW w:w="8460" w:type="dxa"/>
          </w:tcPr>
          <w:p w14:paraId="501B9DBF" w14:textId="55E3C86B" w:rsidR="00C44998" w:rsidRPr="00C44998" w:rsidRDefault="00C44998">
            <w:pPr>
              <w:numPr>
                <w:ilvl w:val="1"/>
                <w:numId w:val="3"/>
              </w:numPr>
              <w:tabs>
                <w:tab w:val="num" w:pos="242"/>
              </w:tabs>
              <w:ind w:left="242" w:hanging="242"/>
              <w:jc w:val="both"/>
              <w:rPr>
                <w:rFonts w:ascii="Verdana" w:hAnsi="Verdana"/>
                <w:b/>
                <w:bCs/>
                <w:color w:val="800000"/>
                <w:sz w:val="18"/>
                <w:szCs w:val="18"/>
              </w:rPr>
            </w:pPr>
            <w:r w:rsidRPr="00C44998">
              <w:rPr>
                <w:rFonts w:ascii="Verdana" w:hAnsi="Verdana"/>
                <w:b/>
                <w:bCs/>
                <w:color w:val="800000"/>
                <w:sz w:val="18"/>
                <w:szCs w:val="18"/>
              </w:rPr>
              <w:t>IS.- EL TEAC REFUERZA EL CONTROL SOBRE LA RESERVA DE CAPITALIZACIÓN: EL MANTENIMIENTO DE LOS FONDOS PROPIOS DEBE CUMPLIRSE AÑO A AÑO</w:t>
            </w:r>
          </w:p>
        </w:tc>
      </w:tr>
    </w:tbl>
    <w:p w14:paraId="54E3D087" w14:textId="71F91BD9" w:rsidR="00C44998" w:rsidRPr="00C44998" w:rsidRDefault="00C44998" w:rsidP="00C44998">
      <w:pPr>
        <w:pStyle w:val="isselectedend"/>
        <w:ind w:left="284"/>
        <w:jc w:val="both"/>
        <w:rPr>
          <w:rFonts w:ascii="Verdana" w:hAnsi="Verdana"/>
          <w:sz w:val="18"/>
          <w:szCs w:val="18"/>
        </w:rPr>
      </w:pPr>
      <w:r w:rsidRPr="00C44998">
        <w:rPr>
          <w:rFonts w:ascii="Verdana" w:hAnsi="Verdana"/>
          <w:sz w:val="18"/>
          <w:szCs w:val="18"/>
        </w:rPr>
        <w:t>En recientes resoluciones,</w:t>
      </w:r>
      <w:r w:rsidR="008E0375" w:rsidRPr="008E0375">
        <w:rPr>
          <w:rFonts w:ascii="Verdana" w:hAnsi="Verdana"/>
          <w:sz w:val="18"/>
          <w:szCs w:val="18"/>
        </w:rPr>
        <w:t>—06660/2023, de 20 de marzo de 2024 y 00759/2024, de 20 de octubre de 2025—</w:t>
      </w:r>
      <w:r w:rsidR="008E0375">
        <w:rPr>
          <w:rFonts w:ascii="Verdana" w:hAnsi="Verdana"/>
          <w:sz w:val="18"/>
          <w:szCs w:val="18"/>
        </w:rPr>
        <w:t xml:space="preserve"> </w:t>
      </w:r>
      <w:r w:rsidRPr="00C44998">
        <w:rPr>
          <w:rFonts w:ascii="Verdana" w:hAnsi="Verdana"/>
          <w:sz w:val="18"/>
          <w:szCs w:val="18"/>
        </w:rPr>
        <w:t xml:space="preserve">el </w:t>
      </w:r>
      <w:r w:rsidRPr="00C44998">
        <w:rPr>
          <w:rStyle w:val="Textoennegrita"/>
          <w:rFonts w:ascii="Verdana" w:hAnsi="Verdana"/>
          <w:sz w:val="18"/>
          <w:szCs w:val="18"/>
        </w:rPr>
        <w:t>Tribunal Económico-Administrativo Central (TEAC)</w:t>
      </w:r>
      <w:r w:rsidRPr="00C44998">
        <w:rPr>
          <w:rFonts w:ascii="Verdana" w:hAnsi="Verdana"/>
          <w:sz w:val="18"/>
          <w:szCs w:val="18"/>
        </w:rPr>
        <w:t xml:space="preserve"> ha confirmado el criterio sostenido de forma reiterada por la Dirección General de Tributos: el incremento de fondos propios que da derecho a la reducción debe </w:t>
      </w:r>
      <w:r w:rsidRPr="00C44998">
        <w:rPr>
          <w:rStyle w:val="Textoennegrita"/>
          <w:rFonts w:ascii="Verdana" w:hAnsi="Verdana"/>
          <w:sz w:val="18"/>
          <w:szCs w:val="18"/>
        </w:rPr>
        <w:t>mantenerse durante todo el plazo legal —actualmente tres años— y verificarse ejercicio a ejercicio</w:t>
      </w:r>
      <w:r w:rsidRPr="00C44998">
        <w:rPr>
          <w:rFonts w:ascii="Verdana" w:hAnsi="Verdana"/>
          <w:sz w:val="18"/>
          <w:szCs w:val="18"/>
        </w:rPr>
        <w:t xml:space="preserve">, no únicamente al final del periodo. Además, el requisito no se limita al incremento aislado, sino que exige mantener </w:t>
      </w:r>
      <w:r w:rsidRPr="00C44998">
        <w:rPr>
          <w:rStyle w:val="Textoennegrita"/>
          <w:rFonts w:ascii="Verdana" w:hAnsi="Verdana"/>
          <w:sz w:val="18"/>
          <w:szCs w:val="18"/>
        </w:rPr>
        <w:t>los fondos propios finales del ejercicio en que se aplicó la reserva</w:t>
      </w:r>
      <w:r w:rsidRPr="00C44998">
        <w:rPr>
          <w:rFonts w:ascii="Verdana" w:hAnsi="Verdana"/>
          <w:sz w:val="18"/>
          <w:szCs w:val="18"/>
        </w:rPr>
        <w:t>.</w:t>
      </w:r>
    </w:p>
    <w:p w14:paraId="42C3BEF5" w14:textId="77777777" w:rsidR="00C44998" w:rsidRPr="00C44998" w:rsidRDefault="00C44998" w:rsidP="00C44998">
      <w:pPr>
        <w:pStyle w:val="isselectedend"/>
        <w:ind w:left="284"/>
        <w:jc w:val="both"/>
        <w:rPr>
          <w:rFonts w:ascii="Verdana" w:hAnsi="Verdana"/>
          <w:sz w:val="18"/>
          <w:szCs w:val="18"/>
        </w:rPr>
      </w:pPr>
      <w:r w:rsidRPr="00C44998">
        <w:rPr>
          <w:rFonts w:ascii="Verdana" w:hAnsi="Verdana"/>
          <w:sz w:val="18"/>
          <w:szCs w:val="18"/>
        </w:rPr>
        <w:t xml:space="preserve">El TEAC rechaza interpretaciones más flexibles, como la posibilidad de compensar reducciones temporales o diferir el análisis del cumplimiento al final del plazo. Asimismo, aclara que determinadas correcciones contables o repartos de dividendos que reduzcan los fondos propios pueden implicar la </w:t>
      </w:r>
      <w:r w:rsidRPr="00C44998">
        <w:rPr>
          <w:rStyle w:val="Textoennegrita"/>
          <w:rFonts w:ascii="Verdana" w:hAnsi="Verdana"/>
          <w:sz w:val="18"/>
          <w:szCs w:val="18"/>
        </w:rPr>
        <w:t>regularización parcial o total del beneficio fiscal aplicado</w:t>
      </w:r>
      <w:r w:rsidRPr="00C44998">
        <w:rPr>
          <w:rFonts w:ascii="Verdana" w:hAnsi="Verdana"/>
          <w:sz w:val="18"/>
          <w:szCs w:val="18"/>
        </w:rPr>
        <w:t>.</w:t>
      </w:r>
    </w:p>
    <w:p w14:paraId="4D3ED903" w14:textId="77777777" w:rsidR="00C41B9E" w:rsidRPr="00C41B9E" w:rsidRDefault="00C41B9E" w:rsidP="00C41B9E">
      <w:pPr>
        <w:pStyle w:val="NormalWeb"/>
        <w:ind w:left="284"/>
        <w:jc w:val="both"/>
        <w:rPr>
          <w:rFonts w:ascii="Verdana" w:hAnsi="Verdana"/>
          <w:sz w:val="18"/>
          <w:szCs w:val="18"/>
        </w:rPr>
      </w:pPr>
      <w:r w:rsidRPr="00C41B9E">
        <w:rPr>
          <w:rFonts w:ascii="Verdana" w:hAnsi="Verdana"/>
          <w:sz w:val="18"/>
          <w:szCs w:val="18"/>
        </w:rPr>
        <w:t>Asimismo, el TEAC descarta interpretaciones flexibles que pretendan excluir determinados cargos a reservas o diferir la comprobación del requisito, reforzando la importancia de una gestión contable y fiscal coherente.</w:t>
      </w:r>
    </w:p>
    <w:p w14:paraId="7F181BB5" w14:textId="77777777" w:rsidR="00C41B9E" w:rsidRPr="00C41B9E" w:rsidRDefault="00C41B9E" w:rsidP="00FF6AF8">
      <w:pPr>
        <w:pStyle w:val="NormalWeb"/>
        <w:spacing w:before="0" w:beforeAutospacing="0" w:after="0" w:afterAutospacing="0"/>
        <w:ind w:left="284"/>
        <w:jc w:val="both"/>
        <w:rPr>
          <w:rFonts w:ascii="Verdana" w:hAnsi="Verdana"/>
          <w:sz w:val="18"/>
          <w:szCs w:val="18"/>
        </w:rPr>
      </w:pPr>
      <w:r w:rsidRPr="00C41B9E">
        <w:rPr>
          <w:rFonts w:ascii="Verdana" w:hAnsi="Verdana"/>
          <w:b/>
          <w:bCs/>
          <w:sz w:val="18"/>
          <w:szCs w:val="18"/>
        </w:rPr>
        <w:t>Implicaciones prácticas clave:</w:t>
      </w:r>
    </w:p>
    <w:p w14:paraId="5AEBE3DE" w14:textId="77777777" w:rsidR="00C41B9E" w:rsidRPr="00C41B9E" w:rsidRDefault="00C41B9E" w:rsidP="00FF6AF8">
      <w:pPr>
        <w:pStyle w:val="NormalWeb"/>
        <w:numPr>
          <w:ilvl w:val="0"/>
          <w:numId w:val="12"/>
        </w:numPr>
        <w:spacing w:before="0" w:beforeAutospacing="0" w:after="0" w:afterAutospacing="0"/>
        <w:jc w:val="both"/>
        <w:rPr>
          <w:rFonts w:ascii="Verdana" w:hAnsi="Verdana"/>
          <w:sz w:val="18"/>
          <w:szCs w:val="18"/>
        </w:rPr>
      </w:pPr>
      <w:r w:rsidRPr="00C41B9E">
        <w:rPr>
          <w:rFonts w:ascii="Verdana" w:hAnsi="Verdana"/>
          <w:sz w:val="18"/>
          <w:szCs w:val="18"/>
        </w:rPr>
        <w:t>Revisar anualmente la evolución de los fondos propios durante el periodo de mantenimiento.</w:t>
      </w:r>
    </w:p>
    <w:p w14:paraId="269191E5" w14:textId="77777777" w:rsidR="00C41B9E" w:rsidRPr="00C41B9E" w:rsidRDefault="00C41B9E" w:rsidP="00FF6AF8">
      <w:pPr>
        <w:pStyle w:val="NormalWeb"/>
        <w:numPr>
          <w:ilvl w:val="0"/>
          <w:numId w:val="12"/>
        </w:numPr>
        <w:spacing w:before="0" w:beforeAutospacing="0" w:after="0" w:afterAutospacing="0"/>
        <w:jc w:val="both"/>
        <w:rPr>
          <w:rFonts w:ascii="Verdana" w:hAnsi="Verdana"/>
          <w:sz w:val="18"/>
          <w:szCs w:val="18"/>
        </w:rPr>
      </w:pPr>
      <w:r w:rsidRPr="00C41B9E">
        <w:rPr>
          <w:rFonts w:ascii="Verdana" w:hAnsi="Verdana"/>
          <w:sz w:val="18"/>
          <w:szCs w:val="18"/>
        </w:rPr>
        <w:t>Analizar el impacto fiscal antes de aprobar dividendos o realizar ajustes contra reservas.</w:t>
      </w:r>
    </w:p>
    <w:p w14:paraId="3996B44A" w14:textId="77777777" w:rsidR="00C41B9E" w:rsidRPr="00C41B9E" w:rsidRDefault="00C41B9E" w:rsidP="00FF6AF8">
      <w:pPr>
        <w:pStyle w:val="NormalWeb"/>
        <w:numPr>
          <w:ilvl w:val="0"/>
          <w:numId w:val="12"/>
        </w:numPr>
        <w:spacing w:before="0" w:beforeAutospacing="0" w:after="0" w:afterAutospacing="0"/>
        <w:jc w:val="both"/>
        <w:rPr>
          <w:rFonts w:ascii="Verdana" w:hAnsi="Verdana"/>
          <w:sz w:val="18"/>
          <w:szCs w:val="18"/>
        </w:rPr>
      </w:pPr>
      <w:r w:rsidRPr="00C41B9E">
        <w:rPr>
          <w:rFonts w:ascii="Verdana" w:hAnsi="Verdana"/>
          <w:sz w:val="18"/>
          <w:szCs w:val="18"/>
        </w:rPr>
        <w:t>Documentar adecuadamente el cumplimiento del incentivo para evitar regularizaciones futuras.</w:t>
      </w:r>
    </w:p>
    <w:p w14:paraId="658F5A44" w14:textId="77777777" w:rsidR="00C41B9E" w:rsidRPr="00C41B9E" w:rsidRDefault="00C41B9E" w:rsidP="00FF6AF8">
      <w:pPr>
        <w:pStyle w:val="NormalWeb"/>
        <w:numPr>
          <w:ilvl w:val="0"/>
          <w:numId w:val="12"/>
        </w:numPr>
        <w:spacing w:before="0" w:beforeAutospacing="0" w:after="0" w:afterAutospacing="0"/>
        <w:jc w:val="both"/>
        <w:rPr>
          <w:rFonts w:ascii="Verdana" w:hAnsi="Verdana"/>
          <w:sz w:val="18"/>
          <w:szCs w:val="18"/>
        </w:rPr>
      </w:pPr>
      <w:r w:rsidRPr="00C41B9E">
        <w:rPr>
          <w:rFonts w:ascii="Verdana" w:hAnsi="Verdana"/>
          <w:sz w:val="18"/>
          <w:szCs w:val="18"/>
        </w:rPr>
        <w:t>Coordinar la planificación fiscal con la política financiera y societaria del grupo.</w:t>
      </w:r>
    </w:p>
    <w:p w14:paraId="4786C54F" w14:textId="77777777" w:rsidR="00C41B9E" w:rsidRPr="00C41B9E" w:rsidRDefault="00C41B9E" w:rsidP="00C41B9E">
      <w:pPr>
        <w:pStyle w:val="NormalWeb"/>
        <w:ind w:left="284"/>
        <w:jc w:val="both"/>
        <w:rPr>
          <w:rFonts w:ascii="Verdana" w:hAnsi="Verdana"/>
          <w:sz w:val="18"/>
          <w:szCs w:val="18"/>
        </w:rPr>
      </w:pPr>
      <w:r w:rsidRPr="00C41B9E">
        <w:rPr>
          <w:rFonts w:ascii="Verdana" w:hAnsi="Verdana"/>
          <w:sz w:val="18"/>
          <w:szCs w:val="18"/>
        </w:rPr>
        <w:t xml:space="preserve">Este criterio incrementa la </w:t>
      </w:r>
      <w:r w:rsidRPr="00C41B9E">
        <w:rPr>
          <w:rFonts w:ascii="Verdana" w:hAnsi="Verdana"/>
          <w:b/>
          <w:bCs/>
          <w:sz w:val="18"/>
          <w:szCs w:val="18"/>
        </w:rPr>
        <w:t>seguridad jurídica</w:t>
      </w:r>
      <w:r w:rsidRPr="00C41B9E">
        <w:rPr>
          <w:rFonts w:ascii="Verdana" w:hAnsi="Verdana"/>
          <w:sz w:val="18"/>
          <w:szCs w:val="18"/>
        </w:rPr>
        <w:t xml:space="preserve">, pero también eleva el nivel de </w:t>
      </w:r>
      <w:r w:rsidRPr="00C41B9E">
        <w:rPr>
          <w:rFonts w:ascii="Verdana" w:hAnsi="Verdana"/>
          <w:b/>
          <w:bCs/>
          <w:sz w:val="18"/>
          <w:szCs w:val="18"/>
        </w:rPr>
        <w:t>exigencia en el control y seguimiento</w:t>
      </w:r>
      <w:r w:rsidRPr="00C41B9E">
        <w:rPr>
          <w:rFonts w:ascii="Verdana" w:hAnsi="Verdana"/>
          <w:sz w:val="18"/>
          <w:szCs w:val="18"/>
        </w:rPr>
        <w:t xml:space="preserve"> del beneficio fiscal.</w:t>
      </w:r>
    </w:p>
    <w:p w14:paraId="7E116C84" w14:textId="41FBEAC3" w:rsidR="00B77F50" w:rsidRPr="00BE76F4" w:rsidRDefault="00B77F50" w:rsidP="00A4213E">
      <w:pPr>
        <w:jc w:val="both"/>
        <w:rPr>
          <w:rFonts w:ascii="Verdana" w:hAnsi="Verdana"/>
          <w:bCs/>
          <w:sz w:val="18"/>
          <w:szCs w:val="18"/>
        </w:rPr>
      </w:pPr>
    </w:p>
    <w:p w14:paraId="2CD25313" w14:textId="50FAED39" w:rsidR="0081014C" w:rsidRPr="003D2263" w:rsidRDefault="00D16A65" w:rsidP="00674430">
      <w:pPr>
        <w:pStyle w:val="Ttulo4"/>
        <w:keepNext w:val="0"/>
        <w:keepLines/>
        <w:widowControl/>
        <w:pBdr>
          <w:top w:val="none" w:sz="0" w:space="0" w:color="auto"/>
          <w:left w:val="none" w:sz="0" w:space="0" w:color="auto"/>
          <w:bottom w:val="none" w:sz="0" w:space="0" w:color="auto"/>
          <w:right w:val="none" w:sz="0" w:space="0" w:color="auto"/>
        </w:pBdr>
        <w:shd w:val="clear" w:color="auto" w:fill="auto"/>
        <w:tabs>
          <w:tab w:val="left" w:pos="0"/>
        </w:tabs>
        <w:contextualSpacing/>
        <w:jc w:val="both"/>
        <w:rPr>
          <w:rFonts w:ascii="Verdana" w:hAnsi="Verdana"/>
          <w:b w:val="0"/>
          <w:iCs/>
          <w:sz w:val="20"/>
          <w:szCs w:val="20"/>
          <w:lang w:val="es-ES" w:eastAsia="es-ES"/>
        </w:rPr>
      </w:pPr>
      <w:r w:rsidRPr="009B2FB7">
        <w:rPr>
          <w:rFonts w:ascii="Verdana" w:hAnsi="Verdana"/>
          <w:color w:val="800000"/>
          <w:sz w:val="20"/>
          <w:szCs w:val="20"/>
          <w:lang w:val="es-ES"/>
        </w:rPr>
        <w:t xml:space="preserve">DISPOSICIONES </w:t>
      </w:r>
      <w:r w:rsidR="0081014C" w:rsidRPr="009B2FB7">
        <w:rPr>
          <w:rFonts w:ascii="Verdana" w:hAnsi="Verdana"/>
          <w:color w:val="800000"/>
          <w:sz w:val="20"/>
          <w:szCs w:val="20"/>
          <w:lang w:val="es-ES"/>
        </w:rPr>
        <w:t>PUBLICADAS</w:t>
      </w:r>
      <w:r w:rsidR="00B37B59" w:rsidRPr="00C729F4">
        <w:rPr>
          <w:rFonts w:ascii="Verdana" w:hAnsi="Verdana"/>
          <w:color w:val="800000"/>
          <w:sz w:val="20"/>
          <w:szCs w:val="20"/>
          <w:lang w:val="es-ES"/>
        </w:rPr>
        <w:t xml:space="preserve"> </w:t>
      </w:r>
      <w:r w:rsidR="00C81CD0" w:rsidRPr="00C729F4">
        <w:rPr>
          <w:rFonts w:ascii="Verdana" w:hAnsi="Verdana"/>
          <w:color w:val="800000"/>
          <w:sz w:val="20"/>
          <w:szCs w:val="20"/>
          <w:lang w:val="es-ES"/>
        </w:rPr>
        <w:t xml:space="preserve">EN </w:t>
      </w:r>
      <w:r w:rsidR="00DC58F4">
        <w:rPr>
          <w:rFonts w:ascii="Verdana" w:hAnsi="Verdana"/>
          <w:color w:val="800000"/>
          <w:sz w:val="20"/>
          <w:szCs w:val="20"/>
          <w:lang w:val="es-ES"/>
        </w:rPr>
        <w:t>EL MES DE</w:t>
      </w:r>
      <w:r w:rsidR="005435FC">
        <w:rPr>
          <w:rFonts w:ascii="Verdana" w:hAnsi="Verdana"/>
          <w:color w:val="800000"/>
          <w:sz w:val="20"/>
          <w:szCs w:val="20"/>
          <w:lang w:val="es-ES"/>
        </w:rPr>
        <w:t xml:space="preserve"> </w:t>
      </w:r>
      <w:r w:rsidR="0081014C" w:rsidRPr="00C729F4">
        <w:rPr>
          <w:rFonts w:ascii="Verdana" w:hAnsi="Verdana"/>
          <w:color w:val="800000"/>
          <w:sz w:val="20"/>
          <w:szCs w:val="20"/>
        </w:rPr>
        <w:t xml:space="preserve">DICIEMBRE DE </w:t>
      </w:r>
      <w:r w:rsidR="00A07311">
        <w:rPr>
          <w:rFonts w:ascii="Verdana" w:hAnsi="Verdana"/>
          <w:color w:val="800000"/>
          <w:sz w:val="20"/>
          <w:szCs w:val="20"/>
        </w:rPr>
        <w:t>202</w:t>
      </w:r>
      <w:r w:rsidR="00A618BF">
        <w:rPr>
          <w:rFonts w:ascii="Verdana" w:hAnsi="Verdana"/>
          <w:color w:val="800000"/>
          <w:sz w:val="20"/>
          <w:szCs w:val="20"/>
        </w:rPr>
        <w:t>5</w:t>
      </w:r>
    </w:p>
    <w:p w14:paraId="1236A41E" w14:textId="77777777" w:rsidR="00D66E67" w:rsidRDefault="00D66E67" w:rsidP="00D66E67">
      <w:pPr>
        <w:rPr>
          <w:lang w:eastAsia="x-none"/>
        </w:rPr>
      </w:pPr>
    </w:p>
    <w:p w14:paraId="0142D0F5" w14:textId="2DC88234" w:rsidR="00A618BF" w:rsidRPr="00A618BF" w:rsidRDefault="00A618BF" w:rsidP="00A618BF">
      <w:pPr>
        <w:jc w:val="both"/>
        <w:rPr>
          <w:rFonts w:ascii="Verdana" w:hAnsi="Verdana"/>
          <w:b/>
          <w:color w:val="800000"/>
          <w:sz w:val="18"/>
          <w:szCs w:val="18"/>
        </w:rPr>
      </w:pPr>
      <w:r w:rsidRPr="00A618BF">
        <w:rPr>
          <w:rFonts w:ascii="Verdana" w:hAnsi="Verdana"/>
          <w:b/>
          <w:color w:val="800000"/>
          <w:sz w:val="18"/>
          <w:szCs w:val="18"/>
        </w:rPr>
        <w:t>Procedimientos tributarios</w:t>
      </w:r>
      <w:r w:rsidR="00946EAE">
        <w:rPr>
          <w:rFonts w:ascii="Verdana" w:hAnsi="Verdana"/>
          <w:b/>
          <w:color w:val="800000"/>
          <w:sz w:val="18"/>
          <w:szCs w:val="18"/>
        </w:rPr>
        <w:t xml:space="preserve">. </w:t>
      </w:r>
      <w:r w:rsidR="00946EAE" w:rsidRPr="00946EAE">
        <w:rPr>
          <w:rFonts w:ascii="Verdana" w:hAnsi="Verdana"/>
          <w:b/>
          <w:color w:val="800000"/>
          <w:sz w:val="18"/>
          <w:szCs w:val="18"/>
        </w:rPr>
        <w:t>Medios electrónicos, informáticos y telemáticos en los procedimientos de aplicación de los tributos cuya tramitación corresponda a la Dirección General de Tributo</w:t>
      </w:r>
      <w:r w:rsidR="00946EAE">
        <w:rPr>
          <w:rFonts w:ascii="Verdana" w:hAnsi="Verdana"/>
          <w:b/>
          <w:color w:val="800000"/>
          <w:sz w:val="18"/>
          <w:szCs w:val="18"/>
        </w:rPr>
        <w:t>s</w:t>
      </w:r>
    </w:p>
    <w:p w14:paraId="736342D9" w14:textId="7B5704F7" w:rsidR="00A618BF" w:rsidRDefault="00A618BF" w:rsidP="00F148E8">
      <w:pPr>
        <w:jc w:val="both"/>
        <w:rPr>
          <w:rFonts w:ascii="Verdana" w:hAnsi="Verdana"/>
          <w:color w:val="333333"/>
          <w:sz w:val="18"/>
          <w:szCs w:val="18"/>
          <w:shd w:val="clear" w:color="auto" w:fill="FFFFFF"/>
        </w:rPr>
      </w:pPr>
      <w:r w:rsidRPr="00A618BF">
        <w:rPr>
          <w:rFonts w:ascii="Verdana" w:hAnsi="Verdana"/>
          <w:color w:val="333333"/>
          <w:sz w:val="18"/>
          <w:szCs w:val="18"/>
          <w:shd w:val="clear" w:color="auto" w:fill="FFFFFF"/>
        </w:rPr>
        <w:t xml:space="preserve">Orden HAC/1358/2025, de 20 de noviembre, por la que se establece el régimen de las actuaciones realizadas a través de </w:t>
      </w:r>
      <w:bookmarkStart w:id="8" w:name="_Hlk216110290"/>
      <w:r w:rsidRPr="00A618BF">
        <w:rPr>
          <w:rFonts w:ascii="Verdana" w:hAnsi="Verdana"/>
          <w:color w:val="333333"/>
          <w:sz w:val="18"/>
          <w:szCs w:val="18"/>
          <w:shd w:val="clear" w:color="auto" w:fill="FFFFFF"/>
        </w:rPr>
        <w:t>medios electrónicos, informáticos y telemáticos en los procedimientos de aplicación de los tributos cuya tramitación corresponda a la Dirección General de Tributo</w:t>
      </w:r>
      <w:bookmarkEnd w:id="8"/>
      <w:r w:rsidRPr="00A618BF">
        <w:rPr>
          <w:rFonts w:ascii="Verdana" w:hAnsi="Verdana"/>
          <w:color w:val="333333"/>
          <w:sz w:val="18"/>
          <w:szCs w:val="18"/>
          <w:shd w:val="clear" w:color="auto" w:fill="FFFFFF"/>
        </w:rPr>
        <w:t>s y se prevé la aprobación del formulario y modelo de representación de carácter voluntario a utilizar en dichos procedimientos.</w:t>
      </w:r>
    </w:p>
    <w:p w14:paraId="0BF21743" w14:textId="61C7637D" w:rsidR="00A618BF" w:rsidRPr="00A618BF" w:rsidRDefault="00A618BF" w:rsidP="00F148E8">
      <w:pPr>
        <w:jc w:val="both"/>
        <w:rPr>
          <w:rFonts w:ascii="Verdana" w:hAnsi="Verdana"/>
          <w:i/>
          <w:iCs/>
          <w:color w:val="333333"/>
          <w:sz w:val="18"/>
          <w:szCs w:val="18"/>
          <w:shd w:val="clear" w:color="auto" w:fill="FFFFFF"/>
        </w:rPr>
      </w:pPr>
      <w:r w:rsidRPr="00A618BF">
        <w:rPr>
          <w:rFonts w:ascii="Verdana" w:hAnsi="Verdana"/>
          <w:i/>
          <w:iCs/>
          <w:color w:val="333333"/>
          <w:sz w:val="18"/>
          <w:szCs w:val="18"/>
          <w:shd w:val="clear" w:color="auto" w:fill="FFFFFF"/>
        </w:rPr>
        <w:t>Ministerio de Hacienda. B.O.E. núm. 288 de 1 de diciembre de 2025.</w:t>
      </w:r>
    </w:p>
    <w:p w14:paraId="5BB645BD" w14:textId="77777777" w:rsidR="00A618BF" w:rsidRDefault="00A618BF" w:rsidP="00535596">
      <w:pPr>
        <w:rPr>
          <w:rFonts w:ascii="Verdana" w:hAnsi="Verdana"/>
          <w:color w:val="333333"/>
          <w:sz w:val="18"/>
          <w:szCs w:val="18"/>
          <w:shd w:val="clear" w:color="auto" w:fill="FFFFFF"/>
        </w:rPr>
      </w:pPr>
    </w:p>
    <w:p w14:paraId="1501E870" w14:textId="3C75435F" w:rsidR="00A618BF" w:rsidRPr="00A618BF" w:rsidRDefault="00A618BF" w:rsidP="00A618BF">
      <w:pPr>
        <w:jc w:val="both"/>
        <w:rPr>
          <w:rFonts w:ascii="Verdana" w:hAnsi="Verdana"/>
          <w:b/>
          <w:color w:val="800000"/>
          <w:sz w:val="18"/>
          <w:szCs w:val="18"/>
        </w:rPr>
      </w:pPr>
      <w:r w:rsidRPr="00A618BF">
        <w:rPr>
          <w:rFonts w:ascii="Verdana" w:hAnsi="Verdana"/>
          <w:b/>
          <w:color w:val="800000"/>
          <w:sz w:val="18"/>
          <w:szCs w:val="18"/>
        </w:rPr>
        <w:t>Procedimientos tributarios</w:t>
      </w:r>
      <w:r w:rsidR="00946EAE">
        <w:rPr>
          <w:rFonts w:ascii="Verdana" w:hAnsi="Verdana"/>
          <w:b/>
          <w:color w:val="800000"/>
          <w:sz w:val="18"/>
          <w:szCs w:val="18"/>
        </w:rPr>
        <w:t>. R</w:t>
      </w:r>
      <w:r w:rsidR="00946EAE" w:rsidRPr="00946EAE">
        <w:rPr>
          <w:rFonts w:ascii="Verdana" w:hAnsi="Verdana"/>
          <w:b/>
          <w:color w:val="800000"/>
          <w:sz w:val="18"/>
          <w:szCs w:val="18"/>
        </w:rPr>
        <w:t>eclamaciones y recursos en vía económico-administrativa</w:t>
      </w:r>
    </w:p>
    <w:p w14:paraId="255C35A5" w14:textId="053ECB23" w:rsidR="00A618BF" w:rsidRDefault="00A618BF" w:rsidP="00F148E8">
      <w:pPr>
        <w:jc w:val="both"/>
        <w:rPr>
          <w:rFonts w:ascii="Verdana" w:hAnsi="Verdana"/>
          <w:color w:val="333333"/>
          <w:sz w:val="18"/>
          <w:szCs w:val="18"/>
          <w:shd w:val="clear" w:color="auto" w:fill="FFFFFF"/>
        </w:rPr>
      </w:pPr>
      <w:r w:rsidRPr="00A618BF">
        <w:rPr>
          <w:rFonts w:ascii="Verdana" w:hAnsi="Verdana"/>
          <w:color w:val="333333"/>
          <w:sz w:val="18"/>
          <w:szCs w:val="18"/>
          <w:shd w:val="clear" w:color="auto" w:fill="FFFFFF"/>
        </w:rPr>
        <w:t>Orden HAC/1361/2025, de 20 de noviembre, por la que se regula la utilización de medios electrónicos, informáticos y telemáticos para la interposición, tramitación y resolución de las reclamaciones y recursos en vía económico-administrativa por los obligados tributarios, y se aprueban diversos formularios.</w:t>
      </w:r>
    </w:p>
    <w:p w14:paraId="5883EAB6" w14:textId="695C5B92" w:rsidR="00A618BF" w:rsidRDefault="00A618BF" w:rsidP="00F148E8">
      <w:pPr>
        <w:jc w:val="both"/>
        <w:rPr>
          <w:rFonts w:ascii="Verdana" w:hAnsi="Verdana"/>
          <w:i/>
          <w:iCs/>
          <w:color w:val="333333"/>
          <w:sz w:val="18"/>
          <w:szCs w:val="18"/>
          <w:shd w:val="clear" w:color="auto" w:fill="FFFFFF"/>
        </w:rPr>
      </w:pPr>
      <w:bookmarkStart w:id="9" w:name="_Hlk216110661"/>
      <w:r w:rsidRPr="00A618BF">
        <w:rPr>
          <w:rFonts w:ascii="Verdana" w:hAnsi="Verdana"/>
          <w:i/>
          <w:iCs/>
          <w:color w:val="333333"/>
          <w:sz w:val="18"/>
          <w:szCs w:val="18"/>
          <w:shd w:val="clear" w:color="auto" w:fill="FFFFFF"/>
        </w:rPr>
        <w:t>Ministerio de Hacienda. B.O.E. núm. 28</w:t>
      </w:r>
      <w:r w:rsidR="008E0DBE">
        <w:rPr>
          <w:rFonts w:ascii="Verdana" w:hAnsi="Verdana"/>
          <w:i/>
          <w:iCs/>
          <w:color w:val="333333"/>
          <w:sz w:val="18"/>
          <w:szCs w:val="18"/>
          <w:shd w:val="clear" w:color="auto" w:fill="FFFFFF"/>
        </w:rPr>
        <w:t>9</w:t>
      </w:r>
      <w:r w:rsidRPr="00A618BF">
        <w:rPr>
          <w:rFonts w:ascii="Verdana" w:hAnsi="Verdana"/>
          <w:i/>
          <w:iCs/>
          <w:color w:val="333333"/>
          <w:sz w:val="18"/>
          <w:szCs w:val="18"/>
          <w:shd w:val="clear" w:color="auto" w:fill="FFFFFF"/>
        </w:rPr>
        <w:t xml:space="preserve"> de </w:t>
      </w:r>
      <w:r w:rsidR="008E0DBE">
        <w:rPr>
          <w:rFonts w:ascii="Verdana" w:hAnsi="Verdana"/>
          <w:i/>
          <w:iCs/>
          <w:color w:val="333333"/>
          <w:sz w:val="18"/>
          <w:szCs w:val="18"/>
          <w:shd w:val="clear" w:color="auto" w:fill="FFFFFF"/>
        </w:rPr>
        <w:t>2</w:t>
      </w:r>
      <w:r w:rsidRPr="00A618BF">
        <w:rPr>
          <w:rFonts w:ascii="Verdana" w:hAnsi="Verdana"/>
          <w:i/>
          <w:iCs/>
          <w:color w:val="333333"/>
          <w:sz w:val="18"/>
          <w:szCs w:val="18"/>
          <w:shd w:val="clear" w:color="auto" w:fill="FFFFFF"/>
        </w:rPr>
        <w:t xml:space="preserve"> de diciembre de 2025.</w:t>
      </w:r>
    </w:p>
    <w:bookmarkEnd w:id="9"/>
    <w:p w14:paraId="78603503" w14:textId="77777777" w:rsidR="00946EAE" w:rsidRDefault="00946EAE" w:rsidP="00A618BF">
      <w:pPr>
        <w:rPr>
          <w:rFonts w:ascii="Verdana" w:hAnsi="Verdana"/>
          <w:i/>
          <w:iCs/>
          <w:color w:val="333333"/>
          <w:sz w:val="18"/>
          <w:szCs w:val="18"/>
          <w:shd w:val="clear" w:color="auto" w:fill="FFFFFF"/>
        </w:rPr>
      </w:pPr>
    </w:p>
    <w:p w14:paraId="590A4E61" w14:textId="70391AFB" w:rsidR="00946EAE" w:rsidRPr="00946EAE" w:rsidRDefault="00946EAE" w:rsidP="00A618BF">
      <w:pPr>
        <w:rPr>
          <w:rFonts w:ascii="Verdana" w:hAnsi="Verdana"/>
          <w:b/>
          <w:color w:val="800000"/>
          <w:sz w:val="18"/>
          <w:szCs w:val="18"/>
        </w:rPr>
      </w:pPr>
      <w:r w:rsidRPr="00946EAE">
        <w:rPr>
          <w:rFonts w:ascii="Verdana" w:hAnsi="Verdana"/>
          <w:b/>
          <w:color w:val="800000"/>
          <w:sz w:val="18"/>
          <w:szCs w:val="18"/>
        </w:rPr>
        <w:t>Zona Especial Canaria</w:t>
      </w:r>
    </w:p>
    <w:p w14:paraId="2B49F556" w14:textId="780F9A36" w:rsidR="00946EAE" w:rsidRPr="00946EAE" w:rsidRDefault="00946EAE" w:rsidP="00946EAE">
      <w:pPr>
        <w:jc w:val="both"/>
        <w:rPr>
          <w:rFonts w:ascii="Verdana" w:hAnsi="Verdana"/>
          <w:color w:val="333333"/>
          <w:sz w:val="18"/>
          <w:szCs w:val="18"/>
          <w:shd w:val="clear" w:color="auto" w:fill="FFFFFF"/>
        </w:rPr>
      </w:pPr>
      <w:r w:rsidRPr="00946EAE">
        <w:rPr>
          <w:rFonts w:ascii="Verdana" w:hAnsi="Verdana"/>
          <w:color w:val="333333"/>
          <w:sz w:val="18"/>
          <w:szCs w:val="18"/>
          <w:shd w:val="clear" w:color="auto" w:fill="FFFFFF"/>
        </w:rPr>
        <w:t>Resolución de 17 de noviembre de 2025, del Consorcio de la Zona Especial Canaria, por la que se publica la Circular 1/2025, de 28 de octubre, del Consejo Rector, por la que se establecen los criterios de comunicación de la inaplicación de los incentivos fiscales de acuerdo con lo dispuesto en el artículo 48.4 del Reglamento de desarrollo de la Ley 19/1994, de 6 de julio, de modificación del Régimen Económico y Fiscal de Canarias en las materias referentes a los incentivos fiscales en la imposición indirecta, la reserva de inversiones en Canarias y la Zona Especial Canaria, aprobado por el Real Decreto 1758/2007, de 28 de diciembre.</w:t>
      </w:r>
    </w:p>
    <w:p w14:paraId="23F13681" w14:textId="77777777" w:rsidR="00946EAE" w:rsidRDefault="00946EAE" w:rsidP="00946EAE">
      <w:pPr>
        <w:rPr>
          <w:rFonts w:ascii="Verdana" w:hAnsi="Verdana"/>
          <w:i/>
          <w:iCs/>
          <w:color w:val="333333"/>
          <w:sz w:val="18"/>
          <w:szCs w:val="18"/>
          <w:shd w:val="clear" w:color="auto" w:fill="FFFFFF"/>
        </w:rPr>
      </w:pPr>
      <w:bookmarkStart w:id="10" w:name="_Hlk216537643"/>
      <w:r w:rsidRPr="00A618BF">
        <w:rPr>
          <w:rFonts w:ascii="Verdana" w:hAnsi="Verdana"/>
          <w:i/>
          <w:iCs/>
          <w:color w:val="333333"/>
          <w:sz w:val="18"/>
          <w:szCs w:val="18"/>
          <w:shd w:val="clear" w:color="auto" w:fill="FFFFFF"/>
        </w:rPr>
        <w:t>Ministerio de Hacienda. B.O.E. núm. 28</w:t>
      </w:r>
      <w:r>
        <w:rPr>
          <w:rFonts w:ascii="Verdana" w:hAnsi="Verdana"/>
          <w:i/>
          <w:iCs/>
          <w:color w:val="333333"/>
          <w:sz w:val="18"/>
          <w:szCs w:val="18"/>
          <w:shd w:val="clear" w:color="auto" w:fill="FFFFFF"/>
        </w:rPr>
        <w:t>9</w:t>
      </w:r>
      <w:r w:rsidRPr="00A618BF">
        <w:rPr>
          <w:rFonts w:ascii="Verdana" w:hAnsi="Verdana"/>
          <w:i/>
          <w:iCs/>
          <w:color w:val="333333"/>
          <w:sz w:val="18"/>
          <w:szCs w:val="18"/>
          <w:shd w:val="clear" w:color="auto" w:fill="FFFFFF"/>
        </w:rPr>
        <w:t xml:space="preserve"> de </w:t>
      </w:r>
      <w:r>
        <w:rPr>
          <w:rFonts w:ascii="Verdana" w:hAnsi="Verdana"/>
          <w:i/>
          <w:iCs/>
          <w:color w:val="333333"/>
          <w:sz w:val="18"/>
          <w:szCs w:val="18"/>
          <w:shd w:val="clear" w:color="auto" w:fill="FFFFFF"/>
        </w:rPr>
        <w:t>2</w:t>
      </w:r>
      <w:r w:rsidRPr="00A618BF">
        <w:rPr>
          <w:rFonts w:ascii="Verdana" w:hAnsi="Verdana"/>
          <w:i/>
          <w:iCs/>
          <w:color w:val="333333"/>
          <w:sz w:val="18"/>
          <w:szCs w:val="18"/>
          <w:shd w:val="clear" w:color="auto" w:fill="FFFFFF"/>
        </w:rPr>
        <w:t xml:space="preserve"> de diciembre de 2025.</w:t>
      </w:r>
    </w:p>
    <w:bookmarkEnd w:id="10"/>
    <w:p w14:paraId="40152759" w14:textId="77777777" w:rsidR="00946EAE" w:rsidRDefault="00946EAE" w:rsidP="00A618BF">
      <w:pPr>
        <w:rPr>
          <w:rFonts w:ascii="Verdana" w:hAnsi="Verdana"/>
          <w:i/>
          <w:iCs/>
          <w:color w:val="333333"/>
          <w:sz w:val="18"/>
          <w:szCs w:val="18"/>
          <w:shd w:val="clear" w:color="auto" w:fill="FFFFFF"/>
        </w:rPr>
      </w:pPr>
    </w:p>
    <w:p w14:paraId="3CAFD4A0" w14:textId="77777777" w:rsidR="008E0DBE" w:rsidRPr="008E0DBE" w:rsidRDefault="008E0DBE" w:rsidP="008E0DBE">
      <w:pPr>
        <w:jc w:val="both"/>
        <w:rPr>
          <w:rFonts w:ascii="Verdana" w:hAnsi="Verdana"/>
          <w:b/>
          <w:color w:val="800000"/>
          <w:sz w:val="18"/>
          <w:szCs w:val="18"/>
        </w:rPr>
      </w:pPr>
      <w:r w:rsidRPr="008E0DBE">
        <w:rPr>
          <w:rFonts w:ascii="Verdana" w:hAnsi="Verdana"/>
          <w:b/>
          <w:color w:val="800000"/>
          <w:sz w:val="18"/>
          <w:szCs w:val="18"/>
        </w:rPr>
        <w:t>Medidas urgentes</w:t>
      </w:r>
    </w:p>
    <w:p w14:paraId="42C5835E" w14:textId="516EA12C" w:rsidR="008E0DBE" w:rsidRDefault="008E0DBE" w:rsidP="00F148E8">
      <w:pPr>
        <w:jc w:val="both"/>
        <w:rPr>
          <w:rFonts w:ascii="Verdana" w:hAnsi="Verdana"/>
          <w:color w:val="333333"/>
          <w:sz w:val="18"/>
          <w:szCs w:val="18"/>
          <w:shd w:val="clear" w:color="auto" w:fill="FFFFFF"/>
        </w:rPr>
      </w:pPr>
      <w:r w:rsidRPr="008E0DBE">
        <w:rPr>
          <w:rFonts w:ascii="Verdana" w:hAnsi="Verdana"/>
          <w:color w:val="333333"/>
          <w:sz w:val="18"/>
          <w:szCs w:val="18"/>
          <w:shd w:val="clear" w:color="auto" w:fill="FFFFFF"/>
        </w:rPr>
        <w:t>Real Decreto-ley 15/2025, de 2 de diciembre, por el que se adoptan medidas urgentes para favorecer la actividad inversora de las entidades locales y de las comunidades autónomas, y por el que se modifica el Real Decreto 1007/2023, de 5 de diciembre, por el que se aprueba el Reglamento que establece los requisitos que deben adoptar los sistemas y programas informáticos o electrónicos que soporten los procesos de facturación de empresarios y profesionales, y la estandarización de formatos de los registros de facturación.</w:t>
      </w:r>
    </w:p>
    <w:p w14:paraId="6247056C" w14:textId="332987E5" w:rsidR="008E0DBE" w:rsidRDefault="008E0DBE" w:rsidP="00A618BF">
      <w:pPr>
        <w:rPr>
          <w:rFonts w:ascii="Verdana" w:hAnsi="Verdana"/>
          <w:i/>
          <w:iCs/>
          <w:color w:val="333333"/>
          <w:sz w:val="18"/>
          <w:szCs w:val="18"/>
          <w:shd w:val="clear" w:color="auto" w:fill="FFFFFF"/>
        </w:rPr>
      </w:pPr>
      <w:r w:rsidRPr="008E0DBE">
        <w:rPr>
          <w:rFonts w:ascii="Verdana" w:hAnsi="Verdana"/>
          <w:i/>
          <w:iCs/>
          <w:color w:val="333333"/>
          <w:sz w:val="18"/>
          <w:szCs w:val="18"/>
          <w:shd w:val="clear" w:color="auto" w:fill="FFFFFF"/>
        </w:rPr>
        <w:t>Jefatura del Estado. B.O.E. núm. 290 de 3 de diciembre de 2025.</w:t>
      </w:r>
    </w:p>
    <w:p w14:paraId="66D3DBDE" w14:textId="77777777" w:rsidR="00F74095" w:rsidRDefault="00F74095" w:rsidP="00A618BF">
      <w:pPr>
        <w:rPr>
          <w:rFonts w:ascii="Verdana" w:hAnsi="Verdana"/>
          <w:i/>
          <w:iCs/>
          <w:color w:val="333333"/>
          <w:sz w:val="18"/>
          <w:szCs w:val="18"/>
          <w:shd w:val="clear" w:color="auto" w:fill="FFFFFF"/>
        </w:rPr>
      </w:pPr>
    </w:p>
    <w:p w14:paraId="477D0681" w14:textId="3FF87BC3" w:rsidR="00F74095" w:rsidRPr="00F74095" w:rsidRDefault="00F74095" w:rsidP="00F74095">
      <w:pPr>
        <w:jc w:val="both"/>
        <w:rPr>
          <w:rFonts w:ascii="Verdana" w:hAnsi="Verdana"/>
          <w:b/>
          <w:color w:val="800000"/>
          <w:sz w:val="18"/>
          <w:szCs w:val="18"/>
        </w:rPr>
      </w:pPr>
      <w:r w:rsidRPr="00F74095">
        <w:rPr>
          <w:rFonts w:ascii="Verdana" w:hAnsi="Verdana"/>
          <w:b/>
          <w:color w:val="800000"/>
          <w:sz w:val="18"/>
          <w:szCs w:val="18"/>
        </w:rPr>
        <w:t>Impuestos</w:t>
      </w:r>
      <w:r w:rsidR="002A2ACA">
        <w:rPr>
          <w:rFonts w:ascii="Verdana" w:hAnsi="Verdana"/>
          <w:b/>
          <w:color w:val="800000"/>
          <w:sz w:val="18"/>
          <w:szCs w:val="18"/>
        </w:rPr>
        <w:t>. M</w:t>
      </w:r>
      <w:r w:rsidR="002A2ACA" w:rsidRPr="002A2ACA">
        <w:rPr>
          <w:rFonts w:ascii="Verdana" w:hAnsi="Verdana"/>
          <w:b/>
          <w:color w:val="800000"/>
          <w:sz w:val="18"/>
          <w:szCs w:val="18"/>
        </w:rPr>
        <w:t>odelo 780 «Impuesto sobre el margen de intereses y comisiones de determinadas entidades financieras. Autoliquidación» y el modelo 781 «Impuesto sobre el margen de intereses y comisiones de determinadas entidades financieras.</w:t>
      </w:r>
    </w:p>
    <w:p w14:paraId="5A2B5579" w14:textId="5976BF56" w:rsidR="00F74095" w:rsidRPr="00F74095" w:rsidRDefault="00F74095" w:rsidP="00F148E8">
      <w:pPr>
        <w:jc w:val="both"/>
        <w:rPr>
          <w:rFonts w:ascii="Verdana" w:hAnsi="Verdana"/>
          <w:i/>
          <w:iCs/>
          <w:color w:val="333333"/>
          <w:sz w:val="18"/>
          <w:szCs w:val="18"/>
          <w:shd w:val="clear" w:color="auto" w:fill="FFFFFF"/>
        </w:rPr>
      </w:pPr>
      <w:r w:rsidRPr="00F74095">
        <w:rPr>
          <w:rFonts w:ascii="Verdana" w:hAnsi="Verdana"/>
          <w:color w:val="333333"/>
          <w:sz w:val="18"/>
          <w:szCs w:val="18"/>
          <w:shd w:val="clear" w:color="auto" w:fill="FFFFFF"/>
        </w:rPr>
        <w:t xml:space="preserve">Orden HAC/1413/2025, de 28 de noviembre, por la que se modifica la Orden HAC/532/2025, de 26 de mayo, por la que se aprueba el </w:t>
      </w:r>
      <w:bookmarkStart w:id="11" w:name="_Hlk216537800"/>
      <w:r w:rsidRPr="00F74095">
        <w:rPr>
          <w:rFonts w:ascii="Verdana" w:hAnsi="Verdana"/>
          <w:color w:val="333333"/>
          <w:sz w:val="18"/>
          <w:szCs w:val="18"/>
          <w:shd w:val="clear" w:color="auto" w:fill="FFFFFF"/>
        </w:rPr>
        <w:t xml:space="preserve">modelo 780 «Impuesto sobre el margen de intereses y comisiones de determinadas entidades financieras. Autoliquidación» y el modelo 781 «Impuesto sobre el margen de intereses y comisiones de determinadas entidades financieras. </w:t>
      </w:r>
      <w:bookmarkEnd w:id="11"/>
      <w:r w:rsidRPr="00F74095">
        <w:rPr>
          <w:rFonts w:ascii="Verdana" w:hAnsi="Verdana"/>
          <w:color w:val="333333"/>
          <w:sz w:val="18"/>
          <w:szCs w:val="18"/>
          <w:shd w:val="clear" w:color="auto" w:fill="FFFFFF"/>
        </w:rPr>
        <w:t xml:space="preserve">Pago fraccionado» y se establecen las condiciones y el procedimiento para su </w:t>
      </w:r>
    </w:p>
    <w:p w14:paraId="62D81DD8" w14:textId="4B7AF526" w:rsidR="00F74095" w:rsidRPr="00F74095" w:rsidRDefault="00F74095" w:rsidP="00F74095">
      <w:pPr>
        <w:rPr>
          <w:rFonts w:ascii="Verdana" w:hAnsi="Verdana"/>
          <w:color w:val="333333"/>
          <w:sz w:val="18"/>
          <w:szCs w:val="18"/>
          <w:shd w:val="clear" w:color="auto" w:fill="FFFFFF"/>
        </w:rPr>
      </w:pPr>
      <w:r w:rsidRPr="00F74095">
        <w:rPr>
          <w:rFonts w:ascii="Verdana" w:hAnsi="Verdana"/>
          <w:color w:val="333333"/>
          <w:sz w:val="18"/>
          <w:szCs w:val="18"/>
          <w:shd w:val="clear" w:color="auto" w:fill="FFFFFF"/>
        </w:rPr>
        <w:t>presentación.</w:t>
      </w:r>
    </w:p>
    <w:p w14:paraId="1AD854E0" w14:textId="1305487D" w:rsidR="008E0DBE" w:rsidRDefault="00F74095" w:rsidP="00A618BF">
      <w:pPr>
        <w:rPr>
          <w:rFonts w:ascii="Verdana" w:hAnsi="Verdana"/>
          <w:i/>
          <w:iCs/>
          <w:color w:val="333333"/>
          <w:sz w:val="18"/>
          <w:szCs w:val="18"/>
          <w:shd w:val="clear" w:color="auto" w:fill="FFFFFF"/>
        </w:rPr>
      </w:pPr>
      <w:bookmarkStart w:id="12" w:name="_Hlk216537735"/>
      <w:r w:rsidRPr="00F74095">
        <w:rPr>
          <w:rFonts w:ascii="Verdana" w:hAnsi="Verdana"/>
          <w:i/>
          <w:iCs/>
          <w:color w:val="333333"/>
          <w:sz w:val="18"/>
          <w:szCs w:val="18"/>
          <w:shd w:val="clear" w:color="auto" w:fill="FFFFFF"/>
        </w:rPr>
        <w:t>Ministerio de Hacienda. B.O.E. núm. 2</w:t>
      </w:r>
      <w:r>
        <w:rPr>
          <w:rFonts w:ascii="Verdana" w:hAnsi="Verdana"/>
          <w:i/>
          <w:iCs/>
          <w:color w:val="333333"/>
          <w:sz w:val="18"/>
          <w:szCs w:val="18"/>
          <w:shd w:val="clear" w:color="auto" w:fill="FFFFFF"/>
        </w:rPr>
        <w:t>95</w:t>
      </w:r>
      <w:r w:rsidRPr="00F74095">
        <w:rPr>
          <w:rFonts w:ascii="Verdana" w:hAnsi="Verdana"/>
          <w:i/>
          <w:iCs/>
          <w:color w:val="333333"/>
          <w:sz w:val="18"/>
          <w:szCs w:val="18"/>
          <w:shd w:val="clear" w:color="auto" w:fill="FFFFFF"/>
        </w:rPr>
        <w:t xml:space="preserve"> de </w:t>
      </w:r>
      <w:r>
        <w:rPr>
          <w:rFonts w:ascii="Verdana" w:hAnsi="Verdana"/>
          <w:i/>
          <w:iCs/>
          <w:color w:val="333333"/>
          <w:sz w:val="18"/>
          <w:szCs w:val="18"/>
          <w:shd w:val="clear" w:color="auto" w:fill="FFFFFF"/>
        </w:rPr>
        <w:t>9</w:t>
      </w:r>
      <w:r w:rsidRPr="00F74095">
        <w:rPr>
          <w:rFonts w:ascii="Verdana" w:hAnsi="Verdana"/>
          <w:i/>
          <w:iCs/>
          <w:color w:val="333333"/>
          <w:sz w:val="18"/>
          <w:szCs w:val="18"/>
          <w:shd w:val="clear" w:color="auto" w:fill="FFFFFF"/>
        </w:rPr>
        <w:t xml:space="preserve"> de diciembre de 2025.</w:t>
      </w:r>
    </w:p>
    <w:bookmarkEnd w:id="12"/>
    <w:p w14:paraId="68172634" w14:textId="77777777" w:rsidR="00411512" w:rsidRDefault="00411512" w:rsidP="00A618BF">
      <w:pPr>
        <w:rPr>
          <w:rFonts w:ascii="Verdana" w:hAnsi="Verdana"/>
          <w:i/>
          <w:iCs/>
          <w:color w:val="333333"/>
          <w:sz w:val="18"/>
          <w:szCs w:val="18"/>
          <w:shd w:val="clear" w:color="auto" w:fill="FFFFFF"/>
        </w:rPr>
      </w:pPr>
    </w:p>
    <w:p w14:paraId="4F71B60A" w14:textId="7D429849" w:rsidR="00411512" w:rsidRPr="00411512" w:rsidRDefault="00411512" w:rsidP="00411512">
      <w:pPr>
        <w:jc w:val="both"/>
        <w:rPr>
          <w:rFonts w:ascii="Verdana" w:hAnsi="Verdana"/>
          <w:b/>
          <w:color w:val="800000"/>
          <w:sz w:val="18"/>
          <w:szCs w:val="18"/>
        </w:rPr>
      </w:pPr>
      <w:r w:rsidRPr="00411512">
        <w:rPr>
          <w:rFonts w:ascii="Verdana" w:hAnsi="Verdana"/>
          <w:b/>
          <w:color w:val="800000"/>
          <w:sz w:val="18"/>
          <w:szCs w:val="18"/>
        </w:rPr>
        <w:t>Impuestos</w:t>
      </w:r>
      <w:r w:rsidR="002A2ACA">
        <w:rPr>
          <w:rFonts w:ascii="Verdana" w:hAnsi="Verdana"/>
          <w:b/>
          <w:color w:val="800000"/>
          <w:sz w:val="18"/>
          <w:szCs w:val="18"/>
        </w:rPr>
        <w:t>. M</w:t>
      </w:r>
      <w:r w:rsidR="002A2ACA" w:rsidRPr="002A2ACA">
        <w:rPr>
          <w:rFonts w:ascii="Verdana" w:hAnsi="Verdana"/>
          <w:b/>
          <w:color w:val="800000"/>
          <w:sz w:val="18"/>
          <w:szCs w:val="18"/>
        </w:rPr>
        <w:t>odelo 017, «Tasa de supervisión, análisis, asesoramiento y seguimiento de la política fiscal</w:t>
      </w:r>
    </w:p>
    <w:p w14:paraId="32A4C346" w14:textId="58616F01" w:rsidR="00411512" w:rsidRDefault="00411512" w:rsidP="00F148E8">
      <w:pPr>
        <w:jc w:val="both"/>
        <w:rPr>
          <w:rFonts w:ascii="Verdana" w:hAnsi="Verdana"/>
          <w:color w:val="333333"/>
          <w:sz w:val="18"/>
          <w:szCs w:val="18"/>
          <w:shd w:val="clear" w:color="auto" w:fill="FFFFFF"/>
        </w:rPr>
      </w:pPr>
      <w:r w:rsidRPr="00411512">
        <w:rPr>
          <w:rFonts w:ascii="Verdana" w:hAnsi="Verdana"/>
          <w:color w:val="333333"/>
          <w:sz w:val="18"/>
          <w:szCs w:val="18"/>
          <w:shd w:val="clear" w:color="auto" w:fill="FFFFFF"/>
        </w:rPr>
        <w:t xml:space="preserve">Orden HAC/1418/2025, de 4 de diciembre, por la que se aprueba el </w:t>
      </w:r>
      <w:bookmarkStart w:id="13" w:name="_Hlk216537851"/>
      <w:r w:rsidRPr="00411512">
        <w:rPr>
          <w:rFonts w:ascii="Verdana" w:hAnsi="Verdana"/>
          <w:color w:val="333333"/>
          <w:sz w:val="18"/>
          <w:szCs w:val="18"/>
          <w:shd w:val="clear" w:color="auto" w:fill="FFFFFF"/>
        </w:rPr>
        <w:t>modelo 017, «Tasa de supervisión, análisis, asesoramiento y seguimiento de la política fiscal</w:t>
      </w:r>
      <w:bookmarkEnd w:id="13"/>
      <w:r w:rsidRPr="00411512">
        <w:rPr>
          <w:rFonts w:ascii="Verdana" w:hAnsi="Verdana"/>
          <w:color w:val="333333"/>
          <w:sz w:val="18"/>
          <w:szCs w:val="18"/>
          <w:shd w:val="clear" w:color="auto" w:fill="FFFFFF"/>
        </w:rPr>
        <w:t>. Autoliquidación» y se determinan el lugar, plazo y forma de presentación</w:t>
      </w:r>
    </w:p>
    <w:p w14:paraId="2B3D10CF" w14:textId="66EEDFEB" w:rsidR="00411512" w:rsidRDefault="00411512" w:rsidP="00411512">
      <w:pPr>
        <w:rPr>
          <w:rFonts w:ascii="Verdana" w:hAnsi="Verdana"/>
          <w:i/>
          <w:iCs/>
          <w:color w:val="333333"/>
          <w:sz w:val="18"/>
          <w:szCs w:val="18"/>
          <w:shd w:val="clear" w:color="auto" w:fill="FFFFFF"/>
        </w:rPr>
      </w:pPr>
      <w:bookmarkStart w:id="14" w:name="_Hlk217411673"/>
      <w:r w:rsidRPr="00411512">
        <w:rPr>
          <w:rFonts w:ascii="Verdana" w:hAnsi="Verdana"/>
          <w:i/>
          <w:iCs/>
          <w:color w:val="333333"/>
          <w:sz w:val="18"/>
          <w:szCs w:val="18"/>
          <w:shd w:val="clear" w:color="auto" w:fill="FFFFFF"/>
        </w:rPr>
        <w:t>Ministerio de Hacienda. B.O.E. núm. 29</w:t>
      </w:r>
      <w:r>
        <w:rPr>
          <w:rFonts w:ascii="Verdana" w:hAnsi="Verdana"/>
          <w:i/>
          <w:iCs/>
          <w:color w:val="333333"/>
          <w:sz w:val="18"/>
          <w:szCs w:val="18"/>
          <w:shd w:val="clear" w:color="auto" w:fill="FFFFFF"/>
        </w:rPr>
        <w:t>6</w:t>
      </w:r>
      <w:r w:rsidRPr="00411512">
        <w:rPr>
          <w:rFonts w:ascii="Verdana" w:hAnsi="Verdana"/>
          <w:i/>
          <w:iCs/>
          <w:color w:val="333333"/>
          <w:sz w:val="18"/>
          <w:szCs w:val="18"/>
          <w:shd w:val="clear" w:color="auto" w:fill="FFFFFF"/>
        </w:rPr>
        <w:t xml:space="preserve"> de </w:t>
      </w:r>
      <w:r>
        <w:rPr>
          <w:rFonts w:ascii="Verdana" w:hAnsi="Verdana"/>
          <w:i/>
          <w:iCs/>
          <w:color w:val="333333"/>
          <w:sz w:val="18"/>
          <w:szCs w:val="18"/>
          <w:shd w:val="clear" w:color="auto" w:fill="FFFFFF"/>
        </w:rPr>
        <w:t>10</w:t>
      </w:r>
      <w:r w:rsidRPr="00411512">
        <w:rPr>
          <w:rFonts w:ascii="Verdana" w:hAnsi="Verdana"/>
          <w:i/>
          <w:iCs/>
          <w:color w:val="333333"/>
          <w:sz w:val="18"/>
          <w:szCs w:val="18"/>
          <w:shd w:val="clear" w:color="auto" w:fill="FFFFFF"/>
        </w:rPr>
        <w:t xml:space="preserve"> de diciembre de 2025.</w:t>
      </w:r>
    </w:p>
    <w:bookmarkEnd w:id="14"/>
    <w:p w14:paraId="24E3E54A" w14:textId="77777777" w:rsidR="00AB2676" w:rsidRDefault="00AB2676" w:rsidP="00411512">
      <w:pPr>
        <w:rPr>
          <w:rFonts w:ascii="Verdana" w:hAnsi="Verdana"/>
          <w:i/>
          <w:iCs/>
          <w:color w:val="333333"/>
          <w:sz w:val="18"/>
          <w:szCs w:val="18"/>
          <w:shd w:val="clear" w:color="auto" w:fill="FFFFFF"/>
        </w:rPr>
      </w:pPr>
    </w:p>
    <w:p w14:paraId="0672707B" w14:textId="755BEE2E" w:rsidR="00AB2676" w:rsidRPr="00AB2676" w:rsidRDefault="00AB2676" w:rsidP="00AB2676">
      <w:pPr>
        <w:rPr>
          <w:rFonts w:ascii="Verdana" w:hAnsi="Verdana"/>
          <w:b/>
          <w:color w:val="800000"/>
          <w:sz w:val="18"/>
          <w:szCs w:val="18"/>
        </w:rPr>
      </w:pPr>
      <w:r w:rsidRPr="00AB2676">
        <w:rPr>
          <w:rFonts w:ascii="Verdana" w:hAnsi="Verdana"/>
          <w:b/>
          <w:color w:val="800000"/>
          <w:sz w:val="18"/>
          <w:szCs w:val="18"/>
        </w:rPr>
        <w:t>Impuesto sobre la Renta de las Personas Físicas</w:t>
      </w:r>
      <w:r w:rsidR="0027358D">
        <w:rPr>
          <w:rFonts w:ascii="Verdana" w:hAnsi="Verdana"/>
          <w:b/>
          <w:color w:val="800000"/>
          <w:sz w:val="18"/>
          <w:szCs w:val="18"/>
        </w:rPr>
        <w:t>. Impuesto sobre el Valor Añadido</w:t>
      </w:r>
    </w:p>
    <w:p w14:paraId="0FF6A4DA" w14:textId="6F51CDD0" w:rsidR="00AB2676" w:rsidRDefault="00AB2676" w:rsidP="00AB2676">
      <w:pPr>
        <w:rPr>
          <w:rFonts w:ascii="Verdana" w:hAnsi="Verdana"/>
          <w:color w:val="333333"/>
          <w:sz w:val="18"/>
          <w:szCs w:val="18"/>
          <w:shd w:val="clear" w:color="auto" w:fill="FFFFFF"/>
        </w:rPr>
      </w:pPr>
      <w:r w:rsidRPr="00AB2676">
        <w:rPr>
          <w:rFonts w:ascii="Verdana" w:hAnsi="Verdana"/>
          <w:color w:val="333333"/>
          <w:sz w:val="18"/>
          <w:szCs w:val="18"/>
          <w:shd w:val="clear" w:color="auto" w:fill="FFFFFF"/>
        </w:rPr>
        <w:t>Orden HAC/1425/2025, de 9 de diciembre, por la que se desarrollan para el año 2026 el método de estimación objetiva del Impuesto sobre la Renta de las Personas Físicas y el régimen especial simplificado del Impuesto sobre el Valor Añadido.</w:t>
      </w:r>
    </w:p>
    <w:p w14:paraId="6BAE4330" w14:textId="09E1BF69" w:rsidR="00AB2676" w:rsidRPr="00AB2676" w:rsidRDefault="00AB2676" w:rsidP="00AB2676">
      <w:pPr>
        <w:rPr>
          <w:rFonts w:ascii="Verdana" w:hAnsi="Verdana"/>
          <w:i/>
          <w:iCs/>
          <w:color w:val="333333"/>
          <w:sz w:val="18"/>
          <w:szCs w:val="18"/>
          <w:shd w:val="clear" w:color="auto" w:fill="FFFFFF"/>
        </w:rPr>
      </w:pPr>
      <w:r w:rsidRPr="00AB2676">
        <w:rPr>
          <w:rFonts w:ascii="Verdana" w:hAnsi="Verdana"/>
          <w:i/>
          <w:iCs/>
          <w:color w:val="333333"/>
          <w:sz w:val="18"/>
          <w:szCs w:val="18"/>
          <w:shd w:val="clear" w:color="auto" w:fill="FFFFFF"/>
        </w:rPr>
        <w:t>Ministerio de Hacienda. B.O.E. núm. 29</w:t>
      </w:r>
      <w:r>
        <w:rPr>
          <w:rFonts w:ascii="Verdana" w:hAnsi="Verdana"/>
          <w:i/>
          <w:iCs/>
          <w:color w:val="333333"/>
          <w:sz w:val="18"/>
          <w:szCs w:val="18"/>
          <w:shd w:val="clear" w:color="auto" w:fill="FFFFFF"/>
        </w:rPr>
        <w:t>7</w:t>
      </w:r>
      <w:r w:rsidRPr="00AB2676">
        <w:rPr>
          <w:rFonts w:ascii="Verdana" w:hAnsi="Verdana"/>
          <w:i/>
          <w:iCs/>
          <w:color w:val="333333"/>
          <w:sz w:val="18"/>
          <w:szCs w:val="18"/>
          <w:shd w:val="clear" w:color="auto" w:fill="FFFFFF"/>
        </w:rPr>
        <w:t xml:space="preserve"> de 1</w:t>
      </w:r>
      <w:r>
        <w:rPr>
          <w:rFonts w:ascii="Verdana" w:hAnsi="Verdana"/>
          <w:i/>
          <w:iCs/>
          <w:color w:val="333333"/>
          <w:sz w:val="18"/>
          <w:szCs w:val="18"/>
          <w:shd w:val="clear" w:color="auto" w:fill="FFFFFF"/>
        </w:rPr>
        <w:t>1</w:t>
      </w:r>
      <w:r w:rsidRPr="00AB2676">
        <w:rPr>
          <w:rFonts w:ascii="Verdana" w:hAnsi="Verdana"/>
          <w:i/>
          <w:iCs/>
          <w:color w:val="333333"/>
          <w:sz w:val="18"/>
          <w:szCs w:val="18"/>
          <w:shd w:val="clear" w:color="auto" w:fill="FFFFFF"/>
        </w:rPr>
        <w:t xml:space="preserve"> de diciembre de 2025.</w:t>
      </w:r>
    </w:p>
    <w:p w14:paraId="575129CF" w14:textId="77777777" w:rsidR="00444428" w:rsidRDefault="00444428" w:rsidP="00411512">
      <w:pPr>
        <w:rPr>
          <w:rFonts w:ascii="Verdana" w:hAnsi="Verdana"/>
          <w:i/>
          <w:iCs/>
          <w:color w:val="333333"/>
          <w:sz w:val="18"/>
          <w:szCs w:val="18"/>
          <w:shd w:val="clear" w:color="auto" w:fill="FFFFFF"/>
        </w:rPr>
      </w:pPr>
    </w:p>
    <w:p w14:paraId="7E2DEB30" w14:textId="77777777" w:rsidR="00AB2676" w:rsidRDefault="00AB2676" w:rsidP="00411512">
      <w:pPr>
        <w:rPr>
          <w:rFonts w:ascii="Verdana" w:hAnsi="Verdana"/>
          <w:i/>
          <w:iCs/>
          <w:color w:val="333333"/>
          <w:sz w:val="18"/>
          <w:szCs w:val="18"/>
          <w:shd w:val="clear" w:color="auto" w:fill="FFFFFF"/>
        </w:rPr>
      </w:pPr>
    </w:p>
    <w:p w14:paraId="6DE65FF1" w14:textId="77777777" w:rsidR="00444428" w:rsidRPr="00444428" w:rsidRDefault="00444428" w:rsidP="00444428">
      <w:pPr>
        <w:rPr>
          <w:rFonts w:ascii="Verdana" w:hAnsi="Verdana"/>
          <w:b/>
          <w:color w:val="800000"/>
          <w:sz w:val="18"/>
          <w:szCs w:val="18"/>
        </w:rPr>
      </w:pPr>
      <w:r w:rsidRPr="00444428">
        <w:rPr>
          <w:rFonts w:ascii="Verdana" w:hAnsi="Verdana"/>
          <w:b/>
          <w:color w:val="800000"/>
          <w:sz w:val="18"/>
          <w:szCs w:val="18"/>
        </w:rPr>
        <w:t>Impuestos</w:t>
      </w:r>
    </w:p>
    <w:p w14:paraId="39FB839B" w14:textId="77777777" w:rsidR="00444428" w:rsidRPr="00444428" w:rsidRDefault="00444428" w:rsidP="00444428">
      <w:pPr>
        <w:jc w:val="both"/>
        <w:rPr>
          <w:rFonts w:ascii="Verdana" w:hAnsi="Verdana"/>
          <w:color w:val="333333"/>
          <w:sz w:val="18"/>
          <w:szCs w:val="18"/>
          <w:shd w:val="clear" w:color="auto" w:fill="FFFFFF"/>
        </w:rPr>
      </w:pPr>
      <w:r w:rsidRPr="00444428">
        <w:rPr>
          <w:rFonts w:ascii="Verdana" w:hAnsi="Verdana"/>
          <w:color w:val="333333"/>
          <w:sz w:val="18"/>
          <w:szCs w:val="18"/>
          <w:shd w:val="clear" w:color="auto" w:fill="FFFFFF"/>
        </w:rPr>
        <w:t>Orden HAC/1430/2025, de 3 de diciembre, por la que se modifica la Orden de 21 de diciembre de 2001, por la que se aprueban los modelos 195 y 199; la Orden EHA/3021/2007, de 11 de octubre, por la que se aprueba el modelo 182; la Orden EHA/3377/2011, de 1 de diciembre, por la que se aprueba el modelo 193; la Orden HAP/2250/2015, de 23 de octubre, por la que se aprueba el modelo 184; la Orden HAP/296/2016, de 2 de marzo, por la que se aprueba el modelo 282; la Orden HFP/823/2022, de 24 de agosto, por la que se aprueba el modelo 345 y se actualiza el contenido de los anexos I y II de la Orden HAP/1695/2016, de 25 de octubre, por la que se aprueba el modelo 289.</w:t>
      </w:r>
    </w:p>
    <w:p w14:paraId="11650F2F" w14:textId="77777777" w:rsidR="00444428" w:rsidRPr="00411512" w:rsidRDefault="00444428" w:rsidP="00411512">
      <w:pPr>
        <w:rPr>
          <w:rFonts w:ascii="Verdana" w:hAnsi="Verdana"/>
          <w:i/>
          <w:iCs/>
          <w:color w:val="333333"/>
          <w:sz w:val="18"/>
          <w:szCs w:val="18"/>
          <w:shd w:val="clear" w:color="auto" w:fill="FFFFFF"/>
        </w:rPr>
      </w:pPr>
    </w:p>
    <w:p w14:paraId="40088662" w14:textId="6BA433AD" w:rsidR="00411512" w:rsidRPr="008E0DBE" w:rsidRDefault="00444428" w:rsidP="00444428">
      <w:pPr>
        <w:jc w:val="both"/>
        <w:rPr>
          <w:rFonts w:ascii="Verdana" w:hAnsi="Verdana"/>
          <w:color w:val="333333"/>
          <w:sz w:val="18"/>
          <w:szCs w:val="18"/>
          <w:shd w:val="clear" w:color="auto" w:fill="FFFFFF"/>
        </w:rPr>
      </w:pPr>
      <w:r w:rsidRPr="00444428">
        <w:rPr>
          <w:rFonts w:ascii="Verdana" w:hAnsi="Verdana"/>
          <w:color w:val="333333"/>
          <w:sz w:val="18"/>
          <w:szCs w:val="18"/>
          <w:shd w:val="clear" w:color="auto" w:fill="FFFFFF"/>
        </w:rPr>
        <w:t>Orden HAC/1431/2025, de 3 de diciembre, por la que se modifican la Orden EHA/3012/2008, de 20 de octubre, por la que se aprueba el modelo 347 de Declaración anual de operaciones con terceras personas, así como los diseños físicos y lógicos y el lugar, forma y plazo de presentación; la Orden EHA/3127/2009, de 10 de noviembre, por la que se aprueba el modelo 190 para la Declaración del resumen anual de retenciones e ingresos a cuenta del Impuesto sobre la Renta de las Personas Físicas sobre rendimientos del trabajo y de actividades económicas, premios y determinadas ganancias patrimoniales e imputaciones de renta; y la Orden HAP/2368/2013, de 13 de diciembre, por la que se aprueba el modelo 270, «Resumen anual de retenciones e ingresos a cuenta. Gravamen especial sobre los premios de determinadas loterías y apuestas» y se determinan el lugar, forma, plazo y el procedimiento para su presentación.</w:t>
      </w:r>
    </w:p>
    <w:p w14:paraId="04D52372" w14:textId="7EAE14E5" w:rsidR="00444428" w:rsidRDefault="00444428" w:rsidP="00444428">
      <w:pPr>
        <w:rPr>
          <w:rFonts w:ascii="Verdana" w:hAnsi="Verdana"/>
          <w:i/>
          <w:iCs/>
          <w:color w:val="333333"/>
          <w:sz w:val="18"/>
          <w:szCs w:val="18"/>
          <w:shd w:val="clear" w:color="auto" w:fill="FFFFFF"/>
        </w:rPr>
      </w:pPr>
      <w:bookmarkStart w:id="15" w:name="_Hlk217384856"/>
      <w:r w:rsidRPr="00411512">
        <w:rPr>
          <w:rFonts w:ascii="Verdana" w:hAnsi="Verdana"/>
          <w:i/>
          <w:iCs/>
          <w:color w:val="333333"/>
          <w:sz w:val="18"/>
          <w:szCs w:val="18"/>
          <w:shd w:val="clear" w:color="auto" w:fill="FFFFFF"/>
        </w:rPr>
        <w:t>Ministerio de Hacienda. B.O.E. núm. 29</w:t>
      </w:r>
      <w:r w:rsidR="00005EB3">
        <w:rPr>
          <w:rFonts w:ascii="Verdana" w:hAnsi="Verdana"/>
          <w:i/>
          <w:iCs/>
          <w:color w:val="333333"/>
          <w:sz w:val="18"/>
          <w:szCs w:val="18"/>
          <w:shd w:val="clear" w:color="auto" w:fill="FFFFFF"/>
        </w:rPr>
        <w:t xml:space="preserve">8 </w:t>
      </w:r>
      <w:r w:rsidRPr="00411512">
        <w:rPr>
          <w:rFonts w:ascii="Verdana" w:hAnsi="Verdana"/>
          <w:i/>
          <w:iCs/>
          <w:color w:val="333333"/>
          <w:sz w:val="18"/>
          <w:szCs w:val="18"/>
          <w:shd w:val="clear" w:color="auto" w:fill="FFFFFF"/>
        </w:rPr>
        <w:t xml:space="preserve">de </w:t>
      </w:r>
      <w:r>
        <w:rPr>
          <w:rFonts w:ascii="Verdana" w:hAnsi="Verdana"/>
          <w:i/>
          <w:iCs/>
          <w:color w:val="333333"/>
          <w:sz w:val="18"/>
          <w:szCs w:val="18"/>
          <w:shd w:val="clear" w:color="auto" w:fill="FFFFFF"/>
        </w:rPr>
        <w:t>1</w:t>
      </w:r>
      <w:r w:rsidR="00005EB3">
        <w:rPr>
          <w:rFonts w:ascii="Verdana" w:hAnsi="Verdana"/>
          <w:i/>
          <w:iCs/>
          <w:color w:val="333333"/>
          <w:sz w:val="18"/>
          <w:szCs w:val="18"/>
          <w:shd w:val="clear" w:color="auto" w:fill="FFFFFF"/>
        </w:rPr>
        <w:t>2</w:t>
      </w:r>
      <w:r w:rsidRPr="00411512">
        <w:rPr>
          <w:rFonts w:ascii="Verdana" w:hAnsi="Verdana"/>
          <w:i/>
          <w:iCs/>
          <w:color w:val="333333"/>
          <w:sz w:val="18"/>
          <w:szCs w:val="18"/>
          <w:shd w:val="clear" w:color="auto" w:fill="FFFFFF"/>
        </w:rPr>
        <w:t xml:space="preserve"> de diciembre de 2025.</w:t>
      </w:r>
    </w:p>
    <w:bookmarkEnd w:id="15"/>
    <w:p w14:paraId="2D1F8404" w14:textId="77777777" w:rsidR="00FF7AB3" w:rsidRDefault="00FF7AB3" w:rsidP="00444428">
      <w:pPr>
        <w:rPr>
          <w:rFonts w:ascii="Verdana" w:hAnsi="Verdana"/>
          <w:i/>
          <w:iCs/>
          <w:color w:val="333333"/>
          <w:sz w:val="18"/>
          <w:szCs w:val="18"/>
          <w:shd w:val="clear" w:color="auto" w:fill="FFFFFF"/>
        </w:rPr>
      </w:pPr>
    </w:p>
    <w:p w14:paraId="7D8D1BE8" w14:textId="337CEFF3" w:rsidR="00FF7AB3" w:rsidRPr="00FF7AB3" w:rsidRDefault="00FF7AB3" w:rsidP="00FF7AB3">
      <w:pPr>
        <w:jc w:val="both"/>
        <w:rPr>
          <w:rFonts w:ascii="Verdana" w:hAnsi="Verdana"/>
          <w:b/>
          <w:color w:val="800000"/>
          <w:sz w:val="18"/>
          <w:szCs w:val="18"/>
        </w:rPr>
      </w:pPr>
      <w:r w:rsidRPr="00FF7AB3">
        <w:rPr>
          <w:rFonts w:ascii="Verdana" w:hAnsi="Verdana"/>
          <w:b/>
          <w:color w:val="800000"/>
          <w:sz w:val="18"/>
          <w:szCs w:val="18"/>
        </w:rPr>
        <w:t>Impuestos</w:t>
      </w:r>
      <w:r>
        <w:rPr>
          <w:rFonts w:ascii="Verdana" w:hAnsi="Verdana"/>
          <w:b/>
          <w:color w:val="800000"/>
          <w:sz w:val="18"/>
          <w:szCs w:val="18"/>
        </w:rPr>
        <w:t>.</w:t>
      </w:r>
      <w:r w:rsidRPr="00FF7AB3">
        <w:rPr>
          <w:rFonts w:ascii="Verdana" w:hAnsi="Verdana"/>
          <w:color w:val="333333"/>
          <w:sz w:val="18"/>
          <w:szCs w:val="18"/>
          <w:shd w:val="clear" w:color="auto" w:fill="FFFFFF"/>
        </w:rPr>
        <w:t xml:space="preserve"> </w:t>
      </w:r>
      <w:r w:rsidRPr="00FF7AB3">
        <w:rPr>
          <w:rFonts w:ascii="Verdana" w:hAnsi="Verdana"/>
          <w:b/>
          <w:color w:val="800000"/>
          <w:sz w:val="18"/>
          <w:szCs w:val="18"/>
        </w:rPr>
        <w:t>Precios medios de venta</w:t>
      </w:r>
      <w:r>
        <w:rPr>
          <w:rFonts w:ascii="Verdana" w:hAnsi="Verdana"/>
          <w:b/>
          <w:color w:val="800000"/>
          <w:sz w:val="18"/>
          <w:szCs w:val="18"/>
        </w:rPr>
        <w:t xml:space="preserve"> </w:t>
      </w:r>
    </w:p>
    <w:p w14:paraId="1AE68971" w14:textId="29748A6B" w:rsidR="00FF7AB3" w:rsidRPr="00FF7AB3" w:rsidRDefault="00FF7AB3" w:rsidP="00FF7AB3">
      <w:pPr>
        <w:jc w:val="both"/>
        <w:rPr>
          <w:rFonts w:ascii="Verdana" w:hAnsi="Verdana"/>
          <w:color w:val="333333"/>
          <w:sz w:val="18"/>
          <w:szCs w:val="18"/>
          <w:shd w:val="clear" w:color="auto" w:fill="FFFFFF"/>
        </w:rPr>
      </w:pPr>
      <w:r w:rsidRPr="00FF7AB3">
        <w:rPr>
          <w:rFonts w:ascii="Verdana" w:hAnsi="Verdana"/>
          <w:color w:val="333333"/>
          <w:sz w:val="18"/>
          <w:szCs w:val="18"/>
          <w:shd w:val="clear" w:color="auto" w:fill="FFFFFF"/>
        </w:rPr>
        <w:t>Orden HAC/1501/2025, de 17 de diciembre, por la que se aprueban los precios medios de venta aplicables en la gestión del Impuesto sobre Transmisiones Patrimoniales y Actos Jurídicos Documentados, Impuesto sobre Sucesiones y Donaciones e Impuesto Especial sobre Determinados Medios de Transporte.</w:t>
      </w:r>
    </w:p>
    <w:p w14:paraId="3C4A5B55" w14:textId="2081492E" w:rsidR="00FF7AB3" w:rsidRDefault="00FF7AB3" w:rsidP="00FF7AB3">
      <w:pPr>
        <w:rPr>
          <w:rFonts w:ascii="Verdana" w:hAnsi="Verdana"/>
          <w:i/>
          <w:iCs/>
          <w:color w:val="333333"/>
          <w:sz w:val="18"/>
          <w:szCs w:val="18"/>
          <w:shd w:val="clear" w:color="auto" w:fill="FFFFFF"/>
        </w:rPr>
      </w:pPr>
      <w:r w:rsidRPr="00411512">
        <w:rPr>
          <w:rFonts w:ascii="Verdana" w:hAnsi="Verdana"/>
          <w:i/>
          <w:iCs/>
          <w:color w:val="333333"/>
          <w:sz w:val="18"/>
          <w:szCs w:val="18"/>
          <w:shd w:val="clear" w:color="auto" w:fill="FFFFFF"/>
        </w:rPr>
        <w:t xml:space="preserve">Ministerio de Hacienda. B.O.E. núm. </w:t>
      </w:r>
      <w:r>
        <w:rPr>
          <w:rFonts w:ascii="Verdana" w:hAnsi="Verdana"/>
          <w:i/>
          <w:iCs/>
          <w:color w:val="333333"/>
          <w:sz w:val="18"/>
          <w:szCs w:val="18"/>
          <w:shd w:val="clear" w:color="auto" w:fill="FFFFFF"/>
        </w:rPr>
        <w:t xml:space="preserve">308 </w:t>
      </w:r>
      <w:r w:rsidRPr="00411512">
        <w:rPr>
          <w:rFonts w:ascii="Verdana" w:hAnsi="Verdana"/>
          <w:i/>
          <w:iCs/>
          <w:color w:val="333333"/>
          <w:sz w:val="18"/>
          <w:szCs w:val="18"/>
          <w:shd w:val="clear" w:color="auto" w:fill="FFFFFF"/>
        </w:rPr>
        <w:t xml:space="preserve">de </w:t>
      </w:r>
      <w:r>
        <w:rPr>
          <w:rFonts w:ascii="Verdana" w:hAnsi="Verdana"/>
          <w:i/>
          <w:iCs/>
          <w:color w:val="333333"/>
          <w:sz w:val="18"/>
          <w:szCs w:val="18"/>
          <w:shd w:val="clear" w:color="auto" w:fill="FFFFFF"/>
        </w:rPr>
        <w:t>23</w:t>
      </w:r>
      <w:r w:rsidRPr="00411512">
        <w:rPr>
          <w:rFonts w:ascii="Verdana" w:hAnsi="Verdana"/>
          <w:i/>
          <w:iCs/>
          <w:color w:val="333333"/>
          <w:sz w:val="18"/>
          <w:szCs w:val="18"/>
          <w:shd w:val="clear" w:color="auto" w:fill="FFFFFF"/>
        </w:rPr>
        <w:t xml:space="preserve"> de diciembre de 2025.</w:t>
      </w:r>
    </w:p>
    <w:p w14:paraId="311EA096" w14:textId="77777777" w:rsidR="00AC14B9" w:rsidRDefault="00AC14B9" w:rsidP="00FF7AB3">
      <w:pPr>
        <w:rPr>
          <w:rFonts w:ascii="Verdana" w:hAnsi="Verdana"/>
          <w:i/>
          <w:iCs/>
          <w:color w:val="333333"/>
          <w:sz w:val="18"/>
          <w:szCs w:val="18"/>
          <w:shd w:val="clear" w:color="auto" w:fill="FFFFFF"/>
        </w:rPr>
      </w:pPr>
    </w:p>
    <w:p w14:paraId="2315F863" w14:textId="77777777" w:rsidR="00AC14B9" w:rsidRPr="00AC14B9" w:rsidRDefault="00AC14B9" w:rsidP="00AC14B9">
      <w:pPr>
        <w:jc w:val="both"/>
        <w:rPr>
          <w:rFonts w:ascii="Verdana" w:hAnsi="Verdana"/>
          <w:b/>
          <w:color w:val="800000"/>
          <w:sz w:val="18"/>
          <w:szCs w:val="18"/>
        </w:rPr>
      </w:pPr>
      <w:r w:rsidRPr="00AC14B9">
        <w:rPr>
          <w:rFonts w:ascii="Verdana" w:hAnsi="Verdana"/>
          <w:b/>
          <w:color w:val="800000"/>
          <w:sz w:val="18"/>
          <w:szCs w:val="18"/>
        </w:rPr>
        <w:t>Medidas urgentes</w:t>
      </w:r>
    </w:p>
    <w:p w14:paraId="3FF7D08E" w14:textId="1CE6C3AF" w:rsidR="00AC14B9" w:rsidRPr="00AC14B9" w:rsidRDefault="00AC14B9" w:rsidP="00AC14B9">
      <w:pPr>
        <w:rPr>
          <w:rFonts w:ascii="Verdana" w:hAnsi="Verdana"/>
          <w:color w:val="333333"/>
          <w:sz w:val="18"/>
          <w:szCs w:val="18"/>
          <w:shd w:val="clear" w:color="auto" w:fill="FFFFFF"/>
        </w:rPr>
      </w:pPr>
      <w:r w:rsidRPr="00AC14B9">
        <w:rPr>
          <w:rFonts w:ascii="Verdana" w:hAnsi="Verdana"/>
          <w:color w:val="333333"/>
          <w:sz w:val="18"/>
          <w:szCs w:val="18"/>
          <w:shd w:val="clear" w:color="auto" w:fill="FFFFFF"/>
        </w:rPr>
        <w:t>Real Decreto-ley 16/2025, de 23 de diciembre, por el que se prorrogan determinadas medidas para hacer frente a situaciones de vulnerabilidad social, y se adoptan medidas urgentes en materia tributaria y de Seguridad Social.</w:t>
      </w:r>
    </w:p>
    <w:p w14:paraId="63653FBB" w14:textId="5478EEE9" w:rsidR="00FF7AB3" w:rsidRDefault="00AC14B9" w:rsidP="00444428">
      <w:pPr>
        <w:rPr>
          <w:rFonts w:ascii="Verdana" w:hAnsi="Verdana"/>
          <w:i/>
          <w:iCs/>
          <w:color w:val="333333"/>
          <w:sz w:val="18"/>
          <w:szCs w:val="18"/>
          <w:shd w:val="clear" w:color="auto" w:fill="FFFFFF"/>
        </w:rPr>
      </w:pPr>
      <w:r>
        <w:rPr>
          <w:rFonts w:ascii="Verdana" w:hAnsi="Verdana"/>
          <w:i/>
          <w:iCs/>
          <w:color w:val="333333"/>
          <w:sz w:val="18"/>
          <w:szCs w:val="18"/>
          <w:shd w:val="clear" w:color="auto" w:fill="FFFFFF"/>
        </w:rPr>
        <w:t>Jefatura del Estado. B.O.E. núm. 309 de 24 de diciembre de 2025.</w:t>
      </w:r>
    </w:p>
    <w:p w14:paraId="2AB300CE" w14:textId="77777777" w:rsidR="00535596" w:rsidRDefault="00535596" w:rsidP="00535596">
      <w:pPr>
        <w:rPr>
          <w:rFonts w:ascii="Verdana" w:hAnsi="Verdana"/>
          <w:color w:val="333333"/>
          <w:sz w:val="18"/>
          <w:szCs w:val="18"/>
          <w:shd w:val="clear" w:color="auto" w:fill="FFFFFF"/>
        </w:rPr>
      </w:pPr>
    </w:p>
    <w:p w14:paraId="496F5C4B" w14:textId="77777777" w:rsidR="00D73B41" w:rsidRPr="00D73B41" w:rsidRDefault="00D73B41" w:rsidP="00D73B41">
      <w:pPr>
        <w:jc w:val="both"/>
        <w:rPr>
          <w:rFonts w:ascii="Verdana" w:hAnsi="Verdana"/>
          <w:b/>
          <w:color w:val="800000"/>
          <w:sz w:val="18"/>
          <w:szCs w:val="18"/>
        </w:rPr>
      </w:pPr>
      <w:r w:rsidRPr="00D73B41">
        <w:rPr>
          <w:rFonts w:ascii="Verdana" w:hAnsi="Verdana"/>
          <w:b/>
          <w:color w:val="800000"/>
          <w:sz w:val="18"/>
          <w:szCs w:val="18"/>
        </w:rPr>
        <w:t>DISPOSICIONES AUTONÓMICAS Y FORALES</w:t>
      </w:r>
    </w:p>
    <w:p w14:paraId="564B4D5B" w14:textId="77777777" w:rsidR="00D73B41" w:rsidRDefault="00D73B41" w:rsidP="00535596">
      <w:pPr>
        <w:rPr>
          <w:rFonts w:ascii="Verdana" w:hAnsi="Verdana"/>
          <w:color w:val="333333"/>
          <w:sz w:val="18"/>
          <w:szCs w:val="18"/>
          <w:shd w:val="clear" w:color="auto" w:fill="FFFFFF"/>
        </w:rPr>
      </w:pPr>
    </w:p>
    <w:p w14:paraId="01E7448B" w14:textId="77777777" w:rsidR="00D73B41" w:rsidRPr="00D73B41" w:rsidRDefault="00D73B41" w:rsidP="00D73B41">
      <w:pPr>
        <w:jc w:val="both"/>
        <w:rPr>
          <w:rFonts w:ascii="Verdana" w:hAnsi="Verdana"/>
          <w:b/>
          <w:color w:val="800000"/>
          <w:sz w:val="18"/>
          <w:szCs w:val="18"/>
        </w:rPr>
      </w:pPr>
      <w:r w:rsidRPr="00D73B41">
        <w:rPr>
          <w:rFonts w:ascii="Verdana" w:hAnsi="Verdana"/>
          <w:b/>
          <w:color w:val="800000"/>
          <w:sz w:val="18"/>
          <w:szCs w:val="18"/>
        </w:rPr>
        <w:t>COMUNIDAD AUTÓNOMA DEL PAÍS VASCO</w:t>
      </w:r>
    </w:p>
    <w:p w14:paraId="203D2C50" w14:textId="77777777" w:rsidR="00D73B41" w:rsidRPr="00D73B41" w:rsidRDefault="00D73B41" w:rsidP="00D73B41">
      <w:pPr>
        <w:jc w:val="both"/>
        <w:rPr>
          <w:rFonts w:ascii="Verdana" w:hAnsi="Verdana"/>
          <w:b/>
          <w:color w:val="800000"/>
          <w:sz w:val="18"/>
          <w:szCs w:val="18"/>
        </w:rPr>
      </w:pPr>
      <w:r w:rsidRPr="00D73B41">
        <w:rPr>
          <w:rFonts w:ascii="Verdana" w:hAnsi="Verdana"/>
          <w:b/>
          <w:color w:val="800000"/>
          <w:sz w:val="18"/>
          <w:szCs w:val="18"/>
        </w:rPr>
        <w:t>Presupuestos</w:t>
      </w:r>
    </w:p>
    <w:p w14:paraId="62CB360B" w14:textId="78608009" w:rsidR="00A618BF" w:rsidRPr="008E349D" w:rsidRDefault="00D73B41" w:rsidP="00A618BF">
      <w:pPr>
        <w:rPr>
          <w:rFonts w:ascii="Verdana" w:hAnsi="Verdana"/>
          <w:i/>
          <w:iCs/>
          <w:color w:val="333333"/>
          <w:sz w:val="18"/>
          <w:szCs w:val="18"/>
          <w:shd w:val="clear" w:color="auto" w:fill="FFFFFF"/>
        </w:rPr>
      </w:pPr>
      <w:r w:rsidRPr="00D73B41">
        <w:rPr>
          <w:rFonts w:ascii="Verdana" w:hAnsi="Verdana"/>
          <w:color w:val="333333"/>
          <w:sz w:val="18"/>
          <w:szCs w:val="18"/>
          <w:shd w:val="clear" w:color="auto" w:fill="FFFFFF"/>
        </w:rPr>
        <w:t>Ley 5/2024, de 21 de noviembre, de modificación de la Ley 21/</w:t>
      </w:r>
      <w:r>
        <w:rPr>
          <w:rFonts w:ascii="Verdana" w:hAnsi="Verdana"/>
          <w:color w:val="333333"/>
          <w:sz w:val="18"/>
          <w:szCs w:val="18"/>
          <w:shd w:val="clear" w:color="auto" w:fill="FFFFFF"/>
        </w:rPr>
        <w:t>2024</w:t>
      </w:r>
      <w:r w:rsidRPr="00D73B41">
        <w:rPr>
          <w:rFonts w:ascii="Verdana" w:hAnsi="Verdana"/>
          <w:color w:val="333333"/>
          <w:sz w:val="18"/>
          <w:szCs w:val="18"/>
          <w:shd w:val="clear" w:color="auto" w:fill="FFFFFF"/>
        </w:rPr>
        <w:t xml:space="preserve">, de 22 de diciembre, </w:t>
      </w:r>
    </w:p>
    <w:p w14:paraId="4F862F29" w14:textId="4A4D09E8" w:rsidR="00A23FE9" w:rsidRPr="008E349D" w:rsidRDefault="00A23FE9" w:rsidP="00D73B41">
      <w:pPr>
        <w:rPr>
          <w:rFonts w:ascii="Verdana" w:hAnsi="Verdana"/>
          <w:i/>
          <w:iCs/>
          <w:color w:val="333333"/>
          <w:sz w:val="18"/>
          <w:szCs w:val="18"/>
          <w:shd w:val="clear" w:color="auto" w:fill="FFFFFF"/>
        </w:rPr>
      </w:pPr>
      <w:r w:rsidRPr="008E349D">
        <w:rPr>
          <w:rFonts w:ascii="Verdana" w:hAnsi="Verdana"/>
          <w:i/>
          <w:iCs/>
          <w:color w:val="333333"/>
          <w:sz w:val="18"/>
          <w:szCs w:val="18"/>
          <w:shd w:val="clear" w:color="auto" w:fill="FFFFFF"/>
        </w:rPr>
        <w:br w:type="page"/>
      </w:r>
    </w:p>
    <w:p w14:paraId="46E85357" w14:textId="77777777" w:rsidR="00C2613C" w:rsidRDefault="00C2613C" w:rsidP="007B75AF">
      <w:pPr>
        <w:pStyle w:val="NormalWeb"/>
        <w:pBdr>
          <w:bottom w:val="single" w:sz="6" w:space="12" w:color="F4F4F4"/>
        </w:pBdr>
        <w:shd w:val="clear" w:color="auto" w:fill="FFFFFF"/>
        <w:spacing w:before="0" w:beforeAutospacing="0" w:after="0" w:afterAutospacing="0"/>
        <w:jc w:val="both"/>
        <w:rPr>
          <w:rFonts w:ascii="Verdana" w:hAnsi="Verdana"/>
          <w:b/>
          <w:color w:val="800000"/>
          <w:sz w:val="22"/>
          <w:szCs w:val="22"/>
        </w:rPr>
      </w:pPr>
    </w:p>
    <w:p w14:paraId="05FDF9F8" w14:textId="52F806E4" w:rsidR="0081014C" w:rsidRDefault="0081014C" w:rsidP="007B75AF">
      <w:pPr>
        <w:pStyle w:val="NormalWeb"/>
        <w:pBdr>
          <w:bottom w:val="single" w:sz="6" w:space="12" w:color="F4F4F4"/>
        </w:pBdr>
        <w:shd w:val="clear" w:color="auto" w:fill="FFFFFF"/>
        <w:spacing w:before="0" w:beforeAutospacing="0" w:after="0" w:afterAutospacing="0"/>
        <w:jc w:val="both"/>
        <w:rPr>
          <w:rFonts w:ascii="Verdana" w:hAnsi="Verdana"/>
          <w:b/>
          <w:color w:val="800000"/>
          <w:sz w:val="22"/>
          <w:szCs w:val="22"/>
        </w:rPr>
      </w:pPr>
      <w:r w:rsidRPr="00F47E83">
        <w:rPr>
          <w:rFonts w:ascii="Verdana" w:hAnsi="Verdana"/>
          <w:b/>
          <w:color w:val="800000"/>
          <w:sz w:val="22"/>
          <w:szCs w:val="22"/>
        </w:rPr>
        <w:t xml:space="preserve">CALENDARIO FISCAL PARA EL MES DE ENERO DE </w:t>
      </w:r>
      <w:r w:rsidR="00A07311">
        <w:rPr>
          <w:rFonts w:ascii="Verdana" w:hAnsi="Verdana"/>
          <w:b/>
          <w:color w:val="800000"/>
          <w:sz w:val="22"/>
          <w:szCs w:val="22"/>
        </w:rPr>
        <w:t>202</w:t>
      </w:r>
      <w:r w:rsidR="00A618BF">
        <w:rPr>
          <w:rFonts w:ascii="Verdana" w:hAnsi="Verdana"/>
          <w:b/>
          <w:color w:val="800000"/>
          <w:sz w:val="22"/>
          <w:szCs w:val="22"/>
        </w:rPr>
        <w:t>6</w:t>
      </w:r>
    </w:p>
    <w:p w14:paraId="4AA2CD75" w14:textId="1EDC91FC" w:rsidR="00795D84" w:rsidRPr="00795D84" w:rsidRDefault="00795D84" w:rsidP="00795D84">
      <w:pPr>
        <w:rPr>
          <w:rFonts w:ascii="Verdana" w:hAnsi="Verdana"/>
          <w:b/>
          <w:bCs/>
          <w:color w:val="800000"/>
          <w:sz w:val="18"/>
          <w:szCs w:val="18"/>
        </w:rPr>
      </w:pPr>
      <w:r w:rsidRPr="000D055D">
        <w:rPr>
          <w:rFonts w:ascii="Verdana" w:hAnsi="Verdana"/>
          <w:b/>
          <w:bCs/>
          <w:color w:val="800000"/>
          <w:sz w:val="18"/>
          <w:szCs w:val="18"/>
        </w:rPr>
        <w:t>HASTA EL 12 DE ENERO</w:t>
      </w:r>
    </w:p>
    <w:p w14:paraId="62B0CFCD" w14:textId="77777777" w:rsidR="00795D84" w:rsidRPr="00795D84" w:rsidRDefault="00795D84" w:rsidP="00795D84">
      <w:pPr>
        <w:rPr>
          <w:rFonts w:ascii="Verdana" w:hAnsi="Verdana"/>
          <w:sz w:val="18"/>
          <w:szCs w:val="18"/>
        </w:rPr>
      </w:pPr>
      <w:r w:rsidRPr="00795D84">
        <w:rPr>
          <w:rFonts w:ascii="Verdana" w:hAnsi="Verdana"/>
          <w:sz w:val="18"/>
          <w:szCs w:val="18"/>
        </w:rPr>
        <w:t>INTRASTAT - Estadística Comercio Intracomunitario</w:t>
      </w:r>
    </w:p>
    <w:p w14:paraId="3420E48F" w14:textId="6CEBE6AB" w:rsidR="00795D84" w:rsidRPr="000D055D" w:rsidRDefault="00795D84">
      <w:pPr>
        <w:numPr>
          <w:ilvl w:val="0"/>
          <w:numId w:val="13"/>
        </w:numPr>
        <w:rPr>
          <w:rFonts w:ascii="Verdana" w:hAnsi="Verdana"/>
          <w:sz w:val="18"/>
          <w:szCs w:val="18"/>
        </w:rPr>
      </w:pPr>
      <w:r w:rsidRPr="00795D84">
        <w:rPr>
          <w:rFonts w:ascii="Verdana" w:hAnsi="Verdana"/>
          <w:sz w:val="18"/>
          <w:szCs w:val="18"/>
        </w:rPr>
        <w:t>Diciembre 2025. Obligados a suministrar información estadística</w:t>
      </w:r>
      <w:r w:rsidRPr="000D055D">
        <w:rPr>
          <w:rFonts w:ascii="Verdana" w:hAnsi="Verdana"/>
          <w:sz w:val="18"/>
          <w:szCs w:val="18"/>
        </w:rPr>
        <w:t>-</w:t>
      </w:r>
    </w:p>
    <w:p w14:paraId="76FED07D" w14:textId="77777777" w:rsidR="00795D84" w:rsidRPr="000D055D" w:rsidRDefault="00795D84" w:rsidP="00795D84">
      <w:pPr>
        <w:rPr>
          <w:rFonts w:ascii="Verdana" w:hAnsi="Verdana"/>
          <w:sz w:val="18"/>
          <w:szCs w:val="18"/>
        </w:rPr>
      </w:pPr>
    </w:p>
    <w:p w14:paraId="64111422" w14:textId="3AB03427" w:rsidR="00795D84" w:rsidRPr="00795D84" w:rsidRDefault="00795D84" w:rsidP="00795D84">
      <w:pPr>
        <w:rPr>
          <w:rFonts w:ascii="Verdana" w:hAnsi="Verdana"/>
          <w:b/>
          <w:bCs/>
          <w:color w:val="800000"/>
          <w:sz w:val="18"/>
          <w:szCs w:val="18"/>
        </w:rPr>
      </w:pPr>
      <w:r w:rsidRPr="000D055D">
        <w:rPr>
          <w:rFonts w:ascii="Verdana" w:hAnsi="Verdana"/>
          <w:b/>
          <w:bCs/>
          <w:color w:val="800000"/>
          <w:sz w:val="18"/>
          <w:szCs w:val="18"/>
        </w:rPr>
        <w:t>HASTA EL 20 DE ENERO</w:t>
      </w:r>
    </w:p>
    <w:p w14:paraId="7E3E3729" w14:textId="77777777" w:rsidR="00795D84" w:rsidRPr="00795D84" w:rsidRDefault="00795D84" w:rsidP="00795D84">
      <w:pPr>
        <w:rPr>
          <w:rFonts w:ascii="Verdana" w:hAnsi="Verdana"/>
          <w:sz w:val="18"/>
          <w:szCs w:val="18"/>
        </w:rPr>
      </w:pPr>
      <w:r w:rsidRPr="00795D84">
        <w:rPr>
          <w:rFonts w:ascii="Verdana" w:hAnsi="Verdana"/>
          <w:b/>
          <w:bCs/>
          <w:sz w:val="18"/>
          <w:szCs w:val="18"/>
        </w:rPr>
        <w:t>Renta y Sociedades</w:t>
      </w:r>
    </w:p>
    <w:p w14:paraId="33D725CB" w14:textId="77777777" w:rsidR="00795D84" w:rsidRPr="00795D84" w:rsidRDefault="00795D84" w:rsidP="00795D84">
      <w:pPr>
        <w:rPr>
          <w:rFonts w:ascii="Verdana" w:hAnsi="Verdana"/>
          <w:sz w:val="18"/>
          <w:szCs w:val="18"/>
        </w:rPr>
      </w:pPr>
      <w:r w:rsidRPr="00795D84">
        <w:rPr>
          <w:rFonts w:ascii="Verdana" w:hAnsi="Verdana"/>
          <w:sz w:val="18"/>
          <w:szCs w:val="18"/>
        </w:rPr>
        <w:t>Retenciones e ingresos a cuenta de rendimientos del trabajo, actividades económicas, premios y determinadas ganancias patrimoniales e imputaciones de renta, ganancias derivadas de acciones y participaciones de las Instituciones de Inversión Colectiva, rentas de arrendamiento de inmuebles urbanos, capital mobiliario, personas autorizadas y saldos en cuentas y, de rentas de no residentes obtenidas sin establecimiento permanente.</w:t>
      </w:r>
    </w:p>
    <w:p w14:paraId="5FD1A700" w14:textId="77777777" w:rsidR="00795D84" w:rsidRPr="00795D84" w:rsidRDefault="00795D84">
      <w:pPr>
        <w:numPr>
          <w:ilvl w:val="0"/>
          <w:numId w:val="14"/>
        </w:numPr>
        <w:rPr>
          <w:rFonts w:ascii="Verdana" w:hAnsi="Verdana"/>
          <w:sz w:val="18"/>
          <w:szCs w:val="18"/>
        </w:rPr>
      </w:pPr>
      <w:r w:rsidRPr="00795D84">
        <w:rPr>
          <w:rFonts w:ascii="Verdana" w:hAnsi="Verdana"/>
          <w:sz w:val="18"/>
          <w:szCs w:val="18"/>
        </w:rPr>
        <w:t>Diciembre 2025. Grandes empresas: 111, 115, 117, 123, 124, 126, 128, 216, 230</w:t>
      </w:r>
    </w:p>
    <w:p w14:paraId="09008511" w14:textId="77777777" w:rsidR="00795D84" w:rsidRPr="00795D84" w:rsidRDefault="00795D84">
      <w:pPr>
        <w:numPr>
          <w:ilvl w:val="0"/>
          <w:numId w:val="14"/>
        </w:numPr>
        <w:rPr>
          <w:rFonts w:ascii="Verdana" w:hAnsi="Verdana"/>
          <w:sz w:val="18"/>
          <w:szCs w:val="18"/>
        </w:rPr>
      </w:pPr>
      <w:r w:rsidRPr="00795D84">
        <w:rPr>
          <w:rFonts w:ascii="Verdana" w:hAnsi="Verdana"/>
          <w:sz w:val="18"/>
          <w:szCs w:val="18"/>
        </w:rPr>
        <w:t>Cuarto trimestre 2025: 111, 115, 117, 123, 124, 126, 128, 136, 210, 216</w:t>
      </w:r>
    </w:p>
    <w:p w14:paraId="73FD9D63" w14:textId="77777777" w:rsidR="00795D84" w:rsidRPr="00795D84" w:rsidRDefault="00795D84" w:rsidP="00795D84">
      <w:pPr>
        <w:rPr>
          <w:rFonts w:ascii="Verdana" w:hAnsi="Verdana"/>
          <w:sz w:val="18"/>
          <w:szCs w:val="18"/>
        </w:rPr>
      </w:pPr>
      <w:r w:rsidRPr="00795D84">
        <w:rPr>
          <w:rFonts w:ascii="Verdana" w:hAnsi="Verdana"/>
          <w:b/>
          <w:bCs/>
          <w:sz w:val="18"/>
          <w:szCs w:val="18"/>
        </w:rPr>
        <w:t>IVA</w:t>
      </w:r>
    </w:p>
    <w:p w14:paraId="638BD25A" w14:textId="77777777" w:rsidR="00795D84" w:rsidRPr="00795D84" w:rsidRDefault="00795D84">
      <w:pPr>
        <w:numPr>
          <w:ilvl w:val="0"/>
          <w:numId w:val="15"/>
        </w:numPr>
        <w:rPr>
          <w:rFonts w:ascii="Verdana" w:hAnsi="Verdana"/>
          <w:sz w:val="18"/>
          <w:szCs w:val="18"/>
        </w:rPr>
      </w:pPr>
      <w:r w:rsidRPr="00795D84">
        <w:rPr>
          <w:rFonts w:ascii="Verdana" w:hAnsi="Verdana"/>
          <w:sz w:val="18"/>
          <w:szCs w:val="18"/>
        </w:rPr>
        <w:t>Comunicación de incorporaciones en el mes de diciembre, régimen especial del grupo de entidades: 039</w:t>
      </w:r>
    </w:p>
    <w:p w14:paraId="0611BC69" w14:textId="77777777" w:rsidR="00795D84" w:rsidRPr="00795D84" w:rsidRDefault="00795D84">
      <w:pPr>
        <w:numPr>
          <w:ilvl w:val="0"/>
          <w:numId w:val="15"/>
        </w:numPr>
        <w:rPr>
          <w:rFonts w:ascii="Verdana" w:hAnsi="Verdana"/>
          <w:sz w:val="18"/>
          <w:szCs w:val="18"/>
        </w:rPr>
      </w:pPr>
      <w:r w:rsidRPr="00795D84">
        <w:rPr>
          <w:rFonts w:ascii="Verdana" w:hAnsi="Verdana"/>
          <w:sz w:val="18"/>
          <w:szCs w:val="18"/>
        </w:rPr>
        <w:t>Solicitud de devolución por sujetos pasivos en el régimen simplificado del IVA y que ejerzan la actividad de transporte de viajeros o de mercancías por carretera, por adquirir determinados medios de transporte: 308</w:t>
      </w:r>
    </w:p>
    <w:p w14:paraId="7175C954" w14:textId="77777777" w:rsidR="00795D84" w:rsidRPr="00795D84" w:rsidRDefault="00795D84" w:rsidP="00795D84">
      <w:pPr>
        <w:rPr>
          <w:rFonts w:ascii="Verdana" w:hAnsi="Verdana"/>
          <w:sz w:val="18"/>
          <w:szCs w:val="18"/>
        </w:rPr>
      </w:pPr>
      <w:r w:rsidRPr="00795D84">
        <w:rPr>
          <w:rFonts w:ascii="Verdana" w:hAnsi="Verdana"/>
          <w:b/>
          <w:bCs/>
          <w:sz w:val="18"/>
          <w:szCs w:val="18"/>
        </w:rPr>
        <w:t>Impuesto sobre las Primas de Seguros</w:t>
      </w:r>
    </w:p>
    <w:p w14:paraId="4EB99CC4" w14:textId="77777777" w:rsidR="00795D84" w:rsidRPr="00795D84" w:rsidRDefault="00795D84">
      <w:pPr>
        <w:numPr>
          <w:ilvl w:val="0"/>
          <w:numId w:val="16"/>
        </w:numPr>
        <w:rPr>
          <w:rFonts w:ascii="Verdana" w:hAnsi="Verdana"/>
          <w:sz w:val="18"/>
          <w:szCs w:val="18"/>
        </w:rPr>
      </w:pPr>
      <w:r w:rsidRPr="00795D84">
        <w:rPr>
          <w:rFonts w:ascii="Verdana" w:hAnsi="Verdana"/>
          <w:sz w:val="18"/>
          <w:szCs w:val="18"/>
        </w:rPr>
        <w:t>Diciembre 2025: 430</w:t>
      </w:r>
    </w:p>
    <w:p w14:paraId="41BFF1C8" w14:textId="77777777" w:rsidR="00795D84" w:rsidRPr="00795D84" w:rsidRDefault="00795D84" w:rsidP="00795D84">
      <w:pPr>
        <w:rPr>
          <w:rFonts w:ascii="Verdana" w:hAnsi="Verdana"/>
          <w:sz w:val="18"/>
          <w:szCs w:val="18"/>
        </w:rPr>
      </w:pPr>
      <w:r w:rsidRPr="00795D84">
        <w:rPr>
          <w:rFonts w:ascii="Verdana" w:hAnsi="Verdana"/>
          <w:b/>
          <w:bCs/>
          <w:sz w:val="18"/>
          <w:szCs w:val="18"/>
        </w:rPr>
        <w:t>Impuestos Especiales de Fabricación</w:t>
      </w:r>
    </w:p>
    <w:p w14:paraId="7BAB52AE" w14:textId="77777777" w:rsidR="00795D84" w:rsidRPr="00795D84" w:rsidRDefault="00795D84">
      <w:pPr>
        <w:numPr>
          <w:ilvl w:val="0"/>
          <w:numId w:val="17"/>
        </w:numPr>
        <w:rPr>
          <w:rFonts w:ascii="Verdana" w:hAnsi="Verdana"/>
          <w:sz w:val="18"/>
          <w:szCs w:val="18"/>
        </w:rPr>
      </w:pPr>
      <w:r w:rsidRPr="00795D84">
        <w:rPr>
          <w:rFonts w:ascii="Verdana" w:hAnsi="Verdana"/>
          <w:sz w:val="18"/>
          <w:szCs w:val="18"/>
        </w:rPr>
        <w:t>Octubre 2025. Grandes empresas: 561, 562, 563</w:t>
      </w:r>
    </w:p>
    <w:p w14:paraId="768FD2EC" w14:textId="77777777" w:rsidR="00795D84" w:rsidRPr="00795D84" w:rsidRDefault="00795D84">
      <w:pPr>
        <w:numPr>
          <w:ilvl w:val="0"/>
          <w:numId w:val="17"/>
        </w:numPr>
        <w:rPr>
          <w:rFonts w:ascii="Verdana" w:hAnsi="Verdana"/>
          <w:sz w:val="18"/>
          <w:szCs w:val="18"/>
        </w:rPr>
      </w:pPr>
      <w:r w:rsidRPr="00795D84">
        <w:rPr>
          <w:rFonts w:ascii="Verdana" w:hAnsi="Verdana"/>
          <w:sz w:val="18"/>
          <w:szCs w:val="18"/>
        </w:rPr>
        <w:t>Diciembre 2025: 548, 566, 581</w:t>
      </w:r>
    </w:p>
    <w:p w14:paraId="069B8F5D" w14:textId="77777777" w:rsidR="00795D84" w:rsidRPr="00795D84" w:rsidRDefault="00795D84">
      <w:pPr>
        <w:numPr>
          <w:ilvl w:val="0"/>
          <w:numId w:val="17"/>
        </w:numPr>
        <w:rPr>
          <w:rFonts w:ascii="Verdana" w:hAnsi="Verdana"/>
          <w:sz w:val="18"/>
          <w:szCs w:val="18"/>
        </w:rPr>
      </w:pPr>
      <w:r w:rsidRPr="00795D84">
        <w:rPr>
          <w:rFonts w:ascii="Verdana" w:hAnsi="Verdana"/>
          <w:sz w:val="18"/>
          <w:szCs w:val="18"/>
        </w:rPr>
        <w:t>Diciembre 2025: 573 (Autoliquidación), A24 (Solicitud de devolución)</w:t>
      </w:r>
    </w:p>
    <w:p w14:paraId="18D79E5B" w14:textId="77777777" w:rsidR="00795D84" w:rsidRPr="00795D84" w:rsidRDefault="00795D84">
      <w:pPr>
        <w:numPr>
          <w:ilvl w:val="0"/>
          <w:numId w:val="17"/>
        </w:numPr>
        <w:rPr>
          <w:rFonts w:ascii="Verdana" w:hAnsi="Verdana"/>
          <w:sz w:val="18"/>
          <w:szCs w:val="18"/>
        </w:rPr>
      </w:pPr>
      <w:r w:rsidRPr="00795D84">
        <w:rPr>
          <w:rFonts w:ascii="Verdana" w:hAnsi="Verdana"/>
          <w:sz w:val="18"/>
          <w:szCs w:val="18"/>
        </w:rPr>
        <w:t>Cuarto trimestre 2025: 521, 522, 547</w:t>
      </w:r>
    </w:p>
    <w:p w14:paraId="22E2CC0C" w14:textId="77777777" w:rsidR="00795D84" w:rsidRPr="00795D84" w:rsidRDefault="00795D84">
      <w:pPr>
        <w:numPr>
          <w:ilvl w:val="0"/>
          <w:numId w:val="17"/>
        </w:numPr>
        <w:rPr>
          <w:rFonts w:ascii="Verdana" w:hAnsi="Verdana"/>
          <w:sz w:val="18"/>
          <w:szCs w:val="18"/>
        </w:rPr>
      </w:pPr>
      <w:r w:rsidRPr="00795D84">
        <w:rPr>
          <w:rFonts w:ascii="Verdana" w:hAnsi="Verdana"/>
          <w:sz w:val="18"/>
          <w:szCs w:val="18"/>
        </w:rPr>
        <w:t>Cuarto trimestre 2025. Actividades V1, F1: 553 (establecimientos autorizados para la llevanza de la contabilidad en soporte papel)</w:t>
      </w:r>
    </w:p>
    <w:p w14:paraId="71BAAAAB" w14:textId="77777777" w:rsidR="00795D84" w:rsidRPr="00795D84" w:rsidRDefault="00795D84">
      <w:pPr>
        <w:numPr>
          <w:ilvl w:val="0"/>
          <w:numId w:val="17"/>
        </w:numPr>
        <w:rPr>
          <w:rFonts w:ascii="Verdana" w:hAnsi="Verdana"/>
          <w:sz w:val="18"/>
          <w:szCs w:val="18"/>
        </w:rPr>
      </w:pPr>
      <w:r w:rsidRPr="00795D84">
        <w:rPr>
          <w:rFonts w:ascii="Verdana" w:hAnsi="Verdana"/>
          <w:sz w:val="18"/>
          <w:szCs w:val="18"/>
        </w:rPr>
        <w:t>Cuarto trimestre 2025. Solicitudes de devolución: 506, 507, 508, 524, 572</w:t>
      </w:r>
    </w:p>
    <w:p w14:paraId="213258CF" w14:textId="77777777" w:rsidR="00795D84" w:rsidRPr="00795D84" w:rsidRDefault="00795D84">
      <w:pPr>
        <w:numPr>
          <w:ilvl w:val="0"/>
          <w:numId w:val="17"/>
        </w:numPr>
        <w:rPr>
          <w:rFonts w:ascii="Verdana" w:hAnsi="Verdana"/>
          <w:sz w:val="18"/>
          <w:szCs w:val="18"/>
        </w:rPr>
      </w:pPr>
      <w:r w:rsidRPr="00795D84">
        <w:rPr>
          <w:rFonts w:ascii="Verdana" w:hAnsi="Verdana"/>
          <w:sz w:val="18"/>
          <w:szCs w:val="18"/>
        </w:rPr>
        <w:t>Declaración de operaciones por los destinatarios registrados y representantes fiscales: 510</w:t>
      </w:r>
    </w:p>
    <w:p w14:paraId="2385CC40" w14:textId="77777777" w:rsidR="00795D84" w:rsidRPr="00795D84" w:rsidRDefault="00795D84" w:rsidP="00795D84">
      <w:pPr>
        <w:rPr>
          <w:rFonts w:ascii="Verdana" w:hAnsi="Verdana"/>
          <w:sz w:val="18"/>
          <w:szCs w:val="18"/>
        </w:rPr>
      </w:pPr>
      <w:r w:rsidRPr="00795D84">
        <w:rPr>
          <w:rFonts w:ascii="Verdana" w:hAnsi="Verdana"/>
          <w:b/>
          <w:bCs/>
          <w:sz w:val="18"/>
          <w:szCs w:val="18"/>
        </w:rPr>
        <w:t>Impuesto Especial sobre la Electricidad</w:t>
      </w:r>
    </w:p>
    <w:p w14:paraId="5EF97EED" w14:textId="77777777" w:rsidR="00795D84" w:rsidRPr="00795D84" w:rsidRDefault="00795D84">
      <w:pPr>
        <w:numPr>
          <w:ilvl w:val="0"/>
          <w:numId w:val="18"/>
        </w:numPr>
        <w:rPr>
          <w:rFonts w:ascii="Verdana" w:hAnsi="Verdana"/>
          <w:sz w:val="18"/>
          <w:szCs w:val="18"/>
        </w:rPr>
      </w:pPr>
      <w:r w:rsidRPr="00795D84">
        <w:rPr>
          <w:rFonts w:ascii="Verdana" w:hAnsi="Verdana"/>
          <w:sz w:val="18"/>
          <w:szCs w:val="18"/>
        </w:rPr>
        <w:t>Diciembre 2025. Grandes empresas: 560</w:t>
      </w:r>
    </w:p>
    <w:p w14:paraId="24873579" w14:textId="77777777" w:rsidR="00795D84" w:rsidRPr="00795D84" w:rsidRDefault="00795D84">
      <w:pPr>
        <w:numPr>
          <w:ilvl w:val="0"/>
          <w:numId w:val="18"/>
        </w:numPr>
        <w:rPr>
          <w:rFonts w:ascii="Verdana" w:hAnsi="Verdana"/>
          <w:sz w:val="18"/>
          <w:szCs w:val="18"/>
        </w:rPr>
      </w:pPr>
      <w:r w:rsidRPr="00795D84">
        <w:rPr>
          <w:rFonts w:ascii="Verdana" w:hAnsi="Verdana"/>
          <w:sz w:val="18"/>
          <w:szCs w:val="18"/>
        </w:rPr>
        <w:t>Cuarto trimestre 2025. Excepto grandes empresas: 560</w:t>
      </w:r>
    </w:p>
    <w:p w14:paraId="721B2198" w14:textId="77777777" w:rsidR="00795D84" w:rsidRPr="00795D84" w:rsidRDefault="00795D84" w:rsidP="00795D84">
      <w:pPr>
        <w:rPr>
          <w:rFonts w:ascii="Verdana" w:hAnsi="Verdana"/>
          <w:sz w:val="18"/>
          <w:szCs w:val="18"/>
        </w:rPr>
      </w:pPr>
      <w:r w:rsidRPr="00795D84">
        <w:rPr>
          <w:rFonts w:ascii="Verdana" w:hAnsi="Verdana"/>
          <w:b/>
          <w:bCs/>
          <w:sz w:val="18"/>
          <w:szCs w:val="18"/>
        </w:rPr>
        <w:t>Impuestos Medioambientales</w:t>
      </w:r>
    </w:p>
    <w:p w14:paraId="15E4BEBB" w14:textId="77777777" w:rsidR="00795D84" w:rsidRPr="00795D84" w:rsidRDefault="00795D84">
      <w:pPr>
        <w:numPr>
          <w:ilvl w:val="0"/>
          <w:numId w:val="19"/>
        </w:numPr>
        <w:rPr>
          <w:rFonts w:ascii="Verdana" w:hAnsi="Verdana"/>
          <w:sz w:val="18"/>
          <w:szCs w:val="18"/>
        </w:rPr>
      </w:pPr>
      <w:r w:rsidRPr="00795D84">
        <w:rPr>
          <w:rFonts w:ascii="Verdana" w:hAnsi="Verdana"/>
          <w:sz w:val="18"/>
          <w:szCs w:val="18"/>
        </w:rPr>
        <w:t>Diciembre 2025. Impuesto especial sobre los envases de plástico no reutilizables. Autoliquidación: 592</w:t>
      </w:r>
    </w:p>
    <w:p w14:paraId="0375BED0" w14:textId="77777777" w:rsidR="00795D84" w:rsidRPr="00795D84" w:rsidRDefault="00795D84">
      <w:pPr>
        <w:numPr>
          <w:ilvl w:val="0"/>
          <w:numId w:val="19"/>
        </w:numPr>
        <w:rPr>
          <w:rFonts w:ascii="Verdana" w:hAnsi="Verdana"/>
          <w:sz w:val="18"/>
          <w:szCs w:val="18"/>
        </w:rPr>
      </w:pPr>
      <w:r w:rsidRPr="00795D84">
        <w:rPr>
          <w:rFonts w:ascii="Verdana" w:hAnsi="Verdana"/>
          <w:sz w:val="18"/>
          <w:szCs w:val="18"/>
        </w:rPr>
        <w:t>Cuarto trimestre 2025. Impuesto sobre los gases fluorados de efecto invernadero. Autoliquidación: 587. Solicitud de devolución: A23. Presentación contabilidad de existencias</w:t>
      </w:r>
    </w:p>
    <w:p w14:paraId="5725F1DA" w14:textId="77777777" w:rsidR="00795D84" w:rsidRPr="00795D84" w:rsidRDefault="00795D84">
      <w:pPr>
        <w:numPr>
          <w:ilvl w:val="0"/>
          <w:numId w:val="19"/>
        </w:numPr>
        <w:rPr>
          <w:rFonts w:ascii="Verdana" w:hAnsi="Verdana"/>
          <w:sz w:val="18"/>
          <w:szCs w:val="18"/>
        </w:rPr>
      </w:pPr>
      <w:r w:rsidRPr="00795D84">
        <w:rPr>
          <w:rFonts w:ascii="Verdana" w:hAnsi="Verdana"/>
          <w:sz w:val="18"/>
          <w:szCs w:val="18"/>
        </w:rPr>
        <w:t>Cuarto trimestre 2025. Impuesto especial sobre los envases de plástico no reutilizables. Autoliquidación: 592. Solicitud de devolución: A22</w:t>
      </w:r>
    </w:p>
    <w:p w14:paraId="65BC0C30" w14:textId="77777777" w:rsidR="00795D84" w:rsidRPr="00795D84" w:rsidRDefault="00795D84">
      <w:pPr>
        <w:numPr>
          <w:ilvl w:val="0"/>
          <w:numId w:val="19"/>
        </w:numPr>
        <w:rPr>
          <w:rFonts w:ascii="Verdana" w:hAnsi="Verdana"/>
          <w:sz w:val="18"/>
          <w:szCs w:val="18"/>
        </w:rPr>
      </w:pPr>
      <w:r w:rsidRPr="00795D84">
        <w:rPr>
          <w:rFonts w:ascii="Verdana" w:hAnsi="Verdana"/>
          <w:sz w:val="18"/>
          <w:szCs w:val="18"/>
        </w:rPr>
        <w:t>Año 2025. Impuesto sobre la producción de combustible nuclear gastado y residuos radiactivos resultantes de la generación de energía nucleoeléctrica. Producción de residuos radioactivos. Autoliquidación: 584</w:t>
      </w:r>
    </w:p>
    <w:p w14:paraId="7A2C7F07" w14:textId="77777777" w:rsidR="00795D84" w:rsidRPr="00795D84" w:rsidRDefault="00795D84">
      <w:pPr>
        <w:numPr>
          <w:ilvl w:val="0"/>
          <w:numId w:val="19"/>
        </w:numPr>
        <w:rPr>
          <w:rFonts w:ascii="Verdana" w:hAnsi="Verdana"/>
          <w:sz w:val="18"/>
          <w:szCs w:val="18"/>
        </w:rPr>
      </w:pPr>
      <w:r w:rsidRPr="00795D84">
        <w:rPr>
          <w:rFonts w:ascii="Verdana" w:hAnsi="Verdana"/>
          <w:sz w:val="18"/>
          <w:szCs w:val="18"/>
        </w:rPr>
        <w:t>Año 2025. Impuesto sobre el almacenamiento de combustible nuclear gastado y residuos radiactivos en instalaciones centralizadas. Autoliquidación anual: 585</w:t>
      </w:r>
    </w:p>
    <w:p w14:paraId="18121779" w14:textId="77777777" w:rsidR="00795D84" w:rsidRPr="00795D84" w:rsidRDefault="00795D84" w:rsidP="00795D84">
      <w:pPr>
        <w:rPr>
          <w:rFonts w:ascii="Verdana" w:hAnsi="Verdana"/>
          <w:sz w:val="18"/>
          <w:szCs w:val="18"/>
        </w:rPr>
      </w:pPr>
      <w:r w:rsidRPr="00795D84">
        <w:rPr>
          <w:rFonts w:ascii="Verdana" w:hAnsi="Verdana"/>
          <w:b/>
          <w:bCs/>
          <w:sz w:val="18"/>
          <w:szCs w:val="18"/>
        </w:rPr>
        <w:t>Impuesto Especial sobre el Carbón</w:t>
      </w:r>
    </w:p>
    <w:p w14:paraId="091B2E0A" w14:textId="77777777" w:rsidR="00795D84" w:rsidRPr="00795D84" w:rsidRDefault="00795D84">
      <w:pPr>
        <w:numPr>
          <w:ilvl w:val="0"/>
          <w:numId w:val="20"/>
        </w:numPr>
        <w:rPr>
          <w:rFonts w:ascii="Verdana" w:hAnsi="Verdana"/>
          <w:sz w:val="18"/>
          <w:szCs w:val="18"/>
        </w:rPr>
      </w:pPr>
      <w:r w:rsidRPr="00795D84">
        <w:rPr>
          <w:rFonts w:ascii="Verdana" w:hAnsi="Verdana"/>
          <w:sz w:val="18"/>
          <w:szCs w:val="18"/>
        </w:rPr>
        <w:t>Cuarto trimestre 2025: 595</w:t>
      </w:r>
    </w:p>
    <w:p w14:paraId="72C1E822" w14:textId="77777777" w:rsidR="00795D84" w:rsidRPr="00795D84" w:rsidRDefault="00795D84">
      <w:pPr>
        <w:numPr>
          <w:ilvl w:val="0"/>
          <w:numId w:val="20"/>
        </w:numPr>
        <w:rPr>
          <w:rFonts w:ascii="Verdana" w:hAnsi="Verdana"/>
          <w:sz w:val="18"/>
          <w:szCs w:val="18"/>
        </w:rPr>
      </w:pPr>
      <w:r w:rsidRPr="00795D84">
        <w:rPr>
          <w:rFonts w:ascii="Verdana" w:hAnsi="Verdana"/>
          <w:sz w:val="18"/>
          <w:szCs w:val="18"/>
        </w:rPr>
        <w:t>Año 2025. Declaración anual de operaciones: 596</w:t>
      </w:r>
    </w:p>
    <w:p w14:paraId="13F34A87" w14:textId="77777777" w:rsidR="00795D84" w:rsidRPr="00795D84" w:rsidRDefault="00795D84" w:rsidP="00795D84">
      <w:pPr>
        <w:rPr>
          <w:rFonts w:ascii="Verdana" w:hAnsi="Verdana"/>
          <w:sz w:val="18"/>
          <w:szCs w:val="18"/>
        </w:rPr>
      </w:pPr>
      <w:r w:rsidRPr="00795D84">
        <w:rPr>
          <w:rFonts w:ascii="Verdana" w:hAnsi="Verdana"/>
          <w:b/>
          <w:bCs/>
          <w:sz w:val="18"/>
          <w:szCs w:val="18"/>
        </w:rPr>
        <w:t>Impuestos sobre las Transacciones Financieras</w:t>
      </w:r>
    </w:p>
    <w:p w14:paraId="777EDF5A" w14:textId="77777777" w:rsidR="00795D84" w:rsidRPr="000D055D" w:rsidRDefault="00795D84">
      <w:pPr>
        <w:numPr>
          <w:ilvl w:val="0"/>
          <w:numId w:val="21"/>
        </w:numPr>
        <w:rPr>
          <w:rFonts w:ascii="Verdana" w:hAnsi="Verdana"/>
          <w:sz w:val="18"/>
          <w:szCs w:val="18"/>
        </w:rPr>
      </w:pPr>
      <w:r w:rsidRPr="00795D84">
        <w:rPr>
          <w:rFonts w:ascii="Verdana" w:hAnsi="Verdana"/>
          <w:sz w:val="18"/>
          <w:szCs w:val="18"/>
        </w:rPr>
        <w:t>Diciembre 2025: 604</w:t>
      </w:r>
    </w:p>
    <w:p w14:paraId="2C7F6DBB" w14:textId="77777777" w:rsidR="00795D84" w:rsidRPr="000D055D" w:rsidRDefault="00795D84" w:rsidP="00795D84">
      <w:pPr>
        <w:rPr>
          <w:rFonts w:ascii="Verdana" w:hAnsi="Verdana"/>
          <w:sz w:val="18"/>
          <w:szCs w:val="18"/>
        </w:rPr>
      </w:pPr>
    </w:p>
    <w:p w14:paraId="44878F9F" w14:textId="3D6EC469" w:rsidR="00795D84" w:rsidRPr="00795D84" w:rsidRDefault="00795D84" w:rsidP="00795D84">
      <w:pPr>
        <w:rPr>
          <w:rFonts w:ascii="Verdana" w:hAnsi="Verdana"/>
          <w:b/>
          <w:bCs/>
          <w:color w:val="800000"/>
          <w:sz w:val="18"/>
          <w:szCs w:val="18"/>
        </w:rPr>
      </w:pPr>
      <w:r w:rsidRPr="000D055D">
        <w:rPr>
          <w:rFonts w:ascii="Verdana" w:hAnsi="Verdana"/>
          <w:b/>
          <w:bCs/>
          <w:color w:val="800000"/>
          <w:sz w:val="18"/>
          <w:szCs w:val="18"/>
        </w:rPr>
        <w:t>HASTA EL 30 DE ENERO</w:t>
      </w:r>
    </w:p>
    <w:p w14:paraId="1F9D9F54" w14:textId="77777777" w:rsidR="00795D84" w:rsidRPr="00795D84" w:rsidRDefault="00795D84" w:rsidP="00795D84">
      <w:pPr>
        <w:rPr>
          <w:rFonts w:ascii="Verdana" w:hAnsi="Verdana"/>
          <w:sz w:val="18"/>
          <w:szCs w:val="18"/>
        </w:rPr>
      </w:pPr>
      <w:r w:rsidRPr="00795D84">
        <w:rPr>
          <w:rFonts w:ascii="Verdana" w:hAnsi="Verdana"/>
          <w:b/>
          <w:bCs/>
          <w:sz w:val="18"/>
          <w:szCs w:val="18"/>
        </w:rPr>
        <w:t>Pagos fraccionados Renta</w:t>
      </w:r>
    </w:p>
    <w:p w14:paraId="7CF627D0" w14:textId="77777777" w:rsidR="00795D84" w:rsidRPr="00795D84" w:rsidRDefault="00795D84">
      <w:pPr>
        <w:numPr>
          <w:ilvl w:val="0"/>
          <w:numId w:val="22"/>
        </w:numPr>
        <w:rPr>
          <w:rFonts w:ascii="Verdana" w:hAnsi="Verdana"/>
          <w:sz w:val="18"/>
          <w:szCs w:val="18"/>
        </w:rPr>
      </w:pPr>
      <w:r w:rsidRPr="00795D84">
        <w:rPr>
          <w:rFonts w:ascii="Verdana" w:hAnsi="Verdana"/>
          <w:sz w:val="18"/>
          <w:szCs w:val="18"/>
        </w:rPr>
        <w:t>Cuarto trimestre 2025:</w:t>
      </w:r>
    </w:p>
    <w:p w14:paraId="0A624FA6" w14:textId="77777777" w:rsidR="00795D84" w:rsidRPr="00795D84" w:rsidRDefault="00795D84">
      <w:pPr>
        <w:numPr>
          <w:ilvl w:val="1"/>
          <w:numId w:val="22"/>
        </w:numPr>
        <w:rPr>
          <w:rFonts w:ascii="Verdana" w:hAnsi="Verdana"/>
          <w:sz w:val="18"/>
          <w:szCs w:val="18"/>
        </w:rPr>
      </w:pPr>
      <w:r w:rsidRPr="00795D84">
        <w:rPr>
          <w:rFonts w:ascii="Verdana" w:hAnsi="Verdana"/>
          <w:sz w:val="18"/>
          <w:szCs w:val="18"/>
        </w:rPr>
        <w:t>Estimación directa: 130</w:t>
      </w:r>
    </w:p>
    <w:p w14:paraId="78965B28" w14:textId="77777777" w:rsidR="00795D84" w:rsidRPr="00795D84" w:rsidRDefault="00795D84">
      <w:pPr>
        <w:numPr>
          <w:ilvl w:val="1"/>
          <w:numId w:val="22"/>
        </w:numPr>
        <w:rPr>
          <w:rFonts w:ascii="Verdana" w:hAnsi="Verdana"/>
          <w:sz w:val="18"/>
          <w:szCs w:val="18"/>
        </w:rPr>
      </w:pPr>
      <w:r w:rsidRPr="00795D84">
        <w:rPr>
          <w:rFonts w:ascii="Verdana" w:hAnsi="Verdana"/>
          <w:sz w:val="18"/>
          <w:szCs w:val="18"/>
        </w:rPr>
        <w:t>Estimación objetiva: 131</w:t>
      </w:r>
    </w:p>
    <w:p w14:paraId="3B341527" w14:textId="77777777" w:rsidR="00795D84" w:rsidRPr="00795D84" w:rsidRDefault="00795D84" w:rsidP="00795D84">
      <w:pPr>
        <w:rPr>
          <w:rFonts w:ascii="Verdana" w:hAnsi="Verdana"/>
          <w:sz w:val="18"/>
          <w:szCs w:val="18"/>
        </w:rPr>
      </w:pPr>
      <w:r w:rsidRPr="00795D84">
        <w:rPr>
          <w:rFonts w:ascii="Verdana" w:hAnsi="Verdana"/>
          <w:b/>
          <w:bCs/>
          <w:sz w:val="18"/>
          <w:szCs w:val="18"/>
        </w:rPr>
        <w:lastRenderedPageBreak/>
        <w:t>IVA</w:t>
      </w:r>
    </w:p>
    <w:p w14:paraId="581C4A50" w14:textId="77777777" w:rsidR="00795D84" w:rsidRPr="00795D84" w:rsidRDefault="00795D84">
      <w:pPr>
        <w:numPr>
          <w:ilvl w:val="0"/>
          <w:numId w:val="23"/>
        </w:numPr>
        <w:rPr>
          <w:rFonts w:ascii="Verdana" w:hAnsi="Verdana"/>
          <w:sz w:val="18"/>
          <w:szCs w:val="18"/>
        </w:rPr>
      </w:pPr>
      <w:r w:rsidRPr="00795D84">
        <w:rPr>
          <w:rFonts w:ascii="Verdana" w:hAnsi="Verdana"/>
          <w:sz w:val="18"/>
          <w:szCs w:val="18"/>
        </w:rPr>
        <w:t>Diciembre 2025. Autoliquidación: 303</w:t>
      </w:r>
    </w:p>
    <w:p w14:paraId="505BD466" w14:textId="77777777" w:rsidR="00795D84" w:rsidRPr="00795D84" w:rsidRDefault="00795D84">
      <w:pPr>
        <w:numPr>
          <w:ilvl w:val="0"/>
          <w:numId w:val="23"/>
        </w:numPr>
        <w:rPr>
          <w:rFonts w:ascii="Verdana" w:hAnsi="Verdana"/>
          <w:sz w:val="18"/>
          <w:szCs w:val="18"/>
        </w:rPr>
      </w:pPr>
      <w:r w:rsidRPr="00795D84">
        <w:rPr>
          <w:rFonts w:ascii="Verdana" w:hAnsi="Verdana"/>
          <w:sz w:val="18"/>
          <w:szCs w:val="18"/>
        </w:rPr>
        <w:t>Diciembre 2025. Grupo de entidades, modelo individual: 322</w:t>
      </w:r>
    </w:p>
    <w:p w14:paraId="6DF03820" w14:textId="77777777" w:rsidR="00795D84" w:rsidRPr="00795D84" w:rsidRDefault="00795D84">
      <w:pPr>
        <w:numPr>
          <w:ilvl w:val="0"/>
          <w:numId w:val="23"/>
        </w:numPr>
        <w:rPr>
          <w:rFonts w:ascii="Verdana" w:hAnsi="Verdana"/>
          <w:sz w:val="18"/>
          <w:szCs w:val="18"/>
        </w:rPr>
      </w:pPr>
      <w:r w:rsidRPr="00795D84">
        <w:rPr>
          <w:rFonts w:ascii="Verdana" w:hAnsi="Verdana"/>
          <w:sz w:val="18"/>
          <w:szCs w:val="18"/>
        </w:rPr>
        <w:t>Diciembre 2025. Declaración recapitulativa de operaciones intracomunitarias: 349</w:t>
      </w:r>
    </w:p>
    <w:p w14:paraId="33A6131F" w14:textId="77777777" w:rsidR="00795D84" w:rsidRPr="00795D84" w:rsidRDefault="00795D84">
      <w:pPr>
        <w:numPr>
          <w:ilvl w:val="0"/>
          <w:numId w:val="23"/>
        </w:numPr>
        <w:rPr>
          <w:rFonts w:ascii="Verdana" w:hAnsi="Verdana"/>
          <w:sz w:val="18"/>
          <w:szCs w:val="18"/>
        </w:rPr>
      </w:pPr>
      <w:r w:rsidRPr="00795D84">
        <w:rPr>
          <w:rFonts w:ascii="Verdana" w:hAnsi="Verdana"/>
          <w:sz w:val="18"/>
          <w:szCs w:val="18"/>
        </w:rPr>
        <w:t>Diciembre 2025. Grupo de entidades, modelo agregado: 353</w:t>
      </w:r>
    </w:p>
    <w:p w14:paraId="05384A88" w14:textId="77777777" w:rsidR="00795D84" w:rsidRPr="00795D84" w:rsidRDefault="00795D84">
      <w:pPr>
        <w:numPr>
          <w:ilvl w:val="0"/>
          <w:numId w:val="23"/>
        </w:numPr>
        <w:rPr>
          <w:rFonts w:ascii="Verdana" w:hAnsi="Verdana"/>
          <w:sz w:val="18"/>
          <w:szCs w:val="18"/>
        </w:rPr>
      </w:pPr>
      <w:r w:rsidRPr="00795D84">
        <w:rPr>
          <w:rFonts w:ascii="Verdana" w:hAnsi="Verdana"/>
          <w:sz w:val="18"/>
          <w:szCs w:val="18"/>
        </w:rPr>
        <w:t>Diciembre 2025 (o año 2025). Operaciones asimiladas a las importaciones: 380</w:t>
      </w:r>
    </w:p>
    <w:p w14:paraId="5B8FF4B5" w14:textId="77777777" w:rsidR="00795D84" w:rsidRPr="00795D84" w:rsidRDefault="00795D84">
      <w:pPr>
        <w:numPr>
          <w:ilvl w:val="0"/>
          <w:numId w:val="23"/>
        </w:numPr>
        <w:rPr>
          <w:rFonts w:ascii="Verdana" w:hAnsi="Verdana"/>
          <w:sz w:val="18"/>
          <w:szCs w:val="18"/>
        </w:rPr>
      </w:pPr>
      <w:r w:rsidRPr="00795D84">
        <w:rPr>
          <w:rFonts w:ascii="Verdana" w:hAnsi="Verdana"/>
          <w:sz w:val="18"/>
          <w:szCs w:val="18"/>
        </w:rPr>
        <w:t>Cuarto trimestre 2025. Autoliquidación: 303</w:t>
      </w:r>
    </w:p>
    <w:p w14:paraId="3CABB186" w14:textId="77777777" w:rsidR="00795D84" w:rsidRPr="00795D84" w:rsidRDefault="00795D84">
      <w:pPr>
        <w:numPr>
          <w:ilvl w:val="0"/>
          <w:numId w:val="23"/>
        </w:numPr>
        <w:rPr>
          <w:rFonts w:ascii="Verdana" w:hAnsi="Verdana"/>
          <w:sz w:val="18"/>
          <w:szCs w:val="18"/>
        </w:rPr>
      </w:pPr>
      <w:r w:rsidRPr="00795D84">
        <w:rPr>
          <w:rFonts w:ascii="Verdana" w:hAnsi="Verdana"/>
          <w:sz w:val="18"/>
          <w:szCs w:val="18"/>
        </w:rPr>
        <w:t>Cuarto trimestre 2025. Declaración-liquidación no periódica: 309</w:t>
      </w:r>
    </w:p>
    <w:p w14:paraId="21C63F7E" w14:textId="77777777" w:rsidR="00795D84" w:rsidRPr="00795D84" w:rsidRDefault="00795D84">
      <w:pPr>
        <w:numPr>
          <w:ilvl w:val="0"/>
          <w:numId w:val="23"/>
        </w:numPr>
        <w:rPr>
          <w:rFonts w:ascii="Verdana" w:hAnsi="Verdana"/>
          <w:sz w:val="18"/>
          <w:szCs w:val="18"/>
        </w:rPr>
      </w:pPr>
      <w:r w:rsidRPr="00795D84">
        <w:rPr>
          <w:rFonts w:ascii="Verdana" w:hAnsi="Verdana"/>
          <w:sz w:val="18"/>
          <w:szCs w:val="18"/>
        </w:rPr>
        <w:t>Cuarto trimestre 2025. Declaración recapitulativa de operaciones intracomunitarias: 349</w:t>
      </w:r>
    </w:p>
    <w:p w14:paraId="4D7E8822" w14:textId="77777777" w:rsidR="00795D84" w:rsidRPr="00795D84" w:rsidRDefault="00795D84">
      <w:pPr>
        <w:numPr>
          <w:ilvl w:val="0"/>
          <w:numId w:val="23"/>
        </w:numPr>
        <w:rPr>
          <w:rFonts w:ascii="Verdana" w:hAnsi="Verdana"/>
          <w:sz w:val="18"/>
          <w:szCs w:val="18"/>
        </w:rPr>
      </w:pPr>
      <w:r w:rsidRPr="00795D84">
        <w:rPr>
          <w:rFonts w:ascii="Verdana" w:hAnsi="Verdana"/>
          <w:sz w:val="18"/>
          <w:szCs w:val="18"/>
        </w:rPr>
        <w:t>Cuarto trimestre 2025. Operaciones asimiladas a las importaciones: 380</w:t>
      </w:r>
    </w:p>
    <w:p w14:paraId="0A396582" w14:textId="77777777" w:rsidR="00795D84" w:rsidRPr="00795D84" w:rsidRDefault="00795D84">
      <w:pPr>
        <w:numPr>
          <w:ilvl w:val="0"/>
          <w:numId w:val="23"/>
        </w:numPr>
        <w:rPr>
          <w:rFonts w:ascii="Verdana" w:hAnsi="Verdana"/>
          <w:sz w:val="18"/>
          <w:szCs w:val="18"/>
        </w:rPr>
      </w:pPr>
      <w:r w:rsidRPr="00795D84">
        <w:rPr>
          <w:rFonts w:ascii="Verdana" w:hAnsi="Verdana"/>
          <w:sz w:val="18"/>
          <w:szCs w:val="18"/>
        </w:rPr>
        <w:t>Resumen anual 2025: 390</w:t>
      </w:r>
    </w:p>
    <w:p w14:paraId="56F7E7F1" w14:textId="77777777" w:rsidR="00795D84" w:rsidRPr="00795D84" w:rsidRDefault="00795D84">
      <w:pPr>
        <w:numPr>
          <w:ilvl w:val="0"/>
          <w:numId w:val="23"/>
        </w:numPr>
        <w:rPr>
          <w:rFonts w:ascii="Verdana" w:hAnsi="Verdana"/>
          <w:sz w:val="18"/>
          <w:szCs w:val="18"/>
        </w:rPr>
      </w:pPr>
      <w:r w:rsidRPr="00795D84">
        <w:rPr>
          <w:rFonts w:ascii="Verdana" w:hAnsi="Verdana"/>
          <w:sz w:val="18"/>
          <w:szCs w:val="18"/>
        </w:rPr>
        <w:t>Solicitud de devolución de cuotas reembolsadas a viajeros por empresarios en recargo de equivalencia: 308</w:t>
      </w:r>
    </w:p>
    <w:p w14:paraId="7F89FFD5" w14:textId="77777777" w:rsidR="00795D84" w:rsidRPr="00795D84" w:rsidRDefault="00795D84">
      <w:pPr>
        <w:numPr>
          <w:ilvl w:val="0"/>
          <w:numId w:val="23"/>
        </w:numPr>
        <w:rPr>
          <w:rFonts w:ascii="Verdana" w:hAnsi="Verdana"/>
          <w:sz w:val="18"/>
          <w:szCs w:val="18"/>
        </w:rPr>
      </w:pPr>
      <w:r w:rsidRPr="00795D84">
        <w:rPr>
          <w:rFonts w:ascii="Verdana" w:hAnsi="Verdana"/>
          <w:sz w:val="18"/>
          <w:szCs w:val="18"/>
        </w:rPr>
        <w:t>Regularización de las proporciones de tributación de los periodos de liquidación anteriores al inicio de la realización habitual de entregas de bienes o prestaciones de servicio: 318</w:t>
      </w:r>
    </w:p>
    <w:p w14:paraId="6C28952C" w14:textId="77777777" w:rsidR="00795D84" w:rsidRPr="00795D84" w:rsidRDefault="00795D84">
      <w:pPr>
        <w:numPr>
          <w:ilvl w:val="0"/>
          <w:numId w:val="23"/>
        </w:numPr>
        <w:rPr>
          <w:rFonts w:ascii="Verdana" w:hAnsi="Verdana"/>
          <w:sz w:val="18"/>
          <w:szCs w:val="18"/>
        </w:rPr>
      </w:pPr>
      <w:r w:rsidRPr="00795D84">
        <w:rPr>
          <w:rFonts w:ascii="Verdana" w:hAnsi="Verdana"/>
          <w:sz w:val="18"/>
          <w:szCs w:val="18"/>
        </w:rPr>
        <w:t>Reintegro de compensaciones en el régimen especial de la agricultura, ganadería y pesca: 341</w:t>
      </w:r>
    </w:p>
    <w:p w14:paraId="6BEFB07E" w14:textId="77777777" w:rsidR="00795D84" w:rsidRPr="00795D84" w:rsidRDefault="00795D84">
      <w:pPr>
        <w:numPr>
          <w:ilvl w:val="0"/>
          <w:numId w:val="23"/>
        </w:numPr>
        <w:rPr>
          <w:rFonts w:ascii="Verdana" w:hAnsi="Verdana"/>
          <w:sz w:val="18"/>
          <w:szCs w:val="18"/>
        </w:rPr>
      </w:pPr>
      <w:r w:rsidRPr="00795D84">
        <w:rPr>
          <w:rFonts w:ascii="Verdana" w:hAnsi="Verdana"/>
          <w:sz w:val="18"/>
          <w:szCs w:val="18"/>
        </w:rPr>
        <w:t>Opción o revocación de la aplicación de la prorrata especial para 2026 y siguientes, si se inició la actividad en el último trimestre de 2025: 036</w:t>
      </w:r>
    </w:p>
    <w:p w14:paraId="6552C72F" w14:textId="77777777" w:rsidR="00795D84" w:rsidRPr="00795D84" w:rsidRDefault="00795D84" w:rsidP="00795D84">
      <w:pPr>
        <w:rPr>
          <w:rFonts w:ascii="Verdana" w:hAnsi="Verdana"/>
          <w:sz w:val="18"/>
          <w:szCs w:val="18"/>
        </w:rPr>
      </w:pPr>
      <w:r w:rsidRPr="00795D84">
        <w:rPr>
          <w:rFonts w:ascii="Verdana" w:hAnsi="Verdana"/>
          <w:b/>
          <w:bCs/>
          <w:sz w:val="18"/>
          <w:szCs w:val="18"/>
        </w:rPr>
        <w:t>Impuestos medioambientales</w:t>
      </w:r>
    </w:p>
    <w:p w14:paraId="33B04831" w14:textId="5D71CC14" w:rsidR="00795D84" w:rsidRPr="000D055D" w:rsidRDefault="00795D84">
      <w:pPr>
        <w:numPr>
          <w:ilvl w:val="0"/>
          <w:numId w:val="24"/>
        </w:numPr>
        <w:rPr>
          <w:rFonts w:ascii="Verdana" w:hAnsi="Verdana"/>
          <w:sz w:val="18"/>
          <w:szCs w:val="18"/>
        </w:rPr>
      </w:pPr>
      <w:r w:rsidRPr="00795D84">
        <w:rPr>
          <w:rFonts w:ascii="Verdana" w:hAnsi="Verdana"/>
          <w:sz w:val="18"/>
          <w:szCs w:val="18"/>
        </w:rPr>
        <w:t>Cuarto trimestre 2025. Impuesto sobre el depósito de residuos en vertederos, la incineración y la coincineración de residuos. Autoliquidación: 593</w:t>
      </w:r>
      <w:r w:rsidRPr="000D055D">
        <w:rPr>
          <w:rFonts w:ascii="Verdana" w:hAnsi="Verdana"/>
          <w:sz w:val="18"/>
          <w:szCs w:val="18"/>
        </w:rPr>
        <w:t>.</w:t>
      </w:r>
    </w:p>
    <w:p w14:paraId="6502C4AB" w14:textId="77777777" w:rsidR="00795D84" w:rsidRPr="000D055D" w:rsidRDefault="00795D84" w:rsidP="00795D84">
      <w:pPr>
        <w:rPr>
          <w:rFonts w:ascii="Verdana" w:hAnsi="Verdana"/>
          <w:sz w:val="18"/>
          <w:szCs w:val="18"/>
        </w:rPr>
      </w:pPr>
    </w:p>
    <w:p w14:paraId="28DAA5A5" w14:textId="2DE2C968" w:rsidR="00795D84" w:rsidRPr="00795D84" w:rsidRDefault="00795D84" w:rsidP="00795D84">
      <w:pPr>
        <w:rPr>
          <w:rFonts w:ascii="Verdana" w:hAnsi="Verdana"/>
          <w:b/>
          <w:bCs/>
          <w:color w:val="800000"/>
          <w:sz w:val="18"/>
          <w:szCs w:val="18"/>
        </w:rPr>
      </w:pPr>
      <w:r w:rsidRPr="000D055D">
        <w:rPr>
          <w:rFonts w:ascii="Verdana" w:hAnsi="Verdana"/>
          <w:b/>
          <w:bCs/>
          <w:color w:val="800000"/>
          <w:sz w:val="18"/>
          <w:szCs w:val="18"/>
        </w:rPr>
        <w:t>HASTA EL 31 DE ENERO</w:t>
      </w:r>
    </w:p>
    <w:p w14:paraId="67116D10" w14:textId="77777777" w:rsidR="00795D84" w:rsidRPr="00795D84" w:rsidRDefault="00795D84" w:rsidP="00795D84">
      <w:pPr>
        <w:rPr>
          <w:rFonts w:ascii="Verdana" w:hAnsi="Verdana"/>
          <w:sz w:val="18"/>
          <w:szCs w:val="18"/>
        </w:rPr>
      </w:pPr>
      <w:r w:rsidRPr="00795D84">
        <w:rPr>
          <w:rFonts w:ascii="Verdana" w:hAnsi="Verdana"/>
          <w:b/>
          <w:bCs/>
          <w:sz w:val="18"/>
          <w:szCs w:val="18"/>
        </w:rPr>
        <w:t>IVA</w:t>
      </w:r>
    </w:p>
    <w:p w14:paraId="2291F743" w14:textId="77777777" w:rsidR="00795D84" w:rsidRPr="00795D84" w:rsidRDefault="00795D84">
      <w:pPr>
        <w:numPr>
          <w:ilvl w:val="0"/>
          <w:numId w:val="25"/>
        </w:numPr>
        <w:rPr>
          <w:rFonts w:ascii="Verdana" w:hAnsi="Verdana"/>
          <w:sz w:val="18"/>
          <w:szCs w:val="18"/>
        </w:rPr>
      </w:pPr>
      <w:r w:rsidRPr="00795D84">
        <w:rPr>
          <w:rFonts w:ascii="Verdana" w:hAnsi="Verdana"/>
          <w:sz w:val="18"/>
          <w:szCs w:val="18"/>
        </w:rPr>
        <w:t>Diciembre 2025. Ventanilla única - Régimen de importación: 369</w:t>
      </w:r>
    </w:p>
    <w:p w14:paraId="54C78B79" w14:textId="77777777" w:rsidR="00795D84" w:rsidRPr="00795D84" w:rsidRDefault="00795D84">
      <w:pPr>
        <w:numPr>
          <w:ilvl w:val="0"/>
          <w:numId w:val="25"/>
        </w:numPr>
        <w:rPr>
          <w:rFonts w:ascii="Verdana" w:hAnsi="Verdana"/>
          <w:sz w:val="18"/>
          <w:szCs w:val="18"/>
        </w:rPr>
      </w:pPr>
      <w:r w:rsidRPr="00795D84">
        <w:rPr>
          <w:rFonts w:ascii="Verdana" w:hAnsi="Verdana"/>
          <w:sz w:val="18"/>
          <w:szCs w:val="18"/>
        </w:rPr>
        <w:t>Cuarto trimestre 2025: Ventanilla única – Regímenes Exterior y de la Unión: 369</w:t>
      </w:r>
    </w:p>
    <w:p w14:paraId="499907A2" w14:textId="77777777" w:rsidR="00795D84" w:rsidRPr="00795D84" w:rsidRDefault="00795D84" w:rsidP="00795D84">
      <w:pPr>
        <w:rPr>
          <w:rFonts w:ascii="Verdana" w:hAnsi="Verdana"/>
          <w:sz w:val="18"/>
          <w:szCs w:val="18"/>
        </w:rPr>
      </w:pPr>
    </w:p>
    <w:p w14:paraId="5ED9A787" w14:textId="00F8B584" w:rsidR="00795D84" w:rsidRPr="00795D84" w:rsidRDefault="00795D84" w:rsidP="00795D84">
      <w:pPr>
        <w:rPr>
          <w:rFonts w:ascii="Verdana" w:hAnsi="Verdana"/>
          <w:b/>
          <w:bCs/>
          <w:color w:val="800000"/>
          <w:sz w:val="18"/>
          <w:szCs w:val="18"/>
        </w:rPr>
      </w:pPr>
      <w:r w:rsidRPr="000D055D">
        <w:rPr>
          <w:rFonts w:ascii="Verdana" w:hAnsi="Verdana"/>
          <w:b/>
          <w:bCs/>
          <w:color w:val="800000"/>
          <w:sz w:val="18"/>
          <w:szCs w:val="18"/>
        </w:rPr>
        <w:t>HASTA EL 2 DE FEBRERO</w:t>
      </w:r>
    </w:p>
    <w:p w14:paraId="5EFCDFF3" w14:textId="77777777" w:rsidR="00795D84" w:rsidRPr="00795D84" w:rsidRDefault="00795D84" w:rsidP="00795D84">
      <w:pPr>
        <w:rPr>
          <w:rFonts w:ascii="Verdana" w:hAnsi="Verdana"/>
          <w:sz w:val="18"/>
          <w:szCs w:val="18"/>
        </w:rPr>
      </w:pPr>
      <w:r w:rsidRPr="00795D84">
        <w:rPr>
          <w:rFonts w:ascii="Verdana" w:hAnsi="Verdana"/>
          <w:b/>
          <w:bCs/>
          <w:sz w:val="18"/>
          <w:szCs w:val="18"/>
        </w:rPr>
        <w:t>Renta y Sociedades</w:t>
      </w:r>
    </w:p>
    <w:p w14:paraId="26285B6D" w14:textId="77777777" w:rsidR="00795D84" w:rsidRPr="00795D84" w:rsidRDefault="00795D84" w:rsidP="00795D84">
      <w:pPr>
        <w:rPr>
          <w:rFonts w:ascii="Verdana" w:hAnsi="Verdana"/>
          <w:sz w:val="18"/>
          <w:szCs w:val="18"/>
        </w:rPr>
      </w:pPr>
      <w:r w:rsidRPr="00795D84">
        <w:rPr>
          <w:rFonts w:ascii="Verdana" w:hAnsi="Verdana"/>
          <w:sz w:val="18"/>
          <w:szCs w:val="18"/>
        </w:rPr>
        <w:t>Retenciones e ingresos a cuenta de rendimientos del trabajo, actividades económicas, premios y determinadas ganancias patrimoniales e imputaciones de renta, ganancias derivadas de acciones y participaciones de las Instituciones de Inversión Colectiva, rentas de arrendamiento de inmuebles urbanos, capital mobiliario, personas autorizadas y saldos en cuentas.</w:t>
      </w:r>
    </w:p>
    <w:p w14:paraId="75481885" w14:textId="77777777" w:rsidR="00795D84" w:rsidRPr="00795D84" w:rsidRDefault="00795D84">
      <w:pPr>
        <w:numPr>
          <w:ilvl w:val="0"/>
          <w:numId w:val="26"/>
        </w:numPr>
        <w:rPr>
          <w:rFonts w:ascii="Verdana" w:hAnsi="Verdana"/>
          <w:sz w:val="18"/>
          <w:szCs w:val="18"/>
        </w:rPr>
      </w:pPr>
      <w:r w:rsidRPr="00795D84">
        <w:rPr>
          <w:rFonts w:ascii="Verdana" w:hAnsi="Verdana"/>
          <w:sz w:val="18"/>
          <w:szCs w:val="18"/>
        </w:rPr>
        <w:t>Resumen anual 2025: 180, 188, 190, 193, 193-S, 194, 196, 270</w:t>
      </w:r>
    </w:p>
    <w:p w14:paraId="69E1A1CC" w14:textId="77777777" w:rsidR="00795D84" w:rsidRPr="00795D84" w:rsidRDefault="00795D84" w:rsidP="00795D84">
      <w:pPr>
        <w:rPr>
          <w:rFonts w:ascii="Verdana" w:hAnsi="Verdana"/>
          <w:sz w:val="18"/>
          <w:szCs w:val="18"/>
        </w:rPr>
      </w:pPr>
      <w:r w:rsidRPr="00795D84">
        <w:rPr>
          <w:rFonts w:ascii="Verdana" w:hAnsi="Verdana"/>
          <w:b/>
          <w:bCs/>
          <w:sz w:val="18"/>
          <w:szCs w:val="18"/>
        </w:rPr>
        <w:t>Renta de no residentes sin establecimiento permanente</w:t>
      </w:r>
    </w:p>
    <w:p w14:paraId="1008F624" w14:textId="77777777" w:rsidR="00795D84" w:rsidRPr="00795D84" w:rsidRDefault="00795D84" w:rsidP="00795D84">
      <w:pPr>
        <w:rPr>
          <w:rFonts w:ascii="Verdana" w:hAnsi="Verdana"/>
          <w:sz w:val="18"/>
          <w:szCs w:val="18"/>
        </w:rPr>
      </w:pPr>
      <w:r w:rsidRPr="00795D84">
        <w:rPr>
          <w:rFonts w:ascii="Verdana" w:hAnsi="Verdana"/>
          <w:sz w:val="18"/>
          <w:szCs w:val="18"/>
        </w:rPr>
        <w:t>Gravamen especial sobre inmuebles de entidades no residentes 2025: 213</w:t>
      </w:r>
    </w:p>
    <w:p w14:paraId="42D76D30" w14:textId="77777777" w:rsidR="00795D84" w:rsidRPr="00795D84" w:rsidRDefault="00795D84" w:rsidP="00795D84">
      <w:pPr>
        <w:rPr>
          <w:rFonts w:ascii="Verdana" w:hAnsi="Verdana"/>
          <w:sz w:val="18"/>
          <w:szCs w:val="18"/>
        </w:rPr>
      </w:pPr>
      <w:r w:rsidRPr="00795D84">
        <w:rPr>
          <w:rFonts w:ascii="Verdana" w:hAnsi="Verdana"/>
          <w:sz w:val="18"/>
          <w:szCs w:val="18"/>
        </w:rPr>
        <w:t>Retenciones e ingresos a cuenta del Impuesto sobre la Renta de no Residentes (sin establecimiento permanente).</w:t>
      </w:r>
    </w:p>
    <w:p w14:paraId="5D84A76C" w14:textId="77777777" w:rsidR="00795D84" w:rsidRPr="00795D84" w:rsidRDefault="00795D84">
      <w:pPr>
        <w:numPr>
          <w:ilvl w:val="0"/>
          <w:numId w:val="27"/>
        </w:numPr>
        <w:rPr>
          <w:rFonts w:ascii="Verdana" w:hAnsi="Verdana"/>
          <w:sz w:val="18"/>
          <w:szCs w:val="18"/>
        </w:rPr>
      </w:pPr>
      <w:r w:rsidRPr="00795D84">
        <w:rPr>
          <w:rFonts w:ascii="Verdana" w:hAnsi="Verdana"/>
          <w:sz w:val="18"/>
          <w:szCs w:val="18"/>
        </w:rPr>
        <w:t>Resumen anual 2025: 296</w:t>
      </w:r>
    </w:p>
    <w:p w14:paraId="4517C408" w14:textId="77777777" w:rsidR="00795D84" w:rsidRPr="00795D84" w:rsidRDefault="00795D84" w:rsidP="00795D84">
      <w:pPr>
        <w:rPr>
          <w:rFonts w:ascii="Verdana" w:hAnsi="Verdana"/>
          <w:sz w:val="18"/>
          <w:szCs w:val="18"/>
        </w:rPr>
      </w:pPr>
      <w:r w:rsidRPr="00795D84">
        <w:rPr>
          <w:rFonts w:ascii="Verdana" w:hAnsi="Verdana"/>
          <w:b/>
          <w:bCs/>
          <w:sz w:val="18"/>
          <w:szCs w:val="18"/>
        </w:rPr>
        <w:t>Operaciones con activos financieros</w:t>
      </w:r>
    </w:p>
    <w:p w14:paraId="3BC85307" w14:textId="77777777" w:rsidR="00795D84" w:rsidRPr="00795D84" w:rsidRDefault="00795D84">
      <w:pPr>
        <w:numPr>
          <w:ilvl w:val="0"/>
          <w:numId w:val="28"/>
        </w:numPr>
        <w:rPr>
          <w:rFonts w:ascii="Verdana" w:hAnsi="Verdana"/>
          <w:sz w:val="18"/>
          <w:szCs w:val="18"/>
        </w:rPr>
      </w:pPr>
      <w:r w:rsidRPr="00795D84">
        <w:rPr>
          <w:rFonts w:ascii="Verdana" w:hAnsi="Verdana"/>
          <w:sz w:val="18"/>
          <w:szCs w:val="18"/>
        </w:rPr>
        <w:t>Declaración anual de operaciones con Letras del Tesoro 2025: 192</w:t>
      </w:r>
    </w:p>
    <w:p w14:paraId="0F261182" w14:textId="77777777" w:rsidR="00795D84" w:rsidRPr="00795D84" w:rsidRDefault="00795D84">
      <w:pPr>
        <w:numPr>
          <w:ilvl w:val="0"/>
          <w:numId w:val="28"/>
        </w:numPr>
        <w:rPr>
          <w:rFonts w:ascii="Verdana" w:hAnsi="Verdana"/>
          <w:sz w:val="18"/>
          <w:szCs w:val="18"/>
        </w:rPr>
      </w:pPr>
      <w:r w:rsidRPr="00795D84">
        <w:rPr>
          <w:rFonts w:ascii="Verdana" w:hAnsi="Verdana"/>
          <w:sz w:val="18"/>
          <w:szCs w:val="18"/>
        </w:rPr>
        <w:t>Declaración anual de operaciones con activos financieros 2025: 198</w:t>
      </w:r>
    </w:p>
    <w:p w14:paraId="427A5329" w14:textId="77777777" w:rsidR="00795D84" w:rsidRPr="00795D84" w:rsidRDefault="00795D84" w:rsidP="00795D84">
      <w:pPr>
        <w:rPr>
          <w:rFonts w:ascii="Verdana" w:hAnsi="Verdana"/>
          <w:sz w:val="18"/>
          <w:szCs w:val="18"/>
        </w:rPr>
      </w:pPr>
      <w:r w:rsidRPr="00795D84">
        <w:rPr>
          <w:rFonts w:ascii="Verdana" w:hAnsi="Verdana"/>
          <w:b/>
          <w:bCs/>
          <w:sz w:val="18"/>
          <w:szCs w:val="18"/>
        </w:rPr>
        <w:t>IVA</w:t>
      </w:r>
    </w:p>
    <w:p w14:paraId="69D528CE" w14:textId="77777777" w:rsidR="00795D84" w:rsidRPr="00795D84" w:rsidRDefault="00795D84">
      <w:pPr>
        <w:numPr>
          <w:ilvl w:val="0"/>
          <w:numId w:val="29"/>
        </w:numPr>
        <w:rPr>
          <w:rFonts w:ascii="Verdana" w:hAnsi="Verdana"/>
          <w:sz w:val="18"/>
          <w:szCs w:val="18"/>
        </w:rPr>
      </w:pPr>
      <w:r w:rsidRPr="00795D84">
        <w:rPr>
          <w:rFonts w:ascii="Verdana" w:hAnsi="Verdana"/>
          <w:sz w:val="18"/>
          <w:szCs w:val="18"/>
        </w:rPr>
        <w:t>Solicitud de aplicación del porcentaje provisional de deducción distinto del fijado como definitivo en el año precedente: sin modelo</w:t>
      </w:r>
    </w:p>
    <w:p w14:paraId="318B49AB" w14:textId="77777777" w:rsidR="00795D84" w:rsidRPr="00795D84" w:rsidRDefault="00795D84" w:rsidP="00795D84">
      <w:pPr>
        <w:rPr>
          <w:rFonts w:ascii="Verdana" w:hAnsi="Verdana"/>
          <w:sz w:val="18"/>
          <w:szCs w:val="18"/>
        </w:rPr>
      </w:pPr>
      <w:r w:rsidRPr="00795D84">
        <w:rPr>
          <w:rFonts w:ascii="Verdana" w:hAnsi="Verdana"/>
          <w:b/>
          <w:bCs/>
          <w:sz w:val="18"/>
          <w:szCs w:val="18"/>
        </w:rPr>
        <w:t>Impuesto sobre las Primas de Seguros</w:t>
      </w:r>
    </w:p>
    <w:p w14:paraId="4795EF00" w14:textId="77777777" w:rsidR="00795D84" w:rsidRPr="00795D84" w:rsidRDefault="00795D84">
      <w:pPr>
        <w:numPr>
          <w:ilvl w:val="0"/>
          <w:numId w:val="30"/>
        </w:numPr>
        <w:rPr>
          <w:rFonts w:ascii="Verdana" w:hAnsi="Verdana"/>
          <w:sz w:val="18"/>
          <w:szCs w:val="18"/>
        </w:rPr>
      </w:pPr>
      <w:r w:rsidRPr="00795D84">
        <w:rPr>
          <w:rFonts w:ascii="Verdana" w:hAnsi="Verdana"/>
          <w:sz w:val="18"/>
          <w:szCs w:val="18"/>
        </w:rPr>
        <w:t>Resumen anual 2025: 480</w:t>
      </w:r>
    </w:p>
    <w:p w14:paraId="5DFEB095" w14:textId="77777777" w:rsidR="00795D84" w:rsidRPr="00795D84" w:rsidRDefault="00795D84" w:rsidP="00795D84">
      <w:pPr>
        <w:rPr>
          <w:rFonts w:ascii="Verdana" w:hAnsi="Verdana"/>
          <w:sz w:val="18"/>
          <w:szCs w:val="18"/>
        </w:rPr>
      </w:pPr>
      <w:r w:rsidRPr="00795D84">
        <w:rPr>
          <w:rFonts w:ascii="Verdana" w:hAnsi="Verdana"/>
          <w:b/>
          <w:bCs/>
          <w:sz w:val="18"/>
          <w:szCs w:val="18"/>
        </w:rPr>
        <w:t>Impuesto sobre Determinados Servicios Digitales</w:t>
      </w:r>
    </w:p>
    <w:p w14:paraId="0EC93F50" w14:textId="77777777" w:rsidR="00795D84" w:rsidRPr="00795D84" w:rsidRDefault="00795D84">
      <w:pPr>
        <w:numPr>
          <w:ilvl w:val="0"/>
          <w:numId w:val="31"/>
        </w:numPr>
        <w:rPr>
          <w:rFonts w:ascii="Verdana" w:hAnsi="Verdana"/>
          <w:sz w:val="18"/>
          <w:szCs w:val="18"/>
        </w:rPr>
      </w:pPr>
      <w:r w:rsidRPr="00795D84">
        <w:rPr>
          <w:rFonts w:ascii="Verdana" w:hAnsi="Verdana"/>
          <w:sz w:val="18"/>
          <w:szCs w:val="18"/>
        </w:rPr>
        <w:t>Cuarto trimestre 2025: 490</w:t>
      </w:r>
    </w:p>
    <w:p w14:paraId="598EAB37" w14:textId="77777777" w:rsidR="00795D84" w:rsidRPr="00795D84" w:rsidRDefault="00795D84" w:rsidP="00795D84">
      <w:pPr>
        <w:rPr>
          <w:rFonts w:ascii="Verdana" w:hAnsi="Verdana"/>
          <w:sz w:val="18"/>
          <w:szCs w:val="18"/>
        </w:rPr>
      </w:pPr>
      <w:r w:rsidRPr="00795D84">
        <w:rPr>
          <w:rFonts w:ascii="Verdana" w:hAnsi="Verdana"/>
          <w:b/>
          <w:bCs/>
          <w:sz w:val="18"/>
          <w:szCs w:val="18"/>
        </w:rPr>
        <w:t>Impuestos medioambientales</w:t>
      </w:r>
    </w:p>
    <w:p w14:paraId="514B3DF0" w14:textId="77777777" w:rsidR="00795D84" w:rsidRPr="00795D84" w:rsidRDefault="00795D84">
      <w:pPr>
        <w:numPr>
          <w:ilvl w:val="0"/>
          <w:numId w:val="32"/>
        </w:numPr>
        <w:rPr>
          <w:rFonts w:ascii="Verdana" w:hAnsi="Verdana"/>
          <w:sz w:val="18"/>
          <w:szCs w:val="18"/>
        </w:rPr>
      </w:pPr>
      <w:r w:rsidRPr="00795D84">
        <w:rPr>
          <w:rFonts w:ascii="Verdana" w:hAnsi="Verdana"/>
          <w:sz w:val="18"/>
          <w:szCs w:val="18"/>
        </w:rPr>
        <w:t>Diciembre 2025. Impuesto especial sobre los envases de plástico no reutilizables. Presentación contabilidad y libro registro de existencias</w:t>
      </w:r>
    </w:p>
    <w:p w14:paraId="4E93FBAD" w14:textId="77777777" w:rsidR="00795D84" w:rsidRPr="00795D84" w:rsidRDefault="00795D84">
      <w:pPr>
        <w:numPr>
          <w:ilvl w:val="0"/>
          <w:numId w:val="32"/>
        </w:numPr>
        <w:rPr>
          <w:rFonts w:ascii="Verdana" w:hAnsi="Verdana"/>
          <w:sz w:val="18"/>
          <w:szCs w:val="18"/>
        </w:rPr>
      </w:pPr>
      <w:r w:rsidRPr="00795D84">
        <w:rPr>
          <w:rFonts w:ascii="Verdana" w:hAnsi="Verdana"/>
          <w:sz w:val="18"/>
          <w:szCs w:val="18"/>
        </w:rPr>
        <w:t>Cuarto trimestre 2025. Impuesto especial sobre los envases de plástico no reutilizables. Presentación contabilidad y libro registro de existencias</w:t>
      </w:r>
    </w:p>
    <w:p w14:paraId="1E2AED5F" w14:textId="77777777" w:rsidR="00795D84" w:rsidRPr="00795D84" w:rsidRDefault="00795D84" w:rsidP="00795D84">
      <w:pPr>
        <w:rPr>
          <w:rFonts w:ascii="Verdana" w:hAnsi="Verdana"/>
          <w:sz w:val="18"/>
          <w:szCs w:val="18"/>
        </w:rPr>
      </w:pPr>
      <w:r w:rsidRPr="00795D84">
        <w:rPr>
          <w:rFonts w:ascii="Verdana" w:hAnsi="Verdana"/>
          <w:b/>
          <w:bCs/>
          <w:sz w:val="18"/>
          <w:szCs w:val="18"/>
        </w:rPr>
        <w:t>Declaración informativa de certificaciones individuales emitidas a los socios o partícipes de entidades de nueva o reciente creación</w:t>
      </w:r>
    </w:p>
    <w:p w14:paraId="6FE120F6" w14:textId="77777777" w:rsidR="00795D84" w:rsidRPr="00795D84" w:rsidRDefault="00795D84">
      <w:pPr>
        <w:numPr>
          <w:ilvl w:val="0"/>
          <w:numId w:val="33"/>
        </w:numPr>
        <w:rPr>
          <w:rFonts w:ascii="Verdana" w:hAnsi="Verdana"/>
          <w:sz w:val="18"/>
          <w:szCs w:val="18"/>
        </w:rPr>
      </w:pPr>
      <w:r w:rsidRPr="00795D84">
        <w:rPr>
          <w:rFonts w:ascii="Verdana" w:hAnsi="Verdana"/>
          <w:sz w:val="18"/>
          <w:szCs w:val="18"/>
        </w:rPr>
        <w:t>Resumen anual 2025: 165</w:t>
      </w:r>
    </w:p>
    <w:p w14:paraId="2ABA7A33" w14:textId="77777777" w:rsidR="00795D84" w:rsidRPr="00795D84" w:rsidRDefault="00795D84" w:rsidP="00795D84">
      <w:pPr>
        <w:rPr>
          <w:rFonts w:ascii="Verdana" w:hAnsi="Verdana"/>
          <w:sz w:val="18"/>
          <w:szCs w:val="18"/>
        </w:rPr>
      </w:pPr>
      <w:r w:rsidRPr="00795D84">
        <w:rPr>
          <w:rFonts w:ascii="Verdana" w:hAnsi="Verdana"/>
          <w:b/>
          <w:bCs/>
          <w:sz w:val="18"/>
          <w:szCs w:val="18"/>
        </w:rPr>
        <w:lastRenderedPageBreak/>
        <w:t>Declaración informativa anual de imposiciones, disposiciones de fondos y de los cobros de cualquier documento</w:t>
      </w:r>
    </w:p>
    <w:p w14:paraId="4EEEC1AE" w14:textId="77777777" w:rsidR="00795D84" w:rsidRPr="00795D84" w:rsidRDefault="00795D84">
      <w:pPr>
        <w:numPr>
          <w:ilvl w:val="0"/>
          <w:numId w:val="34"/>
        </w:numPr>
        <w:rPr>
          <w:rFonts w:ascii="Verdana" w:hAnsi="Verdana"/>
          <w:sz w:val="18"/>
          <w:szCs w:val="18"/>
        </w:rPr>
      </w:pPr>
      <w:r w:rsidRPr="00795D84">
        <w:rPr>
          <w:rFonts w:ascii="Verdana" w:hAnsi="Verdana"/>
          <w:sz w:val="18"/>
          <w:szCs w:val="18"/>
        </w:rPr>
        <w:t>Año 2025: 171</w:t>
      </w:r>
    </w:p>
    <w:p w14:paraId="3889112B" w14:textId="77777777" w:rsidR="00795D84" w:rsidRPr="00795D84" w:rsidRDefault="00795D84" w:rsidP="00795D84">
      <w:pPr>
        <w:rPr>
          <w:rFonts w:ascii="Verdana" w:hAnsi="Verdana"/>
          <w:sz w:val="18"/>
          <w:szCs w:val="18"/>
        </w:rPr>
      </w:pPr>
      <w:r w:rsidRPr="00795D84">
        <w:rPr>
          <w:rFonts w:ascii="Verdana" w:hAnsi="Verdana"/>
          <w:b/>
          <w:bCs/>
          <w:sz w:val="18"/>
          <w:szCs w:val="18"/>
        </w:rPr>
        <w:t>Declaración informativa sobre saldos en monedas virtuales y sobre operaciones con monedas virtuales</w:t>
      </w:r>
    </w:p>
    <w:p w14:paraId="7D647A1B" w14:textId="77777777" w:rsidR="00795D84" w:rsidRPr="00795D84" w:rsidRDefault="00795D84">
      <w:pPr>
        <w:numPr>
          <w:ilvl w:val="0"/>
          <w:numId w:val="35"/>
        </w:numPr>
        <w:rPr>
          <w:rFonts w:ascii="Verdana" w:hAnsi="Verdana"/>
          <w:sz w:val="18"/>
          <w:szCs w:val="18"/>
        </w:rPr>
      </w:pPr>
      <w:r w:rsidRPr="00795D84">
        <w:rPr>
          <w:rFonts w:ascii="Verdana" w:hAnsi="Verdana"/>
          <w:sz w:val="18"/>
          <w:szCs w:val="18"/>
        </w:rPr>
        <w:t>Año 2025: 172, 173</w:t>
      </w:r>
    </w:p>
    <w:p w14:paraId="12AD55B2" w14:textId="77777777" w:rsidR="00795D84" w:rsidRPr="00795D84" w:rsidRDefault="00795D84" w:rsidP="00795D84">
      <w:pPr>
        <w:rPr>
          <w:rFonts w:ascii="Verdana" w:hAnsi="Verdana"/>
          <w:sz w:val="18"/>
          <w:szCs w:val="18"/>
        </w:rPr>
      </w:pPr>
      <w:r w:rsidRPr="00795D84">
        <w:rPr>
          <w:rFonts w:ascii="Verdana" w:hAnsi="Verdana"/>
          <w:b/>
          <w:bCs/>
          <w:sz w:val="18"/>
          <w:szCs w:val="18"/>
        </w:rPr>
        <w:t>Declaración informativa de préstamos y créditos y otras operaciones financieras relacionadas con bienes inmuebles</w:t>
      </w:r>
    </w:p>
    <w:p w14:paraId="1EBD591F" w14:textId="77777777" w:rsidR="00795D84" w:rsidRPr="00795D84" w:rsidRDefault="00795D84">
      <w:pPr>
        <w:numPr>
          <w:ilvl w:val="0"/>
          <w:numId w:val="36"/>
        </w:numPr>
        <w:rPr>
          <w:rFonts w:ascii="Verdana" w:hAnsi="Verdana"/>
          <w:sz w:val="18"/>
          <w:szCs w:val="18"/>
        </w:rPr>
      </w:pPr>
      <w:r w:rsidRPr="00795D84">
        <w:rPr>
          <w:rFonts w:ascii="Verdana" w:hAnsi="Verdana"/>
          <w:sz w:val="18"/>
          <w:szCs w:val="18"/>
        </w:rPr>
        <w:t>Declaración anual 2025: 181</w:t>
      </w:r>
    </w:p>
    <w:p w14:paraId="6110AA5D" w14:textId="77777777" w:rsidR="00795D84" w:rsidRPr="00795D84" w:rsidRDefault="00795D84" w:rsidP="00795D84">
      <w:pPr>
        <w:rPr>
          <w:rFonts w:ascii="Verdana" w:hAnsi="Verdana"/>
          <w:sz w:val="18"/>
          <w:szCs w:val="18"/>
        </w:rPr>
      </w:pPr>
      <w:r w:rsidRPr="00795D84">
        <w:rPr>
          <w:rFonts w:ascii="Verdana" w:hAnsi="Verdana"/>
          <w:b/>
          <w:bCs/>
          <w:sz w:val="18"/>
          <w:szCs w:val="18"/>
        </w:rPr>
        <w:t>Declaración informativa de donativos, donaciones y aportaciones recibidas y disposiciones realizadas</w:t>
      </w:r>
    </w:p>
    <w:p w14:paraId="5764A327" w14:textId="77777777" w:rsidR="00795D84" w:rsidRPr="00795D84" w:rsidRDefault="00795D84">
      <w:pPr>
        <w:numPr>
          <w:ilvl w:val="0"/>
          <w:numId w:val="37"/>
        </w:numPr>
        <w:rPr>
          <w:rFonts w:ascii="Verdana" w:hAnsi="Verdana"/>
          <w:sz w:val="18"/>
          <w:szCs w:val="18"/>
        </w:rPr>
      </w:pPr>
      <w:r w:rsidRPr="00795D84">
        <w:rPr>
          <w:rFonts w:ascii="Verdana" w:hAnsi="Verdana"/>
          <w:sz w:val="18"/>
          <w:szCs w:val="18"/>
        </w:rPr>
        <w:t>Declaración anual 2025: 182</w:t>
      </w:r>
    </w:p>
    <w:p w14:paraId="4AD3E230" w14:textId="77777777" w:rsidR="00795D84" w:rsidRPr="00795D84" w:rsidRDefault="00795D84" w:rsidP="00795D84">
      <w:pPr>
        <w:rPr>
          <w:rFonts w:ascii="Verdana" w:hAnsi="Verdana"/>
          <w:sz w:val="18"/>
          <w:szCs w:val="18"/>
        </w:rPr>
      </w:pPr>
      <w:r w:rsidRPr="00795D84">
        <w:rPr>
          <w:rFonts w:ascii="Verdana" w:hAnsi="Verdana"/>
          <w:b/>
          <w:bCs/>
          <w:sz w:val="18"/>
          <w:szCs w:val="18"/>
        </w:rPr>
        <w:t>Declaración informativa de entidades en régimen de atribución de rentas</w:t>
      </w:r>
    </w:p>
    <w:p w14:paraId="3D992F2B" w14:textId="77777777" w:rsidR="00795D84" w:rsidRPr="00795D84" w:rsidRDefault="00795D84">
      <w:pPr>
        <w:numPr>
          <w:ilvl w:val="0"/>
          <w:numId w:val="38"/>
        </w:numPr>
        <w:rPr>
          <w:rFonts w:ascii="Verdana" w:hAnsi="Verdana"/>
          <w:sz w:val="18"/>
          <w:szCs w:val="18"/>
        </w:rPr>
      </w:pPr>
      <w:r w:rsidRPr="00795D84">
        <w:rPr>
          <w:rFonts w:ascii="Verdana" w:hAnsi="Verdana"/>
          <w:sz w:val="18"/>
          <w:szCs w:val="18"/>
        </w:rPr>
        <w:t>Año 2025: 184</w:t>
      </w:r>
    </w:p>
    <w:p w14:paraId="38B35565" w14:textId="77777777" w:rsidR="00795D84" w:rsidRPr="00795D84" w:rsidRDefault="00795D84" w:rsidP="00795D84">
      <w:pPr>
        <w:rPr>
          <w:rFonts w:ascii="Verdana" w:hAnsi="Verdana"/>
          <w:sz w:val="18"/>
          <w:szCs w:val="18"/>
        </w:rPr>
      </w:pPr>
      <w:r w:rsidRPr="00795D84">
        <w:rPr>
          <w:rFonts w:ascii="Verdana" w:hAnsi="Verdana"/>
          <w:b/>
          <w:bCs/>
          <w:sz w:val="18"/>
          <w:szCs w:val="18"/>
        </w:rPr>
        <w:t>Declaración informativa de adquisiciones y enajenaciones de acciones y participaciones en Instituciones de Inversión Colectiva</w:t>
      </w:r>
    </w:p>
    <w:p w14:paraId="52DFD630" w14:textId="77777777" w:rsidR="00795D84" w:rsidRPr="00795D84" w:rsidRDefault="00795D84">
      <w:pPr>
        <w:numPr>
          <w:ilvl w:val="0"/>
          <w:numId w:val="39"/>
        </w:numPr>
        <w:rPr>
          <w:rFonts w:ascii="Verdana" w:hAnsi="Verdana"/>
          <w:sz w:val="18"/>
          <w:szCs w:val="18"/>
        </w:rPr>
      </w:pPr>
      <w:r w:rsidRPr="00795D84">
        <w:rPr>
          <w:rFonts w:ascii="Verdana" w:hAnsi="Verdana"/>
          <w:sz w:val="18"/>
          <w:szCs w:val="18"/>
        </w:rPr>
        <w:t>Declaración anual 2025: 187</w:t>
      </w:r>
    </w:p>
    <w:p w14:paraId="7028C8C0" w14:textId="77777777" w:rsidR="00795D84" w:rsidRPr="00795D84" w:rsidRDefault="00795D84" w:rsidP="00795D84">
      <w:pPr>
        <w:rPr>
          <w:rFonts w:ascii="Verdana" w:hAnsi="Verdana"/>
          <w:sz w:val="18"/>
          <w:szCs w:val="18"/>
        </w:rPr>
      </w:pPr>
      <w:r w:rsidRPr="00795D84">
        <w:rPr>
          <w:rFonts w:ascii="Verdana" w:hAnsi="Verdana"/>
          <w:b/>
          <w:bCs/>
          <w:sz w:val="18"/>
          <w:szCs w:val="18"/>
        </w:rPr>
        <w:t>Declaración informativa por gastos en guarderías o centros de educación infantil autorizados</w:t>
      </w:r>
    </w:p>
    <w:p w14:paraId="67AA5B5E" w14:textId="77777777" w:rsidR="00795D84" w:rsidRPr="00795D84" w:rsidRDefault="00795D84">
      <w:pPr>
        <w:numPr>
          <w:ilvl w:val="0"/>
          <w:numId w:val="40"/>
        </w:numPr>
        <w:rPr>
          <w:rFonts w:ascii="Verdana" w:hAnsi="Verdana"/>
          <w:sz w:val="18"/>
          <w:szCs w:val="18"/>
        </w:rPr>
      </w:pPr>
      <w:r w:rsidRPr="00795D84">
        <w:rPr>
          <w:rFonts w:ascii="Verdana" w:hAnsi="Verdana"/>
          <w:sz w:val="18"/>
          <w:szCs w:val="18"/>
        </w:rPr>
        <w:t>Declaración anual 2025: 233</w:t>
      </w:r>
    </w:p>
    <w:p w14:paraId="0D801B77" w14:textId="77777777" w:rsidR="00795D84" w:rsidRPr="00795D84" w:rsidRDefault="00795D84" w:rsidP="00795D84">
      <w:pPr>
        <w:rPr>
          <w:rFonts w:ascii="Verdana" w:hAnsi="Verdana"/>
          <w:sz w:val="18"/>
          <w:szCs w:val="18"/>
        </w:rPr>
      </w:pPr>
      <w:r w:rsidRPr="00795D84">
        <w:rPr>
          <w:rFonts w:ascii="Verdana" w:hAnsi="Verdana"/>
          <w:b/>
          <w:bCs/>
          <w:sz w:val="18"/>
          <w:szCs w:val="18"/>
        </w:rPr>
        <w:t>Declaración informativa de actualización de determinados mecanismos transfronterizos comercializables</w:t>
      </w:r>
    </w:p>
    <w:p w14:paraId="06AA5071" w14:textId="77777777" w:rsidR="00795D84" w:rsidRPr="00795D84" w:rsidRDefault="00795D84">
      <w:pPr>
        <w:numPr>
          <w:ilvl w:val="0"/>
          <w:numId w:val="41"/>
        </w:numPr>
        <w:rPr>
          <w:rFonts w:ascii="Verdana" w:hAnsi="Verdana"/>
          <w:sz w:val="18"/>
          <w:szCs w:val="18"/>
        </w:rPr>
      </w:pPr>
      <w:r w:rsidRPr="00795D84">
        <w:rPr>
          <w:rFonts w:ascii="Verdana" w:hAnsi="Verdana"/>
          <w:sz w:val="18"/>
          <w:szCs w:val="18"/>
        </w:rPr>
        <w:t>Cuarto trimestre 2025: 235</w:t>
      </w:r>
    </w:p>
    <w:p w14:paraId="4EDCB8F8" w14:textId="77777777" w:rsidR="00795D84" w:rsidRPr="00795D84" w:rsidRDefault="00795D84" w:rsidP="00795D84">
      <w:pPr>
        <w:rPr>
          <w:rFonts w:ascii="Verdana" w:hAnsi="Verdana"/>
          <w:sz w:val="18"/>
          <w:szCs w:val="18"/>
        </w:rPr>
      </w:pPr>
      <w:r w:rsidRPr="00795D84">
        <w:rPr>
          <w:rFonts w:ascii="Verdana" w:hAnsi="Verdana"/>
          <w:b/>
          <w:bCs/>
          <w:sz w:val="18"/>
          <w:szCs w:val="18"/>
        </w:rPr>
        <w:t>Declaración informativa para la comunicación de información por parte de operadores de plataformas</w:t>
      </w:r>
    </w:p>
    <w:p w14:paraId="04B0EB99" w14:textId="77777777" w:rsidR="00795D84" w:rsidRPr="00795D84" w:rsidRDefault="00795D84">
      <w:pPr>
        <w:numPr>
          <w:ilvl w:val="0"/>
          <w:numId w:val="42"/>
        </w:numPr>
        <w:rPr>
          <w:rFonts w:ascii="Verdana" w:hAnsi="Verdana"/>
          <w:sz w:val="18"/>
          <w:szCs w:val="18"/>
        </w:rPr>
      </w:pPr>
      <w:r w:rsidRPr="00795D84">
        <w:rPr>
          <w:rFonts w:ascii="Verdana" w:hAnsi="Verdana"/>
          <w:sz w:val="18"/>
          <w:szCs w:val="18"/>
        </w:rPr>
        <w:t>Año 2025: 238</w:t>
      </w:r>
    </w:p>
    <w:p w14:paraId="124AF678" w14:textId="77777777" w:rsidR="00795D84" w:rsidRPr="00795D84" w:rsidRDefault="00795D84" w:rsidP="00795D84">
      <w:pPr>
        <w:rPr>
          <w:rFonts w:ascii="Verdana" w:hAnsi="Verdana"/>
          <w:sz w:val="18"/>
          <w:szCs w:val="18"/>
        </w:rPr>
      </w:pPr>
      <w:r w:rsidRPr="00795D84">
        <w:rPr>
          <w:rFonts w:ascii="Verdana" w:hAnsi="Verdana"/>
          <w:b/>
          <w:bCs/>
          <w:sz w:val="18"/>
          <w:szCs w:val="18"/>
        </w:rPr>
        <w:t>Declaración informativa trimestral de operaciones de comercio de bienes corporales realizadas en la zona especial canaria sin que las mercancías transiten por territorio canario</w:t>
      </w:r>
    </w:p>
    <w:p w14:paraId="60DE21AC" w14:textId="77777777" w:rsidR="00795D84" w:rsidRPr="00795D84" w:rsidRDefault="00795D84">
      <w:pPr>
        <w:numPr>
          <w:ilvl w:val="0"/>
          <w:numId w:val="43"/>
        </w:numPr>
        <w:rPr>
          <w:rFonts w:ascii="Verdana" w:hAnsi="Verdana"/>
          <w:sz w:val="18"/>
          <w:szCs w:val="18"/>
        </w:rPr>
      </w:pPr>
      <w:r w:rsidRPr="00795D84">
        <w:rPr>
          <w:rFonts w:ascii="Verdana" w:hAnsi="Verdana"/>
          <w:sz w:val="18"/>
          <w:szCs w:val="18"/>
        </w:rPr>
        <w:t>Cuarto trimestre 2025: 281</w:t>
      </w:r>
    </w:p>
    <w:p w14:paraId="44BEB9A5" w14:textId="77777777" w:rsidR="00795D84" w:rsidRPr="00795D84" w:rsidRDefault="00795D84" w:rsidP="00795D84">
      <w:pPr>
        <w:rPr>
          <w:rFonts w:ascii="Verdana" w:hAnsi="Verdana"/>
          <w:sz w:val="18"/>
          <w:szCs w:val="18"/>
        </w:rPr>
      </w:pPr>
      <w:r w:rsidRPr="00795D84">
        <w:rPr>
          <w:rFonts w:ascii="Verdana" w:hAnsi="Verdana"/>
          <w:b/>
          <w:bCs/>
          <w:sz w:val="18"/>
          <w:szCs w:val="18"/>
        </w:rPr>
        <w:t>Declaración informativa de cuentas de no residentes</w:t>
      </w:r>
    </w:p>
    <w:p w14:paraId="63E4D9F0" w14:textId="77777777" w:rsidR="00795D84" w:rsidRPr="00795D84" w:rsidRDefault="00795D84">
      <w:pPr>
        <w:numPr>
          <w:ilvl w:val="0"/>
          <w:numId w:val="44"/>
        </w:numPr>
        <w:rPr>
          <w:rFonts w:ascii="Verdana" w:hAnsi="Verdana"/>
          <w:sz w:val="18"/>
          <w:szCs w:val="18"/>
        </w:rPr>
      </w:pPr>
      <w:r w:rsidRPr="00795D84">
        <w:rPr>
          <w:rFonts w:ascii="Verdana" w:hAnsi="Verdana"/>
          <w:sz w:val="18"/>
          <w:szCs w:val="18"/>
        </w:rPr>
        <w:t>Año 2025: 291</w:t>
      </w:r>
    </w:p>
    <w:p w14:paraId="5D89B4B6" w14:textId="77777777" w:rsidR="00795D84" w:rsidRPr="00795D84" w:rsidRDefault="00795D84" w:rsidP="00795D84">
      <w:pPr>
        <w:rPr>
          <w:rFonts w:ascii="Verdana" w:hAnsi="Verdana"/>
          <w:sz w:val="18"/>
          <w:szCs w:val="18"/>
        </w:rPr>
      </w:pPr>
      <w:r w:rsidRPr="00795D84">
        <w:rPr>
          <w:rFonts w:ascii="Verdana" w:hAnsi="Verdana"/>
          <w:b/>
          <w:bCs/>
          <w:sz w:val="18"/>
          <w:szCs w:val="18"/>
        </w:rPr>
        <w:t>Planes, fondos de pensiones, sistemas alternativos, mutualidades de previsión social, planes de previsión asegurados, planes individuales de ahorro sistemático, planes de previsión social empresarial y Seguros de dependencia</w:t>
      </w:r>
    </w:p>
    <w:p w14:paraId="06E692DF" w14:textId="77777777" w:rsidR="00795D84" w:rsidRPr="00795D84" w:rsidRDefault="00795D84">
      <w:pPr>
        <w:numPr>
          <w:ilvl w:val="0"/>
          <w:numId w:val="45"/>
        </w:numPr>
        <w:rPr>
          <w:rFonts w:ascii="Verdana" w:hAnsi="Verdana"/>
          <w:sz w:val="18"/>
          <w:szCs w:val="18"/>
        </w:rPr>
      </w:pPr>
      <w:r w:rsidRPr="00795D84">
        <w:rPr>
          <w:rFonts w:ascii="Verdana" w:hAnsi="Verdana"/>
          <w:sz w:val="18"/>
          <w:szCs w:val="18"/>
        </w:rPr>
        <w:t>Declaración anual 2025: 345</w:t>
      </w:r>
    </w:p>
    <w:p w14:paraId="569D25F0" w14:textId="77777777" w:rsidR="00795D84" w:rsidRPr="00795D84" w:rsidRDefault="00795D84" w:rsidP="00795D84">
      <w:pPr>
        <w:rPr>
          <w:rFonts w:ascii="Verdana" w:hAnsi="Verdana"/>
          <w:sz w:val="18"/>
          <w:szCs w:val="18"/>
        </w:rPr>
      </w:pPr>
      <w:r w:rsidRPr="00795D84">
        <w:rPr>
          <w:rFonts w:ascii="Verdana" w:hAnsi="Verdana"/>
          <w:b/>
          <w:bCs/>
          <w:sz w:val="18"/>
          <w:szCs w:val="18"/>
        </w:rPr>
        <w:t>Declaración informativa sobre pagos transfronterizos</w:t>
      </w:r>
    </w:p>
    <w:p w14:paraId="65C5597A" w14:textId="77777777" w:rsidR="00795D84" w:rsidRPr="00795D84" w:rsidRDefault="00795D84">
      <w:pPr>
        <w:numPr>
          <w:ilvl w:val="0"/>
          <w:numId w:val="46"/>
        </w:numPr>
        <w:rPr>
          <w:rFonts w:ascii="Verdana" w:hAnsi="Verdana"/>
          <w:sz w:val="18"/>
          <w:szCs w:val="18"/>
        </w:rPr>
      </w:pPr>
      <w:r w:rsidRPr="00795D84">
        <w:rPr>
          <w:rFonts w:ascii="Verdana" w:hAnsi="Verdana"/>
          <w:sz w:val="18"/>
          <w:szCs w:val="18"/>
        </w:rPr>
        <w:t>Cuarto trimestre 2025: 379</w:t>
      </w:r>
    </w:p>
    <w:p w14:paraId="5D16BE78" w14:textId="77777777" w:rsidR="00795D84" w:rsidRPr="00795D84" w:rsidRDefault="00795D84" w:rsidP="00795D84">
      <w:pPr>
        <w:rPr>
          <w:rFonts w:ascii="Verdana" w:hAnsi="Verdana"/>
          <w:sz w:val="16"/>
          <w:szCs w:val="16"/>
        </w:rPr>
      </w:pPr>
    </w:p>
    <w:p w14:paraId="6500E68B" w14:textId="77777777" w:rsidR="00795D84" w:rsidRPr="00795D84" w:rsidRDefault="00795D84" w:rsidP="00795D84">
      <w:pPr>
        <w:rPr>
          <w:rFonts w:ascii="Verdana" w:hAnsi="Verdana"/>
          <w:sz w:val="16"/>
          <w:szCs w:val="16"/>
        </w:rPr>
      </w:pPr>
    </w:p>
    <w:p w14:paraId="6460AA51" w14:textId="77777777" w:rsidR="00384826" w:rsidRDefault="00384826">
      <w:pPr>
        <w:rPr>
          <w:rFonts w:ascii="Verdana" w:hAnsi="Verdana"/>
          <w:b/>
          <w:bCs/>
          <w:color w:val="800000"/>
          <w:sz w:val="16"/>
          <w:szCs w:val="16"/>
        </w:rPr>
      </w:pPr>
    </w:p>
    <w:p w14:paraId="715E5739" w14:textId="77777777" w:rsidR="00553347" w:rsidRDefault="00553347" w:rsidP="00553347">
      <w:pPr>
        <w:jc w:val="both"/>
        <w:rPr>
          <w:rFonts w:ascii="Verdana" w:hAnsi="Verdana"/>
          <w:color w:val="000000"/>
          <w:sz w:val="16"/>
          <w:szCs w:val="16"/>
        </w:rPr>
      </w:pPr>
    </w:p>
    <w:sectPr w:rsidR="00553347" w:rsidSect="008C186F">
      <w:headerReference w:type="default" r:id="rId8"/>
      <w:type w:val="continuous"/>
      <w:pgSz w:w="11906" w:h="16838" w:code="9"/>
      <w:pgMar w:top="1418" w:right="1701" w:bottom="1276" w:left="1701" w:header="709" w:footer="620"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BBAAE" w14:textId="77777777" w:rsidR="001F482F" w:rsidRDefault="001F482F">
      <w:r>
        <w:separator/>
      </w:r>
    </w:p>
  </w:endnote>
  <w:endnote w:type="continuationSeparator" w:id="0">
    <w:p w14:paraId="5DB5D085" w14:textId="77777777" w:rsidR="001F482F" w:rsidRDefault="001F48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D3B975" w14:textId="77777777" w:rsidR="001F482F" w:rsidRDefault="001F482F">
      <w:r>
        <w:separator/>
      </w:r>
    </w:p>
  </w:footnote>
  <w:footnote w:type="continuationSeparator" w:id="0">
    <w:p w14:paraId="10377C16" w14:textId="77777777" w:rsidR="001F482F" w:rsidRDefault="001F48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88FB9" w14:textId="77777777" w:rsidR="003A55DA" w:rsidRDefault="003A55D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CD0270D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7BD881A2"/>
    <w:lvl w:ilvl="0">
      <w:start w:val="1"/>
      <w:numFmt w:val="bullet"/>
      <w:pStyle w:val="Listaconvietas"/>
      <w:lvlText w:val=""/>
      <w:lvlJc w:val="left"/>
      <w:pPr>
        <w:tabs>
          <w:tab w:val="num" w:pos="360"/>
        </w:tabs>
        <w:ind w:left="360" w:hanging="360"/>
      </w:pPr>
      <w:rPr>
        <w:rFonts w:ascii="Symbol" w:hAnsi="Symbol" w:hint="default"/>
      </w:rPr>
    </w:lvl>
  </w:abstractNum>
  <w:abstractNum w:abstractNumId="2" w15:restartNumberingAfterBreak="0">
    <w:nsid w:val="00172228"/>
    <w:multiLevelType w:val="multilevel"/>
    <w:tmpl w:val="FE34D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21429A"/>
    <w:multiLevelType w:val="multilevel"/>
    <w:tmpl w:val="AACE2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302DC1"/>
    <w:multiLevelType w:val="multilevel"/>
    <w:tmpl w:val="11621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0C02BA"/>
    <w:multiLevelType w:val="multilevel"/>
    <w:tmpl w:val="A140B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9714EB"/>
    <w:multiLevelType w:val="multilevel"/>
    <w:tmpl w:val="7F289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C43C4C"/>
    <w:multiLevelType w:val="multilevel"/>
    <w:tmpl w:val="BBDA4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E4020E"/>
    <w:multiLevelType w:val="multilevel"/>
    <w:tmpl w:val="E55C930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71A7F36"/>
    <w:multiLevelType w:val="multilevel"/>
    <w:tmpl w:val="315E6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7638D4"/>
    <w:multiLevelType w:val="multilevel"/>
    <w:tmpl w:val="BE789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A0616A5"/>
    <w:multiLevelType w:val="multilevel"/>
    <w:tmpl w:val="C1429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A724949"/>
    <w:multiLevelType w:val="multilevel"/>
    <w:tmpl w:val="7362D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B914317"/>
    <w:multiLevelType w:val="multilevel"/>
    <w:tmpl w:val="FF724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EA01171"/>
    <w:multiLevelType w:val="multilevel"/>
    <w:tmpl w:val="882C77B4"/>
    <w:lvl w:ilvl="0">
      <w:start w:val="1"/>
      <w:numFmt w:val="decimal"/>
      <w:lvlText w:val="%1."/>
      <w:lvlJc w:val="left"/>
      <w:pPr>
        <w:tabs>
          <w:tab w:val="num" w:pos="821"/>
        </w:tabs>
        <w:ind w:left="821"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376251D"/>
    <w:multiLevelType w:val="multilevel"/>
    <w:tmpl w:val="008C3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6B80AF1"/>
    <w:multiLevelType w:val="hybridMultilevel"/>
    <w:tmpl w:val="ED4AE3DE"/>
    <w:lvl w:ilvl="0" w:tplc="0C0A000F">
      <w:start w:val="1"/>
      <w:numFmt w:val="decimal"/>
      <w:lvlText w:val="%1."/>
      <w:lvlJc w:val="left"/>
      <w:pPr>
        <w:ind w:left="720" w:hanging="360"/>
      </w:pPr>
      <w:rPr>
        <w:rFonts w:hint="default"/>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285337A8"/>
    <w:multiLevelType w:val="multilevel"/>
    <w:tmpl w:val="DCD2F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ABC3994"/>
    <w:multiLevelType w:val="multilevel"/>
    <w:tmpl w:val="319233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6BC75BF"/>
    <w:multiLevelType w:val="hybridMultilevel"/>
    <w:tmpl w:val="FB8601FC"/>
    <w:lvl w:ilvl="0" w:tplc="0C0A0001">
      <w:start w:val="1"/>
      <w:numFmt w:val="bullet"/>
      <w:lvlText w:val=""/>
      <w:lvlJc w:val="left"/>
      <w:pPr>
        <w:ind w:left="1179" w:hanging="360"/>
      </w:pPr>
      <w:rPr>
        <w:rFonts w:ascii="Symbol" w:hAnsi="Symbol" w:hint="default"/>
      </w:rPr>
    </w:lvl>
    <w:lvl w:ilvl="1" w:tplc="0C0A0003" w:tentative="1">
      <w:start w:val="1"/>
      <w:numFmt w:val="bullet"/>
      <w:lvlText w:val="o"/>
      <w:lvlJc w:val="left"/>
      <w:pPr>
        <w:ind w:left="1899" w:hanging="360"/>
      </w:pPr>
      <w:rPr>
        <w:rFonts w:ascii="Courier New" w:hAnsi="Courier New" w:cs="Courier New" w:hint="default"/>
      </w:rPr>
    </w:lvl>
    <w:lvl w:ilvl="2" w:tplc="0C0A0005" w:tentative="1">
      <w:start w:val="1"/>
      <w:numFmt w:val="bullet"/>
      <w:lvlText w:val=""/>
      <w:lvlJc w:val="left"/>
      <w:pPr>
        <w:ind w:left="2619" w:hanging="360"/>
      </w:pPr>
      <w:rPr>
        <w:rFonts w:ascii="Wingdings" w:hAnsi="Wingdings" w:hint="default"/>
      </w:rPr>
    </w:lvl>
    <w:lvl w:ilvl="3" w:tplc="0C0A0001" w:tentative="1">
      <w:start w:val="1"/>
      <w:numFmt w:val="bullet"/>
      <w:lvlText w:val=""/>
      <w:lvlJc w:val="left"/>
      <w:pPr>
        <w:ind w:left="3339" w:hanging="360"/>
      </w:pPr>
      <w:rPr>
        <w:rFonts w:ascii="Symbol" w:hAnsi="Symbol" w:hint="default"/>
      </w:rPr>
    </w:lvl>
    <w:lvl w:ilvl="4" w:tplc="0C0A0003" w:tentative="1">
      <w:start w:val="1"/>
      <w:numFmt w:val="bullet"/>
      <w:lvlText w:val="o"/>
      <w:lvlJc w:val="left"/>
      <w:pPr>
        <w:ind w:left="4059" w:hanging="360"/>
      </w:pPr>
      <w:rPr>
        <w:rFonts w:ascii="Courier New" w:hAnsi="Courier New" w:cs="Courier New" w:hint="default"/>
      </w:rPr>
    </w:lvl>
    <w:lvl w:ilvl="5" w:tplc="0C0A0005" w:tentative="1">
      <w:start w:val="1"/>
      <w:numFmt w:val="bullet"/>
      <w:lvlText w:val=""/>
      <w:lvlJc w:val="left"/>
      <w:pPr>
        <w:ind w:left="4779" w:hanging="360"/>
      </w:pPr>
      <w:rPr>
        <w:rFonts w:ascii="Wingdings" w:hAnsi="Wingdings" w:hint="default"/>
      </w:rPr>
    </w:lvl>
    <w:lvl w:ilvl="6" w:tplc="0C0A0001" w:tentative="1">
      <w:start w:val="1"/>
      <w:numFmt w:val="bullet"/>
      <w:lvlText w:val=""/>
      <w:lvlJc w:val="left"/>
      <w:pPr>
        <w:ind w:left="5499" w:hanging="360"/>
      </w:pPr>
      <w:rPr>
        <w:rFonts w:ascii="Symbol" w:hAnsi="Symbol" w:hint="default"/>
      </w:rPr>
    </w:lvl>
    <w:lvl w:ilvl="7" w:tplc="0C0A0003" w:tentative="1">
      <w:start w:val="1"/>
      <w:numFmt w:val="bullet"/>
      <w:lvlText w:val="o"/>
      <w:lvlJc w:val="left"/>
      <w:pPr>
        <w:ind w:left="6219" w:hanging="360"/>
      </w:pPr>
      <w:rPr>
        <w:rFonts w:ascii="Courier New" w:hAnsi="Courier New" w:cs="Courier New" w:hint="default"/>
      </w:rPr>
    </w:lvl>
    <w:lvl w:ilvl="8" w:tplc="0C0A0005" w:tentative="1">
      <w:start w:val="1"/>
      <w:numFmt w:val="bullet"/>
      <w:lvlText w:val=""/>
      <w:lvlJc w:val="left"/>
      <w:pPr>
        <w:ind w:left="6939" w:hanging="360"/>
      </w:pPr>
      <w:rPr>
        <w:rFonts w:ascii="Wingdings" w:hAnsi="Wingdings" w:hint="default"/>
      </w:rPr>
    </w:lvl>
  </w:abstractNum>
  <w:abstractNum w:abstractNumId="20" w15:restartNumberingAfterBreak="0">
    <w:nsid w:val="378E7CAB"/>
    <w:multiLevelType w:val="multilevel"/>
    <w:tmpl w:val="E2160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85F5F29"/>
    <w:multiLevelType w:val="multilevel"/>
    <w:tmpl w:val="E2A42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88E57B4"/>
    <w:multiLevelType w:val="multilevel"/>
    <w:tmpl w:val="C78E3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A8F338A"/>
    <w:multiLevelType w:val="multilevel"/>
    <w:tmpl w:val="07E06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B2E0EB5"/>
    <w:multiLevelType w:val="multilevel"/>
    <w:tmpl w:val="C04CC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6BA0180"/>
    <w:multiLevelType w:val="multilevel"/>
    <w:tmpl w:val="74F45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6EE5816"/>
    <w:multiLevelType w:val="multilevel"/>
    <w:tmpl w:val="3A7C0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8791217"/>
    <w:multiLevelType w:val="hybridMultilevel"/>
    <w:tmpl w:val="9B408DDE"/>
    <w:lvl w:ilvl="0" w:tplc="0C0A000F">
      <w:start w:val="1"/>
      <w:numFmt w:val="decimal"/>
      <w:lvlText w:val="%1."/>
      <w:lvlJc w:val="left"/>
      <w:pPr>
        <w:tabs>
          <w:tab w:val="num" w:pos="360"/>
        </w:tabs>
        <w:ind w:left="360" w:hanging="360"/>
      </w:pPr>
      <w:rPr>
        <w:rFonts w:hint="default"/>
      </w:rPr>
    </w:lvl>
    <w:lvl w:ilvl="1" w:tplc="0B563452">
      <w:start w:val="1"/>
      <w:numFmt w:val="decimal"/>
      <w:lvlText w:val="%2."/>
      <w:lvlJc w:val="left"/>
      <w:pPr>
        <w:tabs>
          <w:tab w:val="num" w:pos="994"/>
        </w:tabs>
        <w:ind w:left="994" w:hanging="360"/>
      </w:pPr>
      <w:rPr>
        <w:rFonts w:hint="default"/>
      </w:r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8" w15:restartNumberingAfterBreak="0">
    <w:nsid w:val="49811DA8"/>
    <w:multiLevelType w:val="multilevel"/>
    <w:tmpl w:val="D384F8C6"/>
    <w:lvl w:ilvl="0">
      <w:start w:val="9"/>
      <w:numFmt w:val="decimal"/>
      <w:lvlText w:val="%1."/>
      <w:lvlJc w:val="left"/>
      <w:pPr>
        <w:tabs>
          <w:tab w:val="num" w:pos="821"/>
        </w:tabs>
        <w:ind w:left="821"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9" w15:restartNumberingAfterBreak="0">
    <w:nsid w:val="498E17B2"/>
    <w:multiLevelType w:val="multilevel"/>
    <w:tmpl w:val="662E5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A4B5680"/>
    <w:multiLevelType w:val="multilevel"/>
    <w:tmpl w:val="48404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A8A4406"/>
    <w:multiLevelType w:val="multilevel"/>
    <w:tmpl w:val="AA8C3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B4E3262"/>
    <w:multiLevelType w:val="multilevel"/>
    <w:tmpl w:val="37B6B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0076808"/>
    <w:multiLevelType w:val="multilevel"/>
    <w:tmpl w:val="9B2A31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0D96698"/>
    <w:multiLevelType w:val="multilevel"/>
    <w:tmpl w:val="61DEF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1195FC5"/>
    <w:multiLevelType w:val="multilevel"/>
    <w:tmpl w:val="A2845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1707FFE"/>
    <w:multiLevelType w:val="multilevel"/>
    <w:tmpl w:val="0952E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9F26255"/>
    <w:multiLevelType w:val="multilevel"/>
    <w:tmpl w:val="40186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A4C4EAD"/>
    <w:multiLevelType w:val="multilevel"/>
    <w:tmpl w:val="01AC6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BA51E51"/>
    <w:multiLevelType w:val="multilevel"/>
    <w:tmpl w:val="7C36A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D305383"/>
    <w:multiLevelType w:val="multilevel"/>
    <w:tmpl w:val="20A49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2732E9C"/>
    <w:multiLevelType w:val="multilevel"/>
    <w:tmpl w:val="C4C2B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445734A"/>
    <w:multiLevelType w:val="multilevel"/>
    <w:tmpl w:val="76A86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5634CB3"/>
    <w:multiLevelType w:val="multilevel"/>
    <w:tmpl w:val="71B82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76C5C55"/>
    <w:multiLevelType w:val="multilevel"/>
    <w:tmpl w:val="0590A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7950D58"/>
    <w:multiLevelType w:val="multilevel"/>
    <w:tmpl w:val="231A0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8CA47F4"/>
    <w:multiLevelType w:val="multilevel"/>
    <w:tmpl w:val="5F6C3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B6C545B"/>
    <w:multiLevelType w:val="multilevel"/>
    <w:tmpl w:val="CA546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BCA7D0E"/>
    <w:multiLevelType w:val="multilevel"/>
    <w:tmpl w:val="933E4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E502FFD"/>
    <w:multiLevelType w:val="multilevel"/>
    <w:tmpl w:val="78B654E8"/>
    <w:lvl w:ilvl="0">
      <w:start w:val="2"/>
      <w:numFmt w:val="decimal"/>
      <w:lvlText w:val="%1."/>
      <w:lvlJc w:val="left"/>
      <w:pPr>
        <w:tabs>
          <w:tab w:val="num" w:pos="821"/>
        </w:tabs>
        <w:ind w:left="821"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0" w15:restartNumberingAfterBreak="0">
    <w:nsid w:val="6ECD79C6"/>
    <w:multiLevelType w:val="multilevel"/>
    <w:tmpl w:val="D1D445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2CC54E3"/>
    <w:multiLevelType w:val="multilevel"/>
    <w:tmpl w:val="8B167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5B03756"/>
    <w:multiLevelType w:val="multilevel"/>
    <w:tmpl w:val="59D48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F3E5268"/>
    <w:multiLevelType w:val="hybridMultilevel"/>
    <w:tmpl w:val="8F366D94"/>
    <w:lvl w:ilvl="0" w:tplc="0C0A000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91132080">
    <w:abstractNumId w:val="1"/>
  </w:num>
  <w:num w:numId="2" w16cid:durableId="2085293149">
    <w:abstractNumId w:val="0"/>
  </w:num>
  <w:num w:numId="3" w16cid:durableId="1551186622">
    <w:abstractNumId w:val="27"/>
  </w:num>
  <w:num w:numId="4" w16cid:durableId="1785228178">
    <w:abstractNumId w:val="16"/>
  </w:num>
  <w:num w:numId="5" w16cid:durableId="1120225659">
    <w:abstractNumId w:val="18"/>
  </w:num>
  <w:num w:numId="6" w16cid:durableId="1809205499">
    <w:abstractNumId w:val="4"/>
  </w:num>
  <w:num w:numId="7" w16cid:durableId="1625384334">
    <w:abstractNumId w:val="8"/>
  </w:num>
  <w:num w:numId="8" w16cid:durableId="673266195">
    <w:abstractNumId w:val="25"/>
  </w:num>
  <w:num w:numId="9" w16cid:durableId="734426193">
    <w:abstractNumId w:val="11"/>
  </w:num>
  <w:num w:numId="10" w16cid:durableId="1249384015">
    <w:abstractNumId w:val="14"/>
  </w:num>
  <w:num w:numId="11" w16cid:durableId="1832524679">
    <w:abstractNumId w:val="28"/>
  </w:num>
  <w:num w:numId="12" w16cid:durableId="466508112">
    <w:abstractNumId w:val="38"/>
  </w:num>
  <w:num w:numId="13" w16cid:durableId="1756439230">
    <w:abstractNumId w:val="47"/>
  </w:num>
  <w:num w:numId="14" w16cid:durableId="484249857">
    <w:abstractNumId w:val="20"/>
  </w:num>
  <w:num w:numId="15" w16cid:durableId="334304721">
    <w:abstractNumId w:val="2"/>
  </w:num>
  <w:num w:numId="16" w16cid:durableId="2059474633">
    <w:abstractNumId w:val="23"/>
  </w:num>
  <w:num w:numId="17" w16cid:durableId="222063435">
    <w:abstractNumId w:val="40"/>
  </w:num>
  <w:num w:numId="18" w16cid:durableId="2071221352">
    <w:abstractNumId w:val="52"/>
  </w:num>
  <w:num w:numId="19" w16cid:durableId="983005789">
    <w:abstractNumId w:val="50"/>
  </w:num>
  <w:num w:numId="20" w16cid:durableId="504976161">
    <w:abstractNumId w:val="5"/>
  </w:num>
  <w:num w:numId="21" w16cid:durableId="283267079">
    <w:abstractNumId w:val="34"/>
  </w:num>
  <w:num w:numId="22" w16cid:durableId="645624161">
    <w:abstractNumId w:val="33"/>
  </w:num>
  <w:num w:numId="23" w16cid:durableId="1846437938">
    <w:abstractNumId w:val="44"/>
  </w:num>
  <w:num w:numId="24" w16cid:durableId="1841383326">
    <w:abstractNumId w:val="3"/>
  </w:num>
  <w:num w:numId="25" w16cid:durableId="2115856080">
    <w:abstractNumId w:val="36"/>
  </w:num>
  <w:num w:numId="26" w16cid:durableId="1745058211">
    <w:abstractNumId w:val="13"/>
  </w:num>
  <w:num w:numId="27" w16cid:durableId="1838379103">
    <w:abstractNumId w:val="24"/>
  </w:num>
  <w:num w:numId="28" w16cid:durableId="1564410718">
    <w:abstractNumId w:val="26"/>
  </w:num>
  <w:num w:numId="29" w16cid:durableId="1468401120">
    <w:abstractNumId w:val="32"/>
  </w:num>
  <w:num w:numId="30" w16cid:durableId="419178989">
    <w:abstractNumId w:val="12"/>
  </w:num>
  <w:num w:numId="31" w16cid:durableId="2117603311">
    <w:abstractNumId w:val="10"/>
  </w:num>
  <w:num w:numId="32" w16cid:durableId="2062710100">
    <w:abstractNumId w:val="42"/>
  </w:num>
  <w:num w:numId="33" w16cid:durableId="1710834003">
    <w:abstractNumId w:val="45"/>
  </w:num>
  <w:num w:numId="34" w16cid:durableId="69471811">
    <w:abstractNumId w:val="37"/>
  </w:num>
  <w:num w:numId="35" w16cid:durableId="817844687">
    <w:abstractNumId w:val="31"/>
  </w:num>
  <w:num w:numId="36" w16cid:durableId="126750599">
    <w:abstractNumId w:val="21"/>
  </w:num>
  <w:num w:numId="37" w16cid:durableId="1348288980">
    <w:abstractNumId w:val="35"/>
  </w:num>
  <w:num w:numId="38" w16cid:durableId="1568801095">
    <w:abstractNumId w:val="9"/>
  </w:num>
  <w:num w:numId="39" w16cid:durableId="1813019198">
    <w:abstractNumId w:val="22"/>
  </w:num>
  <w:num w:numId="40" w16cid:durableId="1278099023">
    <w:abstractNumId w:val="43"/>
  </w:num>
  <w:num w:numId="41" w16cid:durableId="1728064913">
    <w:abstractNumId w:val="15"/>
  </w:num>
  <w:num w:numId="42" w16cid:durableId="324625067">
    <w:abstractNumId w:val="30"/>
  </w:num>
  <w:num w:numId="43" w16cid:durableId="1419599265">
    <w:abstractNumId w:val="51"/>
  </w:num>
  <w:num w:numId="44" w16cid:durableId="1489176424">
    <w:abstractNumId w:val="17"/>
  </w:num>
  <w:num w:numId="45" w16cid:durableId="1417480572">
    <w:abstractNumId w:val="41"/>
  </w:num>
  <w:num w:numId="46" w16cid:durableId="1883979820">
    <w:abstractNumId w:val="7"/>
  </w:num>
  <w:num w:numId="47" w16cid:durableId="802697076">
    <w:abstractNumId w:val="19"/>
  </w:num>
  <w:num w:numId="48" w16cid:durableId="1401440293">
    <w:abstractNumId w:val="49"/>
  </w:num>
  <w:num w:numId="49" w16cid:durableId="1803648487">
    <w:abstractNumId w:val="46"/>
  </w:num>
  <w:num w:numId="50" w16cid:durableId="675428510">
    <w:abstractNumId w:val="39"/>
  </w:num>
  <w:num w:numId="51" w16cid:durableId="94325381">
    <w:abstractNumId w:val="29"/>
  </w:num>
  <w:num w:numId="52" w16cid:durableId="1011565581">
    <w:abstractNumId w:val="6"/>
  </w:num>
  <w:num w:numId="53" w16cid:durableId="1799059593">
    <w:abstractNumId w:val="48"/>
  </w:num>
  <w:num w:numId="54" w16cid:durableId="849413328">
    <w:abstractNumId w:val="53"/>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CC1"/>
    <w:rsid w:val="000014F1"/>
    <w:rsid w:val="00001700"/>
    <w:rsid w:val="000055F6"/>
    <w:rsid w:val="00005EB3"/>
    <w:rsid w:val="00007D26"/>
    <w:rsid w:val="00007F5C"/>
    <w:rsid w:val="00011B83"/>
    <w:rsid w:val="00012B85"/>
    <w:rsid w:val="00012E7F"/>
    <w:rsid w:val="00013141"/>
    <w:rsid w:val="00015D29"/>
    <w:rsid w:val="00016FB8"/>
    <w:rsid w:val="000208DB"/>
    <w:rsid w:val="00020CDF"/>
    <w:rsid w:val="00020FBC"/>
    <w:rsid w:val="00022881"/>
    <w:rsid w:val="00027B00"/>
    <w:rsid w:val="00027D5C"/>
    <w:rsid w:val="00031433"/>
    <w:rsid w:val="0003349C"/>
    <w:rsid w:val="00033B0D"/>
    <w:rsid w:val="00035CAB"/>
    <w:rsid w:val="00035CC6"/>
    <w:rsid w:val="00036B90"/>
    <w:rsid w:val="00040B89"/>
    <w:rsid w:val="00042B85"/>
    <w:rsid w:val="00046027"/>
    <w:rsid w:val="00046358"/>
    <w:rsid w:val="00046DA3"/>
    <w:rsid w:val="00050EFD"/>
    <w:rsid w:val="00051DBF"/>
    <w:rsid w:val="00053B58"/>
    <w:rsid w:val="00055442"/>
    <w:rsid w:val="00055D77"/>
    <w:rsid w:val="00056E6E"/>
    <w:rsid w:val="0005721A"/>
    <w:rsid w:val="00060664"/>
    <w:rsid w:val="0006079A"/>
    <w:rsid w:val="00061CF6"/>
    <w:rsid w:val="00061D0E"/>
    <w:rsid w:val="00061E14"/>
    <w:rsid w:val="0006214B"/>
    <w:rsid w:val="0006291A"/>
    <w:rsid w:val="00062E02"/>
    <w:rsid w:val="000633DA"/>
    <w:rsid w:val="00063C08"/>
    <w:rsid w:val="00063F1A"/>
    <w:rsid w:val="00064B35"/>
    <w:rsid w:val="00065C07"/>
    <w:rsid w:val="00066EF4"/>
    <w:rsid w:val="00070938"/>
    <w:rsid w:val="0007142E"/>
    <w:rsid w:val="00071D42"/>
    <w:rsid w:val="00072200"/>
    <w:rsid w:val="000726DC"/>
    <w:rsid w:val="00073C2B"/>
    <w:rsid w:val="0007468F"/>
    <w:rsid w:val="00075F00"/>
    <w:rsid w:val="00080411"/>
    <w:rsid w:val="000826BF"/>
    <w:rsid w:val="000836D6"/>
    <w:rsid w:val="00083D0F"/>
    <w:rsid w:val="00083DDC"/>
    <w:rsid w:val="00086B0C"/>
    <w:rsid w:val="00086C53"/>
    <w:rsid w:val="000877AF"/>
    <w:rsid w:val="000902D0"/>
    <w:rsid w:val="00093046"/>
    <w:rsid w:val="000944D7"/>
    <w:rsid w:val="00094D99"/>
    <w:rsid w:val="000950AF"/>
    <w:rsid w:val="00095679"/>
    <w:rsid w:val="0009797B"/>
    <w:rsid w:val="000A0EFF"/>
    <w:rsid w:val="000A1AA2"/>
    <w:rsid w:val="000A3558"/>
    <w:rsid w:val="000B1862"/>
    <w:rsid w:val="000B2CBA"/>
    <w:rsid w:val="000B31E6"/>
    <w:rsid w:val="000B4561"/>
    <w:rsid w:val="000B47AC"/>
    <w:rsid w:val="000B47B9"/>
    <w:rsid w:val="000B61C8"/>
    <w:rsid w:val="000B7519"/>
    <w:rsid w:val="000B7DA7"/>
    <w:rsid w:val="000C0665"/>
    <w:rsid w:val="000C1574"/>
    <w:rsid w:val="000C5DB4"/>
    <w:rsid w:val="000C6EB9"/>
    <w:rsid w:val="000C7CE4"/>
    <w:rsid w:val="000D02DC"/>
    <w:rsid w:val="000D055D"/>
    <w:rsid w:val="000D0BB7"/>
    <w:rsid w:val="000D0EAE"/>
    <w:rsid w:val="000D25F1"/>
    <w:rsid w:val="000D2BC7"/>
    <w:rsid w:val="000D3D0B"/>
    <w:rsid w:val="000D4C4B"/>
    <w:rsid w:val="000D4C9E"/>
    <w:rsid w:val="000D5749"/>
    <w:rsid w:val="000D6389"/>
    <w:rsid w:val="000D6CF8"/>
    <w:rsid w:val="000E0FE8"/>
    <w:rsid w:val="000E1EF7"/>
    <w:rsid w:val="000E31E1"/>
    <w:rsid w:val="000E3510"/>
    <w:rsid w:val="000E3739"/>
    <w:rsid w:val="000E3FDC"/>
    <w:rsid w:val="000E593F"/>
    <w:rsid w:val="000E5DF1"/>
    <w:rsid w:val="000E64F1"/>
    <w:rsid w:val="000E711A"/>
    <w:rsid w:val="000F17B1"/>
    <w:rsid w:val="000F1B73"/>
    <w:rsid w:val="000F3164"/>
    <w:rsid w:val="000F34D2"/>
    <w:rsid w:val="000F474D"/>
    <w:rsid w:val="00100234"/>
    <w:rsid w:val="00100599"/>
    <w:rsid w:val="001017E0"/>
    <w:rsid w:val="001027D2"/>
    <w:rsid w:val="00102F63"/>
    <w:rsid w:val="001106C5"/>
    <w:rsid w:val="00111178"/>
    <w:rsid w:val="00112E05"/>
    <w:rsid w:val="00115D06"/>
    <w:rsid w:val="0011648B"/>
    <w:rsid w:val="00120089"/>
    <w:rsid w:val="00120688"/>
    <w:rsid w:val="001220D6"/>
    <w:rsid w:val="0012228B"/>
    <w:rsid w:val="001243B0"/>
    <w:rsid w:val="0012567E"/>
    <w:rsid w:val="00125A7E"/>
    <w:rsid w:val="00126B99"/>
    <w:rsid w:val="00131B0E"/>
    <w:rsid w:val="00132573"/>
    <w:rsid w:val="00132ABB"/>
    <w:rsid w:val="001357BE"/>
    <w:rsid w:val="00135D5D"/>
    <w:rsid w:val="00136264"/>
    <w:rsid w:val="00136676"/>
    <w:rsid w:val="0013682F"/>
    <w:rsid w:val="00137107"/>
    <w:rsid w:val="00140E4E"/>
    <w:rsid w:val="001414B9"/>
    <w:rsid w:val="0014265C"/>
    <w:rsid w:val="001430DB"/>
    <w:rsid w:val="0014367E"/>
    <w:rsid w:val="00144769"/>
    <w:rsid w:val="00145BCA"/>
    <w:rsid w:val="00146172"/>
    <w:rsid w:val="00146432"/>
    <w:rsid w:val="0014658F"/>
    <w:rsid w:val="00146A55"/>
    <w:rsid w:val="001471C8"/>
    <w:rsid w:val="001479F7"/>
    <w:rsid w:val="00147B99"/>
    <w:rsid w:val="00152137"/>
    <w:rsid w:val="00154B12"/>
    <w:rsid w:val="0015628E"/>
    <w:rsid w:val="00161817"/>
    <w:rsid w:val="00163840"/>
    <w:rsid w:val="001639E7"/>
    <w:rsid w:val="00164B0C"/>
    <w:rsid w:val="00164FED"/>
    <w:rsid w:val="00167975"/>
    <w:rsid w:val="00176A0B"/>
    <w:rsid w:val="00177AE1"/>
    <w:rsid w:val="00181506"/>
    <w:rsid w:val="00181934"/>
    <w:rsid w:val="00183441"/>
    <w:rsid w:val="00184177"/>
    <w:rsid w:val="00185D10"/>
    <w:rsid w:val="00185D2C"/>
    <w:rsid w:val="0018619A"/>
    <w:rsid w:val="0019077E"/>
    <w:rsid w:val="001911D9"/>
    <w:rsid w:val="00192E55"/>
    <w:rsid w:val="001949E9"/>
    <w:rsid w:val="00195451"/>
    <w:rsid w:val="00195780"/>
    <w:rsid w:val="001960D6"/>
    <w:rsid w:val="00197979"/>
    <w:rsid w:val="00197C33"/>
    <w:rsid w:val="001A1809"/>
    <w:rsid w:val="001A2BD7"/>
    <w:rsid w:val="001A58CF"/>
    <w:rsid w:val="001B2541"/>
    <w:rsid w:val="001B2E18"/>
    <w:rsid w:val="001B36E3"/>
    <w:rsid w:val="001B617B"/>
    <w:rsid w:val="001B63A8"/>
    <w:rsid w:val="001B71BD"/>
    <w:rsid w:val="001B7322"/>
    <w:rsid w:val="001B7CC6"/>
    <w:rsid w:val="001C6829"/>
    <w:rsid w:val="001D19A0"/>
    <w:rsid w:val="001D4951"/>
    <w:rsid w:val="001D4B20"/>
    <w:rsid w:val="001D66D7"/>
    <w:rsid w:val="001E0211"/>
    <w:rsid w:val="001E14D1"/>
    <w:rsid w:val="001E1604"/>
    <w:rsid w:val="001E2D35"/>
    <w:rsid w:val="001E3ADD"/>
    <w:rsid w:val="001E77DF"/>
    <w:rsid w:val="001E7E55"/>
    <w:rsid w:val="001F04D2"/>
    <w:rsid w:val="001F18B7"/>
    <w:rsid w:val="001F2556"/>
    <w:rsid w:val="001F4057"/>
    <w:rsid w:val="001F482F"/>
    <w:rsid w:val="001F5158"/>
    <w:rsid w:val="001F5B45"/>
    <w:rsid w:val="001F6F06"/>
    <w:rsid w:val="001F767C"/>
    <w:rsid w:val="001F7937"/>
    <w:rsid w:val="00204FBD"/>
    <w:rsid w:val="00205238"/>
    <w:rsid w:val="002067EB"/>
    <w:rsid w:val="002142F4"/>
    <w:rsid w:val="002144B6"/>
    <w:rsid w:val="0021480A"/>
    <w:rsid w:val="002171FC"/>
    <w:rsid w:val="0021759E"/>
    <w:rsid w:val="00217B2B"/>
    <w:rsid w:val="00217F69"/>
    <w:rsid w:val="00220183"/>
    <w:rsid w:val="0022046C"/>
    <w:rsid w:val="002214FF"/>
    <w:rsid w:val="00221916"/>
    <w:rsid w:val="002240FA"/>
    <w:rsid w:val="00227DA2"/>
    <w:rsid w:val="00227F4F"/>
    <w:rsid w:val="0023182A"/>
    <w:rsid w:val="00233EC0"/>
    <w:rsid w:val="002349F5"/>
    <w:rsid w:val="00234BFA"/>
    <w:rsid w:val="00236EF3"/>
    <w:rsid w:val="00237095"/>
    <w:rsid w:val="00240EA0"/>
    <w:rsid w:val="00243360"/>
    <w:rsid w:val="0024669D"/>
    <w:rsid w:val="00247272"/>
    <w:rsid w:val="00247276"/>
    <w:rsid w:val="0025118B"/>
    <w:rsid w:val="00252101"/>
    <w:rsid w:val="00253805"/>
    <w:rsid w:val="00254D62"/>
    <w:rsid w:val="00254FAD"/>
    <w:rsid w:val="00255B3A"/>
    <w:rsid w:val="002571F9"/>
    <w:rsid w:val="00261607"/>
    <w:rsid w:val="0026251D"/>
    <w:rsid w:val="0026370C"/>
    <w:rsid w:val="00263F84"/>
    <w:rsid w:val="00264446"/>
    <w:rsid w:val="002649C9"/>
    <w:rsid w:val="00266D31"/>
    <w:rsid w:val="00272D70"/>
    <w:rsid w:val="0027358D"/>
    <w:rsid w:val="00273A9F"/>
    <w:rsid w:val="00273F17"/>
    <w:rsid w:val="00275633"/>
    <w:rsid w:val="0027632F"/>
    <w:rsid w:val="00280BAA"/>
    <w:rsid w:val="00284B75"/>
    <w:rsid w:val="00285644"/>
    <w:rsid w:val="0028755D"/>
    <w:rsid w:val="00291C74"/>
    <w:rsid w:val="00294206"/>
    <w:rsid w:val="0029507D"/>
    <w:rsid w:val="00295EEF"/>
    <w:rsid w:val="002972DB"/>
    <w:rsid w:val="002A2295"/>
    <w:rsid w:val="002A2ACA"/>
    <w:rsid w:val="002A6155"/>
    <w:rsid w:val="002A62ED"/>
    <w:rsid w:val="002B0306"/>
    <w:rsid w:val="002B12AC"/>
    <w:rsid w:val="002B17C9"/>
    <w:rsid w:val="002B1A37"/>
    <w:rsid w:val="002B25DF"/>
    <w:rsid w:val="002B33D4"/>
    <w:rsid w:val="002B371B"/>
    <w:rsid w:val="002B4038"/>
    <w:rsid w:val="002B62AA"/>
    <w:rsid w:val="002B6566"/>
    <w:rsid w:val="002B6C54"/>
    <w:rsid w:val="002B7217"/>
    <w:rsid w:val="002B7B87"/>
    <w:rsid w:val="002C16E0"/>
    <w:rsid w:val="002C1793"/>
    <w:rsid w:val="002C1ECA"/>
    <w:rsid w:val="002C311D"/>
    <w:rsid w:val="002C31A0"/>
    <w:rsid w:val="002C50D3"/>
    <w:rsid w:val="002C6524"/>
    <w:rsid w:val="002C6CD6"/>
    <w:rsid w:val="002C6E99"/>
    <w:rsid w:val="002D14C1"/>
    <w:rsid w:val="002D1B69"/>
    <w:rsid w:val="002D3CBA"/>
    <w:rsid w:val="002D43BE"/>
    <w:rsid w:val="002D5E6E"/>
    <w:rsid w:val="002D5F45"/>
    <w:rsid w:val="002D5FAE"/>
    <w:rsid w:val="002D77DA"/>
    <w:rsid w:val="002E26E2"/>
    <w:rsid w:val="002E40A0"/>
    <w:rsid w:val="002E523F"/>
    <w:rsid w:val="002E656A"/>
    <w:rsid w:val="002F37C0"/>
    <w:rsid w:val="002F5424"/>
    <w:rsid w:val="002F59DD"/>
    <w:rsid w:val="002F7C20"/>
    <w:rsid w:val="00300CB1"/>
    <w:rsid w:val="003021AE"/>
    <w:rsid w:val="00302721"/>
    <w:rsid w:val="003032A4"/>
    <w:rsid w:val="0030563F"/>
    <w:rsid w:val="0031064A"/>
    <w:rsid w:val="003112D5"/>
    <w:rsid w:val="0031194F"/>
    <w:rsid w:val="003122B6"/>
    <w:rsid w:val="0031237D"/>
    <w:rsid w:val="00312C11"/>
    <w:rsid w:val="0031411A"/>
    <w:rsid w:val="00314259"/>
    <w:rsid w:val="003144F6"/>
    <w:rsid w:val="0031466D"/>
    <w:rsid w:val="00315D0F"/>
    <w:rsid w:val="00315DBA"/>
    <w:rsid w:val="003170A8"/>
    <w:rsid w:val="003206BF"/>
    <w:rsid w:val="00320A5D"/>
    <w:rsid w:val="00320DC6"/>
    <w:rsid w:val="00321FB3"/>
    <w:rsid w:val="0032338C"/>
    <w:rsid w:val="00323C7F"/>
    <w:rsid w:val="003267F9"/>
    <w:rsid w:val="0032735C"/>
    <w:rsid w:val="00327F75"/>
    <w:rsid w:val="0033167C"/>
    <w:rsid w:val="00331810"/>
    <w:rsid w:val="00333A60"/>
    <w:rsid w:val="00333E04"/>
    <w:rsid w:val="00335BAD"/>
    <w:rsid w:val="0033724E"/>
    <w:rsid w:val="0034093D"/>
    <w:rsid w:val="00340A93"/>
    <w:rsid w:val="0034124B"/>
    <w:rsid w:val="00344675"/>
    <w:rsid w:val="00345023"/>
    <w:rsid w:val="00345226"/>
    <w:rsid w:val="00345B44"/>
    <w:rsid w:val="0034606E"/>
    <w:rsid w:val="00346484"/>
    <w:rsid w:val="003469F8"/>
    <w:rsid w:val="00350C8F"/>
    <w:rsid w:val="00352372"/>
    <w:rsid w:val="0035276A"/>
    <w:rsid w:val="00353531"/>
    <w:rsid w:val="00354B3A"/>
    <w:rsid w:val="00354D7C"/>
    <w:rsid w:val="0036124D"/>
    <w:rsid w:val="003612AD"/>
    <w:rsid w:val="00361E44"/>
    <w:rsid w:val="0036211D"/>
    <w:rsid w:val="00362524"/>
    <w:rsid w:val="00363DF7"/>
    <w:rsid w:val="003640CC"/>
    <w:rsid w:val="0037456A"/>
    <w:rsid w:val="003751B4"/>
    <w:rsid w:val="003759E3"/>
    <w:rsid w:val="00375DA3"/>
    <w:rsid w:val="0037778C"/>
    <w:rsid w:val="00383C00"/>
    <w:rsid w:val="00384826"/>
    <w:rsid w:val="00385BDB"/>
    <w:rsid w:val="0039150B"/>
    <w:rsid w:val="00394346"/>
    <w:rsid w:val="0039447B"/>
    <w:rsid w:val="00394BFA"/>
    <w:rsid w:val="003950F7"/>
    <w:rsid w:val="003952DD"/>
    <w:rsid w:val="00395CB4"/>
    <w:rsid w:val="003961ED"/>
    <w:rsid w:val="00396E06"/>
    <w:rsid w:val="003970C6"/>
    <w:rsid w:val="003A04BA"/>
    <w:rsid w:val="003A0E81"/>
    <w:rsid w:val="003A3CC4"/>
    <w:rsid w:val="003A4227"/>
    <w:rsid w:val="003A47CF"/>
    <w:rsid w:val="003A55DA"/>
    <w:rsid w:val="003A6884"/>
    <w:rsid w:val="003A7E0D"/>
    <w:rsid w:val="003B12C3"/>
    <w:rsid w:val="003B2C57"/>
    <w:rsid w:val="003B3BA1"/>
    <w:rsid w:val="003B6F8B"/>
    <w:rsid w:val="003B703C"/>
    <w:rsid w:val="003B7662"/>
    <w:rsid w:val="003B7F58"/>
    <w:rsid w:val="003B7FD2"/>
    <w:rsid w:val="003C360D"/>
    <w:rsid w:val="003C7740"/>
    <w:rsid w:val="003C77A7"/>
    <w:rsid w:val="003D0DB0"/>
    <w:rsid w:val="003D114D"/>
    <w:rsid w:val="003D2263"/>
    <w:rsid w:val="003D2530"/>
    <w:rsid w:val="003D3F2B"/>
    <w:rsid w:val="003D47A2"/>
    <w:rsid w:val="003D6FF2"/>
    <w:rsid w:val="003E1E6E"/>
    <w:rsid w:val="003E4C95"/>
    <w:rsid w:val="003E7EEA"/>
    <w:rsid w:val="003F014C"/>
    <w:rsid w:val="003F0C10"/>
    <w:rsid w:val="003F1039"/>
    <w:rsid w:val="003F1D4A"/>
    <w:rsid w:val="003F3654"/>
    <w:rsid w:val="003F564A"/>
    <w:rsid w:val="003F6021"/>
    <w:rsid w:val="003F6550"/>
    <w:rsid w:val="003F7E57"/>
    <w:rsid w:val="00400A81"/>
    <w:rsid w:val="00410EE5"/>
    <w:rsid w:val="00411512"/>
    <w:rsid w:val="00411EB7"/>
    <w:rsid w:val="00412F62"/>
    <w:rsid w:val="00414361"/>
    <w:rsid w:val="00414A01"/>
    <w:rsid w:val="00414F2D"/>
    <w:rsid w:val="00422C4E"/>
    <w:rsid w:val="004234F6"/>
    <w:rsid w:val="0042355A"/>
    <w:rsid w:val="00431FD1"/>
    <w:rsid w:val="004323D7"/>
    <w:rsid w:val="004328F9"/>
    <w:rsid w:val="004330A9"/>
    <w:rsid w:val="004332EA"/>
    <w:rsid w:val="00433807"/>
    <w:rsid w:val="004338C1"/>
    <w:rsid w:val="00434CDB"/>
    <w:rsid w:val="004354AC"/>
    <w:rsid w:val="00435899"/>
    <w:rsid w:val="00435E1A"/>
    <w:rsid w:val="0043696E"/>
    <w:rsid w:val="00436A45"/>
    <w:rsid w:val="00437721"/>
    <w:rsid w:val="00437B08"/>
    <w:rsid w:val="00441343"/>
    <w:rsid w:val="00444376"/>
    <w:rsid w:val="00444428"/>
    <w:rsid w:val="00444C2D"/>
    <w:rsid w:val="00445009"/>
    <w:rsid w:val="00445DEA"/>
    <w:rsid w:val="0044626E"/>
    <w:rsid w:val="004469AB"/>
    <w:rsid w:val="00447699"/>
    <w:rsid w:val="00450F83"/>
    <w:rsid w:val="00451337"/>
    <w:rsid w:val="0046046C"/>
    <w:rsid w:val="00461A34"/>
    <w:rsid w:val="00461F11"/>
    <w:rsid w:val="00462192"/>
    <w:rsid w:val="0046263A"/>
    <w:rsid w:val="00466D04"/>
    <w:rsid w:val="0046719A"/>
    <w:rsid w:val="00467312"/>
    <w:rsid w:val="0046736E"/>
    <w:rsid w:val="004716FE"/>
    <w:rsid w:val="00471B15"/>
    <w:rsid w:val="00473311"/>
    <w:rsid w:val="00473AAB"/>
    <w:rsid w:val="00475838"/>
    <w:rsid w:val="004819CE"/>
    <w:rsid w:val="00483E3B"/>
    <w:rsid w:val="00484A78"/>
    <w:rsid w:val="004873BA"/>
    <w:rsid w:val="00487CE1"/>
    <w:rsid w:val="0049241E"/>
    <w:rsid w:val="00492E86"/>
    <w:rsid w:val="0049320C"/>
    <w:rsid w:val="00495D9B"/>
    <w:rsid w:val="00497664"/>
    <w:rsid w:val="004976B7"/>
    <w:rsid w:val="00497CBE"/>
    <w:rsid w:val="004A06E6"/>
    <w:rsid w:val="004A093A"/>
    <w:rsid w:val="004A19BC"/>
    <w:rsid w:val="004A6E1A"/>
    <w:rsid w:val="004A7A2C"/>
    <w:rsid w:val="004B046A"/>
    <w:rsid w:val="004B6404"/>
    <w:rsid w:val="004B7CC8"/>
    <w:rsid w:val="004C08EE"/>
    <w:rsid w:val="004C174D"/>
    <w:rsid w:val="004C4325"/>
    <w:rsid w:val="004C5314"/>
    <w:rsid w:val="004C58D4"/>
    <w:rsid w:val="004C59E7"/>
    <w:rsid w:val="004C5DF8"/>
    <w:rsid w:val="004C7770"/>
    <w:rsid w:val="004C7DBE"/>
    <w:rsid w:val="004D03F5"/>
    <w:rsid w:val="004D139E"/>
    <w:rsid w:val="004D3CED"/>
    <w:rsid w:val="004D4129"/>
    <w:rsid w:val="004D5629"/>
    <w:rsid w:val="004D6FB8"/>
    <w:rsid w:val="004E0C9B"/>
    <w:rsid w:val="004E2473"/>
    <w:rsid w:val="004E4F00"/>
    <w:rsid w:val="004E62DA"/>
    <w:rsid w:val="004E6727"/>
    <w:rsid w:val="004E72CA"/>
    <w:rsid w:val="004E7BEE"/>
    <w:rsid w:val="004F09FA"/>
    <w:rsid w:val="004F0F6F"/>
    <w:rsid w:val="004F1BE2"/>
    <w:rsid w:val="004F21AC"/>
    <w:rsid w:val="004F299B"/>
    <w:rsid w:val="004F3D65"/>
    <w:rsid w:val="004F3E25"/>
    <w:rsid w:val="004F42BA"/>
    <w:rsid w:val="004F5150"/>
    <w:rsid w:val="00500550"/>
    <w:rsid w:val="00500BB7"/>
    <w:rsid w:val="00500EAE"/>
    <w:rsid w:val="005031D3"/>
    <w:rsid w:val="00506F3F"/>
    <w:rsid w:val="00507587"/>
    <w:rsid w:val="00507D20"/>
    <w:rsid w:val="00510999"/>
    <w:rsid w:val="0051157F"/>
    <w:rsid w:val="005156E3"/>
    <w:rsid w:val="0051607D"/>
    <w:rsid w:val="00517780"/>
    <w:rsid w:val="00521BF0"/>
    <w:rsid w:val="005235C7"/>
    <w:rsid w:val="00523C4B"/>
    <w:rsid w:val="00523F26"/>
    <w:rsid w:val="00524A9D"/>
    <w:rsid w:val="00526E7D"/>
    <w:rsid w:val="005279EE"/>
    <w:rsid w:val="00527CE3"/>
    <w:rsid w:val="00527E1B"/>
    <w:rsid w:val="0053061A"/>
    <w:rsid w:val="00535596"/>
    <w:rsid w:val="00537088"/>
    <w:rsid w:val="005375CF"/>
    <w:rsid w:val="00542D23"/>
    <w:rsid w:val="005432EB"/>
    <w:rsid w:val="005435FC"/>
    <w:rsid w:val="0054499C"/>
    <w:rsid w:val="00544EC0"/>
    <w:rsid w:val="00545D17"/>
    <w:rsid w:val="005464F6"/>
    <w:rsid w:val="0055065C"/>
    <w:rsid w:val="00550A32"/>
    <w:rsid w:val="00550CF0"/>
    <w:rsid w:val="00551B9D"/>
    <w:rsid w:val="00552310"/>
    <w:rsid w:val="00553347"/>
    <w:rsid w:val="00555BAA"/>
    <w:rsid w:val="00556BF5"/>
    <w:rsid w:val="00556D0E"/>
    <w:rsid w:val="00562DD1"/>
    <w:rsid w:val="0056423F"/>
    <w:rsid w:val="005647D8"/>
    <w:rsid w:val="0056496F"/>
    <w:rsid w:val="0056595A"/>
    <w:rsid w:val="0056643C"/>
    <w:rsid w:val="00566AFD"/>
    <w:rsid w:val="00567125"/>
    <w:rsid w:val="0056761E"/>
    <w:rsid w:val="00567B50"/>
    <w:rsid w:val="00571127"/>
    <w:rsid w:val="00571AAA"/>
    <w:rsid w:val="00572344"/>
    <w:rsid w:val="00573DCC"/>
    <w:rsid w:val="0057414D"/>
    <w:rsid w:val="005768E4"/>
    <w:rsid w:val="00582AC5"/>
    <w:rsid w:val="005832F7"/>
    <w:rsid w:val="00583D37"/>
    <w:rsid w:val="00585800"/>
    <w:rsid w:val="00585D63"/>
    <w:rsid w:val="0058610A"/>
    <w:rsid w:val="00586E0E"/>
    <w:rsid w:val="00587B17"/>
    <w:rsid w:val="00590570"/>
    <w:rsid w:val="00590969"/>
    <w:rsid w:val="00591307"/>
    <w:rsid w:val="0059146B"/>
    <w:rsid w:val="005927E6"/>
    <w:rsid w:val="005929E7"/>
    <w:rsid w:val="00592ED7"/>
    <w:rsid w:val="005947BF"/>
    <w:rsid w:val="0059575F"/>
    <w:rsid w:val="00596040"/>
    <w:rsid w:val="005969B3"/>
    <w:rsid w:val="005A1071"/>
    <w:rsid w:val="005A283C"/>
    <w:rsid w:val="005A3E1A"/>
    <w:rsid w:val="005A3ED2"/>
    <w:rsid w:val="005A549D"/>
    <w:rsid w:val="005A551E"/>
    <w:rsid w:val="005B2A94"/>
    <w:rsid w:val="005B4FE2"/>
    <w:rsid w:val="005B61A4"/>
    <w:rsid w:val="005B6959"/>
    <w:rsid w:val="005B7E87"/>
    <w:rsid w:val="005C0853"/>
    <w:rsid w:val="005C3279"/>
    <w:rsid w:val="005C701D"/>
    <w:rsid w:val="005D17CF"/>
    <w:rsid w:val="005D21CA"/>
    <w:rsid w:val="005D3F1D"/>
    <w:rsid w:val="005D6678"/>
    <w:rsid w:val="005E155D"/>
    <w:rsid w:val="005E2020"/>
    <w:rsid w:val="005E329A"/>
    <w:rsid w:val="005E335E"/>
    <w:rsid w:val="005E510E"/>
    <w:rsid w:val="005E6EBC"/>
    <w:rsid w:val="005E78E9"/>
    <w:rsid w:val="005F0E7B"/>
    <w:rsid w:val="005F2256"/>
    <w:rsid w:val="005F4240"/>
    <w:rsid w:val="005F5C6F"/>
    <w:rsid w:val="005F708B"/>
    <w:rsid w:val="005F742E"/>
    <w:rsid w:val="006001DD"/>
    <w:rsid w:val="00601847"/>
    <w:rsid w:val="00603478"/>
    <w:rsid w:val="006058DD"/>
    <w:rsid w:val="00605A3A"/>
    <w:rsid w:val="006073E9"/>
    <w:rsid w:val="006074E6"/>
    <w:rsid w:val="00607711"/>
    <w:rsid w:val="0060781B"/>
    <w:rsid w:val="00607FDE"/>
    <w:rsid w:val="006110A3"/>
    <w:rsid w:val="00611F73"/>
    <w:rsid w:val="00612078"/>
    <w:rsid w:val="00612449"/>
    <w:rsid w:val="00612C3E"/>
    <w:rsid w:val="006140AF"/>
    <w:rsid w:val="0061417E"/>
    <w:rsid w:val="00614339"/>
    <w:rsid w:val="00614772"/>
    <w:rsid w:val="006147D8"/>
    <w:rsid w:val="006175D1"/>
    <w:rsid w:val="00617AA0"/>
    <w:rsid w:val="00621CCE"/>
    <w:rsid w:val="00621EB3"/>
    <w:rsid w:val="00623968"/>
    <w:rsid w:val="00623F1E"/>
    <w:rsid w:val="00624431"/>
    <w:rsid w:val="006250E2"/>
    <w:rsid w:val="00630795"/>
    <w:rsid w:val="00631D23"/>
    <w:rsid w:val="00632F99"/>
    <w:rsid w:val="00633238"/>
    <w:rsid w:val="0063408C"/>
    <w:rsid w:val="006347A3"/>
    <w:rsid w:val="00635A1F"/>
    <w:rsid w:val="00640DAB"/>
    <w:rsid w:val="00642C5B"/>
    <w:rsid w:val="00642C83"/>
    <w:rsid w:val="006443B1"/>
    <w:rsid w:val="00644E37"/>
    <w:rsid w:val="00645846"/>
    <w:rsid w:val="00647299"/>
    <w:rsid w:val="0064778B"/>
    <w:rsid w:val="00647C8B"/>
    <w:rsid w:val="00651112"/>
    <w:rsid w:val="00656553"/>
    <w:rsid w:val="006628BB"/>
    <w:rsid w:val="00662CE7"/>
    <w:rsid w:val="006649B4"/>
    <w:rsid w:val="00665B9F"/>
    <w:rsid w:val="006664B7"/>
    <w:rsid w:val="006665A1"/>
    <w:rsid w:val="00666D91"/>
    <w:rsid w:val="006703C9"/>
    <w:rsid w:val="00671E63"/>
    <w:rsid w:val="0067200E"/>
    <w:rsid w:val="00672D2E"/>
    <w:rsid w:val="00673192"/>
    <w:rsid w:val="006738EF"/>
    <w:rsid w:val="00674430"/>
    <w:rsid w:val="00674975"/>
    <w:rsid w:val="00675247"/>
    <w:rsid w:val="00675537"/>
    <w:rsid w:val="00676F68"/>
    <w:rsid w:val="006832E4"/>
    <w:rsid w:val="00683EFC"/>
    <w:rsid w:val="006860CF"/>
    <w:rsid w:val="00687BF8"/>
    <w:rsid w:val="00687F8B"/>
    <w:rsid w:val="00690203"/>
    <w:rsid w:val="00690691"/>
    <w:rsid w:val="006929CC"/>
    <w:rsid w:val="006946AB"/>
    <w:rsid w:val="0069610C"/>
    <w:rsid w:val="006A0E6F"/>
    <w:rsid w:val="006A2B54"/>
    <w:rsid w:val="006A322F"/>
    <w:rsid w:val="006A64C9"/>
    <w:rsid w:val="006A748E"/>
    <w:rsid w:val="006A7F28"/>
    <w:rsid w:val="006B32E4"/>
    <w:rsid w:val="006B36F4"/>
    <w:rsid w:val="006B4397"/>
    <w:rsid w:val="006B5FB7"/>
    <w:rsid w:val="006B73F5"/>
    <w:rsid w:val="006C1207"/>
    <w:rsid w:val="006C19D8"/>
    <w:rsid w:val="006C205C"/>
    <w:rsid w:val="006C392D"/>
    <w:rsid w:val="006C6301"/>
    <w:rsid w:val="006C6D9E"/>
    <w:rsid w:val="006C7FEB"/>
    <w:rsid w:val="006D06E6"/>
    <w:rsid w:val="006D2B0A"/>
    <w:rsid w:val="006D325B"/>
    <w:rsid w:val="006E13AD"/>
    <w:rsid w:val="006E259B"/>
    <w:rsid w:val="006E3AB6"/>
    <w:rsid w:val="006E3CB3"/>
    <w:rsid w:val="006E4A9E"/>
    <w:rsid w:val="006E4AF7"/>
    <w:rsid w:val="006E5B9E"/>
    <w:rsid w:val="006E73EF"/>
    <w:rsid w:val="006F16CE"/>
    <w:rsid w:val="006F1BF6"/>
    <w:rsid w:val="006F2961"/>
    <w:rsid w:val="006F37BD"/>
    <w:rsid w:val="006F3961"/>
    <w:rsid w:val="006F3EA6"/>
    <w:rsid w:val="006F4994"/>
    <w:rsid w:val="006F5E28"/>
    <w:rsid w:val="006F6E59"/>
    <w:rsid w:val="006F7DCD"/>
    <w:rsid w:val="007034AB"/>
    <w:rsid w:val="00704B20"/>
    <w:rsid w:val="007075EA"/>
    <w:rsid w:val="0071231B"/>
    <w:rsid w:val="00712903"/>
    <w:rsid w:val="00712AD0"/>
    <w:rsid w:val="00713407"/>
    <w:rsid w:val="00714A3E"/>
    <w:rsid w:val="00714F84"/>
    <w:rsid w:val="00716426"/>
    <w:rsid w:val="00720F1C"/>
    <w:rsid w:val="00721C55"/>
    <w:rsid w:val="00721E60"/>
    <w:rsid w:val="0072230E"/>
    <w:rsid w:val="007244BE"/>
    <w:rsid w:val="00725684"/>
    <w:rsid w:val="00725B00"/>
    <w:rsid w:val="007261B4"/>
    <w:rsid w:val="0072627B"/>
    <w:rsid w:val="00727343"/>
    <w:rsid w:val="00727DF7"/>
    <w:rsid w:val="00727E93"/>
    <w:rsid w:val="00731366"/>
    <w:rsid w:val="00731500"/>
    <w:rsid w:val="00732C28"/>
    <w:rsid w:val="00732DBE"/>
    <w:rsid w:val="00733D18"/>
    <w:rsid w:val="007340ED"/>
    <w:rsid w:val="00735702"/>
    <w:rsid w:val="007401F5"/>
    <w:rsid w:val="007402D9"/>
    <w:rsid w:val="00740CD4"/>
    <w:rsid w:val="00741A9A"/>
    <w:rsid w:val="00742E4F"/>
    <w:rsid w:val="00743423"/>
    <w:rsid w:val="00743CD7"/>
    <w:rsid w:val="00745249"/>
    <w:rsid w:val="00745FF5"/>
    <w:rsid w:val="00746183"/>
    <w:rsid w:val="00746F5F"/>
    <w:rsid w:val="00752C32"/>
    <w:rsid w:val="00755417"/>
    <w:rsid w:val="00755849"/>
    <w:rsid w:val="007573CF"/>
    <w:rsid w:val="007573FB"/>
    <w:rsid w:val="00757DB9"/>
    <w:rsid w:val="00760115"/>
    <w:rsid w:val="0076039D"/>
    <w:rsid w:val="00762ACE"/>
    <w:rsid w:val="0077076E"/>
    <w:rsid w:val="00771E52"/>
    <w:rsid w:val="00771E95"/>
    <w:rsid w:val="007724DD"/>
    <w:rsid w:val="00772E20"/>
    <w:rsid w:val="007742C5"/>
    <w:rsid w:val="00774B9A"/>
    <w:rsid w:val="00777BEE"/>
    <w:rsid w:val="007812CD"/>
    <w:rsid w:val="00781BD7"/>
    <w:rsid w:val="007822B0"/>
    <w:rsid w:val="00783B72"/>
    <w:rsid w:val="007873C1"/>
    <w:rsid w:val="007909A7"/>
    <w:rsid w:val="007928CE"/>
    <w:rsid w:val="00794DE0"/>
    <w:rsid w:val="00795938"/>
    <w:rsid w:val="00795D84"/>
    <w:rsid w:val="00795E95"/>
    <w:rsid w:val="00795FCF"/>
    <w:rsid w:val="00797318"/>
    <w:rsid w:val="007A01A5"/>
    <w:rsid w:val="007A2C84"/>
    <w:rsid w:val="007A3645"/>
    <w:rsid w:val="007A4E67"/>
    <w:rsid w:val="007A4FD2"/>
    <w:rsid w:val="007A5630"/>
    <w:rsid w:val="007B1232"/>
    <w:rsid w:val="007B18CA"/>
    <w:rsid w:val="007B4DFC"/>
    <w:rsid w:val="007B6B5D"/>
    <w:rsid w:val="007B7331"/>
    <w:rsid w:val="007B75AF"/>
    <w:rsid w:val="007C309B"/>
    <w:rsid w:val="007C3F5D"/>
    <w:rsid w:val="007C7C51"/>
    <w:rsid w:val="007C7F09"/>
    <w:rsid w:val="007D182B"/>
    <w:rsid w:val="007D1974"/>
    <w:rsid w:val="007D321E"/>
    <w:rsid w:val="007D71B8"/>
    <w:rsid w:val="007D756F"/>
    <w:rsid w:val="007D7D53"/>
    <w:rsid w:val="007E01EE"/>
    <w:rsid w:val="007E1ABD"/>
    <w:rsid w:val="007E3095"/>
    <w:rsid w:val="007E3B80"/>
    <w:rsid w:val="007E5A56"/>
    <w:rsid w:val="007E70ED"/>
    <w:rsid w:val="007E7F7D"/>
    <w:rsid w:val="007F1632"/>
    <w:rsid w:val="007F2316"/>
    <w:rsid w:val="007F61EA"/>
    <w:rsid w:val="007F7FC3"/>
    <w:rsid w:val="00800773"/>
    <w:rsid w:val="00801458"/>
    <w:rsid w:val="0080185F"/>
    <w:rsid w:val="00801C42"/>
    <w:rsid w:val="00803812"/>
    <w:rsid w:val="0080478B"/>
    <w:rsid w:val="00804A60"/>
    <w:rsid w:val="00804BB8"/>
    <w:rsid w:val="0081014C"/>
    <w:rsid w:val="00810ABB"/>
    <w:rsid w:val="0081113B"/>
    <w:rsid w:val="008135FD"/>
    <w:rsid w:val="00815190"/>
    <w:rsid w:val="008165D6"/>
    <w:rsid w:val="00816AE7"/>
    <w:rsid w:val="0081728A"/>
    <w:rsid w:val="00817582"/>
    <w:rsid w:val="00817EF7"/>
    <w:rsid w:val="00820596"/>
    <w:rsid w:val="00820A56"/>
    <w:rsid w:val="00821CDE"/>
    <w:rsid w:val="0082266C"/>
    <w:rsid w:val="00822E38"/>
    <w:rsid w:val="00824684"/>
    <w:rsid w:val="00825FEF"/>
    <w:rsid w:val="00826104"/>
    <w:rsid w:val="008267F5"/>
    <w:rsid w:val="00826D64"/>
    <w:rsid w:val="008301C8"/>
    <w:rsid w:val="00830426"/>
    <w:rsid w:val="00830540"/>
    <w:rsid w:val="00831E78"/>
    <w:rsid w:val="00832B2C"/>
    <w:rsid w:val="008337E1"/>
    <w:rsid w:val="00835021"/>
    <w:rsid w:val="008351AE"/>
    <w:rsid w:val="00835AD0"/>
    <w:rsid w:val="00837442"/>
    <w:rsid w:val="00841342"/>
    <w:rsid w:val="00845BB9"/>
    <w:rsid w:val="00847187"/>
    <w:rsid w:val="0085321A"/>
    <w:rsid w:val="00853754"/>
    <w:rsid w:val="00854186"/>
    <w:rsid w:val="00854EE9"/>
    <w:rsid w:val="008552A1"/>
    <w:rsid w:val="00857448"/>
    <w:rsid w:val="0086038B"/>
    <w:rsid w:val="00860501"/>
    <w:rsid w:val="00861AEC"/>
    <w:rsid w:val="0086330A"/>
    <w:rsid w:val="00864C88"/>
    <w:rsid w:val="00865A7F"/>
    <w:rsid w:val="00866A5C"/>
    <w:rsid w:val="00871EC3"/>
    <w:rsid w:val="00872012"/>
    <w:rsid w:val="00872F6B"/>
    <w:rsid w:val="00872FAC"/>
    <w:rsid w:val="00873EC7"/>
    <w:rsid w:val="00873FAC"/>
    <w:rsid w:val="008762FE"/>
    <w:rsid w:val="00877D3E"/>
    <w:rsid w:val="0088033B"/>
    <w:rsid w:val="008814A9"/>
    <w:rsid w:val="008816A2"/>
    <w:rsid w:val="008818A1"/>
    <w:rsid w:val="00886015"/>
    <w:rsid w:val="008902DB"/>
    <w:rsid w:val="00893C5E"/>
    <w:rsid w:val="00893CD7"/>
    <w:rsid w:val="0089530D"/>
    <w:rsid w:val="00895495"/>
    <w:rsid w:val="0089567A"/>
    <w:rsid w:val="00896FA3"/>
    <w:rsid w:val="008978B3"/>
    <w:rsid w:val="008A0229"/>
    <w:rsid w:val="008A0EA2"/>
    <w:rsid w:val="008A4DEF"/>
    <w:rsid w:val="008A57C3"/>
    <w:rsid w:val="008A64BA"/>
    <w:rsid w:val="008A6FBA"/>
    <w:rsid w:val="008A717B"/>
    <w:rsid w:val="008B3B68"/>
    <w:rsid w:val="008B3E84"/>
    <w:rsid w:val="008B570A"/>
    <w:rsid w:val="008B6552"/>
    <w:rsid w:val="008B6A09"/>
    <w:rsid w:val="008B73C7"/>
    <w:rsid w:val="008B73FC"/>
    <w:rsid w:val="008B789F"/>
    <w:rsid w:val="008B7D8C"/>
    <w:rsid w:val="008B7DE5"/>
    <w:rsid w:val="008C165B"/>
    <w:rsid w:val="008C186F"/>
    <w:rsid w:val="008C2B64"/>
    <w:rsid w:val="008C3F15"/>
    <w:rsid w:val="008C420E"/>
    <w:rsid w:val="008C604A"/>
    <w:rsid w:val="008C6361"/>
    <w:rsid w:val="008C6A7B"/>
    <w:rsid w:val="008C7C4B"/>
    <w:rsid w:val="008D03BC"/>
    <w:rsid w:val="008D058F"/>
    <w:rsid w:val="008D1AF6"/>
    <w:rsid w:val="008D1CE3"/>
    <w:rsid w:val="008D2393"/>
    <w:rsid w:val="008D335B"/>
    <w:rsid w:val="008D4114"/>
    <w:rsid w:val="008D552D"/>
    <w:rsid w:val="008D5ADA"/>
    <w:rsid w:val="008D7B79"/>
    <w:rsid w:val="008E0375"/>
    <w:rsid w:val="008E0DBE"/>
    <w:rsid w:val="008E349D"/>
    <w:rsid w:val="008E6A89"/>
    <w:rsid w:val="008E6CB2"/>
    <w:rsid w:val="008E70EB"/>
    <w:rsid w:val="008E7579"/>
    <w:rsid w:val="008E7F48"/>
    <w:rsid w:val="008F0C3B"/>
    <w:rsid w:val="008F23DA"/>
    <w:rsid w:val="008F32C7"/>
    <w:rsid w:val="008F4EB3"/>
    <w:rsid w:val="008F713B"/>
    <w:rsid w:val="008F78FF"/>
    <w:rsid w:val="009000B0"/>
    <w:rsid w:val="00903AB0"/>
    <w:rsid w:val="009045C5"/>
    <w:rsid w:val="00905523"/>
    <w:rsid w:val="00905FDD"/>
    <w:rsid w:val="00907EBC"/>
    <w:rsid w:val="009152F0"/>
    <w:rsid w:val="00915B66"/>
    <w:rsid w:val="009202F3"/>
    <w:rsid w:val="00920EBD"/>
    <w:rsid w:val="009210F7"/>
    <w:rsid w:val="009215CA"/>
    <w:rsid w:val="00921735"/>
    <w:rsid w:val="009229B8"/>
    <w:rsid w:val="0093037D"/>
    <w:rsid w:val="009305C8"/>
    <w:rsid w:val="00930D05"/>
    <w:rsid w:val="00932458"/>
    <w:rsid w:val="009325DB"/>
    <w:rsid w:val="00933018"/>
    <w:rsid w:val="009342A8"/>
    <w:rsid w:val="00934925"/>
    <w:rsid w:val="00940B7D"/>
    <w:rsid w:val="00941B27"/>
    <w:rsid w:val="0094276D"/>
    <w:rsid w:val="009430ED"/>
    <w:rsid w:val="00943505"/>
    <w:rsid w:val="00944F66"/>
    <w:rsid w:val="0094569B"/>
    <w:rsid w:val="00945893"/>
    <w:rsid w:val="00945A80"/>
    <w:rsid w:val="00946E5D"/>
    <w:rsid w:val="00946EAE"/>
    <w:rsid w:val="00951418"/>
    <w:rsid w:val="0095353C"/>
    <w:rsid w:val="00953A2C"/>
    <w:rsid w:val="00957BF6"/>
    <w:rsid w:val="0096083B"/>
    <w:rsid w:val="00962158"/>
    <w:rsid w:val="00964B6C"/>
    <w:rsid w:val="0096513C"/>
    <w:rsid w:val="009659AA"/>
    <w:rsid w:val="0096608E"/>
    <w:rsid w:val="0096627F"/>
    <w:rsid w:val="00973A2C"/>
    <w:rsid w:val="00976E27"/>
    <w:rsid w:val="00977BC2"/>
    <w:rsid w:val="009820E9"/>
    <w:rsid w:val="009824A3"/>
    <w:rsid w:val="00982C0B"/>
    <w:rsid w:val="009842F6"/>
    <w:rsid w:val="009849C7"/>
    <w:rsid w:val="00984B0C"/>
    <w:rsid w:val="00984C3B"/>
    <w:rsid w:val="00985F8C"/>
    <w:rsid w:val="009861CB"/>
    <w:rsid w:val="00987C0E"/>
    <w:rsid w:val="009901F9"/>
    <w:rsid w:val="00993746"/>
    <w:rsid w:val="0099478D"/>
    <w:rsid w:val="00996D9A"/>
    <w:rsid w:val="00996F79"/>
    <w:rsid w:val="009A0694"/>
    <w:rsid w:val="009A0C9E"/>
    <w:rsid w:val="009A1301"/>
    <w:rsid w:val="009A3163"/>
    <w:rsid w:val="009A3A29"/>
    <w:rsid w:val="009A64FB"/>
    <w:rsid w:val="009B010A"/>
    <w:rsid w:val="009B2B9C"/>
    <w:rsid w:val="009B2FB7"/>
    <w:rsid w:val="009B3721"/>
    <w:rsid w:val="009B43FB"/>
    <w:rsid w:val="009B4449"/>
    <w:rsid w:val="009B4997"/>
    <w:rsid w:val="009B5DEF"/>
    <w:rsid w:val="009B6959"/>
    <w:rsid w:val="009B698E"/>
    <w:rsid w:val="009B6A52"/>
    <w:rsid w:val="009B7849"/>
    <w:rsid w:val="009B78A9"/>
    <w:rsid w:val="009B7EF2"/>
    <w:rsid w:val="009C22C1"/>
    <w:rsid w:val="009C287D"/>
    <w:rsid w:val="009C4184"/>
    <w:rsid w:val="009C4894"/>
    <w:rsid w:val="009C4934"/>
    <w:rsid w:val="009C51A5"/>
    <w:rsid w:val="009C7A17"/>
    <w:rsid w:val="009D0240"/>
    <w:rsid w:val="009D1108"/>
    <w:rsid w:val="009D2D1E"/>
    <w:rsid w:val="009D5B29"/>
    <w:rsid w:val="009D6CCE"/>
    <w:rsid w:val="009E0BEC"/>
    <w:rsid w:val="009E552F"/>
    <w:rsid w:val="009E586D"/>
    <w:rsid w:val="009F0E57"/>
    <w:rsid w:val="009F26B7"/>
    <w:rsid w:val="009F3B4A"/>
    <w:rsid w:val="009F41DA"/>
    <w:rsid w:val="009F4600"/>
    <w:rsid w:val="009F74D0"/>
    <w:rsid w:val="009F7CE9"/>
    <w:rsid w:val="00A00514"/>
    <w:rsid w:val="00A018A5"/>
    <w:rsid w:val="00A01A77"/>
    <w:rsid w:val="00A02ABE"/>
    <w:rsid w:val="00A0429C"/>
    <w:rsid w:val="00A04512"/>
    <w:rsid w:val="00A04BFA"/>
    <w:rsid w:val="00A04E81"/>
    <w:rsid w:val="00A05412"/>
    <w:rsid w:val="00A05736"/>
    <w:rsid w:val="00A0659D"/>
    <w:rsid w:val="00A07311"/>
    <w:rsid w:val="00A07560"/>
    <w:rsid w:val="00A07738"/>
    <w:rsid w:val="00A07EEF"/>
    <w:rsid w:val="00A11DCC"/>
    <w:rsid w:val="00A12819"/>
    <w:rsid w:val="00A1313D"/>
    <w:rsid w:val="00A13290"/>
    <w:rsid w:val="00A1468A"/>
    <w:rsid w:val="00A1579D"/>
    <w:rsid w:val="00A165F5"/>
    <w:rsid w:val="00A16EB1"/>
    <w:rsid w:val="00A17311"/>
    <w:rsid w:val="00A1787F"/>
    <w:rsid w:val="00A207FA"/>
    <w:rsid w:val="00A208FF"/>
    <w:rsid w:val="00A212E4"/>
    <w:rsid w:val="00A22773"/>
    <w:rsid w:val="00A22E6C"/>
    <w:rsid w:val="00A23FE9"/>
    <w:rsid w:val="00A244BC"/>
    <w:rsid w:val="00A2520E"/>
    <w:rsid w:val="00A27561"/>
    <w:rsid w:val="00A27AD1"/>
    <w:rsid w:val="00A30AC9"/>
    <w:rsid w:val="00A311A1"/>
    <w:rsid w:val="00A3143E"/>
    <w:rsid w:val="00A322E4"/>
    <w:rsid w:val="00A32BB1"/>
    <w:rsid w:val="00A33403"/>
    <w:rsid w:val="00A3457D"/>
    <w:rsid w:val="00A3739C"/>
    <w:rsid w:val="00A37608"/>
    <w:rsid w:val="00A4213E"/>
    <w:rsid w:val="00A439B9"/>
    <w:rsid w:val="00A44F2E"/>
    <w:rsid w:val="00A45693"/>
    <w:rsid w:val="00A4799E"/>
    <w:rsid w:val="00A500FC"/>
    <w:rsid w:val="00A504E0"/>
    <w:rsid w:val="00A516B6"/>
    <w:rsid w:val="00A5186A"/>
    <w:rsid w:val="00A52D30"/>
    <w:rsid w:val="00A540B2"/>
    <w:rsid w:val="00A56C82"/>
    <w:rsid w:val="00A57A5F"/>
    <w:rsid w:val="00A60106"/>
    <w:rsid w:val="00A618BF"/>
    <w:rsid w:val="00A655D0"/>
    <w:rsid w:val="00A6622F"/>
    <w:rsid w:val="00A70A94"/>
    <w:rsid w:val="00A7156C"/>
    <w:rsid w:val="00A72601"/>
    <w:rsid w:val="00A72796"/>
    <w:rsid w:val="00A73759"/>
    <w:rsid w:val="00A73A39"/>
    <w:rsid w:val="00A76104"/>
    <w:rsid w:val="00A76C2D"/>
    <w:rsid w:val="00A77162"/>
    <w:rsid w:val="00A77C30"/>
    <w:rsid w:val="00A77C34"/>
    <w:rsid w:val="00A77CE0"/>
    <w:rsid w:val="00A81348"/>
    <w:rsid w:val="00A8318B"/>
    <w:rsid w:val="00A83A5D"/>
    <w:rsid w:val="00A842A9"/>
    <w:rsid w:val="00A8557B"/>
    <w:rsid w:val="00A85787"/>
    <w:rsid w:val="00A85A48"/>
    <w:rsid w:val="00A9057E"/>
    <w:rsid w:val="00A917AC"/>
    <w:rsid w:val="00A91DC8"/>
    <w:rsid w:val="00A93C5B"/>
    <w:rsid w:val="00A94AB0"/>
    <w:rsid w:val="00A974B8"/>
    <w:rsid w:val="00A975AD"/>
    <w:rsid w:val="00AA0D3E"/>
    <w:rsid w:val="00AA2116"/>
    <w:rsid w:val="00AA2FC0"/>
    <w:rsid w:val="00AA39BB"/>
    <w:rsid w:val="00AA7EA7"/>
    <w:rsid w:val="00AB02F1"/>
    <w:rsid w:val="00AB043D"/>
    <w:rsid w:val="00AB06A7"/>
    <w:rsid w:val="00AB097D"/>
    <w:rsid w:val="00AB0B3D"/>
    <w:rsid w:val="00AB1172"/>
    <w:rsid w:val="00AB1C8E"/>
    <w:rsid w:val="00AB2308"/>
    <w:rsid w:val="00AB2331"/>
    <w:rsid w:val="00AB2676"/>
    <w:rsid w:val="00AB40B0"/>
    <w:rsid w:val="00AB5413"/>
    <w:rsid w:val="00AB6124"/>
    <w:rsid w:val="00AB742B"/>
    <w:rsid w:val="00AC00A5"/>
    <w:rsid w:val="00AC0BBB"/>
    <w:rsid w:val="00AC14B9"/>
    <w:rsid w:val="00AC23B2"/>
    <w:rsid w:val="00AC240E"/>
    <w:rsid w:val="00AC264C"/>
    <w:rsid w:val="00AC52DC"/>
    <w:rsid w:val="00AC6CAA"/>
    <w:rsid w:val="00AD0376"/>
    <w:rsid w:val="00AD1286"/>
    <w:rsid w:val="00AD1368"/>
    <w:rsid w:val="00AD2513"/>
    <w:rsid w:val="00AD2FDD"/>
    <w:rsid w:val="00AD3A02"/>
    <w:rsid w:val="00AD3A74"/>
    <w:rsid w:val="00AD53A5"/>
    <w:rsid w:val="00AD566D"/>
    <w:rsid w:val="00AD75E6"/>
    <w:rsid w:val="00AE0383"/>
    <w:rsid w:val="00AE0E53"/>
    <w:rsid w:val="00AE23BF"/>
    <w:rsid w:val="00AE23FF"/>
    <w:rsid w:val="00AE258A"/>
    <w:rsid w:val="00AE25DD"/>
    <w:rsid w:val="00AE42FB"/>
    <w:rsid w:val="00AE5313"/>
    <w:rsid w:val="00AE5E46"/>
    <w:rsid w:val="00AE5F30"/>
    <w:rsid w:val="00AE67D2"/>
    <w:rsid w:val="00AE68F8"/>
    <w:rsid w:val="00AF048A"/>
    <w:rsid w:val="00AF2009"/>
    <w:rsid w:val="00AF58F6"/>
    <w:rsid w:val="00AF5A1E"/>
    <w:rsid w:val="00AF5A20"/>
    <w:rsid w:val="00AF5C7A"/>
    <w:rsid w:val="00AF7296"/>
    <w:rsid w:val="00AF7793"/>
    <w:rsid w:val="00AF7D50"/>
    <w:rsid w:val="00B02688"/>
    <w:rsid w:val="00B04EC8"/>
    <w:rsid w:val="00B04F8C"/>
    <w:rsid w:val="00B06AA8"/>
    <w:rsid w:val="00B1154A"/>
    <w:rsid w:val="00B13D3D"/>
    <w:rsid w:val="00B14194"/>
    <w:rsid w:val="00B161AA"/>
    <w:rsid w:val="00B16640"/>
    <w:rsid w:val="00B1798F"/>
    <w:rsid w:val="00B17ABE"/>
    <w:rsid w:val="00B20DD1"/>
    <w:rsid w:val="00B2245B"/>
    <w:rsid w:val="00B22B18"/>
    <w:rsid w:val="00B276DC"/>
    <w:rsid w:val="00B32802"/>
    <w:rsid w:val="00B335EA"/>
    <w:rsid w:val="00B35117"/>
    <w:rsid w:val="00B36271"/>
    <w:rsid w:val="00B36AA1"/>
    <w:rsid w:val="00B372F8"/>
    <w:rsid w:val="00B3784D"/>
    <w:rsid w:val="00B37B59"/>
    <w:rsid w:val="00B4026C"/>
    <w:rsid w:val="00B40B2E"/>
    <w:rsid w:val="00B418DD"/>
    <w:rsid w:val="00B42D6D"/>
    <w:rsid w:val="00B43241"/>
    <w:rsid w:val="00B45E46"/>
    <w:rsid w:val="00B47A8F"/>
    <w:rsid w:val="00B53415"/>
    <w:rsid w:val="00B53DB9"/>
    <w:rsid w:val="00B56C28"/>
    <w:rsid w:val="00B57B1E"/>
    <w:rsid w:val="00B57EEF"/>
    <w:rsid w:val="00B601CE"/>
    <w:rsid w:val="00B6302E"/>
    <w:rsid w:val="00B654B7"/>
    <w:rsid w:val="00B71EE5"/>
    <w:rsid w:val="00B7287F"/>
    <w:rsid w:val="00B72D15"/>
    <w:rsid w:val="00B75188"/>
    <w:rsid w:val="00B7791D"/>
    <w:rsid w:val="00B779FA"/>
    <w:rsid w:val="00B77AC4"/>
    <w:rsid w:val="00B77F50"/>
    <w:rsid w:val="00B812C2"/>
    <w:rsid w:val="00B823C8"/>
    <w:rsid w:val="00B86CAC"/>
    <w:rsid w:val="00B87450"/>
    <w:rsid w:val="00B87A08"/>
    <w:rsid w:val="00B9047C"/>
    <w:rsid w:val="00B90525"/>
    <w:rsid w:val="00B90E84"/>
    <w:rsid w:val="00B918F8"/>
    <w:rsid w:val="00B92859"/>
    <w:rsid w:val="00B93714"/>
    <w:rsid w:val="00BA014D"/>
    <w:rsid w:val="00BA0754"/>
    <w:rsid w:val="00BA6B2C"/>
    <w:rsid w:val="00BB11EE"/>
    <w:rsid w:val="00BB21D3"/>
    <w:rsid w:val="00BB3954"/>
    <w:rsid w:val="00BB3D88"/>
    <w:rsid w:val="00BB403C"/>
    <w:rsid w:val="00BB44E8"/>
    <w:rsid w:val="00BB477B"/>
    <w:rsid w:val="00BB5835"/>
    <w:rsid w:val="00BB6463"/>
    <w:rsid w:val="00BB6AED"/>
    <w:rsid w:val="00BB7F77"/>
    <w:rsid w:val="00BC2BD8"/>
    <w:rsid w:val="00BC34AD"/>
    <w:rsid w:val="00BC3B6F"/>
    <w:rsid w:val="00BC555A"/>
    <w:rsid w:val="00BC57BF"/>
    <w:rsid w:val="00BC65B3"/>
    <w:rsid w:val="00BC6955"/>
    <w:rsid w:val="00BC703A"/>
    <w:rsid w:val="00BC708D"/>
    <w:rsid w:val="00BC7396"/>
    <w:rsid w:val="00BD03D1"/>
    <w:rsid w:val="00BD0C7E"/>
    <w:rsid w:val="00BD10AB"/>
    <w:rsid w:val="00BD2F80"/>
    <w:rsid w:val="00BD3975"/>
    <w:rsid w:val="00BD4A99"/>
    <w:rsid w:val="00BD4C45"/>
    <w:rsid w:val="00BD5282"/>
    <w:rsid w:val="00BD6937"/>
    <w:rsid w:val="00BD6FD4"/>
    <w:rsid w:val="00BD7B29"/>
    <w:rsid w:val="00BD7D7F"/>
    <w:rsid w:val="00BD7E73"/>
    <w:rsid w:val="00BE15BA"/>
    <w:rsid w:val="00BE17E0"/>
    <w:rsid w:val="00BE296E"/>
    <w:rsid w:val="00BE2BDE"/>
    <w:rsid w:val="00BE442A"/>
    <w:rsid w:val="00BE76F4"/>
    <w:rsid w:val="00BF1BB5"/>
    <w:rsid w:val="00BF2D47"/>
    <w:rsid w:val="00BF39F8"/>
    <w:rsid w:val="00BF622A"/>
    <w:rsid w:val="00BF7C78"/>
    <w:rsid w:val="00C0077F"/>
    <w:rsid w:val="00C02588"/>
    <w:rsid w:val="00C035CF"/>
    <w:rsid w:val="00C03D52"/>
    <w:rsid w:val="00C04DD2"/>
    <w:rsid w:val="00C05EEA"/>
    <w:rsid w:val="00C109DD"/>
    <w:rsid w:val="00C12E66"/>
    <w:rsid w:val="00C13696"/>
    <w:rsid w:val="00C156E9"/>
    <w:rsid w:val="00C16336"/>
    <w:rsid w:val="00C17614"/>
    <w:rsid w:val="00C17F8E"/>
    <w:rsid w:val="00C259EA"/>
    <w:rsid w:val="00C25FE0"/>
    <w:rsid w:val="00C2613C"/>
    <w:rsid w:val="00C27057"/>
    <w:rsid w:val="00C30EF9"/>
    <w:rsid w:val="00C319F0"/>
    <w:rsid w:val="00C32F94"/>
    <w:rsid w:val="00C3353C"/>
    <w:rsid w:val="00C344BA"/>
    <w:rsid w:val="00C347C6"/>
    <w:rsid w:val="00C3603D"/>
    <w:rsid w:val="00C37633"/>
    <w:rsid w:val="00C37B75"/>
    <w:rsid w:val="00C402F0"/>
    <w:rsid w:val="00C41B9E"/>
    <w:rsid w:val="00C435E3"/>
    <w:rsid w:val="00C43DF8"/>
    <w:rsid w:val="00C44998"/>
    <w:rsid w:val="00C466C4"/>
    <w:rsid w:val="00C479A1"/>
    <w:rsid w:val="00C505E7"/>
    <w:rsid w:val="00C50833"/>
    <w:rsid w:val="00C50D40"/>
    <w:rsid w:val="00C50FF6"/>
    <w:rsid w:val="00C51485"/>
    <w:rsid w:val="00C53794"/>
    <w:rsid w:val="00C5426F"/>
    <w:rsid w:val="00C543E5"/>
    <w:rsid w:val="00C54B6B"/>
    <w:rsid w:val="00C55707"/>
    <w:rsid w:val="00C568BB"/>
    <w:rsid w:val="00C57AA8"/>
    <w:rsid w:val="00C57E8B"/>
    <w:rsid w:val="00C63593"/>
    <w:rsid w:val="00C647AE"/>
    <w:rsid w:val="00C648BB"/>
    <w:rsid w:val="00C6511F"/>
    <w:rsid w:val="00C66248"/>
    <w:rsid w:val="00C67333"/>
    <w:rsid w:val="00C67893"/>
    <w:rsid w:val="00C70896"/>
    <w:rsid w:val="00C71DA6"/>
    <w:rsid w:val="00C729F4"/>
    <w:rsid w:val="00C7595E"/>
    <w:rsid w:val="00C77471"/>
    <w:rsid w:val="00C81081"/>
    <w:rsid w:val="00C81CD0"/>
    <w:rsid w:val="00C82553"/>
    <w:rsid w:val="00C85005"/>
    <w:rsid w:val="00C86546"/>
    <w:rsid w:val="00C86699"/>
    <w:rsid w:val="00C86CFE"/>
    <w:rsid w:val="00C905BF"/>
    <w:rsid w:val="00C90608"/>
    <w:rsid w:val="00C909FE"/>
    <w:rsid w:val="00C91604"/>
    <w:rsid w:val="00C91CEB"/>
    <w:rsid w:val="00C921F8"/>
    <w:rsid w:val="00C92C2E"/>
    <w:rsid w:val="00C932FA"/>
    <w:rsid w:val="00C94487"/>
    <w:rsid w:val="00C94975"/>
    <w:rsid w:val="00C95369"/>
    <w:rsid w:val="00C960B7"/>
    <w:rsid w:val="00C9707B"/>
    <w:rsid w:val="00CA0826"/>
    <w:rsid w:val="00CA0A2E"/>
    <w:rsid w:val="00CA236E"/>
    <w:rsid w:val="00CA238B"/>
    <w:rsid w:val="00CA27CE"/>
    <w:rsid w:val="00CA36DE"/>
    <w:rsid w:val="00CA422B"/>
    <w:rsid w:val="00CA7A5F"/>
    <w:rsid w:val="00CB0CD4"/>
    <w:rsid w:val="00CB373D"/>
    <w:rsid w:val="00CB53F2"/>
    <w:rsid w:val="00CB595F"/>
    <w:rsid w:val="00CB5A11"/>
    <w:rsid w:val="00CB5C87"/>
    <w:rsid w:val="00CC0241"/>
    <w:rsid w:val="00CC075D"/>
    <w:rsid w:val="00CC09C6"/>
    <w:rsid w:val="00CC10AC"/>
    <w:rsid w:val="00CC21A3"/>
    <w:rsid w:val="00CC250F"/>
    <w:rsid w:val="00CC278E"/>
    <w:rsid w:val="00CC592F"/>
    <w:rsid w:val="00CC7B0D"/>
    <w:rsid w:val="00CD0DF4"/>
    <w:rsid w:val="00CD2D5C"/>
    <w:rsid w:val="00CD4325"/>
    <w:rsid w:val="00CD4B5F"/>
    <w:rsid w:val="00CD6BCB"/>
    <w:rsid w:val="00CD6EB4"/>
    <w:rsid w:val="00CE0C7F"/>
    <w:rsid w:val="00CE106D"/>
    <w:rsid w:val="00CE5DDF"/>
    <w:rsid w:val="00CE696C"/>
    <w:rsid w:val="00CE6E27"/>
    <w:rsid w:val="00CF0CE5"/>
    <w:rsid w:val="00CF1654"/>
    <w:rsid w:val="00CF20F6"/>
    <w:rsid w:val="00CF408C"/>
    <w:rsid w:val="00CF4FDC"/>
    <w:rsid w:val="00CF606E"/>
    <w:rsid w:val="00CF622D"/>
    <w:rsid w:val="00CF6273"/>
    <w:rsid w:val="00D0677C"/>
    <w:rsid w:val="00D07F05"/>
    <w:rsid w:val="00D1069A"/>
    <w:rsid w:val="00D122C3"/>
    <w:rsid w:val="00D126A1"/>
    <w:rsid w:val="00D12F3D"/>
    <w:rsid w:val="00D16826"/>
    <w:rsid w:val="00D16A65"/>
    <w:rsid w:val="00D22E2B"/>
    <w:rsid w:val="00D242DF"/>
    <w:rsid w:val="00D25E89"/>
    <w:rsid w:val="00D26572"/>
    <w:rsid w:val="00D2760F"/>
    <w:rsid w:val="00D3121C"/>
    <w:rsid w:val="00D328B8"/>
    <w:rsid w:val="00D32E8B"/>
    <w:rsid w:val="00D33205"/>
    <w:rsid w:val="00D33209"/>
    <w:rsid w:val="00D33770"/>
    <w:rsid w:val="00D340A9"/>
    <w:rsid w:val="00D3440A"/>
    <w:rsid w:val="00D3587D"/>
    <w:rsid w:val="00D35E4C"/>
    <w:rsid w:val="00D36897"/>
    <w:rsid w:val="00D40261"/>
    <w:rsid w:val="00D41CCA"/>
    <w:rsid w:val="00D41EF5"/>
    <w:rsid w:val="00D43197"/>
    <w:rsid w:val="00D433FE"/>
    <w:rsid w:val="00D43968"/>
    <w:rsid w:val="00D440CC"/>
    <w:rsid w:val="00D4419E"/>
    <w:rsid w:val="00D47161"/>
    <w:rsid w:val="00D53E96"/>
    <w:rsid w:val="00D54D00"/>
    <w:rsid w:val="00D56A38"/>
    <w:rsid w:val="00D574FC"/>
    <w:rsid w:val="00D61F29"/>
    <w:rsid w:val="00D6396D"/>
    <w:rsid w:val="00D64A3C"/>
    <w:rsid w:val="00D6516C"/>
    <w:rsid w:val="00D65461"/>
    <w:rsid w:val="00D669B1"/>
    <w:rsid w:val="00D66B87"/>
    <w:rsid w:val="00D66E67"/>
    <w:rsid w:val="00D73395"/>
    <w:rsid w:val="00D7353A"/>
    <w:rsid w:val="00D73B41"/>
    <w:rsid w:val="00D73FAF"/>
    <w:rsid w:val="00D76082"/>
    <w:rsid w:val="00D76DAF"/>
    <w:rsid w:val="00D773A8"/>
    <w:rsid w:val="00D81877"/>
    <w:rsid w:val="00D82557"/>
    <w:rsid w:val="00D838CA"/>
    <w:rsid w:val="00D852A4"/>
    <w:rsid w:val="00D8627C"/>
    <w:rsid w:val="00D91394"/>
    <w:rsid w:val="00D921C0"/>
    <w:rsid w:val="00D92900"/>
    <w:rsid w:val="00D92CC1"/>
    <w:rsid w:val="00D973DD"/>
    <w:rsid w:val="00DA13AE"/>
    <w:rsid w:val="00DA1CFF"/>
    <w:rsid w:val="00DA4050"/>
    <w:rsid w:val="00DA53B6"/>
    <w:rsid w:val="00DA5D14"/>
    <w:rsid w:val="00DB1A42"/>
    <w:rsid w:val="00DB277C"/>
    <w:rsid w:val="00DB29AE"/>
    <w:rsid w:val="00DB2AE6"/>
    <w:rsid w:val="00DB3087"/>
    <w:rsid w:val="00DB48E0"/>
    <w:rsid w:val="00DC07CE"/>
    <w:rsid w:val="00DC5656"/>
    <w:rsid w:val="00DC58F4"/>
    <w:rsid w:val="00DC5B00"/>
    <w:rsid w:val="00DC6156"/>
    <w:rsid w:val="00DC7A97"/>
    <w:rsid w:val="00DD02C1"/>
    <w:rsid w:val="00DD1274"/>
    <w:rsid w:val="00DD195D"/>
    <w:rsid w:val="00DD394F"/>
    <w:rsid w:val="00DD45CE"/>
    <w:rsid w:val="00DD4EFE"/>
    <w:rsid w:val="00DD4F39"/>
    <w:rsid w:val="00DD63E7"/>
    <w:rsid w:val="00DD75AA"/>
    <w:rsid w:val="00DE3293"/>
    <w:rsid w:val="00DE7925"/>
    <w:rsid w:val="00DF082D"/>
    <w:rsid w:val="00DF16C1"/>
    <w:rsid w:val="00DF1B2A"/>
    <w:rsid w:val="00DF26B9"/>
    <w:rsid w:val="00DF26C4"/>
    <w:rsid w:val="00DF3786"/>
    <w:rsid w:val="00DF4609"/>
    <w:rsid w:val="00DF4714"/>
    <w:rsid w:val="00DF4AC7"/>
    <w:rsid w:val="00E009AD"/>
    <w:rsid w:val="00E01F87"/>
    <w:rsid w:val="00E0224F"/>
    <w:rsid w:val="00E03306"/>
    <w:rsid w:val="00E05041"/>
    <w:rsid w:val="00E06B7B"/>
    <w:rsid w:val="00E07466"/>
    <w:rsid w:val="00E07818"/>
    <w:rsid w:val="00E07C08"/>
    <w:rsid w:val="00E10287"/>
    <w:rsid w:val="00E12148"/>
    <w:rsid w:val="00E1215B"/>
    <w:rsid w:val="00E12B51"/>
    <w:rsid w:val="00E1454C"/>
    <w:rsid w:val="00E15CC0"/>
    <w:rsid w:val="00E17654"/>
    <w:rsid w:val="00E20580"/>
    <w:rsid w:val="00E20FA1"/>
    <w:rsid w:val="00E22FA7"/>
    <w:rsid w:val="00E2337D"/>
    <w:rsid w:val="00E2450F"/>
    <w:rsid w:val="00E24D2B"/>
    <w:rsid w:val="00E24FDC"/>
    <w:rsid w:val="00E2570B"/>
    <w:rsid w:val="00E25DC1"/>
    <w:rsid w:val="00E26B7A"/>
    <w:rsid w:val="00E2718F"/>
    <w:rsid w:val="00E2786C"/>
    <w:rsid w:val="00E27C8D"/>
    <w:rsid w:val="00E311F1"/>
    <w:rsid w:val="00E313BA"/>
    <w:rsid w:val="00E31EFE"/>
    <w:rsid w:val="00E32496"/>
    <w:rsid w:val="00E329BD"/>
    <w:rsid w:val="00E32A89"/>
    <w:rsid w:val="00E342BC"/>
    <w:rsid w:val="00E3476A"/>
    <w:rsid w:val="00E35C77"/>
    <w:rsid w:val="00E35E25"/>
    <w:rsid w:val="00E37017"/>
    <w:rsid w:val="00E37FF3"/>
    <w:rsid w:val="00E411BA"/>
    <w:rsid w:val="00E423D6"/>
    <w:rsid w:val="00E42A70"/>
    <w:rsid w:val="00E44DDF"/>
    <w:rsid w:val="00E4525C"/>
    <w:rsid w:val="00E465A4"/>
    <w:rsid w:val="00E46AE4"/>
    <w:rsid w:val="00E47287"/>
    <w:rsid w:val="00E47FF0"/>
    <w:rsid w:val="00E5091D"/>
    <w:rsid w:val="00E510F6"/>
    <w:rsid w:val="00E51745"/>
    <w:rsid w:val="00E51CBA"/>
    <w:rsid w:val="00E52417"/>
    <w:rsid w:val="00E53C31"/>
    <w:rsid w:val="00E53F54"/>
    <w:rsid w:val="00E568BD"/>
    <w:rsid w:val="00E56D65"/>
    <w:rsid w:val="00E60E4B"/>
    <w:rsid w:val="00E62BE1"/>
    <w:rsid w:val="00E644EC"/>
    <w:rsid w:val="00E6551F"/>
    <w:rsid w:val="00E66731"/>
    <w:rsid w:val="00E66904"/>
    <w:rsid w:val="00E66CE8"/>
    <w:rsid w:val="00E707CE"/>
    <w:rsid w:val="00E72164"/>
    <w:rsid w:val="00E721BB"/>
    <w:rsid w:val="00E72BA7"/>
    <w:rsid w:val="00E75BFB"/>
    <w:rsid w:val="00E76328"/>
    <w:rsid w:val="00E76547"/>
    <w:rsid w:val="00E76BAA"/>
    <w:rsid w:val="00E801E6"/>
    <w:rsid w:val="00E80292"/>
    <w:rsid w:val="00E851BF"/>
    <w:rsid w:val="00E8725E"/>
    <w:rsid w:val="00E87A8F"/>
    <w:rsid w:val="00E93089"/>
    <w:rsid w:val="00E93671"/>
    <w:rsid w:val="00E93BBE"/>
    <w:rsid w:val="00E9453F"/>
    <w:rsid w:val="00E94926"/>
    <w:rsid w:val="00E97495"/>
    <w:rsid w:val="00EA0E91"/>
    <w:rsid w:val="00EA1202"/>
    <w:rsid w:val="00EA1975"/>
    <w:rsid w:val="00EA1B33"/>
    <w:rsid w:val="00EB22EC"/>
    <w:rsid w:val="00EB24FF"/>
    <w:rsid w:val="00EB2812"/>
    <w:rsid w:val="00EB2CB4"/>
    <w:rsid w:val="00EB32AD"/>
    <w:rsid w:val="00EB4201"/>
    <w:rsid w:val="00EB4225"/>
    <w:rsid w:val="00EB4436"/>
    <w:rsid w:val="00EB53CB"/>
    <w:rsid w:val="00EB6839"/>
    <w:rsid w:val="00EB764E"/>
    <w:rsid w:val="00EB7AD2"/>
    <w:rsid w:val="00EC060B"/>
    <w:rsid w:val="00EC166F"/>
    <w:rsid w:val="00EC1B02"/>
    <w:rsid w:val="00EC2174"/>
    <w:rsid w:val="00EC3FE5"/>
    <w:rsid w:val="00EC63DF"/>
    <w:rsid w:val="00EC6638"/>
    <w:rsid w:val="00ED116E"/>
    <w:rsid w:val="00ED1B03"/>
    <w:rsid w:val="00ED1FFE"/>
    <w:rsid w:val="00ED24C0"/>
    <w:rsid w:val="00ED37CB"/>
    <w:rsid w:val="00ED4689"/>
    <w:rsid w:val="00ED6240"/>
    <w:rsid w:val="00EE02E2"/>
    <w:rsid w:val="00EE0799"/>
    <w:rsid w:val="00EE0B3F"/>
    <w:rsid w:val="00EE23B4"/>
    <w:rsid w:val="00EE2BBD"/>
    <w:rsid w:val="00EE40B2"/>
    <w:rsid w:val="00EE483B"/>
    <w:rsid w:val="00EE4861"/>
    <w:rsid w:val="00EE573C"/>
    <w:rsid w:val="00EF01A5"/>
    <w:rsid w:val="00EF1829"/>
    <w:rsid w:val="00EF1B0E"/>
    <w:rsid w:val="00EF274E"/>
    <w:rsid w:val="00EF27D9"/>
    <w:rsid w:val="00EF29E9"/>
    <w:rsid w:val="00EF2ECE"/>
    <w:rsid w:val="00EF35A6"/>
    <w:rsid w:val="00EF407B"/>
    <w:rsid w:val="00EF4620"/>
    <w:rsid w:val="00EF491D"/>
    <w:rsid w:val="00F00120"/>
    <w:rsid w:val="00F00D7C"/>
    <w:rsid w:val="00F010D5"/>
    <w:rsid w:val="00F01925"/>
    <w:rsid w:val="00F10F21"/>
    <w:rsid w:val="00F10F4F"/>
    <w:rsid w:val="00F11238"/>
    <w:rsid w:val="00F12D35"/>
    <w:rsid w:val="00F148E8"/>
    <w:rsid w:val="00F15857"/>
    <w:rsid w:val="00F161C8"/>
    <w:rsid w:val="00F1656E"/>
    <w:rsid w:val="00F16718"/>
    <w:rsid w:val="00F1678F"/>
    <w:rsid w:val="00F16B8E"/>
    <w:rsid w:val="00F16DCE"/>
    <w:rsid w:val="00F16FD6"/>
    <w:rsid w:val="00F174D5"/>
    <w:rsid w:val="00F179E5"/>
    <w:rsid w:val="00F20123"/>
    <w:rsid w:val="00F24EF9"/>
    <w:rsid w:val="00F2622A"/>
    <w:rsid w:val="00F26240"/>
    <w:rsid w:val="00F27C6A"/>
    <w:rsid w:val="00F301FC"/>
    <w:rsid w:val="00F30308"/>
    <w:rsid w:val="00F32CFF"/>
    <w:rsid w:val="00F33979"/>
    <w:rsid w:val="00F35048"/>
    <w:rsid w:val="00F35104"/>
    <w:rsid w:val="00F356FF"/>
    <w:rsid w:val="00F375F1"/>
    <w:rsid w:val="00F40A85"/>
    <w:rsid w:val="00F438EE"/>
    <w:rsid w:val="00F43A6B"/>
    <w:rsid w:val="00F44E0A"/>
    <w:rsid w:val="00F47E83"/>
    <w:rsid w:val="00F47EB3"/>
    <w:rsid w:val="00F50EBC"/>
    <w:rsid w:val="00F51AA4"/>
    <w:rsid w:val="00F527BB"/>
    <w:rsid w:val="00F5322B"/>
    <w:rsid w:val="00F53891"/>
    <w:rsid w:val="00F56F9A"/>
    <w:rsid w:val="00F576D1"/>
    <w:rsid w:val="00F6018A"/>
    <w:rsid w:val="00F618E1"/>
    <w:rsid w:val="00F61E27"/>
    <w:rsid w:val="00F6509D"/>
    <w:rsid w:val="00F655EB"/>
    <w:rsid w:val="00F658B3"/>
    <w:rsid w:val="00F67618"/>
    <w:rsid w:val="00F734FD"/>
    <w:rsid w:val="00F74095"/>
    <w:rsid w:val="00F764B0"/>
    <w:rsid w:val="00F80D2F"/>
    <w:rsid w:val="00F80D70"/>
    <w:rsid w:val="00F810FD"/>
    <w:rsid w:val="00F81312"/>
    <w:rsid w:val="00F83E0C"/>
    <w:rsid w:val="00F86C03"/>
    <w:rsid w:val="00F87140"/>
    <w:rsid w:val="00F87375"/>
    <w:rsid w:val="00F8783A"/>
    <w:rsid w:val="00F939E7"/>
    <w:rsid w:val="00F93C4F"/>
    <w:rsid w:val="00F95284"/>
    <w:rsid w:val="00F97AED"/>
    <w:rsid w:val="00FA0FD2"/>
    <w:rsid w:val="00FA1584"/>
    <w:rsid w:val="00FA21FA"/>
    <w:rsid w:val="00FB2194"/>
    <w:rsid w:val="00FB2FEF"/>
    <w:rsid w:val="00FB434F"/>
    <w:rsid w:val="00FB5BB0"/>
    <w:rsid w:val="00FB6511"/>
    <w:rsid w:val="00FB6514"/>
    <w:rsid w:val="00FC0AF1"/>
    <w:rsid w:val="00FC0D03"/>
    <w:rsid w:val="00FC1C3D"/>
    <w:rsid w:val="00FC4663"/>
    <w:rsid w:val="00FC5798"/>
    <w:rsid w:val="00FC60BD"/>
    <w:rsid w:val="00FC716A"/>
    <w:rsid w:val="00FC731E"/>
    <w:rsid w:val="00FD2180"/>
    <w:rsid w:val="00FD6A36"/>
    <w:rsid w:val="00FD71DA"/>
    <w:rsid w:val="00FD7F73"/>
    <w:rsid w:val="00FE2FBA"/>
    <w:rsid w:val="00FE41A8"/>
    <w:rsid w:val="00FE4DD7"/>
    <w:rsid w:val="00FE5F02"/>
    <w:rsid w:val="00FE6F11"/>
    <w:rsid w:val="00FE7AC8"/>
    <w:rsid w:val="00FE7BF7"/>
    <w:rsid w:val="00FF39F3"/>
    <w:rsid w:val="00FF4C1E"/>
    <w:rsid w:val="00FF6AF8"/>
    <w:rsid w:val="00FF6BBD"/>
    <w:rsid w:val="00FF7AB3"/>
    <w:rsid w:val="00FF7BBD"/>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7"/>
    <o:shapelayout v:ext="edit">
      <o:idmap v:ext="edit" data="2"/>
    </o:shapelayout>
  </w:shapeDefaults>
  <w:decimalSymbol w:val=","/>
  <w:listSeparator w:val=";"/>
  <w14:docId w14:val="111B0A51"/>
  <w15:docId w15:val="{D8ADF02A-F165-401D-860C-FE0464B76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_tradnl" w:eastAsia="es-ES_trad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647D8"/>
    <w:rPr>
      <w:rFonts w:ascii="Arial" w:hAnsi="Arial"/>
      <w:szCs w:val="24"/>
      <w:lang w:val="es-ES" w:eastAsia="es-ES"/>
    </w:rPr>
  </w:style>
  <w:style w:type="paragraph" w:styleId="Ttulo1">
    <w:name w:val="heading 1"/>
    <w:basedOn w:val="Normal"/>
    <w:next w:val="Normal"/>
    <w:qFormat/>
    <w:pPr>
      <w:keepNext/>
      <w:tabs>
        <w:tab w:val="left" w:pos="5739"/>
      </w:tabs>
      <w:jc w:val="both"/>
      <w:outlineLvl w:val="0"/>
    </w:pPr>
    <w:rPr>
      <w:rFonts w:ascii="Times New Roman" w:hAnsi="Times New Roman"/>
      <w:b/>
      <w:bCs/>
      <w:i/>
      <w:iCs/>
      <w:sz w:val="22"/>
      <w:szCs w:val="22"/>
    </w:rPr>
  </w:style>
  <w:style w:type="paragraph" w:styleId="Ttulo2">
    <w:name w:val="heading 2"/>
    <w:basedOn w:val="Normal"/>
    <w:next w:val="Normal"/>
    <w:qFormat/>
    <w:pPr>
      <w:keepNext/>
      <w:widowControl w:val="0"/>
      <w:autoSpaceDE w:val="0"/>
      <w:autoSpaceDN w:val="0"/>
      <w:adjustRightInd w:val="0"/>
      <w:jc w:val="both"/>
      <w:outlineLvl w:val="1"/>
    </w:pPr>
    <w:rPr>
      <w:rFonts w:ascii="Times New Roman" w:hAnsi="Times New Roman"/>
      <w:b/>
      <w:bCs/>
      <w:sz w:val="22"/>
      <w:szCs w:val="22"/>
      <w:lang w:val="es-ES_tradnl"/>
    </w:rPr>
  </w:style>
  <w:style w:type="paragraph" w:styleId="Ttulo3">
    <w:name w:val="heading 3"/>
    <w:basedOn w:val="Normal"/>
    <w:next w:val="Normal"/>
    <w:qFormat/>
    <w:pPr>
      <w:keepNext/>
      <w:widowControl w:val="0"/>
      <w:autoSpaceDE w:val="0"/>
      <w:autoSpaceDN w:val="0"/>
      <w:adjustRightInd w:val="0"/>
      <w:jc w:val="center"/>
      <w:outlineLvl w:val="2"/>
    </w:pPr>
    <w:rPr>
      <w:rFonts w:ascii="Times New Roman" w:hAnsi="Times New Roman"/>
      <w:b/>
      <w:bCs/>
      <w:i/>
      <w:iCs/>
      <w:u w:val="single"/>
    </w:rPr>
  </w:style>
  <w:style w:type="paragraph" w:styleId="Ttulo4">
    <w:name w:val="heading 4"/>
    <w:basedOn w:val="Normal"/>
    <w:next w:val="Normal"/>
    <w:link w:val="Ttulo4Car"/>
    <w:qFormat/>
    <w:pPr>
      <w:keepNext/>
      <w:widowControl w:val="0"/>
      <w:pBdr>
        <w:top w:val="single" w:sz="6" w:space="1" w:color="auto"/>
        <w:left w:val="single" w:sz="6" w:space="1" w:color="auto"/>
        <w:bottom w:val="single" w:sz="6" w:space="1" w:color="auto"/>
        <w:right w:val="single" w:sz="6" w:space="1" w:color="auto"/>
      </w:pBdr>
      <w:shd w:val="clear" w:color="000000" w:fill="FFFFFF"/>
      <w:autoSpaceDE w:val="0"/>
      <w:autoSpaceDN w:val="0"/>
      <w:adjustRightInd w:val="0"/>
      <w:jc w:val="center"/>
      <w:outlineLvl w:val="3"/>
    </w:pPr>
    <w:rPr>
      <w:rFonts w:ascii="Times New Roman" w:hAnsi="Times New Roman"/>
      <w:b/>
      <w:bCs/>
      <w:sz w:val="28"/>
      <w:szCs w:val="28"/>
      <w:lang w:val="x-none" w:eastAsia="x-none"/>
    </w:rPr>
  </w:style>
  <w:style w:type="paragraph" w:styleId="Ttulo5">
    <w:name w:val="heading 5"/>
    <w:basedOn w:val="Normal"/>
    <w:next w:val="Normal"/>
    <w:qFormat/>
    <w:pPr>
      <w:keepNext/>
      <w:jc w:val="both"/>
      <w:outlineLvl w:val="4"/>
    </w:pPr>
    <w:rPr>
      <w:rFonts w:ascii="Times New Roman" w:hAnsi="Times New Roman"/>
      <w:sz w:val="24"/>
      <w:szCs w:val="28"/>
    </w:rPr>
  </w:style>
  <w:style w:type="paragraph" w:styleId="Ttulo6">
    <w:name w:val="heading 6"/>
    <w:basedOn w:val="Normal"/>
    <w:next w:val="Normal"/>
    <w:qFormat/>
    <w:pPr>
      <w:keepNext/>
      <w:jc w:val="both"/>
      <w:outlineLvl w:val="5"/>
    </w:pPr>
    <w:rPr>
      <w:rFonts w:ascii="Times New Roman" w:hAnsi="Times New Roman"/>
      <w:sz w:val="24"/>
      <w:u w:val="single"/>
    </w:rPr>
  </w:style>
  <w:style w:type="paragraph" w:styleId="Ttulo7">
    <w:name w:val="heading 7"/>
    <w:basedOn w:val="Normal"/>
    <w:next w:val="Normal"/>
    <w:qFormat/>
    <w:pPr>
      <w:keepNext/>
      <w:jc w:val="both"/>
      <w:outlineLvl w:val="6"/>
    </w:pPr>
    <w:rPr>
      <w:rFonts w:ascii="Times New Roman" w:hAnsi="Times New Roman"/>
      <w:i/>
      <w:iCs/>
      <w:sz w:val="24"/>
    </w:rPr>
  </w:style>
  <w:style w:type="paragraph" w:styleId="Ttulo8">
    <w:name w:val="heading 8"/>
    <w:basedOn w:val="Normal"/>
    <w:next w:val="Normal"/>
    <w:qFormat/>
    <w:pPr>
      <w:keepNext/>
      <w:pBdr>
        <w:top w:val="single" w:sz="4" w:space="1" w:color="auto"/>
        <w:left w:val="single" w:sz="4" w:space="4" w:color="auto"/>
        <w:bottom w:val="single" w:sz="4" w:space="1" w:color="auto"/>
        <w:right w:val="single" w:sz="4" w:space="4" w:color="auto"/>
      </w:pBdr>
      <w:tabs>
        <w:tab w:val="left" w:pos="360"/>
      </w:tabs>
      <w:jc w:val="both"/>
      <w:outlineLvl w:val="7"/>
    </w:pPr>
    <w:rPr>
      <w:b/>
      <w:bCs/>
      <w:sz w:val="24"/>
    </w:rPr>
  </w:style>
  <w:style w:type="paragraph" w:styleId="Ttulo9">
    <w:name w:val="heading 9"/>
    <w:basedOn w:val="Normal"/>
    <w:next w:val="Normal"/>
    <w:qFormat/>
    <w:pPr>
      <w:keepNext/>
      <w:tabs>
        <w:tab w:val="left" w:pos="360"/>
      </w:tabs>
      <w:jc w:val="both"/>
      <w:outlineLvl w:val="8"/>
    </w:pPr>
    <w:rPr>
      <w:rFonts w:ascii="Times New Roman" w:hAnsi="Times New Roman"/>
      <w:b/>
      <w:bCs/>
      <w:sz w:val="24"/>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252"/>
        <w:tab w:val="right" w:pos="8504"/>
      </w:tabs>
    </w:pPr>
  </w:style>
  <w:style w:type="paragraph" w:customStyle="1" w:styleId="Textoindependiente21">
    <w:name w:val="Texto independiente 21"/>
    <w:basedOn w:val="Normal"/>
    <w:pPr>
      <w:overflowPunct w:val="0"/>
      <w:autoSpaceDE w:val="0"/>
      <w:autoSpaceDN w:val="0"/>
      <w:adjustRightInd w:val="0"/>
      <w:jc w:val="both"/>
      <w:textAlignment w:val="baseline"/>
    </w:pPr>
    <w:rPr>
      <w:rFonts w:ascii="Times New Roman" w:hAnsi="Times New Roman"/>
      <w:szCs w:val="20"/>
      <w:lang w:val="es-ES_tradnl"/>
    </w:rPr>
  </w:style>
  <w:style w:type="paragraph" w:styleId="Textoindependiente">
    <w:name w:val="Body Text"/>
    <w:basedOn w:val="Normal"/>
    <w:link w:val="TextoindependienteCar"/>
    <w:pPr>
      <w:tabs>
        <w:tab w:val="left" w:pos="360"/>
      </w:tabs>
      <w:jc w:val="both"/>
    </w:pPr>
    <w:rPr>
      <w:rFonts w:ascii="Times New Roman" w:hAnsi="Times New Roman"/>
      <w:b/>
      <w:bCs/>
      <w:sz w:val="22"/>
      <w:szCs w:val="22"/>
      <w:lang w:val="x-none" w:eastAsia="x-none"/>
    </w:rPr>
  </w:style>
  <w:style w:type="paragraph" w:styleId="Ttulo">
    <w:name w:val="Title"/>
    <w:basedOn w:val="Normal"/>
    <w:qFormat/>
    <w:pPr>
      <w:widowControl w:val="0"/>
      <w:pBdr>
        <w:top w:val="single" w:sz="6" w:space="1" w:color="auto"/>
        <w:left w:val="single" w:sz="6" w:space="1" w:color="auto"/>
        <w:bottom w:val="single" w:sz="6" w:space="1" w:color="auto"/>
        <w:right w:val="single" w:sz="6" w:space="1" w:color="auto"/>
      </w:pBdr>
      <w:shd w:val="pct5" w:color="auto" w:fill="auto"/>
      <w:autoSpaceDE w:val="0"/>
      <w:autoSpaceDN w:val="0"/>
      <w:adjustRightInd w:val="0"/>
      <w:jc w:val="center"/>
    </w:pPr>
    <w:rPr>
      <w:rFonts w:ascii="Times New Roman" w:hAnsi="Times New Roman"/>
      <w:b/>
      <w:bCs/>
      <w:lang w:val="es-ES_tradnl"/>
    </w:rPr>
  </w:style>
  <w:style w:type="paragraph" w:styleId="Subttulo">
    <w:name w:val="Subtitle"/>
    <w:basedOn w:val="Normal"/>
    <w:qFormat/>
    <w:pPr>
      <w:widowControl w:val="0"/>
      <w:autoSpaceDE w:val="0"/>
      <w:autoSpaceDN w:val="0"/>
      <w:adjustRightInd w:val="0"/>
      <w:jc w:val="both"/>
    </w:pPr>
    <w:rPr>
      <w:rFonts w:ascii="Times New Roman" w:hAnsi="Times New Roman"/>
      <w:b/>
      <w:bCs/>
      <w:sz w:val="28"/>
      <w:szCs w:val="28"/>
      <w:lang w:val="es-ES_tradnl"/>
    </w:rPr>
  </w:style>
  <w:style w:type="paragraph" w:styleId="Textoindependiente3">
    <w:name w:val="Body Text 3"/>
    <w:basedOn w:val="Normal"/>
    <w:pPr>
      <w:widowControl w:val="0"/>
      <w:autoSpaceDE w:val="0"/>
      <w:autoSpaceDN w:val="0"/>
      <w:adjustRightInd w:val="0"/>
      <w:jc w:val="both"/>
    </w:pPr>
    <w:rPr>
      <w:rFonts w:ascii="Times New Roman" w:hAnsi="Times New Roman"/>
      <w:lang w:val="es-ES_tradnl"/>
    </w:rPr>
  </w:style>
  <w:style w:type="paragraph" w:styleId="Textoindependiente2">
    <w:name w:val="Body Text 2"/>
    <w:basedOn w:val="Normal"/>
    <w:pPr>
      <w:tabs>
        <w:tab w:val="left" w:pos="5739"/>
      </w:tabs>
      <w:jc w:val="both"/>
    </w:pPr>
    <w:rPr>
      <w:rFonts w:ascii="Times New Roman" w:hAnsi="Times New Roman"/>
      <w:i/>
      <w:iCs/>
      <w:sz w:val="22"/>
      <w:szCs w:val="22"/>
    </w:rPr>
  </w:style>
  <w:style w:type="paragraph" w:styleId="Sangradetextonormal">
    <w:name w:val="Body Text Indent"/>
    <w:basedOn w:val="Normal"/>
    <w:pPr>
      <w:ind w:left="360"/>
      <w:jc w:val="both"/>
    </w:pPr>
    <w:rPr>
      <w:rFonts w:ascii="Times New Roman" w:hAnsi="Times New Roman"/>
      <w:sz w:val="24"/>
    </w:rPr>
  </w:style>
  <w:style w:type="paragraph" w:styleId="Sangra2detindependiente">
    <w:name w:val="Body Text Indent 2"/>
    <w:basedOn w:val="Normal"/>
    <w:pPr>
      <w:tabs>
        <w:tab w:val="left" w:pos="360"/>
      </w:tabs>
      <w:ind w:left="720"/>
      <w:jc w:val="both"/>
    </w:pPr>
    <w:rPr>
      <w:rFonts w:ascii="Times New Roman" w:hAnsi="Times New Roman"/>
      <w:sz w:val="24"/>
      <w:szCs w:val="22"/>
    </w:rPr>
  </w:style>
  <w:style w:type="paragraph" w:styleId="Sangra3detindependiente">
    <w:name w:val="Body Text Indent 3"/>
    <w:basedOn w:val="Normal"/>
    <w:pPr>
      <w:tabs>
        <w:tab w:val="left" w:pos="540"/>
      </w:tabs>
      <w:ind w:left="540" w:hanging="180"/>
      <w:jc w:val="both"/>
    </w:pPr>
    <w:rPr>
      <w:rFonts w:ascii="Times New Roman" w:hAnsi="Times New Roman"/>
      <w:b/>
      <w:bCs/>
      <w:i/>
      <w:iCs/>
      <w:sz w:val="24"/>
      <w:szCs w:val="22"/>
    </w:rPr>
  </w:style>
  <w:style w:type="paragraph" w:styleId="Piedepgina">
    <w:name w:val="footer"/>
    <w:basedOn w:val="Normal"/>
    <w:link w:val="PiedepginaCar"/>
    <w:uiPriority w:val="99"/>
    <w:pPr>
      <w:tabs>
        <w:tab w:val="center" w:pos="4252"/>
        <w:tab w:val="right" w:pos="8504"/>
      </w:tabs>
    </w:pPr>
    <w:rPr>
      <w:lang w:val="x-none" w:eastAsia="x-none"/>
    </w:rPr>
  </w:style>
  <w:style w:type="character" w:styleId="Nmerodepgina">
    <w:name w:val="page number"/>
    <w:basedOn w:val="Fuentedeprrafopredeter"/>
  </w:style>
  <w:style w:type="character" w:styleId="Refdecomentario">
    <w:name w:val="annotation reference"/>
    <w:semiHidden/>
    <w:rPr>
      <w:sz w:val="16"/>
      <w:szCs w:val="16"/>
    </w:rPr>
  </w:style>
  <w:style w:type="paragraph" w:styleId="Textocomentario">
    <w:name w:val="annotation text"/>
    <w:basedOn w:val="Normal"/>
    <w:semiHidden/>
    <w:rPr>
      <w:szCs w:val="20"/>
    </w:rPr>
  </w:style>
  <w:style w:type="paragraph" w:styleId="Listaconvietas">
    <w:name w:val="List Bullet"/>
    <w:basedOn w:val="Normal"/>
    <w:autoRedefine/>
    <w:pPr>
      <w:numPr>
        <w:numId w:val="1"/>
      </w:numPr>
    </w:pPr>
  </w:style>
  <w:style w:type="paragraph" w:styleId="Listaconvietas2">
    <w:name w:val="List Bullet 2"/>
    <w:basedOn w:val="Normal"/>
    <w:autoRedefine/>
    <w:pPr>
      <w:numPr>
        <w:numId w:val="2"/>
      </w:numPr>
    </w:pPr>
  </w:style>
  <w:style w:type="paragraph" w:styleId="Continuarlista">
    <w:name w:val="List Continue"/>
    <w:basedOn w:val="Normal"/>
    <w:pPr>
      <w:spacing w:after="120"/>
      <w:ind w:left="283"/>
    </w:pPr>
  </w:style>
  <w:style w:type="paragraph" w:customStyle="1" w:styleId="Textoindependiente31">
    <w:name w:val="Texto independiente 31"/>
    <w:basedOn w:val="Normal"/>
    <w:pPr>
      <w:pBdr>
        <w:top w:val="single" w:sz="6" w:space="1" w:color="auto"/>
        <w:left w:val="single" w:sz="6" w:space="0" w:color="auto"/>
        <w:bottom w:val="single" w:sz="6" w:space="1" w:color="auto"/>
        <w:right w:val="single" w:sz="6" w:space="1" w:color="auto"/>
      </w:pBdr>
      <w:overflowPunct w:val="0"/>
      <w:autoSpaceDE w:val="0"/>
      <w:autoSpaceDN w:val="0"/>
      <w:adjustRightInd w:val="0"/>
      <w:jc w:val="both"/>
      <w:textAlignment w:val="baseline"/>
    </w:pPr>
    <w:rPr>
      <w:rFonts w:ascii="Times New Roman" w:hAnsi="Times New Roman"/>
      <w:b/>
      <w:sz w:val="28"/>
      <w:szCs w:val="20"/>
    </w:rPr>
  </w:style>
  <w:style w:type="paragraph" w:customStyle="1" w:styleId="Sangra2detindependiente1">
    <w:name w:val="Sangría 2 de t. independiente1"/>
    <w:basedOn w:val="Normal"/>
    <w:pPr>
      <w:overflowPunct w:val="0"/>
      <w:autoSpaceDE w:val="0"/>
      <w:autoSpaceDN w:val="0"/>
      <w:adjustRightInd w:val="0"/>
      <w:ind w:left="283"/>
      <w:jc w:val="both"/>
      <w:textAlignment w:val="baseline"/>
    </w:pPr>
    <w:rPr>
      <w:rFonts w:ascii="Times New Roman" w:hAnsi="Times New Roman"/>
      <w:sz w:val="22"/>
      <w:szCs w:val="20"/>
    </w:rPr>
  </w:style>
  <w:style w:type="character" w:styleId="Hipervnculo">
    <w:name w:val="Hyperlink"/>
    <w:rPr>
      <w:strike w:val="0"/>
      <w:dstrike w:val="0"/>
      <w:color w:val="0000FF"/>
      <w:u w:val="none"/>
      <w:effect w:val="none"/>
    </w:rPr>
  </w:style>
  <w:style w:type="paragraph" w:styleId="NormalWeb">
    <w:name w:val="Normal (Web)"/>
    <w:basedOn w:val="Normal"/>
    <w:uiPriority w:val="99"/>
    <w:pPr>
      <w:spacing w:before="100" w:beforeAutospacing="1" w:after="100" w:afterAutospacing="1"/>
    </w:pPr>
    <w:rPr>
      <w:rFonts w:ascii="Times New Roman" w:hAnsi="Times New Roman"/>
      <w:sz w:val="24"/>
    </w:rPr>
  </w:style>
  <w:style w:type="paragraph" w:styleId="Asuntodelcomentario">
    <w:name w:val="annotation subject"/>
    <w:basedOn w:val="Textocomentario"/>
    <w:next w:val="Textocomentario"/>
    <w:semiHidden/>
    <w:rPr>
      <w:b/>
      <w:bCs/>
    </w:rPr>
  </w:style>
  <w:style w:type="paragraph" w:styleId="Textodeglobo">
    <w:name w:val="Balloon Text"/>
    <w:basedOn w:val="Normal"/>
    <w:semiHidden/>
    <w:rPr>
      <w:rFonts w:ascii="Tahoma" w:hAnsi="Tahoma" w:cs="Tahoma"/>
      <w:sz w:val="16"/>
      <w:szCs w:val="16"/>
    </w:rPr>
  </w:style>
  <w:style w:type="character" w:styleId="Textoennegrita">
    <w:name w:val="Strong"/>
    <w:uiPriority w:val="22"/>
    <w:qFormat/>
    <w:rPr>
      <w:b/>
      <w:bCs/>
    </w:rPr>
  </w:style>
  <w:style w:type="paragraph" w:styleId="Mapadeldocumento">
    <w:name w:val="Document Map"/>
    <w:basedOn w:val="Normal"/>
    <w:semiHidden/>
    <w:pPr>
      <w:shd w:val="clear" w:color="auto" w:fill="000080"/>
    </w:pPr>
    <w:rPr>
      <w:rFonts w:ascii="Tahoma" w:hAnsi="Tahoma" w:cs="Tahoma"/>
      <w:szCs w:val="20"/>
    </w:rPr>
  </w:style>
  <w:style w:type="paragraph" w:customStyle="1" w:styleId="estilo8">
    <w:name w:val="estilo8"/>
    <w:basedOn w:val="Normal"/>
    <w:pPr>
      <w:spacing w:before="100" w:beforeAutospacing="1" w:after="100" w:afterAutospacing="1"/>
    </w:pPr>
    <w:rPr>
      <w:rFonts w:cs="Arial"/>
      <w:szCs w:val="20"/>
    </w:rPr>
  </w:style>
  <w:style w:type="paragraph" w:customStyle="1" w:styleId="Default">
    <w:name w:val="Default"/>
    <w:rsid w:val="00804BB8"/>
    <w:pPr>
      <w:autoSpaceDE w:val="0"/>
      <w:autoSpaceDN w:val="0"/>
      <w:adjustRightInd w:val="0"/>
    </w:pPr>
    <w:rPr>
      <w:rFonts w:ascii="Arial" w:hAnsi="Arial" w:cs="Arial"/>
      <w:color w:val="000000"/>
      <w:sz w:val="24"/>
      <w:szCs w:val="24"/>
      <w:lang w:val="es-ES" w:eastAsia="es-ES"/>
    </w:rPr>
  </w:style>
  <w:style w:type="character" w:customStyle="1" w:styleId="PiedepginaCar">
    <w:name w:val="Pie de página Car"/>
    <w:link w:val="Piedepgina"/>
    <w:uiPriority w:val="99"/>
    <w:rsid w:val="00345023"/>
    <w:rPr>
      <w:rFonts w:ascii="Arial" w:hAnsi="Arial"/>
      <w:szCs w:val="24"/>
    </w:rPr>
  </w:style>
  <w:style w:type="paragraph" w:styleId="Prrafodelista">
    <w:name w:val="List Paragraph"/>
    <w:basedOn w:val="Normal"/>
    <w:uiPriority w:val="34"/>
    <w:qFormat/>
    <w:rsid w:val="004E6727"/>
    <w:pPr>
      <w:ind w:left="708"/>
    </w:pPr>
  </w:style>
  <w:style w:type="character" w:customStyle="1" w:styleId="Ttulo4Car">
    <w:name w:val="Título 4 Car"/>
    <w:link w:val="Ttulo4"/>
    <w:rsid w:val="003A47CF"/>
    <w:rPr>
      <w:b/>
      <w:bCs/>
      <w:sz w:val="28"/>
      <w:szCs w:val="28"/>
      <w:shd w:val="clear" w:color="000000" w:fill="FFFFFF"/>
    </w:rPr>
  </w:style>
  <w:style w:type="character" w:customStyle="1" w:styleId="TextoindependienteCar">
    <w:name w:val="Texto independiente Car"/>
    <w:link w:val="Textoindependiente"/>
    <w:rsid w:val="00A77CE0"/>
    <w:rPr>
      <w:b/>
      <w:bCs/>
      <w:sz w:val="22"/>
      <w:szCs w:val="22"/>
    </w:rPr>
  </w:style>
  <w:style w:type="character" w:styleId="Referenciasutil">
    <w:name w:val="Subtle Reference"/>
    <w:uiPriority w:val="31"/>
    <w:qFormat/>
    <w:rsid w:val="00801458"/>
    <w:rPr>
      <w:smallCaps/>
      <w:color w:val="C0504D"/>
      <w:u w:val="single"/>
    </w:rPr>
  </w:style>
  <w:style w:type="character" w:styleId="Referenciaintensa">
    <w:name w:val="Intense Reference"/>
    <w:uiPriority w:val="32"/>
    <w:qFormat/>
    <w:rsid w:val="00801458"/>
    <w:rPr>
      <w:b/>
      <w:bCs/>
      <w:smallCaps/>
      <w:color w:val="C0504D"/>
      <w:spacing w:val="5"/>
      <w:u w:val="single"/>
    </w:rPr>
  </w:style>
  <w:style w:type="table" w:styleId="Tablaconcuadrcula">
    <w:name w:val="Table Grid"/>
    <w:basedOn w:val="Tablanormal"/>
    <w:rsid w:val="006058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t">
    <w:name w:val="pit"/>
    <w:basedOn w:val="Normal"/>
    <w:rsid w:val="00115D06"/>
    <w:pPr>
      <w:spacing w:before="100" w:beforeAutospacing="1" w:after="100" w:afterAutospacing="1"/>
    </w:pPr>
    <w:rPr>
      <w:rFonts w:ascii="Times New Roman" w:hAnsi="Times New Roman"/>
      <w:sz w:val="24"/>
    </w:rPr>
  </w:style>
  <w:style w:type="paragraph" w:styleId="Revisin">
    <w:name w:val="Revision"/>
    <w:hidden/>
    <w:uiPriority w:val="99"/>
    <w:semiHidden/>
    <w:rsid w:val="00A91DC8"/>
    <w:rPr>
      <w:rFonts w:ascii="Arial" w:hAnsi="Arial"/>
      <w:szCs w:val="24"/>
      <w:lang w:val="es-ES" w:eastAsia="es-ES"/>
    </w:rPr>
  </w:style>
  <w:style w:type="character" w:styleId="Mencinsinresolver">
    <w:name w:val="Unresolved Mention"/>
    <w:basedOn w:val="Fuentedeprrafopredeter"/>
    <w:uiPriority w:val="99"/>
    <w:semiHidden/>
    <w:unhideWhenUsed/>
    <w:rsid w:val="00BF7C78"/>
    <w:rPr>
      <w:color w:val="605E5C"/>
      <w:shd w:val="clear" w:color="auto" w:fill="E1DFDD"/>
    </w:rPr>
  </w:style>
  <w:style w:type="paragraph" w:customStyle="1" w:styleId="selectionshareable">
    <w:name w:val="selectionshareable"/>
    <w:basedOn w:val="Normal"/>
    <w:rsid w:val="0056761E"/>
    <w:pPr>
      <w:spacing w:before="100" w:beforeAutospacing="1" w:after="100" w:afterAutospacing="1"/>
    </w:pPr>
    <w:rPr>
      <w:rFonts w:ascii="Times New Roman" w:hAnsi="Times New Roman"/>
      <w:sz w:val="24"/>
    </w:rPr>
  </w:style>
  <w:style w:type="paragraph" w:customStyle="1" w:styleId="isselectedend">
    <w:name w:val="isselectedend"/>
    <w:basedOn w:val="Normal"/>
    <w:rsid w:val="00062E02"/>
    <w:pPr>
      <w:spacing w:before="100" w:beforeAutospacing="1" w:after="100" w:afterAutospacing="1"/>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91141">
      <w:bodyDiv w:val="1"/>
      <w:marLeft w:val="0"/>
      <w:marRight w:val="0"/>
      <w:marTop w:val="0"/>
      <w:marBottom w:val="0"/>
      <w:divBdr>
        <w:top w:val="none" w:sz="0" w:space="0" w:color="auto"/>
        <w:left w:val="none" w:sz="0" w:space="0" w:color="auto"/>
        <w:bottom w:val="none" w:sz="0" w:space="0" w:color="auto"/>
        <w:right w:val="none" w:sz="0" w:space="0" w:color="auto"/>
      </w:divBdr>
    </w:div>
    <w:div w:id="12846597">
      <w:bodyDiv w:val="1"/>
      <w:marLeft w:val="0"/>
      <w:marRight w:val="0"/>
      <w:marTop w:val="0"/>
      <w:marBottom w:val="0"/>
      <w:divBdr>
        <w:top w:val="none" w:sz="0" w:space="0" w:color="auto"/>
        <w:left w:val="none" w:sz="0" w:space="0" w:color="auto"/>
        <w:bottom w:val="none" w:sz="0" w:space="0" w:color="auto"/>
        <w:right w:val="none" w:sz="0" w:space="0" w:color="auto"/>
      </w:divBdr>
    </w:div>
    <w:div w:id="62802998">
      <w:bodyDiv w:val="1"/>
      <w:marLeft w:val="0"/>
      <w:marRight w:val="0"/>
      <w:marTop w:val="0"/>
      <w:marBottom w:val="0"/>
      <w:divBdr>
        <w:top w:val="single" w:sz="2" w:space="0" w:color="CC3640"/>
        <w:left w:val="none" w:sz="0" w:space="0" w:color="auto"/>
        <w:bottom w:val="none" w:sz="0" w:space="0" w:color="auto"/>
        <w:right w:val="none" w:sz="0" w:space="0" w:color="auto"/>
      </w:divBdr>
      <w:divsChild>
        <w:div w:id="783771402">
          <w:marLeft w:val="0"/>
          <w:marRight w:val="0"/>
          <w:marTop w:val="0"/>
          <w:marBottom w:val="0"/>
          <w:divBdr>
            <w:top w:val="single" w:sz="2" w:space="0" w:color="FF0000"/>
            <w:left w:val="single" w:sz="2" w:space="0" w:color="FF0000"/>
            <w:bottom w:val="single" w:sz="2" w:space="0" w:color="FF0000"/>
            <w:right w:val="single" w:sz="2" w:space="0" w:color="FF0000"/>
          </w:divBdr>
          <w:divsChild>
            <w:div w:id="468255482">
              <w:marLeft w:val="0"/>
              <w:marRight w:val="0"/>
              <w:marTop w:val="0"/>
              <w:marBottom w:val="0"/>
              <w:divBdr>
                <w:top w:val="none" w:sz="0" w:space="0" w:color="auto"/>
                <w:left w:val="single" w:sz="6" w:space="0" w:color="DDDDDD"/>
                <w:bottom w:val="none" w:sz="0" w:space="0" w:color="auto"/>
                <w:right w:val="none" w:sz="0" w:space="0" w:color="auto"/>
              </w:divBdr>
              <w:divsChild>
                <w:div w:id="1577398760">
                  <w:marLeft w:val="0"/>
                  <w:marRight w:val="0"/>
                  <w:marTop w:val="0"/>
                  <w:marBottom w:val="0"/>
                  <w:divBdr>
                    <w:top w:val="single" w:sz="2" w:space="0" w:color="008000"/>
                    <w:left w:val="single" w:sz="2" w:space="0" w:color="008000"/>
                    <w:bottom w:val="single" w:sz="2" w:space="0" w:color="008000"/>
                    <w:right w:val="single" w:sz="2" w:space="0" w:color="008000"/>
                  </w:divBdr>
                  <w:divsChild>
                    <w:div w:id="2050259769">
                      <w:marLeft w:val="0"/>
                      <w:marRight w:val="0"/>
                      <w:marTop w:val="0"/>
                      <w:marBottom w:val="0"/>
                      <w:divBdr>
                        <w:top w:val="none" w:sz="0" w:space="0" w:color="auto"/>
                        <w:left w:val="none" w:sz="0" w:space="0" w:color="auto"/>
                        <w:bottom w:val="none" w:sz="0" w:space="0" w:color="auto"/>
                        <w:right w:val="none" w:sz="0" w:space="0" w:color="auto"/>
                      </w:divBdr>
                      <w:divsChild>
                        <w:div w:id="90320152">
                          <w:marLeft w:val="0"/>
                          <w:marRight w:val="0"/>
                          <w:marTop w:val="0"/>
                          <w:marBottom w:val="0"/>
                          <w:divBdr>
                            <w:top w:val="none" w:sz="0" w:space="0" w:color="auto"/>
                            <w:left w:val="none" w:sz="0" w:space="0" w:color="auto"/>
                            <w:bottom w:val="none" w:sz="0" w:space="0" w:color="auto"/>
                            <w:right w:val="none" w:sz="0" w:space="0" w:color="auto"/>
                          </w:divBdr>
                          <w:divsChild>
                            <w:div w:id="2139642136">
                              <w:marLeft w:val="0"/>
                              <w:marRight w:val="0"/>
                              <w:marTop w:val="0"/>
                              <w:marBottom w:val="0"/>
                              <w:divBdr>
                                <w:top w:val="none" w:sz="0" w:space="0" w:color="auto"/>
                                <w:left w:val="single" w:sz="6" w:space="0" w:color="C3CDD8"/>
                                <w:bottom w:val="none" w:sz="0" w:space="0" w:color="auto"/>
                                <w:right w:val="none" w:sz="0" w:space="0" w:color="auto"/>
                              </w:divBdr>
                            </w:div>
                          </w:divsChild>
                        </w:div>
                      </w:divsChild>
                    </w:div>
                  </w:divsChild>
                </w:div>
              </w:divsChild>
            </w:div>
          </w:divsChild>
        </w:div>
      </w:divsChild>
    </w:div>
    <w:div w:id="104424096">
      <w:bodyDiv w:val="1"/>
      <w:marLeft w:val="0"/>
      <w:marRight w:val="0"/>
      <w:marTop w:val="0"/>
      <w:marBottom w:val="0"/>
      <w:divBdr>
        <w:top w:val="none" w:sz="0" w:space="0" w:color="auto"/>
        <w:left w:val="none" w:sz="0" w:space="0" w:color="auto"/>
        <w:bottom w:val="none" w:sz="0" w:space="0" w:color="auto"/>
        <w:right w:val="none" w:sz="0" w:space="0" w:color="auto"/>
      </w:divBdr>
      <w:divsChild>
        <w:div w:id="1678389868">
          <w:marLeft w:val="0"/>
          <w:marRight w:val="0"/>
          <w:marTop w:val="0"/>
          <w:marBottom w:val="0"/>
          <w:divBdr>
            <w:top w:val="single" w:sz="12" w:space="0" w:color="0092F4"/>
            <w:left w:val="none" w:sz="0" w:space="0" w:color="auto"/>
            <w:bottom w:val="none" w:sz="0" w:space="0" w:color="auto"/>
            <w:right w:val="none" w:sz="0" w:space="0" w:color="auto"/>
          </w:divBdr>
          <w:divsChild>
            <w:div w:id="284433819">
              <w:marLeft w:val="450"/>
              <w:marRight w:val="450"/>
              <w:marTop w:val="150"/>
              <w:marBottom w:val="0"/>
              <w:divBdr>
                <w:top w:val="none" w:sz="0" w:space="0" w:color="auto"/>
                <w:left w:val="none" w:sz="0" w:space="0" w:color="auto"/>
                <w:bottom w:val="none" w:sz="0" w:space="0" w:color="auto"/>
                <w:right w:val="none" w:sz="0" w:space="0" w:color="auto"/>
              </w:divBdr>
              <w:divsChild>
                <w:div w:id="90630056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97675221">
          <w:marLeft w:val="0"/>
          <w:marRight w:val="0"/>
          <w:marTop w:val="0"/>
          <w:marBottom w:val="0"/>
          <w:divBdr>
            <w:top w:val="none" w:sz="0" w:space="0" w:color="auto"/>
            <w:left w:val="none" w:sz="0" w:space="0" w:color="auto"/>
            <w:bottom w:val="none" w:sz="0" w:space="0" w:color="auto"/>
            <w:right w:val="none" w:sz="0" w:space="0" w:color="auto"/>
          </w:divBdr>
          <w:divsChild>
            <w:div w:id="1263605848">
              <w:marLeft w:val="0"/>
              <w:marRight w:val="0"/>
              <w:marTop w:val="0"/>
              <w:marBottom w:val="0"/>
              <w:divBdr>
                <w:top w:val="none" w:sz="0" w:space="0" w:color="auto"/>
                <w:left w:val="none" w:sz="0" w:space="0" w:color="auto"/>
                <w:bottom w:val="none" w:sz="0" w:space="0" w:color="auto"/>
                <w:right w:val="none" w:sz="0" w:space="0" w:color="auto"/>
              </w:divBdr>
              <w:divsChild>
                <w:div w:id="763958554">
                  <w:marLeft w:val="0"/>
                  <w:marRight w:val="0"/>
                  <w:marTop w:val="0"/>
                  <w:marBottom w:val="170"/>
                  <w:divBdr>
                    <w:top w:val="none" w:sz="0" w:space="0" w:color="auto"/>
                    <w:left w:val="none" w:sz="0" w:space="0" w:color="auto"/>
                    <w:bottom w:val="none" w:sz="0" w:space="0" w:color="auto"/>
                    <w:right w:val="none" w:sz="0" w:space="0" w:color="auto"/>
                  </w:divBdr>
                  <w:divsChild>
                    <w:div w:id="2010787828">
                      <w:marLeft w:val="0"/>
                      <w:marRight w:val="0"/>
                      <w:marTop w:val="170"/>
                      <w:marBottom w:val="170"/>
                      <w:divBdr>
                        <w:top w:val="none" w:sz="0" w:space="0" w:color="auto"/>
                        <w:left w:val="none" w:sz="0" w:space="0" w:color="auto"/>
                        <w:bottom w:val="none" w:sz="0" w:space="0" w:color="auto"/>
                        <w:right w:val="none" w:sz="0" w:space="0" w:color="auto"/>
                      </w:divBdr>
                    </w:div>
                  </w:divsChild>
                </w:div>
                <w:div w:id="1150907525">
                  <w:marLeft w:val="0"/>
                  <w:marRight w:val="0"/>
                  <w:marTop w:val="0"/>
                  <w:marBottom w:val="0"/>
                  <w:divBdr>
                    <w:top w:val="none" w:sz="0" w:space="0" w:color="auto"/>
                    <w:left w:val="none" w:sz="0" w:space="0" w:color="auto"/>
                    <w:bottom w:val="none" w:sz="0" w:space="0" w:color="auto"/>
                    <w:right w:val="none" w:sz="0" w:space="0" w:color="auto"/>
                  </w:divBdr>
                  <w:divsChild>
                    <w:div w:id="270361926">
                      <w:marLeft w:val="0"/>
                      <w:marRight w:val="0"/>
                      <w:marTop w:val="0"/>
                      <w:marBottom w:val="0"/>
                      <w:divBdr>
                        <w:top w:val="none" w:sz="0" w:space="0" w:color="auto"/>
                        <w:left w:val="none" w:sz="0" w:space="0" w:color="auto"/>
                        <w:bottom w:val="none" w:sz="0" w:space="0" w:color="auto"/>
                        <w:right w:val="none" w:sz="0" w:space="0" w:color="auto"/>
                      </w:divBdr>
                    </w:div>
                    <w:div w:id="1249734763">
                      <w:marLeft w:val="0"/>
                      <w:marRight w:val="0"/>
                      <w:marTop w:val="0"/>
                      <w:marBottom w:val="0"/>
                      <w:divBdr>
                        <w:top w:val="none" w:sz="0" w:space="0" w:color="auto"/>
                        <w:left w:val="none" w:sz="0" w:space="0" w:color="auto"/>
                        <w:bottom w:val="none" w:sz="0" w:space="0" w:color="auto"/>
                        <w:right w:val="none" w:sz="0" w:space="0" w:color="auto"/>
                      </w:divBdr>
                    </w:div>
                    <w:div w:id="1915385459">
                      <w:marLeft w:val="0"/>
                      <w:marRight w:val="0"/>
                      <w:marTop w:val="0"/>
                      <w:marBottom w:val="0"/>
                      <w:divBdr>
                        <w:top w:val="none" w:sz="0" w:space="0" w:color="auto"/>
                        <w:left w:val="none" w:sz="0" w:space="0" w:color="auto"/>
                        <w:bottom w:val="none" w:sz="0" w:space="0" w:color="auto"/>
                        <w:right w:val="none" w:sz="0" w:space="0" w:color="auto"/>
                      </w:divBdr>
                    </w:div>
                    <w:div w:id="776827571">
                      <w:marLeft w:val="0"/>
                      <w:marRight w:val="0"/>
                      <w:marTop w:val="0"/>
                      <w:marBottom w:val="0"/>
                      <w:divBdr>
                        <w:top w:val="none" w:sz="0" w:space="0" w:color="auto"/>
                        <w:left w:val="none" w:sz="0" w:space="0" w:color="auto"/>
                        <w:bottom w:val="none" w:sz="0" w:space="0" w:color="auto"/>
                        <w:right w:val="none" w:sz="0" w:space="0" w:color="auto"/>
                      </w:divBdr>
                    </w:div>
                    <w:div w:id="1725909833">
                      <w:marLeft w:val="0"/>
                      <w:marRight w:val="0"/>
                      <w:marTop w:val="0"/>
                      <w:marBottom w:val="0"/>
                      <w:divBdr>
                        <w:top w:val="none" w:sz="0" w:space="0" w:color="auto"/>
                        <w:left w:val="none" w:sz="0" w:space="0" w:color="auto"/>
                        <w:bottom w:val="none" w:sz="0" w:space="0" w:color="auto"/>
                        <w:right w:val="none" w:sz="0" w:space="0" w:color="auto"/>
                      </w:divBdr>
                    </w:div>
                    <w:div w:id="1353384579">
                      <w:marLeft w:val="0"/>
                      <w:marRight w:val="0"/>
                      <w:marTop w:val="0"/>
                      <w:marBottom w:val="0"/>
                      <w:divBdr>
                        <w:top w:val="none" w:sz="0" w:space="0" w:color="auto"/>
                        <w:left w:val="none" w:sz="0" w:space="0" w:color="auto"/>
                        <w:bottom w:val="none" w:sz="0" w:space="0" w:color="auto"/>
                        <w:right w:val="none" w:sz="0" w:space="0" w:color="auto"/>
                      </w:divBdr>
                    </w:div>
                    <w:div w:id="1970671020">
                      <w:marLeft w:val="0"/>
                      <w:marRight w:val="0"/>
                      <w:marTop w:val="0"/>
                      <w:marBottom w:val="0"/>
                      <w:divBdr>
                        <w:top w:val="none" w:sz="0" w:space="0" w:color="auto"/>
                        <w:left w:val="none" w:sz="0" w:space="0" w:color="auto"/>
                        <w:bottom w:val="none" w:sz="0" w:space="0" w:color="auto"/>
                        <w:right w:val="none" w:sz="0" w:space="0" w:color="auto"/>
                      </w:divBdr>
                    </w:div>
                    <w:div w:id="274753007">
                      <w:marLeft w:val="0"/>
                      <w:marRight w:val="0"/>
                      <w:marTop w:val="0"/>
                      <w:marBottom w:val="0"/>
                      <w:divBdr>
                        <w:top w:val="none" w:sz="0" w:space="0" w:color="auto"/>
                        <w:left w:val="none" w:sz="0" w:space="0" w:color="auto"/>
                        <w:bottom w:val="none" w:sz="0" w:space="0" w:color="auto"/>
                        <w:right w:val="none" w:sz="0" w:space="0" w:color="auto"/>
                      </w:divBdr>
                    </w:div>
                    <w:div w:id="546600549">
                      <w:marLeft w:val="0"/>
                      <w:marRight w:val="0"/>
                      <w:marTop w:val="0"/>
                      <w:marBottom w:val="0"/>
                      <w:divBdr>
                        <w:top w:val="none" w:sz="0" w:space="0" w:color="auto"/>
                        <w:left w:val="none" w:sz="0" w:space="0" w:color="auto"/>
                        <w:bottom w:val="none" w:sz="0" w:space="0" w:color="auto"/>
                        <w:right w:val="none" w:sz="0" w:space="0" w:color="auto"/>
                      </w:divBdr>
                    </w:div>
                    <w:div w:id="953445529">
                      <w:marLeft w:val="0"/>
                      <w:marRight w:val="0"/>
                      <w:marTop w:val="0"/>
                      <w:marBottom w:val="0"/>
                      <w:divBdr>
                        <w:top w:val="none" w:sz="0" w:space="0" w:color="auto"/>
                        <w:left w:val="none" w:sz="0" w:space="0" w:color="auto"/>
                        <w:bottom w:val="none" w:sz="0" w:space="0" w:color="auto"/>
                        <w:right w:val="none" w:sz="0" w:space="0" w:color="auto"/>
                      </w:divBdr>
                    </w:div>
                    <w:div w:id="1304968519">
                      <w:marLeft w:val="0"/>
                      <w:marRight w:val="0"/>
                      <w:marTop w:val="0"/>
                      <w:marBottom w:val="0"/>
                      <w:divBdr>
                        <w:top w:val="none" w:sz="0" w:space="0" w:color="auto"/>
                        <w:left w:val="none" w:sz="0" w:space="0" w:color="auto"/>
                        <w:bottom w:val="none" w:sz="0" w:space="0" w:color="auto"/>
                        <w:right w:val="none" w:sz="0" w:space="0" w:color="auto"/>
                      </w:divBdr>
                    </w:div>
                    <w:div w:id="1756053152">
                      <w:marLeft w:val="0"/>
                      <w:marRight w:val="0"/>
                      <w:marTop w:val="0"/>
                      <w:marBottom w:val="0"/>
                      <w:divBdr>
                        <w:top w:val="none" w:sz="0" w:space="0" w:color="auto"/>
                        <w:left w:val="none" w:sz="0" w:space="0" w:color="auto"/>
                        <w:bottom w:val="none" w:sz="0" w:space="0" w:color="auto"/>
                        <w:right w:val="none" w:sz="0" w:space="0" w:color="auto"/>
                      </w:divBdr>
                    </w:div>
                    <w:div w:id="699166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983795">
      <w:bodyDiv w:val="1"/>
      <w:marLeft w:val="0"/>
      <w:marRight w:val="0"/>
      <w:marTop w:val="0"/>
      <w:marBottom w:val="0"/>
      <w:divBdr>
        <w:top w:val="none" w:sz="0" w:space="0" w:color="auto"/>
        <w:left w:val="none" w:sz="0" w:space="0" w:color="auto"/>
        <w:bottom w:val="none" w:sz="0" w:space="0" w:color="auto"/>
        <w:right w:val="none" w:sz="0" w:space="0" w:color="auto"/>
      </w:divBdr>
    </w:div>
    <w:div w:id="152721649">
      <w:bodyDiv w:val="1"/>
      <w:marLeft w:val="0"/>
      <w:marRight w:val="0"/>
      <w:marTop w:val="0"/>
      <w:marBottom w:val="0"/>
      <w:divBdr>
        <w:top w:val="none" w:sz="0" w:space="0" w:color="auto"/>
        <w:left w:val="none" w:sz="0" w:space="0" w:color="auto"/>
        <w:bottom w:val="none" w:sz="0" w:space="0" w:color="auto"/>
        <w:right w:val="none" w:sz="0" w:space="0" w:color="auto"/>
      </w:divBdr>
    </w:div>
    <w:div w:id="175776494">
      <w:bodyDiv w:val="1"/>
      <w:marLeft w:val="0"/>
      <w:marRight w:val="0"/>
      <w:marTop w:val="0"/>
      <w:marBottom w:val="0"/>
      <w:divBdr>
        <w:top w:val="none" w:sz="0" w:space="0" w:color="auto"/>
        <w:left w:val="none" w:sz="0" w:space="0" w:color="auto"/>
        <w:bottom w:val="none" w:sz="0" w:space="0" w:color="auto"/>
        <w:right w:val="none" w:sz="0" w:space="0" w:color="auto"/>
      </w:divBdr>
    </w:div>
    <w:div w:id="187257197">
      <w:bodyDiv w:val="1"/>
      <w:marLeft w:val="0"/>
      <w:marRight w:val="0"/>
      <w:marTop w:val="0"/>
      <w:marBottom w:val="0"/>
      <w:divBdr>
        <w:top w:val="none" w:sz="0" w:space="0" w:color="auto"/>
        <w:left w:val="none" w:sz="0" w:space="0" w:color="auto"/>
        <w:bottom w:val="none" w:sz="0" w:space="0" w:color="auto"/>
        <w:right w:val="none" w:sz="0" w:space="0" w:color="auto"/>
      </w:divBdr>
      <w:divsChild>
        <w:div w:id="1916623843">
          <w:marLeft w:val="0"/>
          <w:marRight w:val="0"/>
          <w:marTop w:val="0"/>
          <w:marBottom w:val="0"/>
          <w:divBdr>
            <w:top w:val="none" w:sz="0" w:space="0" w:color="auto"/>
            <w:left w:val="none" w:sz="0" w:space="0" w:color="auto"/>
            <w:bottom w:val="none" w:sz="0" w:space="0" w:color="auto"/>
            <w:right w:val="none" w:sz="0" w:space="0" w:color="auto"/>
          </w:divBdr>
          <w:divsChild>
            <w:div w:id="814251170">
              <w:marLeft w:val="212"/>
              <w:marRight w:val="0"/>
              <w:marTop w:val="0"/>
              <w:marBottom w:val="0"/>
              <w:divBdr>
                <w:top w:val="none" w:sz="0" w:space="0" w:color="auto"/>
                <w:left w:val="none" w:sz="0" w:space="0" w:color="auto"/>
                <w:bottom w:val="none" w:sz="0" w:space="0" w:color="auto"/>
                <w:right w:val="none" w:sz="0" w:space="0" w:color="auto"/>
              </w:divBdr>
              <w:divsChild>
                <w:div w:id="798887946">
                  <w:marLeft w:val="0"/>
                  <w:marRight w:val="0"/>
                  <w:marTop w:val="0"/>
                  <w:marBottom w:val="225"/>
                  <w:divBdr>
                    <w:top w:val="none" w:sz="0" w:space="0" w:color="auto"/>
                    <w:left w:val="none" w:sz="0" w:space="0" w:color="auto"/>
                    <w:bottom w:val="none" w:sz="0" w:space="0" w:color="auto"/>
                    <w:right w:val="none" w:sz="0" w:space="0" w:color="auto"/>
                  </w:divBdr>
                </w:div>
                <w:div w:id="1582760698">
                  <w:marLeft w:val="0"/>
                  <w:marRight w:val="0"/>
                  <w:marTop w:val="0"/>
                  <w:marBottom w:val="0"/>
                  <w:divBdr>
                    <w:top w:val="none" w:sz="0" w:space="0" w:color="auto"/>
                    <w:left w:val="none" w:sz="0" w:space="0" w:color="auto"/>
                    <w:bottom w:val="none" w:sz="0" w:space="0" w:color="auto"/>
                    <w:right w:val="none" w:sz="0" w:space="0" w:color="auto"/>
                  </w:divBdr>
                </w:div>
                <w:div w:id="301690989">
                  <w:marLeft w:val="0"/>
                  <w:marRight w:val="0"/>
                  <w:marTop w:val="225"/>
                  <w:marBottom w:val="0"/>
                  <w:divBdr>
                    <w:top w:val="none" w:sz="0" w:space="0" w:color="auto"/>
                    <w:left w:val="none" w:sz="0" w:space="0" w:color="auto"/>
                    <w:bottom w:val="none" w:sz="0" w:space="0" w:color="auto"/>
                    <w:right w:val="none" w:sz="0" w:space="0" w:color="auto"/>
                  </w:divBdr>
                  <w:divsChild>
                    <w:div w:id="1095396899">
                      <w:marLeft w:val="0"/>
                      <w:marRight w:val="0"/>
                      <w:marTop w:val="0"/>
                      <w:marBottom w:val="0"/>
                      <w:divBdr>
                        <w:top w:val="none" w:sz="0" w:space="0" w:color="auto"/>
                        <w:left w:val="none" w:sz="0" w:space="0" w:color="auto"/>
                        <w:bottom w:val="none" w:sz="0" w:space="0" w:color="auto"/>
                        <w:right w:val="none" w:sz="0" w:space="0" w:color="auto"/>
                      </w:divBdr>
                    </w:div>
                    <w:div w:id="145424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632402">
          <w:marLeft w:val="0"/>
          <w:marRight w:val="0"/>
          <w:marTop w:val="0"/>
          <w:marBottom w:val="300"/>
          <w:divBdr>
            <w:top w:val="none" w:sz="0" w:space="0" w:color="auto"/>
            <w:left w:val="none" w:sz="0" w:space="0" w:color="auto"/>
            <w:bottom w:val="none" w:sz="0" w:space="0" w:color="auto"/>
            <w:right w:val="none" w:sz="0" w:space="0" w:color="auto"/>
          </w:divBdr>
        </w:div>
      </w:divsChild>
    </w:div>
    <w:div w:id="239173072">
      <w:bodyDiv w:val="1"/>
      <w:marLeft w:val="0"/>
      <w:marRight w:val="0"/>
      <w:marTop w:val="0"/>
      <w:marBottom w:val="0"/>
      <w:divBdr>
        <w:top w:val="none" w:sz="0" w:space="0" w:color="auto"/>
        <w:left w:val="none" w:sz="0" w:space="0" w:color="auto"/>
        <w:bottom w:val="none" w:sz="0" w:space="0" w:color="auto"/>
        <w:right w:val="none" w:sz="0" w:space="0" w:color="auto"/>
      </w:divBdr>
    </w:div>
    <w:div w:id="255791843">
      <w:bodyDiv w:val="1"/>
      <w:marLeft w:val="0"/>
      <w:marRight w:val="0"/>
      <w:marTop w:val="0"/>
      <w:marBottom w:val="0"/>
      <w:divBdr>
        <w:top w:val="none" w:sz="0" w:space="0" w:color="auto"/>
        <w:left w:val="none" w:sz="0" w:space="0" w:color="auto"/>
        <w:bottom w:val="none" w:sz="0" w:space="0" w:color="auto"/>
        <w:right w:val="none" w:sz="0" w:space="0" w:color="auto"/>
      </w:divBdr>
    </w:div>
    <w:div w:id="293802116">
      <w:bodyDiv w:val="1"/>
      <w:marLeft w:val="0"/>
      <w:marRight w:val="0"/>
      <w:marTop w:val="0"/>
      <w:marBottom w:val="0"/>
      <w:divBdr>
        <w:top w:val="single" w:sz="2" w:space="0" w:color="CC3640"/>
        <w:left w:val="none" w:sz="0" w:space="0" w:color="auto"/>
        <w:bottom w:val="none" w:sz="0" w:space="0" w:color="auto"/>
        <w:right w:val="none" w:sz="0" w:space="0" w:color="auto"/>
      </w:divBdr>
      <w:divsChild>
        <w:div w:id="1420909314">
          <w:marLeft w:val="0"/>
          <w:marRight w:val="0"/>
          <w:marTop w:val="0"/>
          <w:marBottom w:val="0"/>
          <w:divBdr>
            <w:top w:val="single" w:sz="2" w:space="0" w:color="FF0000"/>
            <w:left w:val="single" w:sz="2" w:space="0" w:color="FF0000"/>
            <w:bottom w:val="single" w:sz="2" w:space="0" w:color="FF0000"/>
            <w:right w:val="single" w:sz="2" w:space="0" w:color="FF0000"/>
          </w:divBdr>
          <w:divsChild>
            <w:div w:id="1094977228">
              <w:marLeft w:val="0"/>
              <w:marRight w:val="0"/>
              <w:marTop w:val="0"/>
              <w:marBottom w:val="0"/>
              <w:divBdr>
                <w:top w:val="none" w:sz="0" w:space="0" w:color="auto"/>
                <w:left w:val="single" w:sz="6" w:space="0" w:color="DDDDDD"/>
                <w:bottom w:val="none" w:sz="0" w:space="0" w:color="auto"/>
                <w:right w:val="none" w:sz="0" w:space="0" w:color="auto"/>
              </w:divBdr>
              <w:divsChild>
                <w:div w:id="1719930903">
                  <w:marLeft w:val="0"/>
                  <w:marRight w:val="0"/>
                  <w:marTop w:val="0"/>
                  <w:marBottom w:val="0"/>
                  <w:divBdr>
                    <w:top w:val="single" w:sz="2" w:space="0" w:color="008000"/>
                    <w:left w:val="single" w:sz="2" w:space="0" w:color="008000"/>
                    <w:bottom w:val="single" w:sz="2" w:space="0" w:color="008000"/>
                    <w:right w:val="single" w:sz="2" w:space="0" w:color="008000"/>
                  </w:divBdr>
                  <w:divsChild>
                    <w:div w:id="2053071228">
                      <w:marLeft w:val="0"/>
                      <w:marRight w:val="0"/>
                      <w:marTop w:val="0"/>
                      <w:marBottom w:val="0"/>
                      <w:divBdr>
                        <w:top w:val="none" w:sz="0" w:space="0" w:color="auto"/>
                        <w:left w:val="none" w:sz="0" w:space="0" w:color="auto"/>
                        <w:bottom w:val="none" w:sz="0" w:space="0" w:color="auto"/>
                        <w:right w:val="none" w:sz="0" w:space="0" w:color="auto"/>
                      </w:divBdr>
                      <w:divsChild>
                        <w:div w:id="550773889">
                          <w:marLeft w:val="0"/>
                          <w:marRight w:val="0"/>
                          <w:marTop w:val="0"/>
                          <w:marBottom w:val="0"/>
                          <w:divBdr>
                            <w:top w:val="none" w:sz="0" w:space="0" w:color="auto"/>
                            <w:left w:val="none" w:sz="0" w:space="0" w:color="auto"/>
                            <w:bottom w:val="none" w:sz="0" w:space="0" w:color="auto"/>
                            <w:right w:val="none" w:sz="0" w:space="0" w:color="auto"/>
                          </w:divBdr>
                          <w:divsChild>
                            <w:div w:id="603461291">
                              <w:marLeft w:val="0"/>
                              <w:marRight w:val="0"/>
                              <w:marTop w:val="0"/>
                              <w:marBottom w:val="0"/>
                              <w:divBdr>
                                <w:top w:val="none" w:sz="0" w:space="0" w:color="auto"/>
                                <w:left w:val="single" w:sz="6" w:space="0" w:color="C3CDD8"/>
                                <w:bottom w:val="none" w:sz="0" w:space="0" w:color="auto"/>
                                <w:right w:val="none" w:sz="0" w:space="0" w:color="auto"/>
                              </w:divBdr>
                            </w:div>
                          </w:divsChild>
                        </w:div>
                      </w:divsChild>
                    </w:div>
                  </w:divsChild>
                </w:div>
              </w:divsChild>
            </w:div>
          </w:divsChild>
        </w:div>
      </w:divsChild>
    </w:div>
    <w:div w:id="296836172">
      <w:bodyDiv w:val="1"/>
      <w:marLeft w:val="0"/>
      <w:marRight w:val="0"/>
      <w:marTop w:val="0"/>
      <w:marBottom w:val="0"/>
      <w:divBdr>
        <w:top w:val="single" w:sz="2" w:space="0" w:color="CC3640"/>
        <w:left w:val="none" w:sz="0" w:space="0" w:color="auto"/>
        <w:bottom w:val="none" w:sz="0" w:space="0" w:color="auto"/>
        <w:right w:val="none" w:sz="0" w:space="0" w:color="auto"/>
      </w:divBdr>
      <w:divsChild>
        <w:div w:id="1531990733">
          <w:marLeft w:val="0"/>
          <w:marRight w:val="0"/>
          <w:marTop w:val="0"/>
          <w:marBottom w:val="0"/>
          <w:divBdr>
            <w:top w:val="single" w:sz="2" w:space="0" w:color="FF0000"/>
            <w:left w:val="single" w:sz="2" w:space="0" w:color="FF0000"/>
            <w:bottom w:val="single" w:sz="2" w:space="0" w:color="FF0000"/>
            <w:right w:val="single" w:sz="2" w:space="0" w:color="FF0000"/>
          </w:divBdr>
          <w:divsChild>
            <w:div w:id="560361906">
              <w:marLeft w:val="0"/>
              <w:marRight w:val="0"/>
              <w:marTop w:val="0"/>
              <w:marBottom w:val="0"/>
              <w:divBdr>
                <w:top w:val="none" w:sz="0" w:space="0" w:color="auto"/>
                <w:left w:val="single" w:sz="6" w:space="0" w:color="DDDDDD"/>
                <w:bottom w:val="none" w:sz="0" w:space="0" w:color="auto"/>
                <w:right w:val="none" w:sz="0" w:space="0" w:color="auto"/>
              </w:divBdr>
              <w:divsChild>
                <w:div w:id="1558056048">
                  <w:marLeft w:val="0"/>
                  <w:marRight w:val="0"/>
                  <w:marTop w:val="0"/>
                  <w:marBottom w:val="0"/>
                  <w:divBdr>
                    <w:top w:val="single" w:sz="2" w:space="0" w:color="008000"/>
                    <w:left w:val="single" w:sz="2" w:space="0" w:color="008000"/>
                    <w:bottom w:val="single" w:sz="2" w:space="0" w:color="008000"/>
                    <w:right w:val="single" w:sz="2" w:space="0" w:color="008000"/>
                  </w:divBdr>
                  <w:divsChild>
                    <w:div w:id="1150560852">
                      <w:marLeft w:val="0"/>
                      <w:marRight w:val="0"/>
                      <w:marTop w:val="0"/>
                      <w:marBottom w:val="0"/>
                      <w:divBdr>
                        <w:top w:val="none" w:sz="0" w:space="0" w:color="auto"/>
                        <w:left w:val="none" w:sz="0" w:space="0" w:color="auto"/>
                        <w:bottom w:val="none" w:sz="0" w:space="0" w:color="auto"/>
                        <w:right w:val="none" w:sz="0" w:space="0" w:color="auto"/>
                      </w:divBdr>
                      <w:divsChild>
                        <w:div w:id="1154494195">
                          <w:marLeft w:val="0"/>
                          <w:marRight w:val="0"/>
                          <w:marTop w:val="0"/>
                          <w:marBottom w:val="0"/>
                          <w:divBdr>
                            <w:top w:val="none" w:sz="0" w:space="0" w:color="auto"/>
                            <w:left w:val="none" w:sz="0" w:space="0" w:color="auto"/>
                            <w:bottom w:val="none" w:sz="0" w:space="0" w:color="auto"/>
                            <w:right w:val="none" w:sz="0" w:space="0" w:color="auto"/>
                          </w:divBdr>
                          <w:divsChild>
                            <w:div w:id="1051417775">
                              <w:marLeft w:val="0"/>
                              <w:marRight w:val="0"/>
                              <w:marTop w:val="0"/>
                              <w:marBottom w:val="0"/>
                              <w:divBdr>
                                <w:top w:val="none" w:sz="0" w:space="0" w:color="auto"/>
                                <w:left w:val="single" w:sz="6" w:space="0" w:color="C3CDD8"/>
                                <w:bottom w:val="none" w:sz="0" w:space="0" w:color="auto"/>
                                <w:right w:val="none" w:sz="0" w:space="0" w:color="auto"/>
                              </w:divBdr>
                            </w:div>
                          </w:divsChild>
                        </w:div>
                      </w:divsChild>
                    </w:div>
                  </w:divsChild>
                </w:div>
              </w:divsChild>
            </w:div>
          </w:divsChild>
        </w:div>
      </w:divsChild>
    </w:div>
    <w:div w:id="301815431">
      <w:bodyDiv w:val="1"/>
      <w:marLeft w:val="0"/>
      <w:marRight w:val="0"/>
      <w:marTop w:val="0"/>
      <w:marBottom w:val="0"/>
      <w:divBdr>
        <w:top w:val="none" w:sz="0" w:space="0" w:color="auto"/>
        <w:left w:val="none" w:sz="0" w:space="0" w:color="auto"/>
        <w:bottom w:val="none" w:sz="0" w:space="0" w:color="auto"/>
        <w:right w:val="none" w:sz="0" w:space="0" w:color="auto"/>
      </w:divBdr>
    </w:div>
    <w:div w:id="407847097">
      <w:bodyDiv w:val="1"/>
      <w:marLeft w:val="0"/>
      <w:marRight w:val="0"/>
      <w:marTop w:val="0"/>
      <w:marBottom w:val="0"/>
      <w:divBdr>
        <w:top w:val="single" w:sz="2" w:space="0" w:color="CC3640"/>
        <w:left w:val="none" w:sz="0" w:space="0" w:color="auto"/>
        <w:bottom w:val="none" w:sz="0" w:space="0" w:color="auto"/>
        <w:right w:val="none" w:sz="0" w:space="0" w:color="auto"/>
      </w:divBdr>
      <w:divsChild>
        <w:div w:id="393313286">
          <w:marLeft w:val="0"/>
          <w:marRight w:val="0"/>
          <w:marTop w:val="0"/>
          <w:marBottom w:val="0"/>
          <w:divBdr>
            <w:top w:val="single" w:sz="2" w:space="0" w:color="FF0000"/>
            <w:left w:val="single" w:sz="2" w:space="0" w:color="FF0000"/>
            <w:bottom w:val="single" w:sz="2" w:space="0" w:color="FF0000"/>
            <w:right w:val="single" w:sz="2" w:space="0" w:color="FF0000"/>
          </w:divBdr>
          <w:divsChild>
            <w:div w:id="40710558">
              <w:marLeft w:val="0"/>
              <w:marRight w:val="0"/>
              <w:marTop w:val="0"/>
              <w:marBottom w:val="0"/>
              <w:divBdr>
                <w:top w:val="none" w:sz="0" w:space="0" w:color="auto"/>
                <w:left w:val="single" w:sz="6" w:space="0" w:color="DDDDDD"/>
                <w:bottom w:val="none" w:sz="0" w:space="0" w:color="auto"/>
                <w:right w:val="none" w:sz="0" w:space="0" w:color="auto"/>
              </w:divBdr>
              <w:divsChild>
                <w:div w:id="36200461">
                  <w:marLeft w:val="0"/>
                  <w:marRight w:val="0"/>
                  <w:marTop w:val="0"/>
                  <w:marBottom w:val="0"/>
                  <w:divBdr>
                    <w:top w:val="single" w:sz="2" w:space="0" w:color="008000"/>
                    <w:left w:val="single" w:sz="2" w:space="0" w:color="008000"/>
                    <w:bottom w:val="single" w:sz="2" w:space="0" w:color="008000"/>
                    <w:right w:val="single" w:sz="2" w:space="0" w:color="008000"/>
                  </w:divBdr>
                  <w:divsChild>
                    <w:div w:id="366029390">
                      <w:marLeft w:val="0"/>
                      <w:marRight w:val="0"/>
                      <w:marTop w:val="0"/>
                      <w:marBottom w:val="0"/>
                      <w:divBdr>
                        <w:top w:val="none" w:sz="0" w:space="0" w:color="auto"/>
                        <w:left w:val="none" w:sz="0" w:space="0" w:color="auto"/>
                        <w:bottom w:val="none" w:sz="0" w:space="0" w:color="auto"/>
                        <w:right w:val="none" w:sz="0" w:space="0" w:color="auto"/>
                      </w:divBdr>
                      <w:divsChild>
                        <w:div w:id="199705602">
                          <w:marLeft w:val="0"/>
                          <w:marRight w:val="0"/>
                          <w:marTop w:val="0"/>
                          <w:marBottom w:val="0"/>
                          <w:divBdr>
                            <w:top w:val="none" w:sz="0" w:space="0" w:color="auto"/>
                            <w:left w:val="none" w:sz="0" w:space="0" w:color="auto"/>
                            <w:bottom w:val="none" w:sz="0" w:space="0" w:color="auto"/>
                            <w:right w:val="none" w:sz="0" w:space="0" w:color="auto"/>
                          </w:divBdr>
                          <w:divsChild>
                            <w:div w:id="1698847811">
                              <w:marLeft w:val="0"/>
                              <w:marRight w:val="0"/>
                              <w:marTop w:val="0"/>
                              <w:marBottom w:val="0"/>
                              <w:divBdr>
                                <w:top w:val="none" w:sz="0" w:space="0" w:color="auto"/>
                                <w:left w:val="single" w:sz="6" w:space="0" w:color="C3CDD8"/>
                                <w:bottom w:val="none" w:sz="0" w:space="0" w:color="auto"/>
                                <w:right w:val="none" w:sz="0" w:space="0" w:color="auto"/>
                              </w:divBdr>
                            </w:div>
                          </w:divsChild>
                        </w:div>
                      </w:divsChild>
                    </w:div>
                  </w:divsChild>
                </w:div>
              </w:divsChild>
            </w:div>
          </w:divsChild>
        </w:div>
      </w:divsChild>
    </w:div>
    <w:div w:id="430584390">
      <w:bodyDiv w:val="1"/>
      <w:marLeft w:val="0"/>
      <w:marRight w:val="0"/>
      <w:marTop w:val="0"/>
      <w:marBottom w:val="0"/>
      <w:divBdr>
        <w:top w:val="none" w:sz="0" w:space="0" w:color="auto"/>
        <w:left w:val="none" w:sz="0" w:space="0" w:color="auto"/>
        <w:bottom w:val="none" w:sz="0" w:space="0" w:color="auto"/>
        <w:right w:val="none" w:sz="0" w:space="0" w:color="auto"/>
      </w:divBdr>
    </w:div>
    <w:div w:id="431779564">
      <w:bodyDiv w:val="1"/>
      <w:marLeft w:val="0"/>
      <w:marRight w:val="0"/>
      <w:marTop w:val="0"/>
      <w:marBottom w:val="0"/>
      <w:divBdr>
        <w:top w:val="none" w:sz="0" w:space="0" w:color="auto"/>
        <w:left w:val="none" w:sz="0" w:space="0" w:color="auto"/>
        <w:bottom w:val="none" w:sz="0" w:space="0" w:color="auto"/>
        <w:right w:val="none" w:sz="0" w:space="0" w:color="auto"/>
      </w:divBdr>
    </w:div>
    <w:div w:id="437069189">
      <w:bodyDiv w:val="1"/>
      <w:marLeft w:val="0"/>
      <w:marRight w:val="0"/>
      <w:marTop w:val="0"/>
      <w:marBottom w:val="0"/>
      <w:divBdr>
        <w:top w:val="none" w:sz="0" w:space="0" w:color="auto"/>
        <w:left w:val="none" w:sz="0" w:space="0" w:color="auto"/>
        <w:bottom w:val="none" w:sz="0" w:space="0" w:color="auto"/>
        <w:right w:val="none" w:sz="0" w:space="0" w:color="auto"/>
      </w:divBdr>
    </w:div>
    <w:div w:id="495996872">
      <w:bodyDiv w:val="1"/>
      <w:marLeft w:val="0"/>
      <w:marRight w:val="0"/>
      <w:marTop w:val="0"/>
      <w:marBottom w:val="0"/>
      <w:divBdr>
        <w:top w:val="single" w:sz="2" w:space="0" w:color="CC3640"/>
        <w:left w:val="none" w:sz="0" w:space="0" w:color="auto"/>
        <w:bottom w:val="none" w:sz="0" w:space="0" w:color="auto"/>
        <w:right w:val="none" w:sz="0" w:space="0" w:color="auto"/>
      </w:divBdr>
      <w:divsChild>
        <w:div w:id="661544056">
          <w:marLeft w:val="0"/>
          <w:marRight w:val="0"/>
          <w:marTop w:val="0"/>
          <w:marBottom w:val="0"/>
          <w:divBdr>
            <w:top w:val="single" w:sz="2" w:space="0" w:color="FF0000"/>
            <w:left w:val="single" w:sz="2" w:space="0" w:color="FF0000"/>
            <w:bottom w:val="single" w:sz="2" w:space="0" w:color="FF0000"/>
            <w:right w:val="single" w:sz="2" w:space="0" w:color="FF0000"/>
          </w:divBdr>
          <w:divsChild>
            <w:div w:id="312292964">
              <w:marLeft w:val="0"/>
              <w:marRight w:val="0"/>
              <w:marTop w:val="0"/>
              <w:marBottom w:val="0"/>
              <w:divBdr>
                <w:top w:val="none" w:sz="0" w:space="0" w:color="auto"/>
                <w:left w:val="single" w:sz="6" w:space="0" w:color="DDDDDD"/>
                <w:bottom w:val="none" w:sz="0" w:space="0" w:color="auto"/>
                <w:right w:val="none" w:sz="0" w:space="0" w:color="auto"/>
              </w:divBdr>
              <w:divsChild>
                <w:div w:id="960039590">
                  <w:marLeft w:val="0"/>
                  <w:marRight w:val="0"/>
                  <w:marTop w:val="0"/>
                  <w:marBottom w:val="0"/>
                  <w:divBdr>
                    <w:top w:val="single" w:sz="2" w:space="0" w:color="008000"/>
                    <w:left w:val="single" w:sz="2" w:space="0" w:color="008000"/>
                    <w:bottom w:val="single" w:sz="2" w:space="0" w:color="008000"/>
                    <w:right w:val="single" w:sz="2" w:space="0" w:color="008000"/>
                  </w:divBdr>
                  <w:divsChild>
                    <w:div w:id="627905105">
                      <w:marLeft w:val="0"/>
                      <w:marRight w:val="0"/>
                      <w:marTop w:val="0"/>
                      <w:marBottom w:val="0"/>
                      <w:divBdr>
                        <w:top w:val="none" w:sz="0" w:space="0" w:color="auto"/>
                        <w:left w:val="none" w:sz="0" w:space="0" w:color="auto"/>
                        <w:bottom w:val="none" w:sz="0" w:space="0" w:color="auto"/>
                        <w:right w:val="none" w:sz="0" w:space="0" w:color="auto"/>
                      </w:divBdr>
                      <w:divsChild>
                        <w:div w:id="1989282474">
                          <w:marLeft w:val="0"/>
                          <w:marRight w:val="0"/>
                          <w:marTop w:val="0"/>
                          <w:marBottom w:val="0"/>
                          <w:divBdr>
                            <w:top w:val="none" w:sz="0" w:space="0" w:color="auto"/>
                            <w:left w:val="none" w:sz="0" w:space="0" w:color="auto"/>
                            <w:bottom w:val="none" w:sz="0" w:space="0" w:color="auto"/>
                            <w:right w:val="none" w:sz="0" w:space="0" w:color="auto"/>
                          </w:divBdr>
                          <w:divsChild>
                            <w:div w:id="1946380031">
                              <w:marLeft w:val="0"/>
                              <w:marRight w:val="0"/>
                              <w:marTop w:val="0"/>
                              <w:marBottom w:val="0"/>
                              <w:divBdr>
                                <w:top w:val="none" w:sz="0" w:space="0" w:color="auto"/>
                                <w:left w:val="single" w:sz="6" w:space="0" w:color="C3CDD8"/>
                                <w:bottom w:val="none" w:sz="0" w:space="0" w:color="auto"/>
                                <w:right w:val="none" w:sz="0" w:space="0" w:color="auto"/>
                              </w:divBdr>
                            </w:div>
                          </w:divsChild>
                        </w:div>
                      </w:divsChild>
                    </w:div>
                  </w:divsChild>
                </w:div>
              </w:divsChild>
            </w:div>
          </w:divsChild>
        </w:div>
      </w:divsChild>
    </w:div>
    <w:div w:id="513225825">
      <w:bodyDiv w:val="1"/>
      <w:marLeft w:val="0"/>
      <w:marRight w:val="0"/>
      <w:marTop w:val="0"/>
      <w:marBottom w:val="0"/>
      <w:divBdr>
        <w:top w:val="single" w:sz="2" w:space="0" w:color="CC3640"/>
        <w:left w:val="none" w:sz="0" w:space="0" w:color="auto"/>
        <w:bottom w:val="none" w:sz="0" w:space="0" w:color="auto"/>
        <w:right w:val="none" w:sz="0" w:space="0" w:color="auto"/>
      </w:divBdr>
      <w:divsChild>
        <w:div w:id="475874239">
          <w:marLeft w:val="0"/>
          <w:marRight w:val="0"/>
          <w:marTop w:val="0"/>
          <w:marBottom w:val="0"/>
          <w:divBdr>
            <w:top w:val="single" w:sz="2" w:space="0" w:color="FF0000"/>
            <w:left w:val="single" w:sz="2" w:space="0" w:color="FF0000"/>
            <w:bottom w:val="single" w:sz="2" w:space="0" w:color="FF0000"/>
            <w:right w:val="single" w:sz="2" w:space="0" w:color="FF0000"/>
          </w:divBdr>
          <w:divsChild>
            <w:div w:id="1229465196">
              <w:marLeft w:val="0"/>
              <w:marRight w:val="0"/>
              <w:marTop w:val="0"/>
              <w:marBottom w:val="0"/>
              <w:divBdr>
                <w:top w:val="none" w:sz="0" w:space="0" w:color="auto"/>
                <w:left w:val="single" w:sz="6" w:space="0" w:color="DDDDDD"/>
                <w:bottom w:val="none" w:sz="0" w:space="0" w:color="auto"/>
                <w:right w:val="none" w:sz="0" w:space="0" w:color="auto"/>
              </w:divBdr>
              <w:divsChild>
                <w:div w:id="260913878">
                  <w:marLeft w:val="0"/>
                  <w:marRight w:val="0"/>
                  <w:marTop w:val="0"/>
                  <w:marBottom w:val="0"/>
                  <w:divBdr>
                    <w:top w:val="single" w:sz="2" w:space="0" w:color="008000"/>
                    <w:left w:val="single" w:sz="2" w:space="0" w:color="008000"/>
                    <w:bottom w:val="single" w:sz="2" w:space="0" w:color="008000"/>
                    <w:right w:val="single" w:sz="2" w:space="0" w:color="008000"/>
                  </w:divBdr>
                  <w:divsChild>
                    <w:div w:id="849761950">
                      <w:marLeft w:val="0"/>
                      <w:marRight w:val="0"/>
                      <w:marTop w:val="0"/>
                      <w:marBottom w:val="0"/>
                      <w:divBdr>
                        <w:top w:val="none" w:sz="0" w:space="0" w:color="auto"/>
                        <w:left w:val="none" w:sz="0" w:space="0" w:color="auto"/>
                        <w:bottom w:val="none" w:sz="0" w:space="0" w:color="auto"/>
                        <w:right w:val="none" w:sz="0" w:space="0" w:color="auto"/>
                      </w:divBdr>
                      <w:divsChild>
                        <w:div w:id="1913807003">
                          <w:marLeft w:val="0"/>
                          <w:marRight w:val="0"/>
                          <w:marTop w:val="0"/>
                          <w:marBottom w:val="0"/>
                          <w:divBdr>
                            <w:top w:val="none" w:sz="0" w:space="0" w:color="auto"/>
                            <w:left w:val="none" w:sz="0" w:space="0" w:color="auto"/>
                            <w:bottom w:val="none" w:sz="0" w:space="0" w:color="auto"/>
                            <w:right w:val="none" w:sz="0" w:space="0" w:color="auto"/>
                          </w:divBdr>
                          <w:divsChild>
                            <w:div w:id="4291799">
                              <w:marLeft w:val="0"/>
                              <w:marRight w:val="0"/>
                              <w:marTop w:val="0"/>
                              <w:marBottom w:val="0"/>
                              <w:divBdr>
                                <w:top w:val="none" w:sz="0" w:space="0" w:color="auto"/>
                                <w:left w:val="single" w:sz="6" w:space="0" w:color="C3CDD8"/>
                                <w:bottom w:val="none" w:sz="0" w:space="0" w:color="auto"/>
                                <w:right w:val="none" w:sz="0" w:space="0" w:color="auto"/>
                              </w:divBdr>
                            </w:div>
                          </w:divsChild>
                        </w:div>
                      </w:divsChild>
                    </w:div>
                  </w:divsChild>
                </w:div>
              </w:divsChild>
            </w:div>
          </w:divsChild>
        </w:div>
      </w:divsChild>
    </w:div>
    <w:div w:id="514661691">
      <w:bodyDiv w:val="1"/>
      <w:marLeft w:val="0"/>
      <w:marRight w:val="0"/>
      <w:marTop w:val="0"/>
      <w:marBottom w:val="0"/>
      <w:divBdr>
        <w:top w:val="none" w:sz="0" w:space="0" w:color="auto"/>
        <w:left w:val="none" w:sz="0" w:space="0" w:color="auto"/>
        <w:bottom w:val="none" w:sz="0" w:space="0" w:color="auto"/>
        <w:right w:val="none" w:sz="0" w:space="0" w:color="auto"/>
      </w:divBdr>
    </w:div>
    <w:div w:id="521943936">
      <w:bodyDiv w:val="1"/>
      <w:marLeft w:val="0"/>
      <w:marRight w:val="0"/>
      <w:marTop w:val="0"/>
      <w:marBottom w:val="0"/>
      <w:divBdr>
        <w:top w:val="single" w:sz="2" w:space="0" w:color="CC3640"/>
        <w:left w:val="none" w:sz="0" w:space="0" w:color="auto"/>
        <w:bottom w:val="none" w:sz="0" w:space="0" w:color="auto"/>
        <w:right w:val="none" w:sz="0" w:space="0" w:color="auto"/>
      </w:divBdr>
      <w:divsChild>
        <w:div w:id="436753465">
          <w:marLeft w:val="0"/>
          <w:marRight w:val="0"/>
          <w:marTop w:val="0"/>
          <w:marBottom w:val="0"/>
          <w:divBdr>
            <w:top w:val="single" w:sz="2" w:space="0" w:color="FF0000"/>
            <w:left w:val="single" w:sz="2" w:space="0" w:color="FF0000"/>
            <w:bottom w:val="single" w:sz="2" w:space="0" w:color="FF0000"/>
            <w:right w:val="single" w:sz="2" w:space="0" w:color="FF0000"/>
          </w:divBdr>
          <w:divsChild>
            <w:div w:id="1690569239">
              <w:marLeft w:val="0"/>
              <w:marRight w:val="0"/>
              <w:marTop w:val="0"/>
              <w:marBottom w:val="0"/>
              <w:divBdr>
                <w:top w:val="none" w:sz="0" w:space="0" w:color="auto"/>
                <w:left w:val="single" w:sz="6" w:space="0" w:color="DDDDDD"/>
                <w:bottom w:val="none" w:sz="0" w:space="0" w:color="auto"/>
                <w:right w:val="none" w:sz="0" w:space="0" w:color="auto"/>
              </w:divBdr>
              <w:divsChild>
                <w:div w:id="761102124">
                  <w:marLeft w:val="0"/>
                  <w:marRight w:val="0"/>
                  <w:marTop w:val="0"/>
                  <w:marBottom w:val="0"/>
                  <w:divBdr>
                    <w:top w:val="single" w:sz="2" w:space="0" w:color="008000"/>
                    <w:left w:val="single" w:sz="2" w:space="0" w:color="008000"/>
                    <w:bottom w:val="single" w:sz="2" w:space="0" w:color="008000"/>
                    <w:right w:val="single" w:sz="2" w:space="0" w:color="008000"/>
                  </w:divBdr>
                  <w:divsChild>
                    <w:div w:id="2117673784">
                      <w:marLeft w:val="0"/>
                      <w:marRight w:val="0"/>
                      <w:marTop w:val="0"/>
                      <w:marBottom w:val="0"/>
                      <w:divBdr>
                        <w:top w:val="none" w:sz="0" w:space="0" w:color="auto"/>
                        <w:left w:val="none" w:sz="0" w:space="0" w:color="auto"/>
                        <w:bottom w:val="none" w:sz="0" w:space="0" w:color="auto"/>
                        <w:right w:val="none" w:sz="0" w:space="0" w:color="auto"/>
                      </w:divBdr>
                      <w:divsChild>
                        <w:div w:id="1871457493">
                          <w:marLeft w:val="0"/>
                          <w:marRight w:val="0"/>
                          <w:marTop w:val="0"/>
                          <w:marBottom w:val="0"/>
                          <w:divBdr>
                            <w:top w:val="none" w:sz="0" w:space="0" w:color="auto"/>
                            <w:left w:val="none" w:sz="0" w:space="0" w:color="auto"/>
                            <w:bottom w:val="none" w:sz="0" w:space="0" w:color="auto"/>
                            <w:right w:val="none" w:sz="0" w:space="0" w:color="auto"/>
                          </w:divBdr>
                          <w:divsChild>
                            <w:div w:id="976641507">
                              <w:marLeft w:val="0"/>
                              <w:marRight w:val="0"/>
                              <w:marTop w:val="0"/>
                              <w:marBottom w:val="0"/>
                              <w:divBdr>
                                <w:top w:val="none" w:sz="0" w:space="0" w:color="auto"/>
                                <w:left w:val="single" w:sz="6" w:space="0" w:color="C3CDD8"/>
                                <w:bottom w:val="none" w:sz="0" w:space="0" w:color="auto"/>
                                <w:right w:val="none" w:sz="0" w:space="0" w:color="auto"/>
                              </w:divBdr>
                            </w:div>
                          </w:divsChild>
                        </w:div>
                      </w:divsChild>
                    </w:div>
                  </w:divsChild>
                </w:div>
              </w:divsChild>
            </w:div>
          </w:divsChild>
        </w:div>
      </w:divsChild>
    </w:div>
    <w:div w:id="540477824">
      <w:bodyDiv w:val="1"/>
      <w:marLeft w:val="0"/>
      <w:marRight w:val="0"/>
      <w:marTop w:val="0"/>
      <w:marBottom w:val="0"/>
      <w:divBdr>
        <w:top w:val="none" w:sz="0" w:space="0" w:color="auto"/>
        <w:left w:val="none" w:sz="0" w:space="0" w:color="auto"/>
        <w:bottom w:val="none" w:sz="0" w:space="0" w:color="auto"/>
        <w:right w:val="none" w:sz="0" w:space="0" w:color="auto"/>
      </w:divBdr>
    </w:div>
    <w:div w:id="552616455">
      <w:bodyDiv w:val="1"/>
      <w:marLeft w:val="0"/>
      <w:marRight w:val="0"/>
      <w:marTop w:val="0"/>
      <w:marBottom w:val="0"/>
      <w:divBdr>
        <w:top w:val="single" w:sz="2" w:space="0" w:color="CC3640"/>
        <w:left w:val="none" w:sz="0" w:space="0" w:color="auto"/>
        <w:bottom w:val="none" w:sz="0" w:space="0" w:color="auto"/>
        <w:right w:val="none" w:sz="0" w:space="0" w:color="auto"/>
      </w:divBdr>
      <w:divsChild>
        <w:div w:id="1045065400">
          <w:marLeft w:val="0"/>
          <w:marRight w:val="0"/>
          <w:marTop w:val="0"/>
          <w:marBottom w:val="0"/>
          <w:divBdr>
            <w:top w:val="single" w:sz="2" w:space="0" w:color="FF0000"/>
            <w:left w:val="single" w:sz="2" w:space="0" w:color="FF0000"/>
            <w:bottom w:val="single" w:sz="2" w:space="0" w:color="FF0000"/>
            <w:right w:val="single" w:sz="2" w:space="0" w:color="FF0000"/>
          </w:divBdr>
          <w:divsChild>
            <w:div w:id="440758708">
              <w:marLeft w:val="0"/>
              <w:marRight w:val="0"/>
              <w:marTop w:val="0"/>
              <w:marBottom w:val="0"/>
              <w:divBdr>
                <w:top w:val="none" w:sz="0" w:space="0" w:color="auto"/>
                <w:left w:val="single" w:sz="6" w:space="0" w:color="DDDDDD"/>
                <w:bottom w:val="none" w:sz="0" w:space="0" w:color="auto"/>
                <w:right w:val="none" w:sz="0" w:space="0" w:color="auto"/>
              </w:divBdr>
              <w:divsChild>
                <w:div w:id="1941789019">
                  <w:marLeft w:val="0"/>
                  <w:marRight w:val="0"/>
                  <w:marTop w:val="0"/>
                  <w:marBottom w:val="0"/>
                  <w:divBdr>
                    <w:top w:val="single" w:sz="2" w:space="0" w:color="008000"/>
                    <w:left w:val="single" w:sz="2" w:space="0" w:color="008000"/>
                    <w:bottom w:val="single" w:sz="2" w:space="0" w:color="008000"/>
                    <w:right w:val="single" w:sz="2" w:space="0" w:color="008000"/>
                  </w:divBdr>
                  <w:divsChild>
                    <w:div w:id="2031566869">
                      <w:marLeft w:val="0"/>
                      <w:marRight w:val="0"/>
                      <w:marTop w:val="0"/>
                      <w:marBottom w:val="0"/>
                      <w:divBdr>
                        <w:top w:val="none" w:sz="0" w:space="0" w:color="auto"/>
                        <w:left w:val="none" w:sz="0" w:space="0" w:color="auto"/>
                        <w:bottom w:val="none" w:sz="0" w:space="0" w:color="auto"/>
                        <w:right w:val="none" w:sz="0" w:space="0" w:color="auto"/>
                      </w:divBdr>
                      <w:divsChild>
                        <w:div w:id="901720153">
                          <w:marLeft w:val="0"/>
                          <w:marRight w:val="0"/>
                          <w:marTop w:val="0"/>
                          <w:marBottom w:val="0"/>
                          <w:divBdr>
                            <w:top w:val="none" w:sz="0" w:space="0" w:color="auto"/>
                            <w:left w:val="none" w:sz="0" w:space="0" w:color="auto"/>
                            <w:bottom w:val="none" w:sz="0" w:space="0" w:color="auto"/>
                            <w:right w:val="none" w:sz="0" w:space="0" w:color="auto"/>
                          </w:divBdr>
                          <w:divsChild>
                            <w:div w:id="332727921">
                              <w:marLeft w:val="0"/>
                              <w:marRight w:val="0"/>
                              <w:marTop w:val="0"/>
                              <w:marBottom w:val="0"/>
                              <w:divBdr>
                                <w:top w:val="none" w:sz="0" w:space="0" w:color="auto"/>
                                <w:left w:val="single" w:sz="6" w:space="0" w:color="C3CDD8"/>
                                <w:bottom w:val="none" w:sz="0" w:space="0" w:color="auto"/>
                                <w:right w:val="none" w:sz="0" w:space="0" w:color="auto"/>
                              </w:divBdr>
                            </w:div>
                          </w:divsChild>
                        </w:div>
                      </w:divsChild>
                    </w:div>
                  </w:divsChild>
                </w:div>
              </w:divsChild>
            </w:div>
          </w:divsChild>
        </w:div>
      </w:divsChild>
    </w:div>
    <w:div w:id="559093593">
      <w:bodyDiv w:val="1"/>
      <w:marLeft w:val="0"/>
      <w:marRight w:val="0"/>
      <w:marTop w:val="0"/>
      <w:marBottom w:val="0"/>
      <w:divBdr>
        <w:top w:val="single" w:sz="2" w:space="0" w:color="CC3640"/>
        <w:left w:val="none" w:sz="0" w:space="0" w:color="auto"/>
        <w:bottom w:val="none" w:sz="0" w:space="0" w:color="auto"/>
        <w:right w:val="none" w:sz="0" w:space="0" w:color="auto"/>
      </w:divBdr>
      <w:divsChild>
        <w:div w:id="587350241">
          <w:marLeft w:val="0"/>
          <w:marRight w:val="0"/>
          <w:marTop w:val="0"/>
          <w:marBottom w:val="0"/>
          <w:divBdr>
            <w:top w:val="single" w:sz="2" w:space="0" w:color="FF0000"/>
            <w:left w:val="single" w:sz="2" w:space="0" w:color="FF0000"/>
            <w:bottom w:val="single" w:sz="2" w:space="0" w:color="FF0000"/>
            <w:right w:val="single" w:sz="2" w:space="0" w:color="FF0000"/>
          </w:divBdr>
          <w:divsChild>
            <w:div w:id="1822233122">
              <w:marLeft w:val="0"/>
              <w:marRight w:val="0"/>
              <w:marTop w:val="0"/>
              <w:marBottom w:val="0"/>
              <w:divBdr>
                <w:top w:val="none" w:sz="0" w:space="0" w:color="auto"/>
                <w:left w:val="single" w:sz="6" w:space="0" w:color="DDDDDD"/>
                <w:bottom w:val="none" w:sz="0" w:space="0" w:color="auto"/>
                <w:right w:val="none" w:sz="0" w:space="0" w:color="auto"/>
              </w:divBdr>
              <w:divsChild>
                <w:div w:id="1624190525">
                  <w:marLeft w:val="0"/>
                  <w:marRight w:val="0"/>
                  <w:marTop w:val="0"/>
                  <w:marBottom w:val="0"/>
                  <w:divBdr>
                    <w:top w:val="single" w:sz="2" w:space="0" w:color="008000"/>
                    <w:left w:val="single" w:sz="2" w:space="0" w:color="008000"/>
                    <w:bottom w:val="single" w:sz="2" w:space="0" w:color="008000"/>
                    <w:right w:val="single" w:sz="2" w:space="0" w:color="008000"/>
                  </w:divBdr>
                  <w:divsChild>
                    <w:div w:id="786969783">
                      <w:marLeft w:val="0"/>
                      <w:marRight w:val="0"/>
                      <w:marTop w:val="0"/>
                      <w:marBottom w:val="0"/>
                      <w:divBdr>
                        <w:top w:val="none" w:sz="0" w:space="0" w:color="auto"/>
                        <w:left w:val="none" w:sz="0" w:space="0" w:color="auto"/>
                        <w:bottom w:val="none" w:sz="0" w:space="0" w:color="auto"/>
                        <w:right w:val="none" w:sz="0" w:space="0" w:color="auto"/>
                      </w:divBdr>
                      <w:divsChild>
                        <w:div w:id="144400228">
                          <w:marLeft w:val="0"/>
                          <w:marRight w:val="0"/>
                          <w:marTop w:val="0"/>
                          <w:marBottom w:val="0"/>
                          <w:divBdr>
                            <w:top w:val="none" w:sz="0" w:space="0" w:color="auto"/>
                            <w:left w:val="none" w:sz="0" w:space="0" w:color="auto"/>
                            <w:bottom w:val="none" w:sz="0" w:space="0" w:color="auto"/>
                            <w:right w:val="none" w:sz="0" w:space="0" w:color="auto"/>
                          </w:divBdr>
                          <w:divsChild>
                            <w:div w:id="221335424">
                              <w:marLeft w:val="0"/>
                              <w:marRight w:val="0"/>
                              <w:marTop w:val="0"/>
                              <w:marBottom w:val="0"/>
                              <w:divBdr>
                                <w:top w:val="none" w:sz="0" w:space="0" w:color="auto"/>
                                <w:left w:val="single" w:sz="6" w:space="0" w:color="C3CDD8"/>
                                <w:bottom w:val="none" w:sz="0" w:space="0" w:color="auto"/>
                                <w:right w:val="none" w:sz="0" w:space="0" w:color="auto"/>
                              </w:divBdr>
                            </w:div>
                          </w:divsChild>
                        </w:div>
                      </w:divsChild>
                    </w:div>
                  </w:divsChild>
                </w:div>
              </w:divsChild>
            </w:div>
          </w:divsChild>
        </w:div>
      </w:divsChild>
    </w:div>
    <w:div w:id="596449345">
      <w:bodyDiv w:val="1"/>
      <w:marLeft w:val="0"/>
      <w:marRight w:val="0"/>
      <w:marTop w:val="0"/>
      <w:marBottom w:val="0"/>
      <w:divBdr>
        <w:top w:val="none" w:sz="0" w:space="0" w:color="auto"/>
        <w:left w:val="none" w:sz="0" w:space="0" w:color="auto"/>
        <w:bottom w:val="none" w:sz="0" w:space="0" w:color="auto"/>
        <w:right w:val="none" w:sz="0" w:space="0" w:color="auto"/>
      </w:divBdr>
    </w:div>
    <w:div w:id="599027889">
      <w:bodyDiv w:val="1"/>
      <w:marLeft w:val="0"/>
      <w:marRight w:val="0"/>
      <w:marTop w:val="0"/>
      <w:marBottom w:val="0"/>
      <w:divBdr>
        <w:top w:val="none" w:sz="0" w:space="0" w:color="auto"/>
        <w:left w:val="none" w:sz="0" w:space="0" w:color="auto"/>
        <w:bottom w:val="none" w:sz="0" w:space="0" w:color="auto"/>
        <w:right w:val="none" w:sz="0" w:space="0" w:color="auto"/>
      </w:divBdr>
    </w:div>
    <w:div w:id="613555566">
      <w:bodyDiv w:val="1"/>
      <w:marLeft w:val="0"/>
      <w:marRight w:val="0"/>
      <w:marTop w:val="0"/>
      <w:marBottom w:val="0"/>
      <w:divBdr>
        <w:top w:val="none" w:sz="0" w:space="0" w:color="auto"/>
        <w:left w:val="none" w:sz="0" w:space="0" w:color="auto"/>
        <w:bottom w:val="none" w:sz="0" w:space="0" w:color="auto"/>
        <w:right w:val="none" w:sz="0" w:space="0" w:color="auto"/>
      </w:divBdr>
    </w:div>
    <w:div w:id="625500943">
      <w:bodyDiv w:val="1"/>
      <w:marLeft w:val="0"/>
      <w:marRight w:val="0"/>
      <w:marTop w:val="0"/>
      <w:marBottom w:val="0"/>
      <w:divBdr>
        <w:top w:val="single" w:sz="2" w:space="0" w:color="CC3640"/>
        <w:left w:val="none" w:sz="0" w:space="0" w:color="auto"/>
        <w:bottom w:val="none" w:sz="0" w:space="0" w:color="auto"/>
        <w:right w:val="none" w:sz="0" w:space="0" w:color="auto"/>
      </w:divBdr>
      <w:divsChild>
        <w:div w:id="312298239">
          <w:marLeft w:val="0"/>
          <w:marRight w:val="0"/>
          <w:marTop w:val="0"/>
          <w:marBottom w:val="0"/>
          <w:divBdr>
            <w:top w:val="single" w:sz="2" w:space="0" w:color="FF0000"/>
            <w:left w:val="single" w:sz="2" w:space="0" w:color="FF0000"/>
            <w:bottom w:val="single" w:sz="2" w:space="0" w:color="FF0000"/>
            <w:right w:val="single" w:sz="2" w:space="0" w:color="FF0000"/>
          </w:divBdr>
          <w:divsChild>
            <w:div w:id="809249282">
              <w:marLeft w:val="0"/>
              <w:marRight w:val="0"/>
              <w:marTop w:val="0"/>
              <w:marBottom w:val="0"/>
              <w:divBdr>
                <w:top w:val="none" w:sz="0" w:space="0" w:color="auto"/>
                <w:left w:val="single" w:sz="6" w:space="0" w:color="DDDDDD"/>
                <w:bottom w:val="none" w:sz="0" w:space="0" w:color="auto"/>
                <w:right w:val="none" w:sz="0" w:space="0" w:color="auto"/>
              </w:divBdr>
              <w:divsChild>
                <w:div w:id="1422483641">
                  <w:marLeft w:val="0"/>
                  <w:marRight w:val="0"/>
                  <w:marTop w:val="0"/>
                  <w:marBottom w:val="0"/>
                  <w:divBdr>
                    <w:top w:val="single" w:sz="2" w:space="0" w:color="008000"/>
                    <w:left w:val="single" w:sz="2" w:space="0" w:color="008000"/>
                    <w:bottom w:val="single" w:sz="2" w:space="0" w:color="008000"/>
                    <w:right w:val="single" w:sz="2" w:space="0" w:color="008000"/>
                  </w:divBdr>
                  <w:divsChild>
                    <w:div w:id="304629413">
                      <w:marLeft w:val="0"/>
                      <w:marRight w:val="0"/>
                      <w:marTop w:val="0"/>
                      <w:marBottom w:val="0"/>
                      <w:divBdr>
                        <w:top w:val="none" w:sz="0" w:space="0" w:color="auto"/>
                        <w:left w:val="none" w:sz="0" w:space="0" w:color="auto"/>
                        <w:bottom w:val="none" w:sz="0" w:space="0" w:color="auto"/>
                        <w:right w:val="none" w:sz="0" w:space="0" w:color="auto"/>
                      </w:divBdr>
                      <w:divsChild>
                        <w:div w:id="1587962801">
                          <w:marLeft w:val="0"/>
                          <w:marRight w:val="0"/>
                          <w:marTop w:val="0"/>
                          <w:marBottom w:val="0"/>
                          <w:divBdr>
                            <w:top w:val="none" w:sz="0" w:space="0" w:color="auto"/>
                            <w:left w:val="none" w:sz="0" w:space="0" w:color="auto"/>
                            <w:bottom w:val="none" w:sz="0" w:space="0" w:color="auto"/>
                            <w:right w:val="none" w:sz="0" w:space="0" w:color="auto"/>
                          </w:divBdr>
                          <w:divsChild>
                            <w:div w:id="1433210116">
                              <w:marLeft w:val="0"/>
                              <w:marRight w:val="0"/>
                              <w:marTop w:val="0"/>
                              <w:marBottom w:val="0"/>
                              <w:divBdr>
                                <w:top w:val="none" w:sz="0" w:space="0" w:color="auto"/>
                                <w:left w:val="single" w:sz="6" w:space="0" w:color="C3CDD8"/>
                                <w:bottom w:val="none" w:sz="0" w:space="0" w:color="auto"/>
                                <w:right w:val="none" w:sz="0" w:space="0" w:color="auto"/>
                              </w:divBdr>
                            </w:div>
                          </w:divsChild>
                        </w:div>
                      </w:divsChild>
                    </w:div>
                  </w:divsChild>
                </w:div>
              </w:divsChild>
            </w:div>
          </w:divsChild>
        </w:div>
      </w:divsChild>
    </w:div>
    <w:div w:id="658996708">
      <w:bodyDiv w:val="1"/>
      <w:marLeft w:val="0"/>
      <w:marRight w:val="0"/>
      <w:marTop w:val="0"/>
      <w:marBottom w:val="0"/>
      <w:divBdr>
        <w:top w:val="none" w:sz="0" w:space="0" w:color="auto"/>
        <w:left w:val="none" w:sz="0" w:space="0" w:color="auto"/>
        <w:bottom w:val="none" w:sz="0" w:space="0" w:color="auto"/>
        <w:right w:val="none" w:sz="0" w:space="0" w:color="auto"/>
      </w:divBdr>
    </w:div>
    <w:div w:id="705637598">
      <w:bodyDiv w:val="1"/>
      <w:marLeft w:val="0"/>
      <w:marRight w:val="0"/>
      <w:marTop w:val="0"/>
      <w:marBottom w:val="0"/>
      <w:divBdr>
        <w:top w:val="none" w:sz="0" w:space="0" w:color="auto"/>
        <w:left w:val="none" w:sz="0" w:space="0" w:color="auto"/>
        <w:bottom w:val="none" w:sz="0" w:space="0" w:color="auto"/>
        <w:right w:val="none" w:sz="0" w:space="0" w:color="auto"/>
      </w:divBdr>
    </w:div>
    <w:div w:id="707610072">
      <w:bodyDiv w:val="1"/>
      <w:marLeft w:val="0"/>
      <w:marRight w:val="0"/>
      <w:marTop w:val="0"/>
      <w:marBottom w:val="0"/>
      <w:divBdr>
        <w:top w:val="none" w:sz="0" w:space="0" w:color="auto"/>
        <w:left w:val="none" w:sz="0" w:space="0" w:color="auto"/>
        <w:bottom w:val="none" w:sz="0" w:space="0" w:color="auto"/>
        <w:right w:val="none" w:sz="0" w:space="0" w:color="auto"/>
      </w:divBdr>
    </w:div>
    <w:div w:id="717627135">
      <w:bodyDiv w:val="1"/>
      <w:marLeft w:val="0"/>
      <w:marRight w:val="0"/>
      <w:marTop w:val="0"/>
      <w:marBottom w:val="0"/>
      <w:divBdr>
        <w:top w:val="none" w:sz="0" w:space="0" w:color="auto"/>
        <w:left w:val="none" w:sz="0" w:space="0" w:color="auto"/>
        <w:bottom w:val="none" w:sz="0" w:space="0" w:color="auto"/>
        <w:right w:val="none" w:sz="0" w:space="0" w:color="auto"/>
      </w:divBdr>
    </w:div>
    <w:div w:id="731002098">
      <w:bodyDiv w:val="1"/>
      <w:marLeft w:val="0"/>
      <w:marRight w:val="0"/>
      <w:marTop w:val="0"/>
      <w:marBottom w:val="0"/>
      <w:divBdr>
        <w:top w:val="single" w:sz="2" w:space="0" w:color="CC3640"/>
        <w:left w:val="none" w:sz="0" w:space="0" w:color="auto"/>
        <w:bottom w:val="none" w:sz="0" w:space="0" w:color="auto"/>
        <w:right w:val="none" w:sz="0" w:space="0" w:color="auto"/>
      </w:divBdr>
      <w:divsChild>
        <w:div w:id="1169365885">
          <w:marLeft w:val="0"/>
          <w:marRight w:val="0"/>
          <w:marTop w:val="0"/>
          <w:marBottom w:val="0"/>
          <w:divBdr>
            <w:top w:val="single" w:sz="2" w:space="0" w:color="FF0000"/>
            <w:left w:val="single" w:sz="2" w:space="0" w:color="FF0000"/>
            <w:bottom w:val="single" w:sz="2" w:space="0" w:color="FF0000"/>
            <w:right w:val="single" w:sz="2" w:space="0" w:color="FF0000"/>
          </w:divBdr>
          <w:divsChild>
            <w:div w:id="2068872426">
              <w:marLeft w:val="0"/>
              <w:marRight w:val="0"/>
              <w:marTop w:val="0"/>
              <w:marBottom w:val="0"/>
              <w:divBdr>
                <w:top w:val="none" w:sz="0" w:space="0" w:color="auto"/>
                <w:left w:val="single" w:sz="6" w:space="0" w:color="DDDDDD"/>
                <w:bottom w:val="none" w:sz="0" w:space="0" w:color="auto"/>
                <w:right w:val="none" w:sz="0" w:space="0" w:color="auto"/>
              </w:divBdr>
              <w:divsChild>
                <w:div w:id="1485121452">
                  <w:marLeft w:val="0"/>
                  <w:marRight w:val="0"/>
                  <w:marTop w:val="0"/>
                  <w:marBottom w:val="0"/>
                  <w:divBdr>
                    <w:top w:val="single" w:sz="2" w:space="0" w:color="008000"/>
                    <w:left w:val="single" w:sz="2" w:space="0" w:color="008000"/>
                    <w:bottom w:val="single" w:sz="2" w:space="0" w:color="008000"/>
                    <w:right w:val="single" w:sz="2" w:space="0" w:color="008000"/>
                  </w:divBdr>
                  <w:divsChild>
                    <w:div w:id="1802113474">
                      <w:marLeft w:val="0"/>
                      <w:marRight w:val="0"/>
                      <w:marTop w:val="0"/>
                      <w:marBottom w:val="0"/>
                      <w:divBdr>
                        <w:top w:val="none" w:sz="0" w:space="0" w:color="auto"/>
                        <w:left w:val="none" w:sz="0" w:space="0" w:color="auto"/>
                        <w:bottom w:val="none" w:sz="0" w:space="0" w:color="auto"/>
                        <w:right w:val="none" w:sz="0" w:space="0" w:color="auto"/>
                      </w:divBdr>
                      <w:divsChild>
                        <w:div w:id="2037271210">
                          <w:marLeft w:val="0"/>
                          <w:marRight w:val="0"/>
                          <w:marTop w:val="0"/>
                          <w:marBottom w:val="0"/>
                          <w:divBdr>
                            <w:top w:val="none" w:sz="0" w:space="0" w:color="auto"/>
                            <w:left w:val="none" w:sz="0" w:space="0" w:color="auto"/>
                            <w:bottom w:val="none" w:sz="0" w:space="0" w:color="auto"/>
                            <w:right w:val="none" w:sz="0" w:space="0" w:color="auto"/>
                          </w:divBdr>
                          <w:divsChild>
                            <w:div w:id="1209106134">
                              <w:marLeft w:val="0"/>
                              <w:marRight w:val="0"/>
                              <w:marTop w:val="0"/>
                              <w:marBottom w:val="0"/>
                              <w:divBdr>
                                <w:top w:val="none" w:sz="0" w:space="0" w:color="auto"/>
                                <w:left w:val="single" w:sz="6" w:space="0" w:color="C3CDD8"/>
                                <w:bottom w:val="none" w:sz="0" w:space="0" w:color="auto"/>
                                <w:right w:val="none" w:sz="0" w:space="0" w:color="auto"/>
                              </w:divBdr>
                            </w:div>
                          </w:divsChild>
                        </w:div>
                      </w:divsChild>
                    </w:div>
                  </w:divsChild>
                </w:div>
              </w:divsChild>
            </w:div>
          </w:divsChild>
        </w:div>
      </w:divsChild>
    </w:div>
    <w:div w:id="740568938">
      <w:bodyDiv w:val="1"/>
      <w:marLeft w:val="0"/>
      <w:marRight w:val="0"/>
      <w:marTop w:val="0"/>
      <w:marBottom w:val="0"/>
      <w:divBdr>
        <w:top w:val="none" w:sz="0" w:space="0" w:color="auto"/>
        <w:left w:val="none" w:sz="0" w:space="0" w:color="auto"/>
        <w:bottom w:val="none" w:sz="0" w:space="0" w:color="auto"/>
        <w:right w:val="none" w:sz="0" w:space="0" w:color="auto"/>
      </w:divBdr>
    </w:div>
    <w:div w:id="745764794">
      <w:bodyDiv w:val="1"/>
      <w:marLeft w:val="0"/>
      <w:marRight w:val="0"/>
      <w:marTop w:val="0"/>
      <w:marBottom w:val="0"/>
      <w:divBdr>
        <w:top w:val="none" w:sz="0" w:space="0" w:color="auto"/>
        <w:left w:val="none" w:sz="0" w:space="0" w:color="auto"/>
        <w:bottom w:val="none" w:sz="0" w:space="0" w:color="auto"/>
        <w:right w:val="none" w:sz="0" w:space="0" w:color="auto"/>
      </w:divBdr>
    </w:div>
    <w:div w:id="748884392">
      <w:bodyDiv w:val="1"/>
      <w:marLeft w:val="0"/>
      <w:marRight w:val="0"/>
      <w:marTop w:val="0"/>
      <w:marBottom w:val="0"/>
      <w:divBdr>
        <w:top w:val="none" w:sz="0" w:space="0" w:color="auto"/>
        <w:left w:val="none" w:sz="0" w:space="0" w:color="auto"/>
        <w:bottom w:val="none" w:sz="0" w:space="0" w:color="auto"/>
        <w:right w:val="none" w:sz="0" w:space="0" w:color="auto"/>
      </w:divBdr>
      <w:divsChild>
        <w:div w:id="452139452">
          <w:marLeft w:val="0"/>
          <w:marRight w:val="0"/>
          <w:marTop w:val="120"/>
          <w:marBottom w:val="120"/>
          <w:divBdr>
            <w:top w:val="none" w:sz="0" w:space="0" w:color="auto"/>
            <w:left w:val="none" w:sz="0" w:space="0" w:color="auto"/>
            <w:bottom w:val="none" w:sz="0" w:space="0" w:color="auto"/>
            <w:right w:val="none" w:sz="0" w:space="0" w:color="auto"/>
          </w:divBdr>
        </w:div>
      </w:divsChild>
    </w:div>
    <w:div w:id="795876761">
      <w:bodyDiv w:val="1"/>
      <w:marLeft w:val="0"/>
      <w:marRight w:val="0"/>
      <w:marTop w:val="0"/>
      <w:marBottom w:val="0"/>
      <w:divBdr>
        <w:top w:val="none" w:sz="0" w:space="0" w:color="auto"/>
        <w:left w:val="none" w:sz="0" w:space="0" w:color="auto"/>
        <w:bottom w:val="none" w:sz="0" w:space="0" w:color="auto"/>
        <w:right w:val="none" w:sz="0" w:space="0" w:color="auto"/>
      </w:divBdr>
    </w:div>
    <w:div w:id="844129856">
      <w:bodyDiv w:val="1"/>
      <w:marLeft w:val="0"/>
      <w:marRight w:val="0"/>
      <w:marTop w:val="0"/>
      <w:marBottom w:val="0"/>
      <w:divBdr>
        <w:top w:val="none" w:sz="0" w:space="0" w:color="auto"/>
        <w:left w:val="none" w:sz="0" w:space="0" w:color="auto"/>
        <w:bottom w:val="none" w:sz="0" w:space="0" w:color="auto"/>
        <w:right w:val="none" w:sz="0" w:space="0" w:color="auto"/>
      </w:divBdr>
    </w:div>
    <w:div w:id="855458713">
      <w:bodyDiv w:val="1"/>
      <w:marLeft w:val="0"/>
      <w:marRight w:val="0"/>
      <w:marTop w:val="0"/>
      <w:marBottom w:val="0"/>
      <w:divBdr>
        <w:top w:val="single" w:sz="2" w:space="0" w:color="CC3640"/>
        <w:left w:val="none" w:sz="0" w:space="0" w:color="auto"/>
        <w:bottom w:val="none" w:sz="0" w:space="0" w:color="auto"/>
        <w:right w:val="none" w:sz="0" w:space="0" w:color="auto"/>
      </w:divBdr>
      <w:divsChild>
        <w:div w:id="846595087">
          <w:marLeft w:val="0"/>
          <w:marRight w:val="0"/>
          <w:marTop w:val="0"/>
          <w:marBottom w:val="0"/>
          <w:divBdr>
            <w:top w:val="single" w:sz="2" w:space="0" w:color="FF0000"/>
            <w:left w:val="single" w:sz="2" w:space="0" w:color="FF0000"/>
            <w:bottom w:val="single" w:sz="2" w:space="0" w:color="FF0000"/>
            <w:right w:val="single" w:sz="2" w:space="0" w:color="FF0000"/>
          </w:divBdr>
          <w:divsChild>
            <w:div w:id="782461624">
              <w:marLeft w:val="0"/>
              <w:marRight w:val="0"/>
              <w:marTop w:val="0"/>
              <w:marBottom w:val="0"/>
              <w:divBdr>
                <w:top w:val="none" w:sz="0" w:space="0" w:color="auto"/>
                <w:left w:val="single" w:sz="6" w:space="0" w:color="DDDDDD"/>
                <w:bottom w:val="none" w:sz="0" w:space="0" w:color="auto"/>
                <w:right w:val="none" w:sz="0" w:space="0" w:color="auto"/>
              </w:divBdr>
              <w:divsChild>
                <w:div w:id="264921980">
                  <w:marLeft w:val="0"/>
                  <w:marRight w:val="0"/>
                  <w:marTop w:val="0"/>
                  <w:marBottom w:val="0"/>
                  <w:divBdr>
                    <w:top w:val="single" w:sz="2" w:space="0" w:color="008000"/>
                    <w:left w:val="single" w:sz="2" w:space="0" w:color="008000"/>
                    <w:bottom w:val="single" w:sz="2" w:space="0" w:color="008000"/>
                    <w:right w:val="single" w:sz="2" w:space="0" w:color="008000"/>
                  </w:divBdr>
                  <w:divsChild>
                    <w:div w:id="984164685">
                      <w:marLeft w:val="0"/>
                      <w:marRight w:val="0"/>
                      <w:marTop w:val="0"/>
                      <w:marBottom w:val="0"/>
                      <w:divBdr>
                        <w:top w:val="none" w:sz="0" w:space="0" w:color="auto"/>
                        <w:left w:val="none" w:sz="0" w:space="0" w:color="auto"/>
                        <w:bottom w:val="none" w:sz="0" w:space="0" w:color="auto"/>
                        <w:right w:val="none" w:sz="0" w:space="0" w:color="auto"/>
                      </w:divBdr>
                      <w:divsChild>
                        <w:div w:id="1502743467">
                          <w:marLeft w:val="0"/>
                          <w:marRight w:val="0"/>
                          <w:marTop w:val="0"/>
                          <w:marBottom w:val="0"/>
                          <w:divBdr>
                            <w:top w:val="none" w:sz="0" w:space="0" w:color="auto"/>
                            <w:left w:val="none" w:sz="0" w:space="0" w:color="auto"/>
                            <w:bottom w:val="none" w:sz="0" w:space="0" w:color="auto"/>
                            <w:right w:val="none" w:sz="0" w:space="0" w:color="auto"/>
                          </w:divBdr>
                          <w:divsChild>
                            <w:div w:id="450637529">
                              <w:marLeft w:val="0"/>
                              <w:marRight w:val="0"/>
                              <w:marTop w:val="0"/>
                              <w:marBottom w:val="0"/>
                              <w:divBdr>
                                <w:top w:val="none" w:sz="0" w:space="0" w:color="auto"/>
                                <w:left w:val="single" w:sz="6" w:space="0" w:color="C3CDD8"/>
                                <w:bottom w:val="none" w:sz="0" w:space="0" w:color="auto"/>
                                <w:right w:val="none" w:sz="0" w:space="0" w:color="auto"/>
                              </w:divBdr>
                            </w:div>
                          </w:divsChild>
                        </w:div>
                      </w:divsChild>
                    </w:div>
                  </w:divsChild>
                </w:div>
              </w:divsChild>
            </w:div>
          </w:divsChild>
        </w:div>
      </w:divsChild>
    </w:div>
    <w:div w:id="892883982">
      <w:bodyDiv w:val="1"/>
      <w:marLeft w:val="0"/>
      <w:marRight w:val="0"/>
      <w:marTop w:val="0"/>
      <w:marBottom w:val="0"/>
      <w:divBdr>
        <w:top w:val="none" w:sz="0" w:space="0" w:color="auto"/>
        <w:left w:val="none" w:sz="0" w:space="0" w:color="auto"/>
        <w:bottom w:val="none" w:sz="0" w:space="0" w:color="auto"/>
        <w:right w:val="none" w:sz="0" w:space="0" w:color="auto"/>
      </w:divBdr>
    </w:div>
    <w:div w:id="930622632">
      <w:bodyDiv w:val="1"/>
      <w:marLeft w:val="0"/>
      <w:marRight w:val="0"/>
      <w:marTop w:val="0"/>
      <w:marBottom w:val="0"/>
      <w:divBdr>
        <w:top w:val="none" w:sz="0" w:space="0" w:color="auto"/>
        <w:left w:val="none" w:sz="0" w:space="0" w:color="auto"/>
        <w:bottom w:val="none" w:sz="0" w:space="0" w:color="auto"/>
        <w:right w:val="none" w:sz="0" w:space="0" w:color="auto"/>
      </w:divBdr>
    </w:div>
    <w:div w:id="931544597">
      <w:bodyDiv w:val="1"/>
      <w:marLeft w:val="0"/>
      <w:marRight w:val="0"/>
      <w:marTop w:val="0"/>
      <w:marBottom w:val="0"/>
      <w:divBdr>
        <w:top w:val="none" w:sz="0" w:space="0" w:color="auto"/>
        <w:left w:val="none" w:sz="0" w:space="0" w:color="auto"/>
        <w:bottom w:val="none" w:sz="0" w:space="0" w:color="auto"/>
        <w:right w:val="none" w:sz="0" w:space="0" w:color="auto"/>
      </w:divBdr>
    </w:div>
    <w:div w:id="932935106">
      <w:bodyDiv w:val="1"/>
      <w:marLeft w:val="0"/>
      <w:marRight w:val="0"/>
      <w:marTop w:val="0"/>
      <w:marBottom w:val="0"/>
      <w:divBdr>
        <w:top w:val="none" w:sz="0" w:space="0" w:color="auto"/>
        <w:left w:val="none" w:sz="0" w:space="0" w:color="auto"/>
        <w:bottom w:val="none" w:sz="0" w:space="0" w:color="auto"/>
        <w:right w:val="none" w:sz="0" w:space="0" w:color="auto"/>
      </w:divBdr>
    </w:div>
    <w:div w:id="946892952">
      <w:bodyDiv w:val="1"/>
      <w:marLeft w:val="0"/>
      <w:marRight w:val="0"/>
      <w:marTop w:val="0"/>
      <w:marBottom w:val="0"/>
      <w:divBdr>
        <w:top w:val="none" w:sz="0" w:space="0" w:color="auto"/>
        <w:left w:val="none" w:sz="0" w:space="0" w:color="auto"/>
        <w:bottom w:val="none" w:sz="0" w:space="0" w:color="auto"/>
        <w:right w:val="none" w:sz="0" w:space="0" w:color="auto"/>
      </w:divBdr>
    </w:div>
    <w:div w:id="992300306">
      <w:bodyDiv w:val="1"/>
      <w:marLeft w:val="0"/>
      <w:marRight w:val="0"/>
      <w:marTop w:val="0"/>
      <w:marBottom w:val="0"/>
      <w:divBdr>
        <w:top w:val="single" w:sz="2" w:space="0" w:color="CC3640"/>
        <w:left w:val="none" w:sz="0" w:space="0" w:color="auto"/>
        <w:bottom w:val="none" w:sz="0" w:space="0" w:color="auto"/>
        <w:right w:val="none" w:sz="0" w:space="0" w:color="auto"/>
      </w:divBdr>
      <w:divsChild>
        <w:div w:id="3169855">
          <w:marLeft w:val="0"/>
          <w:marRight w:val="0"/>
          <w:marTop w:val="0"/>
          <w:marBottom w:val="0"/>
          <w:divBdr>
            <w:top w:val="single" w:sz="2" w:space="0" w:color="FF0000"/>
            <w:left w:val="single" w:sz="2" w:space="0" w:color="FF0000"/>
            <w:bottom w:val="single" w:sz="2" w:space="0" w:color="FF0000"/>
            <w:right w:val="single" w:sz="2" w:space="0" w:color="FF0000"/>
          </w:divBdr>
          <w:divsChild>
            <w:div w:id="1805270337">
              <w:marLeft w:val="0"/>
              <w:marRight w:val="0"/>
              <w:marTop w:val="0"/>
              <w:marBottom w:val="0"/>
              <w:divBdr>
                <w:top w:val="none" w:sz="0" w:space="0" w:color="auto"/>
                <w:left w:val="single" w:sz="6" w:space="0" w:color="DDDDDD"/>
                <w:bottom w:val="none" w:sz="0" w:space="0" w:color="auto"/>
                <w:right w:val="none" w:sz="0" w:space="0" w:color="auto"/>
              </w:divBdr>
              <w:divsChild>
                <w:div w:id="449662404">
                  <w:marLeft w:val="0"/>
                  <w:marRight w:val="0"/>
                  <w:marTop w:val="0"/>
                  <w:marBottom w:val="0"/>
                  <w:divBdr>
                    <w:top w:val="single" w:sz="2" w:space="0" w:color="008000"/>
                    <w:left w:val="single" w:sz="2" w:space="0" w:color="008000"/>
                    <w:bottom w:val="single" w:sz="2" w:space="0" w:color="008000"/>
                    <w:right w:val="single" w:sz="2" w:space="0" w:color="008000"/>
                  </w:divBdr>
                  <w:divsChild>
                    <w:div w:id="1091505207">
                      <w:marLeft w:val="0"/>
                      <w:marRight w:val="0"/>
                      <w:marTop w:val="0"/>
                      <w:marBottom w:val="0"/>
                      <w:divBdr>
                        <w:top w:val="none" w:sz="0" w:space="0" w:color="auto"/>
                        <w:left w:val="none" w:sz="0" w:space="0" w:color="auto"/>
                        <w:bottom w:val="none" w:sz="0" w:space="0" w:color="auto"/>
                        <w:right w:val="none" w:sz="0" w:space="0" w:color="auto"/>
                      </w:divBdr>
                      <w:divsChild>
                        <w:div w:id="2106147249">
                          <w:marLeft w:val="0"/>
                          <w:marRight w:val="0"/>
                          <w:marTop w:val="0"/>
                          <w:marBottom w:val="0"/>
                          <w:divBdr>
                            <w:top w:val="none" w:sz="0" w:space="0" w:color="auto"/>
                            <w:left w:val="none" w:sz="0" w:space="0" w:color="auto"/>
                            <w:bottom w:val="none" w:sz="0" w:space="0" w:color="auto"/>
                            <w:right w:val="none" w:sz="0" w:space="0" w:color="auto"/>
                          </w:divBdr>
                          <w:divsChild>
                            <w:div w:id="440606769">
                              <w:marLeft w:val="0"/>
                              <w:marRight w:val="0"/>
                              <w:marTop w:val="0"/>
                              <w:marBottom w:val="0"/>
                              <w:divBdr>
                                <w:top w:val="none" w:sz="0" w:space="0" w:color="auto"/>
                                <w:left w:val="single" w:sz="6" w:space="0" w:color="C3CDD8"/>
                                <w:bottom w:val="none" w:sz="0" w:space="0" w:color="auto"/>
                                <w:right w:val="none" w:sz="0" w:space="0" w:color="auto"/>
                              </w:divBdr>
                            </w:div>
                          </w:divsChild>
                        </w:div>
                      </w:divsChild>
                    </w:div>
                  </w:divsChild>
                </w:div>
              </w:divsChild>
            </w:div>
          </w:divsChild>
        </w:div>
      </w:divsChild>
    </w:div>
    <w:div w:id="1026055485">
      <w:bodyDiv w:val="1"/>
      <w:marLeft w:val="0"/>
      <w:marRight w:val="0"/>
      <w:marTop w:val="0"/>
      <w:marBottom w:val="0"/>
      <w:divBdr>
        <w:top w:val="none" w:sz="0" w:space="0" w:color="auto"/>
        <w:left w:val="none" w:sz="0" w:space="0" w:color="auto"/>
        <w:bottom w:val="none" w:sz="0" w:space="0" w:color="auto"/>
        <w:right w:val="none" w:sz="0" w:space="0" w:color="auto"/>
      </w:divBdr>
    </w:div>
    <w:div w:id="1047608020">
      <w:bodyDiv w:val="1"/>
      <w:marLeft w:val="0"/>
      <w:marRight w:val="0"/>
      <w:marTop w:val="0"/>
      <w:marBottom w:val="0"/>
      <w:divBdr>
        <w:top w:val="none" w:sz="0" w:space="0" w:color="auto"/>
        <w:left w:val="none" w:sz="0" w:space="0" w:color="auto"/>
        <w:bottom w:val="none" w:sz="0" w:space="0" w:color="auto"/>
        <w:right w:val="none" w:sz="0" w:space="0" w:color="auto"/>
      </w:divBdr>
      <w:divsChild>
        <w:div w:id="771705617">
          <w:marLeft w:val="0"/>
          <w:marRight w:val="0"/>
          <w:marTop w:val="0"/>
          <w:marBottom w:val="0"/>
          <w:divBdr>
            <w:top w:val="none" w:sz="0" w:space="0" w:color="auto"/>
            <w:left w:val="none" w:sz="0" w:space="0" w:color="auto"/>
            <w:bottom w:val="none" w:sz="0" w:space="0" w:color="auto"/>
            <w:right w:val="none" w:sz="0" w:space="0" w:color="auto"/>
          </w:divBdr>
          <w:divsChild>
            <w:div w:id="1290093937">
              <w:marLeft w:val="212"/>
              <w:marRight w:val="0"/>
              <w:marTop w:val="0"/>
              <w:marBottom w:val="0"/>
              <w:divBdr>
                <w:top w:val="none" w:sz="0" w:space="0" w:color="auto"/>
                <w:left w:val="none" w:sz="0" w:space="0" w:color="auto"/>
                <w:bottom w:val="none" w:sz="0" w:space="0" w:color="auto"/>
                <w:right w:val="none" w:sz="0" w:space="0" w:color="auto"/>
              </w:divBdr>
              <w:divsChild>
                <w:div w:id="1686706425">
                  <w:marLeft w:val="0"/>
                  <w:marRight w:val="0"/>
                  <w:marTop w:val="0"/>
                  <w:marBottom w:val="225"/>
                  <w:divBdr>
                    <w:top w:val="none" w:sz="0" w:space="0" w:color="auto"/>
                    <w:left w:val="none" w:sz="0" w:space="0" w:color="auto"/>
                    <w:bottom w:val="none" w:sz="0" w:space="0" w:color="auto"/>
                    <w:right w:val="none" w:sz="0" w:space="0" w:color="auto"/>
                  </w:divBdr>
                </w:div>
                <w:div w:id="448932170">
                  <w:marLeft w:val="0"/>
                  <w:marRight w:val="0"/>
                  <w:marTop w:val="0"/>
                  <w:marBottom w:val="0"/>
                  <w:divBdr>
                    <w:top w:val="none" w:sz="0" w:space="0" w:color="auto"/>
                    <w:left w:val="none" w:sz="0" w:space="0" w:color="auto"/>
                    <w:bottom w:val="none" w:sz="0" w:space="0" w:color="auto"/>
                    <w:right w:val="none" w:sz="0" w:space="0" w:color="auto"/>
                  </w:divBdr>
                </w:div>
                <w:div w:id="845900869">
                  <w:marLeft w:val="0"/>
                  <w:marRight w:val="0"/>
                  <w:marTop w:val="225"/>
                  <w:marBottom w:val="0"/>
                  <w:divBdr>
                    <w:top w:val="none" w:sz="0" w:space="0" w:color="auto"/>
                    <w:left w:val="none" w:sz="0" w:space="0" w:color="auto"/>
                    <w:bottom w:val="none" w:sz="0" w:space="0" w:color="auto"/>
                    <w:right w:val="none" w:sz="0" w:space="0" w:color="auto"/>
                  </w:divBdr>
                  <w:divsChild>
                    <w:div w:id="483352049">
                      <w:marLeft w:val="0"/>
                      <w:marRight w:val="0"/>
                      <w:marTop w:val="0"/>
                      <w:marBottom w:val="0"/>
                      <w:divBdr>
                        <w:top w:val="none" w:sz="0" w:space="0" w:color="auto"/>
                        <w:left w:val="none" w:sz="0" w:space="0" w:color="auto"/>
                        <w:bottom w:val="none" w:sz="0" w:space="0" w:color="auto"/>
                        <w:right w:val="none" w:sz="0" w:space="0" w:color="auto"/>
                      </w:divBdr>
                    </w:div>
                    <w:div w:id="297078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153117">
          <w:marLeft w:val="0"/>
          <w:marRight w:val="0"/>
          <w:marTop w:val="0"/>
          <w:marBottom w:val="300"/>
          <w:divBdr>
            <w:top w:val="none" w:sz="0" w:space="0" w:color="auto"/>
            <w:left w:val="none" w:sz="0" w:space="0" w:color="auto"/>
            <w:bottom w:val="none" w:sz="0" w:space="0" w:color="auto"/>
            <w:right w:val="none" w:sz="0" w:space="0" w:color="auto"/>
          </w:divBdr>
        </w:div>
      </w:divsChild>
    </w:div>
    <w:div w:id="1048188791">
      <w:bodyDiv w:val="1"/>
      <w:marLeft w:val="0"/>
      <w:marRight w:val="0"/>
      <w:marTop w:val="0"/>
      <w:marBottom w:val="0"/>
      <w:divBdr>
        <w:top w:val="none" w:sz="0" w:space="0" w:color="auto"/>
        <w:left w:val="none" w:sz="0" w:space="0" w:color="auto"/>
        <w:bottom w:val="none" w:sz="0" w:space="0" w:color="auto"/>
        <w:right w:val="none" w:sz="0" w:space="0" w:color="auto"/>
      </w:divBdr>
    </w:div>
    <w:div w:id="1050567602">
      <w:bodyDiv w:val="1"/>
      <w:marLeft w:val="0"/>
      <w:marRight w:val="0"/>
      <w:marTop w:val="0"/>
      <w:marBottom w:val="0"/>
      <w:divBdr>
        <w:top w:val="none" w:sz="0" w:space="0" w:color="auto"/>
        <w:left w:val="none" w:sz="0" w:space="0" w:color="auto"/>
        <w:bottom w:val="none" w:sz="0" w:space="0" w:color="auto"/>
        <w:right w:val="none" w:sz="0" w:space="0" w:color="auto"/>
      </w:divBdr>
    </w:div>
    <w:div w:id="1114903846">
      <w:bodyDiv w:val="1"/>
      <w:marLeft w:val="0"/>
      <w:marRight w:val="0"/>
      <w:marTop w:val="0"/>
      <w:marBottom w:val="0"/>
      <w:divBdr>
        <w:top w:val="none" w:sz="0" w:space="0" w:color="auto"/>
        <w:left w:val="none" w:sz="0" w:space="0" w:color="auto"/>
        <w:bottom w:val="none" w:sz="0" w:space="0" w:color="auto"/>
        <w:right w:val="none" w:sz="0" w:space="0" w:color="auto"/>
      </w:divBdr>
    </w:div>
    <w:div w:id="1129396672">
      <w:bodyDiv w:val="1"/>
      <w:marLeft w:val="0"/>
      <w:marRight w:val="0"/>
      <w:marTop w:val="0"/>
      <w:marBottom w:val="0"/>
      <w:divBdr>
        <w:top w:val="none" w:sz="0" w:space="0" w:color="auto"/>
        <w:left w:val="none" w:sz="0" w:space="0" w:color="auto"/>
        <w:bottom w:val="none" w:sz="0" w:space="0" w:color="auto"/>
        <w:right w:val="none" w:sz="0" w:space="0" w:color="auto"/>
      </w:divBdr>
      <w:divsChild>
        <w:div w:id="766120503">
          <w:marLeft w:val="0"/>
          <w:marRight w:val="0"/>
          <w:marTop w:val="120"/>
          <w:marBottom w:val="120"/>
          <w:divBdr>
            <w:top w:val="none" w:sz="0" w:space="0" w:color="auto"/>
            <w:left w:val="none" w:sz="0" w:space="0" w:color="auto"/>
            <w:bottom w:val="none" w:sz="0" w:space="0" w:color="auto"/>
            <w:right w:val="none" w:sz="0" w:space="0" w:color="auto"/>
          </w:divBdr>
        </w:div>
        <w:div w:id="1155414363">
          <w:marLeft w:val="0"/>
          <w:marRight w:val="0"/>
          <w:marTop w:val="120"/>
          <w:marBottom w:val="120"/>
          <w:divBdr>
            <w:top w:val="none" w:sz="0" w:space="0" w:color="auto"/>
            <w:left w:val="none" w:sz="0" w:space="0" w:color="auto"/>
            <w:bottom w:val="none" w:sz="0" w:space="0" w:color="auto"/>
            <w:right w:val="none" w:sz="0" w:space="0" w:color="auto"/>
          </w:divBdr>
        </w:div>
      </w:divsChild>
    </w:div>
    <w:div w:id="1143888120">
      <w:bodyDiv w:val="1"/>
      <w:marLeft w:val="0"/>
      <w:marRight w:val="0"/>
      <w:marTop w:val="0"/>
      <w:marBottom w:val="0"/>
      <w:divBdr>
        <w:top w:val="single" w:sz="2" w:space="0" w:color="CC3640"/>
        <w:left w:val="none" w:sz="0" w:space="0" w:color="auto"/>
        <w:bottom w:val="none" w:sz="0" w:space="0" w:color="auto"/>
        <w:right w:val="none" w:sz="0" w:space="0" w:color="auto"/>
      </w:divBdr>
      <w:divsChild>
        <w:div w:id="1066344839">
          <w:marLeft w:val="0"/>
          <w:marRight w:val="0"/>
          <w:marTop w:val="0"/>
          <w:marBottom w:val="0"/>
          <w:divBdr>
            <w:top w:val="single" w:sz="2" w:space="0" w:color="FF0000"/>
            <w:left w:val="single" w:sz="2" w:space="0" w:color="FF0000"/>
            <w:bottom w:val="single" w:sz="2" w:space="0" w:color="FF0000"/>
            <w:right w:val="single" w:sz="2" w:space="0" w:color="FF0000"/>
          </w:divBdr>
          <w:divsChild>
            <w:div w:id="1898474915">
              <w:marLeft w:val="0"/>
              <w:marRight w:val="0"/>
              <w:marTop w:val="0"/>
              <w:marBottom w:val="0"/>
              <w:divBdr>
                <w:top w:val="none" w:sz="0" w:space="0" w:color="auto"/>
                <w:left w:val="single" w:sz="6" w:space="0" w:color="DDDDDD"/>
                <w:bottom w:val="none" w:sz="0" w:space="0" w:color="auto"/>
                <w:right w:val="none" w:sz="0" w:space="0" w:color="auto"/>
              </w:divBdr>
              <w:divsChild>
                <w:div w:id="1867019859">
                  <w:marLeft w:val="0"/>
                  <w:marRight w:val="0"/>
                  <w:marTop w:val="0"/>
                  <w:marBottom w:val="0"/>
                  <w:divBdr>
                    <w:top w:val="single" w:sz="2" w:space="0" w:color="008000"/>
                    <w:left w:val="single" w:sz="2" w:space="0" w:color="008000"/>
                    <w:bottom w:val="single" w:sz="2" w:space="0" w:color="008000"/>
                    <w:right w:val="single" w:sz="2" w:space="0" w:color="008000"/>
                  </w:divBdr>
                  <w:divsChild>
                    <w:div w:id="583801337">
                      <w:marLeft w:val="0"/>
                      <w:marRight w:val="0"/>
                      <w:marTop w:val="0"/>
                      <w:marBottom w:val="0"/>
                      <w:divBdr>
                        <w:top w:val="none" w:sz="0" w:space="0" w:color="auto"/>
                        <w:left w:val="none" w:sz="0" w:space="0" w:color="auto"/>
                        <w:bottom w:val="none" w:sz="0" w:space="0" w:color="auto"/>
                        <w:right w:val="none" w:sz="0" w:space="0" w:color="auto"/>
                      </w:divBdr>
                      <w:divsChild>
                        <w:div w:id="1345790852">
                          <w:marLeft w:val="0"/>
                          <w:marRight w:val="0"/>
                          <w:marTop w:val="0"/>
                          <w:marBottom w:val="0"/>
                          <w:divBdr>
                            <w:top w:val="none" w:sz="0" w:space="0" w:color="auto"/>
                            <w:left w:val="none" w:sz="0" w:space="0" w:color="auto"/>
                            <w:bottom w:val="none" w:sz="0" w:space="0" w:color="auto"/>
                            <w:right w:val="none" w:sz="0" w:space="0" w:color="auto"/>
                          </w:divBdr>
                          <w:divsChild>
                            <w:div w:id="1393625571">
                              <w:marLeft w:val="0"/>
                              <w:marRight w:val="0"/>
                              <w:marTop w:val="0"/>
                              <w:marBottom w:val="0"/>
                              <w:divBdr>
                                <w:top w:val="none" w:sz="0" w:space="0" w:color="auto"/>
                                <w:left w:val="single" w:sz="6" w:space="0" w:color="C3CDD8"/>
                                <w:bottom w:val="none" w:sz="0" w:space="0" w:color="auto"/>
                                <w:right w:val="none" w:sz="0" w:space="0" w:color="auto"/>
                              </w:divBdr>
                            </w:div>
                          </w:divsChild>
                        </w:div>
                      </w:divsChild>
                    </w:div>
                  </w:divsChild>
                </w:div>
              </w:divsChild>
            </w:div>
          </w:divsChild>
        </w:div>
      </w:divsChild>
    </w:div>
    <w:div w:id="1160389428">
      <w:bodyDiv w:val="1"/>
      <w:marLeft w:val="0"/>
      <w:marRight w:val="0"/>
      <w:marTop w:val="0"/>
      <w:marBottom w:val="0"/>
      <w:divBdr>
        <w:top w:val="none" w:sz="0" w:space="0" w:color="auto"/>
        <w:left w:val="none" w:sz="0" w:space="0" w:color="auto"/>
        <w:bottom w:val="none" w:sz="0" w:space="0" w:color="auto"/>
        <w:right w:val="none" w:sz="0" w:space="0" w:color="auto"/>
      </w:divBdr>
    </w:div>
    <w:div w:id="1178159445">
      <w:bodyDiv w:val="1"/>
      <w:marLeft w:val="0"/>
      <w:marRight w:val="0"/>
      <w:marTop w:val="0"/>
      <w:marBottom w:val="0"/>
      <w:divBdr>
        <w:top w:val="none" w:sz="0" w:space="0" w:color="auto"/>
        <w:left w:val="none" w:sz="0" w:space="0" w:color="auto"/>
        <w:bottom w:val="none" w:sz="0" w:space="0" w:color="auto"/>
        <w:right w:val="none" w:sz="0" w:space="0" w:color="auto"/>
      </w:divBdr>
      <w:divsChild>
        <w:div w:id="1086801846">
          <w:marLeft w:val="0"/>
          <w:marRight w:val="0"/>
          <w:marTop w:val="0"/>
          <w:marBottom w:val="0"/>
          <w:divBdr>
            <w:top w:val="single" w:sz="12" w:space="0" w:color="0092F4"/>
            <w:left w:val="none" w:sz="0" w:space="0" w:color="auto"/>
            <w:bottom w:val="none" w:sz="0" w:space="0" w:color="auto"/>
            <w:right w:val="none" w:sz="0" w:space="0" w:color="auto"/>
          </w:divBdr>
          <w:divsChild>
            <w:div w:id="237132561">
              <w:marLeft w:val="450"/>
              <w:marRight w:val="450"/>
              <w:marTop w:val="150"/>
              <w:marBottom w:val="0"/>
              <w:divBdr>
                <w:top w:val="none" w:sz="0" w:space="0" w:color="auto"/>
                <w:left w:val="none" w:sz="0" w:space="0" w:color="auto"/>
                <w:bottom w:val="none" w:sz="0" w:space="0" w:color="auto"/>
                <w:right w:val="none" w:sz="0" w:space="0" w:color="auto"/>
              </w:divBdr>
              <w:divsChild>
                <w:div w:id="30370724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912693205">
          <w:marLeft w:val="0"/>
          <w:marRight w:val="0"/>
          <w:marTop w:val="0"/>
          <w:marBottom w:val="0"/>
          <w:divBdr>
            <w:top w:val="none" w:sz="0" w:space="0" w:color="auto"/>
            <w:left w:val="none" w:sz="0" w:space="0" w:color="auto"/>
            <w:bottom w:val="none" w:sz="0" w:space="0" w:color="auto"/>
            <w:right w:val="none" w:sz="0" w:space="0" w:color="auto"/>
          </w:divBdr>
          <w:divsChild>
            <w:div w:id="57557353">
              <w:marLeft w:val="0"/>
              <w:marRight w:val="0"/>
              <w:marTop w:val="0"/>
              <w:marBottom w:val="0"/>
              <w:divBdr>
                <w:top w:val="none" w:sz="0" w:space="0" w:color="auto"/>
                <w:left w:val="none" w:sz="0" w:space="0" w:color="auto"/>
                <w:bottom w:val="none" w:sz="0" w:space="0" w:color="auto"/>
                <w:right w:val="none" w:sz="0" w:space="0" w:color="auto"/>
              </w:divBdr>
              <w:divsChild>
                <w:div w:id="517159570">
                  <w:marLeft w:val="0"/>
                  <w:marRight w:val="0"/>
                  <w:marTop w:val="0"/>
                  <w:marBottom w:val="170"/>
                  <w:divBdr>
                    <w:top w:val="none" w:sz="0" w:space="0" w:color="auto"/>
                    <w:left w:val="none" w:sz="0" w:space="0" w:color="auto"/>
                    <w:bottom w:val="none" w:sz="0" w:space="0" w:color="auto"/>
                    <w:right w:val="none" w:sz="0" w:space="0" w:color="auto"/>
                  </w:divBdr>
                  <w:divsChild>
                    <w:div w:id="508182276">
                      <w:marLeft w:val="0"/>
                      <w:marRight w:val="0"/>
                      <w:marTop w:val="170"/>
                      <w:marBottom w:val="170"/>
                      <w:divBdr>
                        <w:top w:val="none" w:sz="0" w:space="0" w:color="auto"/>
                        <w:left w:val="none" w:sz="0" w:space="0" w:color="auto"/>
                        <w:bottom w:val="none" w:sz="0" w:space="0" w:color="auto"/>
                        <w:right w:val="none" w:sz="0" w:space="0" w:color="auto"/>
                      </w:divBdr>
                    </w:div>
                  </w:divsChild>
                </w:div>
                <w:div w:id="1429691775">
                  <w:marLeft w:val="0"/>
                  <w:marRight w:val="0"/>
                  <w:marTop w:val="0"/>
                  <w:marBottom w:val="0"/>
                  <w:divBdr>
                    <w:top w:val="none" w:sz="0" w:space="0" w:color="auto"/>
                    <w:left w:val="none" w:sz="0" w:space="0" w:color="auto"/>
                    <w:bottom w:val="none" w:sz="0" w:space="0" w:color="auto"/>
                    <w:right w:val="none" w:sz="0" w:space="0" w:color="auto"/>
                  </w:divBdr>
                  <w:divsChild>
                    <w:div w:id="2070960133">
                      <w:marLeft w:val="0"/>
                      <w:marRight w:val="0"/>
                      <w:marTop w:val="0"/>
                      <w:marBottom w:val="0"/>
                      <w:divBdr>
                        <w:top w:val="none" w:sz="0" w:space="0" w:color="auto"/>
                        <w:left w:val="none" w:sz="0" w:space="0" w:color="auto"/>
                        <w:bottom w:val="none" w:sz="0" w:space="0" w:color="auto"/>
                        <w:right w:val="none" w:sz="0" w:space="0" w:color="auto"/>
                      </w:divBdr>
                    </w:div>
                    <w:div w:id="1711027702">
                      <w:marLeft w:val="0"/>
                      <w:marRight w:val="0"/>
                      <w:marTop w:val="0"/>
                      <w:marBottom w:val="0"/>
                      <w:divBdr>
                        <w:top w:val="none" w:sz="0" w:space="0" w:color="auto"/>
                        <w:left w:val="none" w:sz="0" w:space="0" w:color="auto"/>
                        <w:bottom w:val="none" w:sz="0" w:space="0" w:color="auto"/>
                        <w:right w:val="none" w:sz="0" w:space="0" w:color="auto"/>
                      </w:divBdr>
                    </w:div>
                    <w:div w:id="876963872">
                      <w:marLeft w:val="0"/>
                      <w:marRight w:val="0"/>
                      <w:marTop w:val="0"/>
                      <w:marBottom w:val="0"/>
                      <w:divBdr>
                        <w:top w:val="none" w:sz="0" w:space="0" w:color="auto"/>
                        <w:left w:val="none" w:sz="0" w:space="0" w:color="auto"/>
                        <w:bottom w:val="none" w:sz="0" w:space="0" w:color="auto"/>
                        <w:right w:val="none" w:sz="0" w:space="0" w:color="auto"/>
                      </w:divBdr>
                    </w:div>
                    <w:div w:id="1945267383">
                      <w:marLeft w:val="0"/>
                      <w:marRight w:val="0"/>
                      <w:marTop w:val="0"/>
                      <w:marBottom w:val="0"/>
                      <w:divBdr>
                        <w:top w:val="none" w:sz="0" w:space="0" w:color="auto"/>
                        <w:left w:val="none" w:sz="0" w:space="0" w:color="auto"/>
                        <w:bottom w:val="none" w:sz="0" w:space="0" w:color="auto"/>
                        <w:right w:val="none" w:sz="0" w:space="0" w:color="auto"/>
                      </w:divBdr>
                    </w:div>
                    <w:div w:id="1103574052">
                      <w:marLeft w:val="0"/>
                      <w:marRight w:val="0"/>
                      <w:marTop w:val="0"/>
                      <w:marBottom w:val="0"/>
                      <w:divBdr>
                        <w:top w:val="none" w:sz="0" w:space="0" w:color="auto"/>
                        <w:left w:val="none" w:sz="0" w:space="0" w:color="auto"/>
                        <w:bottom w:val="none" w:sz="0" w:space="0" w:color="auto"/>
                        <w:right w:val="none" w:sz="0" w:space="0" w:color="auto"/>
                      </w:divBdr>
                    </w:div>
                    <w:div w:id="1328896103">
                      <w:marLeft w:val="0"/>
                      <w:marRight w:val="0"/>
                      <w:marTop w:val="0"/>
                      <w:marBottom w:val="0"/>
                      <w:divBdr>
                        <w:top w:val="none" w:sz="0" w:space="0" w:color="auto"/>
                        <w:left w:val="none" w:sz="0" w:space="0" w:color="auto"/>
                        <w:bottom w:val="none" w:sz="0" w:space="0" w:color="auto"/>
                        <w:right w:val="none" w:sz="0" w:space="0" w:color="auto"/>
                      </w:divBdr>
                    </w:div>
                    <w:div w:id="2053457817">
                      <w:marLeft w:val="0"/>
                      <w:marRight w:val="0"/>
                      <w:marTop w:val="0"/>
                      <w:marBottom w:val="0"/>
                      <w:divBdr>
                        <w:top w:val="none" w:sz="0" w:space="0" w:color="auto"/>
                        <w:left w:val="none" w:sz="0" w:space="0" w:color="auto"/>
                        <w:bottom w:val="none" w:sz="0" w:space="0" w:color="auto"/>
                        <w:right w:val="none" w:sz="0" w:space="0" w:color="auto"/>
                      </w:divBdr>
                    </w:div>
                    <w:div w:id="1632907599">
                      <w:marLeft w:val="0"/>
                      <w:marRight w:val="0"/>
                      <w:marTop w:val="0"/>
                      <w:marBottom w:val="0"/>
                      <w:divBdr>
                        <w:top w:val="none" w:sz="0" w:space="0" w:color="auto"/>
                        <w:left w:val="none" w:sz="0" w:space="0" w:color="auto"/>
                        <w:bottom w:val="none" w:sz="0" w:space="0" w:color="auto"/>
                        <w:right w:val="none" w:sz="0" w:space="0" w:color="auto"/>
                      </w:divBdr>
                    </w:div>
                    <w:div w:id="744185577">
                      <w:marLeft w:val="0"/>
                      <w:marRight w:val="0"/>
                      <w:marTop w:val="0"/>
                      <w:marBottom w:val="0"/>
                      <w:divBdr>
                        <w:top w:val="none" w:sz="0" w:space="0" w:color="auto"/>
                        <w:left w:val="none" w:sz="0" w:space="0" w:color="auto"/>
                        <w:bottom w:val="none" w:sz="0" w:space="0" w:color="auto"/>
                        <w:right w:val="none" w:sz="0" w:space="0" w:color="auto"/>
                      </w:divBdr>
                    </w:div>
                    <w:div w:id="1163593712">
                      <w:marLeft w:val="0"/>
                      <w:marRight w:val="0"/>
                      <w:marTop w:val="0"/>
                      <w:marBottom w:val="0"/>
                      <w:divBdr>
                        <w:top w:val="none" w:sz="0" w:space="0" w:color="auto"/>
                        <w:left w:val="none" w:sz="0" w:space="0" w:color="auto"/>
                        <w:bottom w:val="none" w:sz="0" w:space="0" w:color="auto"/>
                        <w:right w:val="none" w:sz="0" w:space="0" w:color="auto"/>
                      </w:divBdr>
                    </w:div>
                    <w:div w:id="325090797">
                      <w:marLeft w:val="0"/>
                      <w:marRight w:val="0"/>
                      <w:marTop w:val="0"/>
                      <w:marBottom w:val="0"/>
                      <w:divBdr>
                        <w:top w:val="none" w:sz="0" w:space="0" w:color="auto"/>
                        <w:left w:val="none" w:sz="0" w:space="0" w:color="auto"/>
                        <w:bottom w:val="none" w:sz="0" w:space="0" w:color="auto"/>
                        <w:right w:val="none" w:sz="0" w:space="0" w:color="auto"/>
                      </w:divBdr>
                    </w:div>
                    <w:div w:id="217976084">
                      <w:marLeft w:val="0"/>
                      <w:marRight w:val="0"/>
                      <w:marTop w:val="0"/>
                      <w:marBottom w:val="0"/>
                      <w:divBdr>
                        <w:top w:val="none" w:sz="0" w:space="0" w:color="auto"/>
                        <w:left w:val="none" w:sz="0" w:space="0" w:color="auto"/>
                        <w:bottom w:val="none" w:sz="0" w:space="0" w:color="auto"/>
                        <w:right w:val="none" w:sz="0" w:space="0" w:color="auto"/>
                      </w:divBdr>
                    </w:div>
                    <w:div w:id="992414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557131">
      <w:bodyDiv w:val="1"/>
      <w:marLeft w:val="0"/>
      <w:marRight w:val="0"/>
      <w:marTop w:val="0"/>
      <w:marBottom w:val="0"/>
      <w:divBdr>
        <w:top w:val="none" w:sz="0" w:space="0" w:color="auto"/>
        <w:left w:val="none" w:sz="0" w:space="0" w:color="auto"/>
        <w:bottom w:val="none" w:sz="0" w:space="0" w:color="auto"/>
        <w:right w:val="none" w:sz="0" w:space="0" w:color="auto"/>
      </w:divBdr>
      <w:divsChild>
        <w:div w:id="604003260">
          <w:marLeft w:val="0"/>
          <w:marRight w:val="0"/>
          <w:marTop w:val="240"/>
          <w:marBottom w:val="0"/>
          <w:divBdr>
            <w:top w:val="none" w:sz="0" w:space="0" w:color="auto"/>
            <w:left w:val="none" w:sz="0" w:space="0" w:color="auto"/>
            <w:bottom w:val="none" w:sz="0" w:space="0" w:color="auto"/>
            <w:right w:val="none" w:sz="0" w:space="0" w:color="auto"/>
          </w:divBdr>
        </w:div>
        <w:div w:id="2087914595">
          <w:marLeft w:val="0"/>
          <w:marRight w:val="0"/>
          <w:marTop w:val="480"/>
          <w:marBottom w:val="0"/>
          <w:divBdr>
            <w:top w:val="none" w:sz="0" w:space="0" w:color="auto"/>
            <w:left w:val="none" w:sz="0" w:space="0" w:color="auto"/>
            <w:bottom w:val="none" w:sz="0" w:space="0" w:color="auto"/>
            <w:right w:val="none" w:sz="0" w:space="0" w:color="auto"/>
          </w:divBdr>
          <w:divsChild>
            <w:div w:id="1434133490">
              <w:marLeft w:val="0"/>
              <w:marRight w:val="0"/>
              <w:marTop w:val="0"/>
              <w:marBottom w:val="0"/>
              <w:divBdr>
                <w:top w:val="single" w:sz="6" w:space="16" w:color="9F2943"/>
                <w:left w:val="single" w:sz="6" w:space="16" w:color="9F2943"/>
                <w:bottom w:val="single" w:sz="6" w:space="16" w:color="9F2943"/>
                <w:right w:val="single" w:sz="6" w:space="16" w:color="9F2943"/>
              </w:divBdr>
            </w:div>
          </w:divsChild>
        </w:div>
        <w:div w:id="747267521">
          <w:marLeft w:val="0"/>
          <w:marRight w:val="0"/>
          <w:marTop w:val="360"/>
          <w:marBottom w:val="0"/>
          <w:divBdr>
            <w:top w:val="none" w:sz="0" w:space="0" w:color="auto"/>
            <w:left w:val="none" w:sz="0" w:space="0" w:color="auto"/>
            <w:bottom w:val="none" w:sz="0" w:space="0" w:color="auto"/>
            <w:right w:val="none" w:sz="0" w:space="0" w:color="auto"/>
          </w:divBdr>
        </w:div>
      </w:divsChild>
    </w:div>
    <w:div w:id="1262223661">
      <w:bodyDiv w:val="1"/>
      <w:marLeft w:val="0"/>
      <w:marRight w:val="0"/>
      <w:marTop w:val="0"/>
      <w:marBottom w:val="0"/>
      <w:divBdr>
        <w:top w:val="none" w:sz="0" w:space="0" w:color="auto"/>
        <w:left w:val="none" w:sz="0" w:space="0" w:color="auto"/>
        <w:bottom w:val="none" w:sz="0" w:space="0" w:color="auto"/>
        <w:right w:val="none" w:sz="0" w:space="0" w:color="auto"/>
      </w:divBdr>
    </w:div>
    <w:div w:id="1282033059">
      <w:bodyDiv w:val="1"/>
      <w:marLeft w:val="0"/>
      <w:marRight w:val="0"/>
      <w:marTop w:val="0"/>
      <w:marBottom w:val="0"/>
      <w:divBdr>
        <w:top w:val="none" w:sz="0" w:space="0" w:color="auto"/>
        <w:left w:val="none" w:sz="0" w:space="0" w:color="auto"/>
        <w:bottom w:val="none" w:sz="0" w:space="0" w:color="auto"/>
        <w:right w:val="none" w:sz="0" w:space="0" w:color="auto"/>
      </w:divBdr>
    </w:div>
    <w:div w:id="1365522962">
      <w:bodyDiv w:val="1"/>
      <w:marLeft w:val="0"/>
      <w:marRight w:val="0"/>
      <w:marTop w:val="0"/>
      <w:marBottom w:val="0"/>
      <w:divBdr>
        <w:top w:val="single" w:sz="2" w:space="0" w:color="CC3640"/>
        <w:left w:val="none" w:sz="0" w:space="0" w:color="auto"/>
        <w:bottom w:val="none" w:sz="0" w:space="0" w:color="auto"/>
        <w:right w:val="none" w:sz="0" w:space="0" w:color="auto"/>
      </w:divBdr>
      <w:divsChild>
        <w:div w:id="665596894">
          <w:marLeft w:val="0"/>
          <w:marRight w:val="0"/>
          <w:marTop w:val="0"/>
          <w:marBottom w:val="0"/>
          <w:divBdr>
            <w:top w:val="single" w:sz="2" w:space="0" w:color="FF0000"/>
            <w:left w:val="single" w:sz="2" w:space="0" w:color="FF0000"/>
            <w:bottom w:val="single" w:sz="2" w:space="0" w:color="FF0000"/>
            <w:right w:val="single" w:sz="2" w:space="0" w:color="FF0000"/>
          </w:divBdr>
          <w:divsChild>
            <w:div w:id="1770544602">
              <w:marLeft w:val="0"/>
              <w:marRight w:val="0"/>
              <w:marTop w:val="0"/>
              <w:marBottom w:val="0"/>
              <w:divBdr>
                <w:top w:val="none" w:sz="0" w:space="0" w:color="auto"/>
                <w:left w:val="single" w:sz="6" w:space="0" w:color="DDDDDD"/>
                <w:bottom w:val="none" w:sz="0" w:space="0" w:color="auto"/>
                <w:right w:val="none" w:sz="0" w:space="0" w:color="auto"/>
              </w:divBdr>
              <w:divsChild>
                <w:div w:id="1274287498">
                  <w:marLeft w:val="0"/>
                  <w:marRight w:val="0"/>
                  <w:marTop w:val="0"/>
                  <w:marBottom w:val="0"/>
                  <w:divBdr>
                    <w:top w:val="single" w:sz="2" w:space="0" w:color="008000"/>
                    <w:left w:val="single" w:sz="2" w:space="0" w:color="008000"/>
                    <w:bottom w:val="single" w:sz="2" w:space="0" w:color="008000"/>
                    <w:right w:val="single" w:sz="2" w:space="0" w:color="008000"/>
                  </w:divBdr>
                  <w:divsChild>
                    <w:div w:id="1500270499">
                      <w:marLeft w:val="0"/>
                      <w:marRight w:val="0"/>
                      <w:marTop w:val="0"/>
                      <w:marBottom w:val="0"/>
                      <w:divBdr>
                        <w:top w:val="none" w:sz="0" w:space="0" w:color="auto"/>
                        <w:left w:val="none" w:sz="0" w:space="0" w:color="auto"/>
                        <w:bottom w:val="none" w:sz="0" w:space="0" w:color="auto"/>
                        <w:right w:val="none" w:sz="0" w:space="0" w:color="auto"/>
                      </w:divBdr>
                      <w:divsChild>
                        <w:div w:id="1822188276">
                          <w:marLeft w:val="0"/>
                          <w:marRight w:val="0"/>
                          <w:marTop w:val="0"/>
                          <w:marBottom w:val="0"/>
                          <w:divBdr>
                            <w:top w:val="none" w:sz="0" w:space="0" w:color="auto"/>
                            <w:left w:val="none" w:sz="0" w:space="0" w:color="auto"/>
                            <w:bottom w:val="none" w:sz="0" w:space="0" w:color="auto"/>
                            <w:right w:val="none" w:sz="0" w:space="0" w:color="auto"/>
                          </w:divBdr>
                          <w:divsChild>
                            <w:div w:id="960647003">
                              <w:marLeft w:val="0"/>
                              <w:marRight w:val="0"/>
                              <w:marTop w:val="0"/>
                              <w:marBottom w:val="0"/>
                              <w:divBdr>
                                <w:top w:val="none" w:sz="0" w:space="0" w:color="auto"/>
                                <w:left w:val="single" w:sz="6" w:space="0" w:color="C3CDD8"/>
                                <w:bottom w:val="none" w:sz="0" w:space="0" w:color="auto"/>
                                <w:right w:val="none" w:sz="0" w:space="0" w:color="auto"/>
                              </w:divBdr>
                            </w:div>
                          </w:divsChild>
                        </w:div>
                      </w:divsChild>
                    </w:div>
                  </w:divsChild>
                </w:div>
              </w:divsChild>
            </w:div>
          </w:divsChild>
        </w:div>
      </w:divsChild>
    </w:div>
    <w:div w:id="1413894625">
      <w:bodyDiv w:val="1"/>
      <w:marLeft w:val="0"/>
      <w:marRight w:val="0"/>
      <w:marTop w:val="0"/>
      <w:marBottom w:val="0"/>
      <w:divBdr>
        <w:top w:val="none" w:sz="0" w:space="0" w:color="auto"/>
        <w:left w:val="none" w:sz="0" w:space="0" w:color="auto"/>
        <w:bottom w:val="none" w:sz="0" w:space="0" w:color="auto"/>
        <w:right w:val="none" w:sz="0" w:space="0" w:color="auto"/>
      </w:divBdr>
    </w:div>
    <w:div w:id="1420102135">
      <w:bodyDiv w:val="1"/>
      <w:marLeft w:val="0"/>
      <w:marRight w:val="0"/>
      <w:marTop w:val="0"/>
      <w:marBottom w:val="0"/>
      <w:divBdr>
        <w:top w:val="single" w:sz="2" w:space="0" w:color="CC3640"/>
        <w:left w:val="none" w:sz="0" w:space="0" w:color="auto"/>
        <w:bottom w:val="none" w:sz="0" w:space="0" w:color="auto"/>
        <w:right w:val="none" w:sz="0" w:space="0" w:color="auto"/>
      </w:divBdr>
      <w:divsChild>
        <w:div w:id="1058629314">
          <w:marLeft w:val="0"/>
          <w:marRight w:val="0"/>
          <w:marTop w:val="0"/>
          <w:marBottom w:val="0"/>
          <w:divBdr>
            <w:top w:val="single" w:sz="2" w:space="0" w:color="FF0000"/>
            <w:left w:val="single" w:sz="2" w:space="0" w:color="FF0000"/>
            <w:bottom w:val="single" w:sz="2" w:space="0" w:color="FF0000"/>
            <w:right w:val="single" w:sz="2" w:space="0" w:color="FF0000"/>
          </w:divBdr>
          <w:divsChild>
            <w:div w:id="781341213">
              <w:marLeft w:val="0"/>
              <w:marRight w:val="0"/>
              <w:marTop w:val="0"/>
              <w:marBottom w:val="0"/>
              <w:divBdr>
                <w:top w:val="none" w:sz="0" w:space="0" w:color="auto"/>
                <w:left w:val="single" w:sz="6" w:space="0" w:color="DDDDDD"/>
                <w:bottom w:val="none" w:sz="0" w:space="0" w:color="auto"/>
                <w:right w:val="none" w:sz="0" w:space="0" w:color="auto"/>
              </w:divBdr>
              <w:divsChild>
                <w:div w:id="1213539502">
                  <w:marLeft w:val="0"/>
                  <w:marRight w:val="0"/>
                  <w:marTop w:val="0"/>
                  <w:marBottom w:val="0"/>
                  <w:divBdr>
                    <w:top w:val="single" w:sz="2" w:space="0" w:color="008000"/>
                    <w:left w:val="single" w:sz="2" w:space="0" w:color="008000"/>
                    <w:bottom w:val="single" w:sz="2" w:space="0" w:color="008000"/>
                    <w:right w:val="single" w:sz="2" w:space="0" w:color="008000"/>
                  </w:divBdr>
                  <w:divsChild>
                    <w:div w:id="1891266276">
                      <w:marLeft w:val="0"/>
                      <w:marRight w:val="0"/>
                      <w:marTop w:val="0"/>
                      <w:marBottom w:val="0"/>
                      <w:divBdr>
                        <w:top w:val="none" w:sz="0" w:space="0" w:color="auto"/>
                        <w:left w:val="none" w:sz="0" w:space="0" w:color="auto"/>
                        <w:bottom w:val="none" w:sz="0" w:space="0" w:color="auto"/>
                        <w:right w:val="none" w:sz="0" w:space="0" w:color="auto"/>
                      </w:divBdr>
                      <w:divsChild>
                        <w:div w:id="850341060">
                          <w:marLeft w:val="0"/>
                          <w:marRight w:val="0"/>
                          <w:marTop w:val="0"/>
                          <w:marBottom w:val="0"/>
                          <w:divBdr>
                            <w:top w:val="none" w:sz="0" w:space="0" w:color="auto"/>
                            <w:left w:val="none" w:sz="0" w:space="0" w:color="auto"/>
                            <w:bottom w:val="none" w:sz="0" w:space="0" w:color="auto"/>
                            <w:right w:val="none" w:sz="0" w:space="0" w:color="auto"/>
                          </w:divBdr>
                          <w:divsChild>
                            <w:div w:id="1292908079">
                              <w:marLeft w:val="0"/>
                              <w:marRight w:val="0"/>
                              <w:marTop w:val="0"/>
                              <w:marBottom w:val="0"/>
                              <w:divBdr>
                                <w:top w:val="none" w:sz="0" w:space="0" w:color="auto"/>
                                <w:left w:val="single" w:sz="6" w:space="0" w:color="C3CDD8"/>
                                <w:bottom w:val="none" w:sz="0" w:space="0" w:color="auto"/>
                                <w:right w:val="none" w:sz="0" w:space="0" w:color="auto"/>
                              </w:divBdr>
                            </w:div>
                          </w:divsChild>
                        </w:div>
                      </w:divsChild>
                    </w:div>
                  </w:divsChild>
                </w:div>
              </w:divsChild>
            </w:div>
          </w:divsChild>
        </w:div>
      </w:divsChild>
    </w:div>
    <w:div w:id="1422797126">
      <w:bodyDiv w:val="1"/>
      <w:marLeft w:val="0"/>
      <w:marRight w:val="0"/>
      <w:marTop w:val="0"/>
      <w:marBottom w:val="0"/>
      <w:divBdr>
        <w:top w:val="none" w:sz="0" w:space="0" w:color="auto"/>
        <w:left w:val="none" w:sz="0" w:space="0" w:color="auto"/>
        <w:bottom w:val="none" w:sz="0" w:space="0" w:color="auto"/>
        <w:right w:val="none" w:sz="0" w:space="0" w:color="auto"/>
      </w:divBdr>
      <w:divsChild>
        <w:div w:id="1957519605">
          <w:marLeft w:val="0"/>
          <w:marRight w:val="0"/>
          <w:marTop w:val="0"/>
          <w:marBottom w:val="0"/>
          <w:divBdr>
            <w:top w:val="none" w:sz="0" w:space="0" w:color="auto"/>
            <w:left w:val="none" w:sz="0" w:space="0" w:color="auto"/>
            <w:bottom w:val="none" w:sz="0" w:space="0" w:color="auto"/>
            <w:right w:val="none" w:sz="0" w:space="0" w:color="auto"/>
          </w:divBdr>
          <w:divsChild>
            <w:div w:id="132841498">
              <w:marLeft w:val="0"/>
              <w:marRight w:val="0"/>
              <w:marTop w:val="0"/>
              <w:marBottom w:val="0"/>
              <w:divBdr>
                <w:top w:val="none" w:sz="0" w:space="0" w:color="auto"/>
                <w:left w:val="none" w:sz="0" w:space="0" w:color="auto"/>
                <w:bottom w:val="none" w:sz="0" w:space="0" w:color="auto"/>
                <w:right w:val="none" w:sz="0" w:space="0" w:color="auto"/>
              </w:divBdr>
              <w:divsChild>
                <w:div w:id="1807503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751695">
          <w:marLeft w:val="0"/>
          <w:marRight w:val="0"/>
          <w:marTop w:val="0"/>
          <w:marBottom w:val="0"/>
          <w:divBdr>
            <w:top w:val="none" w:sz="0" w:space="0" w:color="auto"/>
            <w:left w:val="none" w:sz="0" w:space="0" w:color="auto"/>
            <w:bottom w:val="none" w:sz="0" w:space="0" w:color="auto"/>
            <w:right w:val="none" w:sz="0" w:space="0" w:color="auto"/>
          </w:divBdr>
          <w:divsChild>
            <w:div w:id="367146857">
              <w:marLeft w:val="0"/>
              <w:marRight w:val="0"/>
              <w:marTop w:val="0"/>
              <w:marBottom w:val="0"/>
              <w:divBdr>
                <w:top w:val="none" w:sz="0" w:space="0" w:color="auto"/>
                <w:left w:val="none" w:sz="0" w:space="0" w:color="auto"/>
                <w:bottom w:val="none" w:sz="0" w:space="0" w:color="auto"/>
                <w:right w:val="none" w:sz="0" w:space="0" w:color="auto"/>
              </w:divBdr>
              <w:divsChild>
                <w:div w:id="73520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567934">
      <w:bodyDiv w:val="1"/>
      <w:marLeft w:val="0"/>
      <w:marRight w:val="0"/>
      <w:marTop w:val="0"/>
      <w:marBottom w:val="0"/>
      <w:divBdr>
        <w:top w:val="none" w:sz="0" w:space="0" w:color="auto"/>
        <w:left w:val="none" w:sz="0" w:space="0" w:color="auto"/>
        <w:bottom w:val="none" w:sz="0" w:space="0" w:color="auto"/>
        <w:right w:val="none" w:sz="0" w:space="0" w:color="auto"/>
      </w:divBdr>
    </w:div>
    <w:div w:id="1516728787">
      <w:bodyDiv w:val="1"/>
      <w:marLeft w:val="0"/>
      <w:marRight w:val="0"/>
      <w:marTop w:val="0"/>
      <w:marBottom w:val="0"/>
      <w:divBdr>
        <w:top w:val="single" w:sz="2" w:space="0" w:color="CC3640"/>
        <w:left w:val="none" w:sz="0" w:space="0" w:color="auto"/>
        <w:bottom w:val="none" w:sz="0" w:space="0" w:color="auto"/>
        <w:right w:val="none" w:sz="0" w:space="0" w:color="auto"/>
      </w:divBdr>
      <w:divsChild>
        <w:div w:id="177736190">
          <w:marLeft w:val="0"/>
          <w:marRight w:val="0"/>
          <w:marTop w:val="0"/>
          <w:marBottom w:val="0"/>
          <w:divBdr>
            <w:top w:val="single" w:sz="2" w:space="0" w:color="FF0000"/>
            <w:left w:val="single" w:sz="2" w:space="0" w:color="FF0000"/>
            <w:bottom w:val="single" w:sz="2" w:space="0" w:color="FF0000"/>
            <w:right w:val="single" w:sz="2" w:space="0" w:color="FF0000"/>
          </w:divBdr>
          <w:divsChild>
            <w:div w:id="304436020">
              <w:marLeft w:val="0"/>
              <w:marRight w:val="0"/>
              <w:marTop w:val="0"/>
              <w:marBottom w:val="0"/>
              <w:divBdr>
                <w:top w:val="none" w:sz="0" w:space="0" w:color="auto"/>
                <w:left w:val="single" w:sz="6" w:space="0" w:color="DDDDDD"/>
                <w:bottom w:val="none" w:sz="0" w:space="0" w:color="auto"/>
                <w:right w:val="none" w:sz="0" w:space="0" w:color="auto"/>
              </w:divBdr>
              <w:divsChild>
                <w:div w:id="103309916">
                  <w:marLeft w:val="0"/>
                  <w:marRight w:val="0"/>
                  <w:marTop w:val="0"/>
                  <w:marBottom w:val="0"/>
                  <w:divBdr>
                    <w:top w:val="single" w:sz="2" w:space="0" w:color="008000"/>
                    <w:left w:val="single" w:sz="2" w:space="0" w:color="008000"/>
                    <w:bottom w:val="single" w:sz="2" w:space="0" w:color="008000"/>
                    <w:right w:val="single" w:sz="2" w:space="0" w:color="008000"/>
                  </w:divBdr>
                  <w:divsChild>
                    <w:div w:id="166946363">
                      <w:marLeft w:val="0"/>
                      <w:marRight w:val="0"/>
                      <w:marTop w:val="0"/>
                      <w:marBottom w:val="0"/>
                      <w:divBdr>
                        <w:top w:val="none" w:sz="0" w:space="0" w:color="auto"/>
                        <w:left w:val="none" w:sz="0" w:space="0" w:color="auto"/>
                        <w:bottom w:val="none" w:sz="0" w:space="0" w:color="auto"/>
                        <w:right w:val="none" w:sz="0" w:space="0" w:color="auto"/>
                      </w:divBdr>
                      <w:divsChild>
                        <w:div w:id="2024430689">
                          <w:marLeft w:val="0"/>
                          <w:marRight w:val="0"/>
                          <w:marTop w:val="0"/>
                          <w:marBottom w:val="0"/>
                          <w:divBdr>
                            <w:top w:val="none" w:sz="0" w:space="0" w:color="auto"/>
                            <w:left w:val="none" w:sz="0" w:space="0" w:color="auto"/>
                            <w:bottom w:val="none" w:sz="0" w:space="0" w:color="auto"/>
                            <w:right w:val="none" w:sz="0" w:space="0" w:color="auto"/>
                          </w:divBdr>
                          <w:divsChild>
                            <w:div w:id="1638104323">
                              <w:marLeft w:val="0"/>
                              <w:marRight w:val="0"/>
                              <w:marTop w:val="0"/>
                              <w:marBottom w:val="0"/>
                              <w:divBdr>
                                <w:top w:val="none" w:sz="0" w:space="0" w:color="auto"/>
                                <w:left w:val="single" w:sz="6" w:space="0" w:color="C3CDD8"/>
                                <w:bottom w:val="none" w:sz="0" w:space="0" w:color="auto"/>
                                <w:right w:val="none" w:sz="0" w:space="0" w:color="auto"/>
                              </w:divBdr>
                            </w:div>
                          </w:divsChild>
                        </w:div>
                      </w:divsChild>
                    </w:div>
                  </w:divsChild>
                </w:div>
              </w:divsChild>
            </w:div>
          </w:divsChild>
        </w:div>
      </w:divsChild>
    </w:div>
    <w:div w:id="1547791669">
      <w:bodyDiv w:val="1"/>
      <w:marLeft w:val="0"/>
      <w:marRight w:val="0"/>
      <w:marTop w:val="0"/>
      <w:marBottom w:val="0"/>
      <w:divBdr>
        <w:top w:val="none" w:sz="0" w:space="0" w:color="auto"/>
        <w:left w:val="none" w:sz="0" w:space="0" w:color="auto"/>
        <w:bottom w:val="none" w:sz="0" w:space="0" w:color="auto"/>
        <w:right w:val="none" w:sz="0" w:space="0" w:color="auto"/>
      </w:divBdr>
    </w:div>
    <w:div w:id="1559051458">
      <w:bodyDiv w:val="1"/>
      <w:marLeft w:val="0"/>
      <w:marRight w:val="0"/>
      <w:marTop w:val="0"/>
      <w:marBottom w:val="0"/>
      <w:divBdr>
        <w:top w:val="none" w:sz="0" w:space="0" w:color="auto"/>
        <w:left w:val="none" w:sz="0" w:space="0" w:color="auto"/>
        <w:bottom w:val="none" w:sz="0" w:space="0" w:color="auto"/>
        <w:right w:val="none" w:sz="0" w:space="0" w:color="auto"/>
      </w:divBdr>
    </w:div>
    <w:div w:id="1575163136">
      <w:bodyDiv w:val="1"/>
      <w:marLeft w:val="0"/>
      <w:marRight w:val="0"/>
      <w:marTop w:val="0"/>
      <w:marBottom w:val="0"/>
      <w:divBdr>
        <w:top w:val="single" w:sz="2" w:space="0" w:color="CC3640"/>
        <w:left w:val="none" w:sz="0" w:space="0" w:color="auto"/>
        <w:bottom w:val="none" w:sz="0" w:space="0" w:color="auto"/>
        <w:right w:val="none" w:sz="0" w:space="0" w:color="auto"/>
      </w:divBdr>
      <w:divsChild>
        <w:div w:id="1109005009">
          <w:marLeft w:val="0"/>
          <w:marRight w:val="0"/>
          <w:marTop w:val="0"/>
          <w:marBottom w:val="0"/>
          <w:divBdr>
            <w:top w:val="single" w:sz="2" w:space="0" w:color="FF0000"/>
            <w:left w:val="single" w:sz="2" w:space="0" w:color="FF0000"/>
            <w:bottom w:val="single" w:sz="2" w:space="0" w:color="FF0000"/>
            <w:right w:val="single" w:sz="2" w:space="0" w:color="FF0000"/>
          </w:divBdr>
          <w:divsChild>
            <w:div w:id="128254631">
              <w:marLeft w:val="0"/>
              <w:marRight w:val="0"/>
              <w:marTop w:val="0"/>
              <w:marBottom w:val="0"/>
              <w:divBdr>
                <w:top w:val="none" w:sz="0" w:space="0" w:color="auto"/>
                <w:left w:val="single" w:sz="6" w:space="0" w:color="DDDDDD"/>
                <w:bottom w:val="none" w:sz="0" w:space="0" w:color="auto"/>
                <w:right w:val="none" w:sz="0" w:space="0" w:color="auto"/>
              </w:divBdr>
              <w:divsChild>
                <w:div w:id="1798524316">
                  <w:marLeft w:val="0"/>
                  <w:marRight w:val="0"/>
                  <w:marTop w:val="0"/>
                  <w:marBottom w:val="0"/>
                  <w:divBdr>
                    <w:top w:val="single" w:sz="2" w:space="0" w:color="008000"/>
                    <w:left w:val="single" w:sz="2" w:space="0" w:color="008000"/>
                    <w:bottom w:val="single" w:sz="2" w:space="0" w:color="008000"/>
                    <w:right w:val="single" w:sz="2" w:space="0" w:color="008000"/>
                  </w:divBdr>
                  <w:divsChild>
                    <w:div w:id="2101946961">
                      <w:marLeft w:val="0"/>
                      <w:marRight w:val="0"/>
                      <w:marTop w:val="0"/>
                      <w:marBottom w:val="0"/>
                      <w:divBdr>
                        <w:top w:val="none" w:sz="0" w:space="0" w:color="auto"/>
                        <w:left w:val="none" w:sz="0" w:space="0" w:color="auto"/>
                        <w:bottom w:val="none" w:sz="0" w:space="0" w:color="auto"/>
                        <w:right w:val="none" w:sz="0" w:space="0" w:color="auto"/>
                      </w:divBdr>
                      <w:divsChild>
                        <w:div w:id="554052611">
                          <w:marLeft w:val="0"/>
                          <w:marRight w:val="0"/>
                          <w:marTop w:val="0"/>
                          <w:marBottom w:val="0"/>
                          <w:divBdr>
                            <w:top w:val="none" w:sz="0" w:space="0" w:color="auto"/>
                            <w:left w:val="none" w:sz="0" w:space="0" w:color="auto"/>
                            <w:bottom w:val="none" w:sz="0" w:space="0" w:color="auto"/>
                            <w:right w:val="none" w:sz="0" w:space="0" w:color="auto"/>
                          </w:divBdr>
                          <w:divsChild>
                            <w:div w:id="1335765619">
                              <w:marLeft w:val="0"/>
                              <w:marRight w:val="0"/>
                              <w:marTop w:val="0"/>
                              <w:marBottom w:val="0"/>
                              <w:divBdr>
                                <w:top w:val="none" w:sz="0" w:space="0" w:color="auto"/>
                                <w:left w:val="single" w:sz="6" w:space="0" w:color="C3CDD8"/>
                                <w:bottom w:val="none" w:sz="0" w:space="0" w:color="auto"/>
                                <w:right w:val="none" w:sz="0" w:space="0" w:color="auto"/>
                              </w:divBdr>
                            </w:div>
                          </w:divsChild>
                        </w:div>
                      </w:divsChild>
                    </w:div>
                  </w:divsChild>
                </w:div>
              </w:divsChild>
            </w:div>
          </w:divsChild>
        </w:div>
      </w:divsChild>
    </w:div>
    <w:div w:id="1598900663">
      <w:bodyDiv w:val="1"/>
      <w:marLeft w:val="0"/>
      <w:marRight w:val="0"/>
      <w:marTop w:val="0"/>
      <w:marBottom w:val="0"/>
      <w:divBdr>
        <w:top w:val="none" w:sz="0" w:space="0" w:color="auto"/>
        <w:left w:val="none" w:sz="0" w:space="0" w:color="auto"/>
        <w:bottom w:val="none" w:sz="0" w:space="0" w:color="auto"/>
        <w:right w:val="none" w:sz="0" w:space="0" w:color="auto"/>
      </w:divBdr>
    </w:div>
    <w:div w:id="1604418248">
      <w:bodyDiv w:val="1"/>
      <w:marLeft w:val="0"/>
      <w:marRight w:val="0"/>
      <w:marTop w:val="0"/>
      <w:marBottom w:val="0"/>
      <w:divBdr>
        <w:top w:val="none" w:sz="0" w:space="0" w:color="auto"/>
        <w:left w:val="none" w:sz="0" w:space="0" w:color="auto"/>
        <w:bottom w:val="none" w:sz="0" w:space="0" w:color="auto"/>
        <w:right w:val="none" w:sz="0" w:space="0" w:color="auto"/>
      </w:divBdr>
    </w:div>
    <w:div w:id="1641885288">
      <w:bodyDiv w:val="1"/>
      <w:marLeft w:val="0"/>
      <w:marRight w:val="0"/>
      <w:marTop w:val="0"/>
      <w:marBottom w:val="0"/>
      <w:divBdr>
        <w:top w:val="none" w:sz="0" w:space="0" w:color="auto"/>
        <w:left w:val="none" w:sz="0" w:space="0" w:color="auto"/>
        <w:bottom w:val="none" w:sz="0" w:space="0" w:color="auto"/>
        <w:right w:val="none" w:sz="0" w:space="0" w:color="auto"/>
      </w:divBdr>
      <w:divsChild>
        <w:div w:id="1635524509">
          <w:marLeft w:val="0"/>
          <w:marRight w:val="0"/>
          <w:marTop w:val="0"/>
          <w:marBottom w:val="170"/>
          <w:divBdr>
            <w:top w:val="none" w:sz="0" w:space="0" w:color="auto"/>
            <w:left w:val="none" w:sz="0" w:space="0" w:color="auto"/>
            <w:bottom w:val="none" w:sz="0" w:space="0" w:color="auto"/>
            <w:right w:val="none" w:sz="0" w:space="0" w:color="auto"/>
          </w:divBdr>
          <w:divsChild>
            <w:div w:id="1834759955">
              <w:marLeft w:val="0"/>
              <w:marRight w:val="0"/>
              <w:marTop w:val="170"/>
              <w:marBottom w:val="170"/>
              <w:divBdr>
                <w:top w:val="none" w:sz="0" w:space="0" w:color="auto"/>
                <w:left w:val="none" w:sz="0" w:space="0" w:color="auto"/>
                <w:bottom w:val="none" w:sz="0" w:space="0" w:color="auto"/>
                <w:right w:val="none" w:sz="0" w:space="0" w:color="auto"/>
              </w:divBdr>
            </w:div>
          </w:divsChild>
        </w:div>
        <w:div w:id="1259565008">
          <w:marLeft w:val="0"/>
          <w:marRight w:val="0"/>
          <w:marTop w:val="0"/>
          <w:marBottom w:val="0"/>
          <w:divBdr>
            <w:top w:val="none" w:sz="0" w:space="0" w:color="auto"/>
            <w:left w:val="none" w:sz="0" w:space="0" w:color="auto"/>
            <w:bottom w:val="none" w:sz="0" w:space="0" w:color="auto"/>
            <w:right w:val="none" w:sz="0" w:space="0" w:color="auto"/>
          </w:divBdr>
        </w:div>
        <w:div w:id="930049449">
          <w:marLeft w:val="0"/>
          <w:marRight w:val="0"/>
          <w:marTop w:val="0"/>
          <w:marBottom w:val="0"/>
          <w:divBdr>
            <w:top w:val="none" w:sz="0" w:space="0" w:color="auto"/>
            <w:left w:val="none" w:sz="0" w:space="0" w:color="auto"/>
            <w:bottom w:val="none" w:sz="0" w:space="0" w:color="auto"/>
            <w:right w:val="none" w:sz="0" w:space="0" w:color="auto"/>
          </w:divBdr>
        </w:div>
        <w:div w:id="264924601">
          <w:marLeft w:val="0"/>
          <w:marRight w:val="0"/>
          <w:marTop w:val="0"/>
          <w:marBottom w:val="0"/>
          <w:divBdr>
            <w:top w:val="none" w:sz="0" w:space="0" w:color="auto"/>
            <w:left w:val="none" w:sz="0" w:space="0" w:color="auto"/>
            <w:bottom w:val="none" w:sz="0" w:space="0" w:color="auto"/>
            <w:right w:val="none" w:sz="0" w:space="0" w:color="auto"/>
          </w:divBdr>
        </w:div>
        <w:div w:id="1883900254">
          <w:marLeft w:val="0"/>
          <w:marRight w:val="0"/>
          <w:marTop w:val="0"/>
          <w:marBottom w:val="0"/>
          <w:divBdr>
            <w:top w:val="none" w:sz="0" w:space="0" w:color="auto"/>
            <w:left w:val="none" w:sz="0" w:space="0" w:color="auto"/>
            <w:bottom w:val="none" w:sz="0" w:space="0" w:color="auto"/>
            <w:right w:val="none" w:sz="0" w:space="0" w:color="auto"/>
          </w:divBdr>
        </w:div>
        <w:div w:id="1720014463">
          <w:marLeft w:val="0"/>
          <w:marRight w:val="0"/>
          <w:marTop w:val="0"/>
          <w:marBottom w:val="0"/>
          <w:divBdr>
            <w:top w:val="none" w:sz="0" w:space="0" w:color="auto"/>
            <w:left w:val="none" w:sz="0" w:space="0" w:color="auto"/>
            <w:bottom w:val="none" w:sz="0" w:space="0" w:color="auto"/>
            <w:right w:val="none" w:sz="0" w:space="0" w:color="auto"/>
          </w:divBdr>
        </w:div>
        <w:div w:id="2060274905">
          <w:marLeft w:val="0"/>
          <w:marRight w:val="0"/>
          <w:marTop w:val="0"/>
          <w:marBottom w:val="0"/>
          <w:divBdr>
            <w:top w:val="none" w:sz="0" w:space="0" w:color="auto"/>
            <w:left w:val="none" w:sz="0" w:space="0" w:color="auto"/>
            <w:bottom w:val="none" w:sz="0" w:space="0" w:color="auto"/>
            <w:right w:val="none" w:sz="0" w:space="0" w:color="auto"/>
          </w:divBdr>
        </w:div>
        <w:div w:id="999698662">
          <w:marLeft w:val="0"/>
          <w:marRight w:val="0"/>
          <w:marTop w:val="0"/>
          <w:marBottom w:val="0"/>
          <w:divBdr>
            <w:top w:val="none" w:sz="0" w:space="0" w:color="auto"/>
            <w:left w:val="none" w:sz="0" w:space="0" w:color="auto"/>
            <w:bottom w:val="none" w:sz="0" w:space="0" w:color="auto"/>
            <w:right w:val="none" w:sz="0" w:space="0" w:color="auto"/>
          </w:divBdr>
        </w:div>
        <w:div w:id="71320211">
          <w:marLeft w:val="0"/>
          <w:marRight w:val="0"/>
          <w:marTop w:val="0"/>
          <w:marBottom w:val="0"/>
          <w:divBdr>
            <w:top w:val="none" w:sz="0" w:space="0" w:color="auto"/>
            <w:left w:val="none" w:sz="0" w:space="0" w:color="auto"/>
            <w:bottom w:val="none" w:sz="0" w:space="0" w:color="auto"/>
            <w:right w:val="none" w:sz="0" w:space="0" w:color="auto"/>
          </w:divBdr>
        </w:div>
        <w:div w:id="282200569">
          <w:marLeft w:val="0"/>
          <w:marRight w:val="0"/>
          <w:marTop w:val="0"/>
          <w:marBottom w:val="0"/>
          <w:divBdr>
            <w:top w:val="none" w:sz="0" w:space="0" w:color="auto"/>
            <w:left w:val="none" w:sz="0" w:space="0" w:color="auto"/>
            <w:bottom w:val="none" w:sz="0" w:space="0" w:color="auto"/>
            <w:right w:val="none" w:sz="0" w:space="0" w:color="auto"/>
          </w:divBdr>
        </w:div>
        <w:div w:id="581373843">
          <w:marLeft w:val="0"/>
          <w:marRight w:val="0"/>
          <w:marTop w:val="0"/>
          <w:marBottom w:val="0"/>
          <w:divBdr>
            <w:top w:val="none" w:sz="0" w:space="0" w:color="auto"/>
            <w:left w:val="none" w:sz="0" w:space="0" w:color="auto"/>
            <w:bottom w:val="none" w:sz="0" w:space="0" w:color="auto"/>
            <w:right w:val="none" w:sz="0" w:space="0" w:color="auto"/>
          </w:divBdr>
        </w:div>
        <w:div w:id="2072924582">
          <w:marLeft w:val="0"/>
          <w:marRight w:val="0"/>
          <w:marTop w:val="0"/>
          <w:marBottom w:val="0"/>
          <w:divBdr>
            <w:top w:val="none" w:sz="0" w:space="0" w:color="auto"/>
            <w:left w:val="none" w:sz="0" w:space="0" w:color="auto"/>
            <w:bottom w:val="none" w:sz="0" w:space="0" w:color="auto"/>
            <w:right w:val="none" w:sz="0" w:space="0" w:color="auto"/>
          </w:divBdr>
        </w:div>
        <w:div w:id="1964337456">
          <w:marLeft w:val="0"/>
          <w:marRight w:val="0"/>
          <w:marTop w:val="0"/>
          <w:marBottom w:val="0"/>
          <w:divBdr>
            <w:top w:val="none" w:sz="0" w:space="0" w:color="auto"/>
            <w:left w:val="none" w:sz="0" w:space="0" w:color="auto"/>
            <w:bottom w:val="none" w:sz="0" w:space="0" w:color="auto"/>
            <w:right w:val="none" w:sz="0" w:space="0" w:color="auto"/>
          </w:divBdr>
        </w:div>
        <w:div w:id="105736565">
          <w:marLeft w:val="0"/>
          <w:marRight w:val="0"/>
          <w:marTop w:val="0"/>
          <w:marBottom w:val="0"/>
          <w:divBdr>
            <w:top w:val="none" w:sz="0" w:space="0" w:color="auto"/>
            <w:left w:val="none" w:sz="0" w:space="0" w:color="auto"/>
            <w:bottom w:val="none" w:sz="0" w:space="0" w:color="auto"/>
            <w:right w:val="none" w:sz="0" w:space="0" w:color="auto"/>
          </w:divBdr>
        </w:div>
        <w:div w:id="1378432670">
          <w:marLeft w:val="0"/>
          <w:marRight w:val="0"/>
          <w:marTop w:val="0"/>
          <w:marBottom w:val="0"/>
          <w:divBdr>
            <w:top w:val="none" w:sz="0" w:space="0" w:color="auto"/>
            <w:left w:val="none" w:sz="0" w:space="0" w:color="auto"/>
            <w:bottom w:val="none" w:sz="0" w:space="0" w:color="auto"/>
            <w:right w:val="none" w:sz="0" w:space="0" w:color="auto"/>
          </w:divBdr>
        </w:div>
      </w:divsChild>
    </w:div>
    <w:div w:id="1642805888">
      <w:bodyDiv w:val="1"/>
      <w:marLeft w:val="0"/>
      <w:marRight w:val="0"/>
      <w:marTop w:val="0"/>
      <w:marBottom w:val="0"/>
      <w:divBdr>
        <w:top w:val="single" w:sz="2" w:space="0" w:color="CC3640"/>
        <w:left w:val="none" w:sz="0" w:space="0" w:color="auto"/>
        <w:bottom w:val="none" w:sz="0" w:space="0" w:color="auto"/>
        <w:right w:val="none" w:sz="0" w:space="0" w:color="auto"/>
      </w:divBdr>
      <w:divsChild>
        <w:div w:id="2078546922">
          <w:marLeft w:val="0"/>
          <w:marRight w:val="0"/>
          <w:marTop w:val="0"/>
          <w:marBottom w:val="0"/>
          <w:divBdr>
            <w:top w:val="single" w:sz="2" w:space="0" w:color="FF0000"/>
            <w:left w:val="single" w:sz="2" w:space="0" w:color="FF0000"/>
            <w:bottom w:val="single" w:sz="2" w:space="0" w:color="FF0000"/>
            <w:right w:val="single" w:sz="2" w:space="0" w:color="FF0000"/>
          </w:divBdr>
          <w:divsChild>
            <w:div w:id="448668027">
              <w:marLeft w:val="0"/>
              <w:marRight w:val="0"/>
              <w:marTop w:val="0"/>
              <w:marBottom w:val="0"/>
              <w:divBdr>
                <w:top w:val="none" w:sz="0" w:space="0" w:color="auto"/>
                <w:left w:val="single" w:sz="6" w:space="0" w:color="DDDDDD"/>
                <w:bottom w:val="none" w:sz="0" w:space="0" w:color="auto"/>
                <w:right w:val="none" w:sz="0" w:space="0" w:color="auto"/>
              </w:divBdr>
              <w:divsChild>
                <w:div w:id="180818786">
                  <w:marLeft w:val="0"/>
                  <w:marRight w:val="0"/>
                  <w:marTop w:val="0"/>
                  <w:marBottom w:val="0"/>
                  <w:divBdr>
                    <w:top w:val="single" w:sz="2" w:space="0" w:color="008000"/>
                    <w:left w:val="single" w:sz="2" w:space="0" w:color="008000"/>
                    <w:bottom w:val="single" w:sz="2" w:space="0" w:color="008000"/>
                    <w:right w:val="single" w:sz="2" w:space="0" w:color="008000"/>
                  </w:divBdr>
                  <w:divsChild>
                    <w:div w:id="787625791">
                      <w:marLeft w:val="0"/>
                      <w:marRight w:val="0"/>
                      <w:marTop w:val="0"/>
                      <w:marBottom w:val="0"/>
                      <w:divBdr>
                        <w:top w:val="none" w:sz="0" w:space="0" w:color="auto"/>
                        <w:left w:val="none" w:sz="0" w:space="0" w:color="auto"/>
                        <w:bottom w:val="none" w:sz="0" w:space="0" w:color="auto"/>
                        <w:right w:val="none" w:sz="0" w:space="0" w:color="auto"/>
                      </w:divBdr>
                      <w:divsChild>
                        <w:div w:id="119611462">
                          <w:marLeft w:val="0"/>
                          <w:marRight w:val="0"/>
                          <w:marTop w:val="0"/>
                          <w:marBottom w:val="0"/>
                          <w:divBdr>
                            <w:top w:val="none" w:sz="0" w:space="0" w:color="auto"/>
                            <w:left w:val="none" w:sz="0" w:space="0" w:color="auto"/>
                            <w:bottom w:val="none" w:sz="0" w:space="0" w:color="auto"/>
                            <w:right w:val="none" w:sz="0" w:space="0" w:color="auto"/>
                          </w:divBdr>
                          <w:divsChild>
                            <w:div w:id="1782257309">
                              <w:marLeft w:val="0"/>
                              <w:marRight w:val="0"/>
                              <w:marTop w:val="0"/>
                              <w:marBottom w:val="0"/>
                              <w:divBdr>
                                <w:top w:val="none" w:sz="0" w:space="0" w:color="auto"/>
                                <w:left w:val="single" w:sz="6" w:space="0" w:color="C3CDD8"/>
                                <w:bottom w:val="none" w:sz="0" w:space="0" w:color="auto"/>
                                <w:right w:val="none" w:sz="0" w:space="0" w:color="auto"/>
                              </w:divBdr>
                            </w:div>
                          </w:divsChild>
                        </w:div>
                      </w:divsChild>
                    </w:div>
                  </w:divsChild>
                </w:div>
              </w:divsChild>
            </w:div>
          </w:divsChild>
        </w:div>
      </w:divsChild>
    </w:div>
    <w:div w:id="1644583379">
      <w:bodyDiv w:val="1"/>
      <w:marLeft w:val="0"/>
      <w:marRight w:val="0"/>
      <w:marTop w:val="0"/>
      <w:marBottom w:val="0"/>
      <w:divBdr>
        <w:top w:val="single" w:sz="2" w:space="0" w:color="CC3640"/>
        <w:left w:val="none" w:sz="0" w:space="0" w:color="auto"/>
        <w:bottom w:val="none" w:sz="0" w:space="0" w:color="auto"/>
        <w:right w:val="none" w:sz="0" w:space="0" w:color="auto"/>
      </w:divBdr>
      <w:divsChild>
        <w:div w:id="1635525567">
          <w:marLeft w:val="0"/>
          <w:marRight w:val="0"/>
          <w:marTop w:val="0"/>
          <w:marBottom w:val="0"/>
          <w:divBdr>
            <w:top w:val="single" w:sz="2" w:space="0" w:color="FF0000"/>
            <w:left w:val="single" w:sz="2" w:space="0" w:color="FF0000"/>
            <w:bottom w:val="single" w:sz="2" w:space="0" w:color="FF0000"/>
            <w:right w:val="single" w:sz="2" w:space="0" w:color="FF0000"/>
          </w:divBdr>
          <w:divsChild>
            <w:div w:id="1739594436">
              <w:marLeft w:val="0"/>
              <w:marRight w:val="0"/>
              <w:marTop w:val="0"/>
              <w:marBottom w:val="0"/>
              <w:divBdr>
                <w:top w:val="none" w:sz="0" w:space="0" w:color="auto"/>
                <w:left w:val="single" w:sz="6" w:space="0" w:color="DDDDDD"/>
                <w:bottom w:val="none" w:sz="0" w:space="0" w:color="auto"/>
                <w:right w:val="none" w:sz="0" w:space="0" w:color="auto"/>
              </w:divBdr>
              <w:divsChild>
                <w:div w:id="1559853214">
                  <w:marLeft w:val="0"/>
                  <w:marRight w:val="0"/>
                  <w:marTop w:val="0"/>
                  <w:marBottom w:val="0"/>
                  <w:divBdr>
                    <w:top w:val="single" w:sz="2" w:space="0" w:color="008000"/>
                    <w:left w:val="single" w:sz="2" w:space="0" w:color="008000"/>
                    <w:bottom w:val="single" w:sz="2" w:space="0" w:color="008000"/>
                    <w:right w:val="single" w:sz="2" w:space="0" w:color="008000"/>
                  </w:divBdr>
                  <w:divsChild>
                    <w:div w:id="986932600">
                      <w:marLeft w:val="0"/>
                      <w:marRight w:val="0"/>
                      <w:marTop w:val="0"/>
                      <w:marBottom w:val="0"/>
                      <w:divBdr>
                        <w:top w:val="none" w:sz="0" w:space="0" w:color="auto"/>
                        <w:left w:val="none" w:sz="0" w:space="0" w:color="auto"/>
                        <w:bottom w:val="none" w:sz="0" w:space="0" w:color="auto"/>
                        <w:right w:val="none" w:sz="0" w:space="0" w:color="auto"/>
                      </w:divBdr>
                      <w:divsChild>
                        <w:div w:id="1940260265">
                          <w:marLeft w:val="0"/>
                          <w:marRight w:val="0"/>
                          <w:marTop w:val="0"/>
                          <w:marBottom w:val="0"/>
                          <w:divBdr>
                            <w:top w:val="none" w:sz="0" w:space="0" w:color="auto"/>
                            <w:left w:val="none" w:sz="0" w:space="0" w:color="auto"/>
                            <w:bottom w:val="none" w:sz="0" w:space="0" w:color="auto"/>
                            <w:right w:val="none" w:sz="0" w:space="0" w:color="auto"/>
                          </w:divBdr>
                          <w:divsChild>
                            <w:div w:id="792019482">
                              <w:marLeft w:val="0"/>
                              <w:marRight w:val="0"/>
                              <w:marTop w:val="0"/>
                              <w:marBottom w:val="0"/>
                              <w:divBdr>
                                <w:top w:val="none" w:sz="0" w:space="0" w:color="auto"/>
                                <w:left w:val="single" w:sz="6" w:space="0" w:color="C3CDD8"/>
                                <w:bottom w:val="none" w:sz="0" w:space="0" w:color="auto"/>
                                <w:right w:val="none" w:sz="0" w:space="0" w:color="auto"/>
                              </w:divBdr>
                            </w:div>
                          </w:divsChild>
                        </w:div>
                      </w:divsChild>
                    </w:div>
                  </w:divsChild>
                </w:div>
              </w:divsChild>
            </w:div>
          </w:divsChild>
        </w:div>
      </w:divsChild>
    </w:div>
    <w:div w:id="1647275711">
      <w:bodyDiv w:val="1"/>
      <w:marLeft w:val="0"/>
      <w:marRight w:val="0"/>
      <w:marTop w:val="0"/>
      <w:marBottom w:val="0"/>
      <w:divBdr>
        <w:top w:val="single" w:sz="2" w:space="0" w:color="CC3640"/>
        <w:left w:val="none" w:sz="0" w:space="0" w:color="auto"/>
        <w:bottom w:val="none" w:sz="0" w:space="0" w:color="auto"/>
        <w:right w:val="none" w:sz="0" w:space="0" w:color="auto"/>
      </w:divBdr>
      <w:divsChild>
        <w:div w:id="573054540">
          <w:marLeft w:val="0"/>
          <w:marRight w:val="0"/>
          <w:marTop w:val="0"/>
          <w:marBottom w:val="0"/>
          <w:divBdr>
            <w:top w:val="single" w:sz="2" w:space="0" w:color="FF0000"/>
            <w:left w:val="single" w:sz="2" w:space="0" w:color="FF0000"/>
            <w:bottom w:val="single" w:sz="2" w:space="0" w:color="FF0000"/>
            <w:right w:val="single" w:sz="2" w:space="0" w:color="FF0000"/>
          </w:divBdr>
          <w:divsChild>
            <w:div w:id="722676800">
              <w:marLeft w:val="0"/>
              <w:marRight w:val="0"/>
              <w:marTop w:val="0"/>
              <w:marBottom w:val="0"/>
              <w:divBdr>
                <w:top w:val="none" w:sz="0" w:space="0" w:color="auto"/>
                <w:left w:val="single" w:sz="6" w:space="0" w:color="DDDDDD"/>
                <w:bottom w:val="none" w:sz="0" w:space="0" w:color="auto"/>
                <w:right w:val="none" w:sz="0" w:space="0" w:color="auto"/>
              </w:divBdr>
              <w:divsChild>
                <w:div w:id="423575928">
                  <w:marLeft w:val="0"/>
                  <w:marRight w:val="0"/>
                  <w:marTop w:val="0"/>
                  <w:marBottom w:val="0"/>
                  <w:divBdr>
                    <w:top w:val="single" w:sz="2" w:space="0" w:color="008000"/>
                    <w:left w:val="single" w:sz="2" w:space="0" w:color="008000"/>
                    <w:bottom w:val="single" w:sz="2" w:space="0" w:color="008000"/>
                    <w:right w:val="single" w:sz="2" w:space="0" w:color="008000"/>
                  </w:divBdr>
                  <w:divsChild>
                    <w:div w:id="634992047">
                      <w:marLeft w:val="0"/>
                      <w:marRight w:val="0"/>
                      <w:marTop w:val="0"/>
                      <w:marBottom w:val="0"/>
                      <w:divBdr>
                        <w:top w:val="none" w:sz="0" w:space="0" w:color="auto"/>
                        <w:left w:val="none" w:sz="0" w:space="0" w:color="auto"/>
                        <w:bottom w:val="none" w:sz="0" w:space="0" w:color="auto"/>
                        <w:right w:val="none" w:sz="0" w:space="0" w:color="auto"/>
                      </w:divBdr>
                      <w:divsChild>
                        <w:div w:id="1512142624">
                          <w:marLeft w:val="0"/>
                          <w:marRight w:val="0"/>
                          <w:marTop w:val="0"/>
                          <w:marBottom w:val="0"/>
                          <w:divBdr>
                            <w:top w:val="none" w:sz="0" w:space="0" w:color="auto"/>
                            <w:left w:val="none" w:sz="0" w:space="0" w:color="auto"/>
                            <w:bottom w:val="none" w:sz="0" w:space="0" w:color="auto"/>
                            <w:right w:val="none" w:sz="0" w:space="0" w:color="auto"/>
                          </w:divBdr>
                          <w:divsChild>
                            <w:div w:id="1389062811">
                              <w:marLeft w:val="0"/>
                              <w:marRight w:val="0"/>
                              <w:marTop w:val="0"/>
                              <w:marBottom w:val="0"/>
                              <w:divBdr>
                                <w:top w:val="none" w:sz="0" w:space="0" w:color="auto"/>
                                <w:left w:val="single" w:sz="6" w:space="0" w:color="C3CDD8"/>
                                <w:bottom w:val="none" w:sz="0" w:space="0" w:color="auto"/>
                                <w:right w:val="none" w:sz="0" w:space="0" w:color="auto"/>
                              </w:divBdr>
                            </w:div>
                          </w:divsChild>
                        </w:div>
                      </w:divsChild>
                    </w:div>
                  </w:divsChild>
                </w:div>
              </w:divsChild>
            </w:div>
          </w:divsChild>
        </w:div>
      </w:divsChild>
    </w:div>
    <w:div w:id="1649095789">
      <w:bodyDiv w:val="1"/>
      <w:marLeft w:val="0"/>
      <w:marRight w:val="0"/>
      <w:marTop w:val="0"/>
      <w:marBottom w:val="0"/>
      <w:divBdr>
        <w:top w:val="single" w:sz="2" w:space="0" w:color="CC3640"/>
        <w:left w:val="none" w:sz="0" w:space="0" w:color="auto"/>
        <w:bottom w:val="none" w:sz="0" w:space="0" w:color="auto"/>
        <w:right w:val="none" w:sz="0" w:space="0" w:color="auto"/>
      </w:divBdr>
      <w:divsChild>
        <w:div w:id="720439796">
          <w:marLeft w:val="0"/>
          <w:marRight w:val="0"/>
          <w:marTop w:val="0"/>
          <w:marBottom w:val="0"/>
          <w:divBdr>
            <w:top w:val="single" w:sz="2" w:space="0" w:color="FF0000"/>
            <w:left w:val="single" w:sz="2" w:space="0" w:color="FF0000"/>
            <w:bottom w:val="single" w:sz="2" w:space="0" w:color="FF0000"/>
            <w:right w:val="single" w:sz="2" w:space="0" w:color="FF0000"/>
          </w:divBdr>
          <w:divsChild>
            <w:div w:id="1862159930">
              <w:marLeft w:val="0"/>
              <w:marRight w:val="0"/>
              <w:marTop w:val="0"/>
              <w:marBottom w:val="0"/>
              <w:divBdr>
                <w:top w:val="none" w:sz="0" w:space="0" w:color="auto"/>
                <w:left w:val="single" w:sz="6" w:space="0" w:color="DDDDDD"/>
                <w:bottom w:val="none" w:sz="0" w:space="0" w:color="auto"/>
                <w:right w:val="none" w:sz="0" w:space="0" w:color="auto"/>
              </w:divBdr>
              <w:divsChild>
                <w:div w:id="882406541">
                  <w:marLeft w:val="0"/>
                  <w:marRight w:val="0"/>
                  <w:marTop w:val="0"/>
                  <w:marBottom w:val="0"/>
                  <w:divBdr>
                    <w:top w:val="single" w:sz="2" w:space="0" w:color="008000"/>
                    <w:left w:val="single" w:sz="2" w:space="0" w:color="008000"/>
                    <w:bottom w:val="single" w:sz="2" w:space="0" w:color="008000"/>
                    <w:right w:val="single" w:sz="2" w:space="0" w:color="008000"/>
                  </w:divBdr>
                  <w:divsChild>
                    <w:div w:id="9767274">
                      <w:marLeft w:val="0"/>
                      <w:marRight w:val="0"/>
                      <w:marTop w:val="0"/>
                      <w:marBottom w:val="0"/>
                      <w:divBdr>
                        <w:top w:val="none" w:sz="0" w:space="0" w:color="auto"/>
                        <w:left w:val="none" w:sz="0" w:space="0" w:color="auto"/>
                        <w:bottom w:val="none" w:sz="0" w:space="0" w:color="auto"/>
                        <w:right w:val="none" w:sz="0" w:space="0" w:color="auto"/>
                      </w:divBdr>
                      <w:divsChild>
                        <w:div w:id="98108533">
                          <w:marLeft w:val="0"/>
                          <w:marRight w:val="0"/>
                          <w:marTop w:val="0"/>
                          <w:marBottom w:val="0"/>
                          <w:divBdr>
                            <w:top w:val="none" w:sz="0" w:space="0" w:color="auto"/>
                            <w:left w:val="none" w:sz="0" w:space="0" w:color="auto"/>
                            <w:bottom w:val="none" w:sz="0" w:space="0" w:color="auto"/>
                            <w:right w:val="none" w:sz="0" w:space="0" w:color="auto"/>
                          </w:divBdr>
                          <w:divsChild>
                            <w:div w:id="447892075">
                              <w:marLeft w:val="0"/>
                              <w:marRight w:val="0"/>
                              <w:marTop w:val="0"/>
                              <w:marBottom w:val="0"/>
                              <w:divBdr>
                                <w:top w:val="none" w:sz="0" w:space="0" w:color="auto"/>
                                <w:left w:val="single" w:sz="6" w:space="0" w:color="C3CDD8"/>
                                <w:bottom w:val="none" w:sz="0" w:space="0" w:color="auto"/>
                                <w:right w:val="none" w:sz="0" w:space="0" w:color="auto"/>
                              </w:divBdr>
                            </w:div>
                          </w:divsChild>
                        </w:div>
                      </w:divsChild>
                    </w:div>
                  </w:divsChild>
                </w:div>
              </w:divsChild>
            </w:div>
          </w:divsChild>
        </w:div>
      </w:divsChild>
    </w:div>
    <w:div w:id="1672217443">
      <w:bodyDiv w:val="1"/>
      <w:marLeft w:val="0"/>
      <w:marRight w:val="0"/>
      <w:marTop w:val="0"/>
      <w:marBottom w:val="0"/>
      <w:divBdr>
        <w:top w:val="single" w:sz="2" w:space="0" w:color="CC3640"/>
        <w:left w:val="none" w:sz="0" w:space="0" w:color="auto"/>
        <w:bottom w:val="none" w:sz="0" w:space="0" w:color="auto"/>
        <w:right w:val="none" w:sz="0" w:space="0" w:color="auto"/>
      </w:divBdr>
      <w:divsChild>
        <w:div w:id="556280944">
          <w:marLeft w:val="0"/>
          <w:marRight w:val="0"/>
          <w:marTop w:val="0"/>
          <w:marBottom w:val="0"/>
          <w:divBdr>
            <w:top w:val="single" w:sz="2" w:space="0" w:color="FF0000"/>
            <w:left w:val="single" w:sz="2" w:space="0" w:color="FF0000"/>
            <w:bottom w:val="single" w:sz="2" w:space="0" w:color="FF0000"/>
            <w:right w:val="single" w:sz="2" w:space="0" w:color="FF0000"/>
          </w:divBdr>
          <w:divsChild>
            <w:div w:id="2008049649">
              <w:marLeft w:val="0"/>
              <w:marRight w:val="0"/>
              <w:marTop w:val="0"/>
              <w:marBottom w:val="0"/>
              <w:divBdr>
                <w:top w:val="none" w:sz="0" w:space="0" w:color="auto"/>
                <w:left w:val="single" w:sz="6" w:space="0" w:color="DDDDDD"/>
                <w:bottom w:val="none" w:sz="0" w:space="0" w:color="auto"/>
                <w:right w:val="none" w:sz="0" w:space="0" w:color="auto"/>
              </w:divBdr>
              <w:divsChild>
                <w:div w:id="1343318670">
                  <w:marLeft w:val="0"/>
                  <w:marRight w:val="0"/>
                  <w:marTop w:val="0"/>
                  <w:marBottom w:val="0"/>
                  <w:divBdr>
                    <w:top w:val="single" w:sz="2" w:space="0" w:color="008000"/>
                    <w:left w:val="single" w:sz="2" w:space="0" w:color="008000"/>
                    <w:bottom w:val="single" w:sz="2" w:space="0" w:color="008000"/>
                    <w:right w:val="single" w:sz="2" w:space="0" w:color="008000"/>
                  </w:divBdr>
                  <w:divsChild>
                    <w:div w:id="455755843">
                      <w:marLeft w:val="0"/>
                      <w:marRight w:val="0"/>
                      <w:marTop w:val="0"/>
                      <w:marBottom w:val="0"/>
                      <w:divBdr>
                        <w:top w:val="none" w:sz="0" w:space="0" w:color="auto"/>
                        <w:left w:val="none" w:sz="0" w:space="0" w:color="auto"/>
                        <w:bottom w:val="none" w:sz="0" w:space="0" w:color="auto"/>
                        <w:right w:val="none" w:sz="0" w:space="0" w:color="auto"/>
                      </w:divBdr>
                      <w:divsChild>
                        <w:div w:id="350108383">
                          <w:marLeft w:val="0"/>
                          <w:marRight w:val="0"/>
                          <w:marTop w:val="0"/>
                          <w:marBottom w:val="0"/>
                          <w:divBdr>
                            <w:top w:val="none" w:sz="0" w:space="0" w:color="auto"/>
                            <w:left w:val="none" w:sz="0" w:space="0" w:color="auto"/>
                            <w:bottom w:val="none" w:sz="0" w:space="0" w:color="auto"/>
                            <w:right w:val="none" w:sz="0" w:space="0" w:color="auto"/>
                          </w:divBdr>
                          <w:divsChild>
                            <w:div w:id="2009012960">
                              <w:marLeft w:val="0"/>
                              <w:marRight w:val="0"/>
                              <w:marTop w:val="0"/>
                              <w:marBottom w:val="0"/>
                              <w:divBdr>
                                <w:top w:val="none" w:sz="0" w:space="0" w:color="auto"/>
                                <w:left w:val="single" w:sz="6" w:space="0" w:color="C3CDD8"/>
                                <w:bottom w:val="none" w:sz="0" w:space="0" w:color="auto"/>
                                <w:right w:val="none" w:sz="0" w:space="0" w:color="auto"/>
                              </w:divBdr>
                            </w:div>
                          </w:divsChild>
                        </w:div>
                      </w:divsChild>
                    </w:div>
                  </w:divsChild>
                </w:div>
              </w:divsChild>
            </w:div>
          </w:divsChild>
        </w:div>
      </w:divsChild>
    </w:div>
    <w:div w:id="1739326115">
      <w:bodyDiv w:val="1"/>
      <w:marLeft w:val="0"/>
      <w:marRight w:val="0"/>
      <w:marTop w:val="0"/>
      <w:marBottom w:val="0"/>
      <w:divBdr>
        <w:top w:val="none" w:sz="0" w:space="0" w:color="auto"/>
        <w:left w:val="none" w:sz="0" w:space="0" w:color="auto"/>
        <w:bottom w:val="none" w:sz="0" w:space="0" w:color="auto"/>
        <w:right w:val="none" w:sz="0" w:space="0" w:color="auto"/>
      </w:divBdr>
    </w:div>
    <w:div w:id="1752581113">
      <w:bodyDiv w:val="1"/>
      <w:marLeft w:val="0"/>
      <w:marRight w:val="0"/>
      <w:marTop w:val="0"/>
      <w:marBottom w:val="0"/>
      <w:divBdr>
        <w:top w:val="none" w:sz="0" w:space="0" w:color="auto"/>
        <w:left w:val="none" w:sz="0" w:space="0" w:color="auto"/>
        <w:bottom w:val="none" w:sz="0" w:space="0" w:color="auto"/>
        <w:right w:val="none" w:sz="0" w:space="0" w:color="auto"/>
      </w:divBdr>
    </w:div>
    <w:div w:id="1784108009">
      <w:bodyDiv w:val="1"/>
      <w:marLeft w:val="0"/>
      <w:marRight w:val="0"/>
      <w:marTop w:val="0"/>
      <w:marBottom w:val="0"/>
      <w:divBdr>
        <w:top w:val="none" w:sz="0" w:space="0" w:color="auto"/>
        <w:left w:val="none" w:sz="0" w:space="0" w:color="auto"/>
        <w:bottom w:val="none" w:sz="0" w:space="0" w:color="auto"/>
        <w:right w:val="none" w:sz="0" w:space="0" w:color="auto"/>
      </w:divBdr>
    </w:div>
    <w:div w:id="1806462991">
      <w:bodyDiv w:val="1"/>
      <w:marLeft w:val="0"/>
      <w:marRight w:val="0"/>
      <w:marTop w:val="0"/>
      <w:marBottom w:val="0"/>
      <w:divBdr>
        <w:top w:val="none" w:sz="0" w:space="0" w:color="auto"/>
        <w:left w:val="none" w:sz="0" w:space="0" w:color="auto"/>
        <w:bottom w:val="none" w:sz="0" w:space="0" w:color="auto"/>
        <w:right w:val="none" w:sz="0" w:space="0" w:color="auto"/>
      </w:divBdr>
    </w:div>
    <w:div w:id="1935241500">
      <w:bodyDiv w:val="1"/>
      <w:marLeft w:val="0"/>
      <w:marRight w:val="0"/>
      <w:marTop w:val="0"/>
      <w:marBottom w:val="0"/>
      <w:divBdr>
        <w:top w:val="single" w:sz="2" w:space="0" w:color="CC3640"/>
        <w:left w:val="none" w:sz="0" w:space="0" w:color="auto"/>
        <w:bottom w:val="none" w:sz="0" w:space="0" w:color="auto"/>
        <w:right w:val="none" w:sz="0" w:space="0" w:color="auto"/>
      </w:divBdr>
      <w:divsChild>
        <w:div w:id="1034305176">
          <w:marLeft w:val="0"/>
          <w:marRight w:val="0"/>
          <w:marTop w:val="0"/>
          <w:marBottom w:val="0"/>
          <w:divBdr>
            <w:top w:val="single" w:sz="2" w:space="0" w:color="FF0000"/>
            <w:left w:val="single" w:sz="2" w:space="0" w:color="FF0000"/>
            <w:bottom w:val="single" w:sz="2" w:space="0" w:color="FF0000"/>
            <w:right w:val="single" w:sz="2" w:space="0" w:color="FF0000"/>
          </w:divBdr>
          <w:divsChild>
            <w:div w:id="182406371">
              <w:marLeft w:val="0"/>
              <w:marRight w:val="0"/>
              <w:marTop w:val="0"/>
              <w:marBottom w:val="0"/>
              <w:divBdr>
                <w:top w:val="none" w:sz="0" w:space="0" w:color="auto"/>
                <w:left w:val="single" w:sz="6" w:space="0" w:color="DDDDDD"/>
                <w:bottom w:val="none" w:sz="0" w:space="0" w:color="auto"/>
                <w:right w:val="none" w:sz="0" w:space="0" w:color="auto"/>
              </w:divBdr>
              <w:divsChild>
                <w:div w:id="312413392">
                  <w:marLeft w:val="0"/>
                  <w:marRight w:val="0"/>
                  <w:marTop w:val="0"/>
                  <w:marBottom w:val="0"/>
                  <w:divBdr>
                    <w:top w:val="single" w:sz="2" w:space="0" w:color="008000"/>
                    <w:left w:val="single" w:sz="2" w:space="0" w:color="008000"/>
                    <w:bottom w:val="single" w:sz="2" w:space="0" w:color="008000"/>
                    <w:right w:val="single" w:sz="2" w:space="0" w:color="008000"/>
                  </w:divBdr>
                  <w:divsChild>
                    <w:div w:id="1060977281">
                      <w:marLeft w:val="0"/>
                      <w:marRight w:val="0"/>
                      <w:marTop w:val="0"/>
                      <w:marBottom w:val="0"/>
                      <w:divBdr>
                        <w:top w:val="none" w:sz="0" w:space="0" w:color="auto"/>
                        <w:left w:val="none" w:sz="0" w:space="0" w:color="auto"/>
                        <w:bottom w:val="none" w:sz="0" w:space="0" w:color="auto"/>
                        <w:right w:val="none" w:sz="0" w:space="0" w:color="auto"/>
                      </w:divBdr>
                      <w:divsChild>
                        <w:div w:id="338897334">
                          <w:marLeft w:val="0"/>
                          <w:marRight w:val="0"/>
                          <w:marTop w:val="0"/>
                          <w:marBottom w:val="0"/>
                          <w:divBdr>
                            <w:top w:val="none" w:sz="0" w:space="0" w:color="auto"/>
                            <w:left w:val="none" w:sz="0" w:space="0" w:color="auto"/>
                            <w:bottom w:val="none" w:sz="0" w:space="0" w:color="auto"/>
                            <w:right w:val="none" w:sz="0" w:space="0" w:color="auto"/>
                          </w:divBdr>
                          <w:divsChild>
                            <w:div w:id="1195775078">
                              <w:marLeft w:val="0"/>
                              <w:marRight w:val="0"/>
                              <w:marTop w:val="0"/>
                              <w:marBottom w:val="0"/>
                              <w:divBdr>
                                <w:top w:val="none" w:sz="0" w:space="0" w:color="auto"/>
                                <w:left w:val="single" w:sz="6" w:space="0" w:color="C3CDD8"/>
                                <w:bottom w:val="none" w:sz="0" w:space="0" w:color="auto"/>
                                <w:right w:val="none" w:sz="0" w:space="0" w:color="auto"/>
                              </w:divBdr>
                            </w:div>
                          </w:divsChild>
                        </w:div>
                      </w:divsChild>
                    </w:div>
                  </w:divsChild>
                </w:div>
              </w:divsChild>
            </w:div>
          </w:divsChild>
        </w:div>
      </w:divsChild>
    </w:div>
    <w:div w:id="1945382922">
      <w:bodyDiv w:val="1"/>
      <w:marLeft w:val="0"/>
      <w:marRight w:val="0"/>
      <w:marTop w:val="0"/>
      <w:marBottom w:val="0"/>
      <w:divBdr>
        <w:top w:val="single" w:sz="2" w:space="0" w:color="CC3640"/>
        <w:left w:val="none" w:sz="0" w:space="0" w:color="auto"/>
        <w:bottom w:val="none" w:sz="0" w:space="0" w:color="auto"/>
        <w:right w:val="none" w:sz="0" w:space="0" w:color="auto"/>
      </w:divBdr>
      <w:divsChild>
        <w:div w:id="237834791">
          <w:marLeft w:val="0"/>
          <w:marRight w:val="0"/>
          <w:marTop w:val="0"/>
          <w:marBottom w:val="0"/>
          <w:divBdr>
            <w:top w:val="single" w:sz="2" w:space="0" w:color="FF0000"/>
            <w:left w:val="single" w:sz="2" w:space="0" w:color="FF0000"/>
            <w:bottom w:val="single" w:sz="2" w:space="0" w:color="FF0000"/>
            <w:right w:val="single" w:sz="2" w:space="0" w:color="FF0000"/>
          </w:divBdr>
          <w:divsChild>
            <w:div w:id="1435515755">
              <w:marLeft w:val="0"/>
              <w:marRight w:val="0"/>
              <w:marTop w:val="0"/>
              <w:marBottom w:val="0"/>
              <w:divBdr>
                <w:top w:val="none" w:sz="0" w:space="0" w:color="auto"/>
                <w:left w:val="single" w:sz="6" w:space="0" w:color="DDDDDD"/>
                <w:bottom w:val="none" w:sz="0" w:space="0" w:color="auto"/>
                <w:right w:val="none" w:sz="0" w:space="0" w:color="auto"/>
              </w:divBdr>
              <w:divsChild>
                <w:div w:id="1075738097">
                  <w:marLeft w:val="0"/>
                  <w:marRight w:val="0"/>
                  <w:marTop w:val="0"/>
                  <w:marBottom w:val="0"/>
                  <w:divBdr>
                    <w:top w:val="single" w:sz="2" w:space="0" w:color="008000"/>
                    <w:left w:val="single" w:sz="2" w:space="0" w:color="008000"/>
                    <w:bottom w:val="single" w:sz="2" w:space="0" w:color="008000"/>
                    <w:right w:val="single" w:sz="2" w:space="0" w:color="008000"/>
                  </w:divBdr>
                  <w:divsChild>
                    <w:div w:id="1691641608">
                      <w:marLeft w:val="0"/>
                      <w:marRight w:val="0"/>
                      <w:marTop w:val="0"/>
                      <w:marBottom w:val="0"/>
                      <w:divBdr>
                        <w:top w:val="none" w:sz="0" w:space="0" w:color="auto"/>
                        <w:left w:val="none" w:sz="0" w:space="0" w:color="auto"/>
                        <w:bottom w:val="none" w:sz="0" w:space="0" w:color="auto"/>
                        <w:right w:val="none" w:sz="0" w:space="0" w:color="auto"/>
                      </w:divBdr>
                      <w:divsChild>
                        <w:div w:id="129203044">
                          <w:marLeft w:val="0"/>
                          <w:marRight w:val="0"/>
                          <w:marTop w:val="0"/>
                          <w:marBottom w:val="0"/>
                          <w:divBdr>
                            <w:top w:val="none" w:sz="0" w:space="0" w:color="auto"/>
                            <w:left w:val="none" w:sz="0" w:space="0" w:color="auto"/>
                            <w:bottom w:val="none" w:sz="0" w:space="0" w:color="auto"/>
                            <w:right w:val="none" w:sz="0" w:space="0" w:color="auto"/>
                          </w:divBdr>
                          <w:divsChild>
                            <w:div w:id="812990198">
                              <w:marLeft w:val="0"/>
                              <w:marRight w:val="0"/>
                              <w:marTop w:val="0"/>
                              <w:marBottom w:val="0"/>
                              <w:divBdr>
                                <w:top w:val="none" w:sz="0" w:space="0" w:color="auto"/>
                                <w:left w:val="single" w:sz="6" w:space="0" w:color="C3CDD8"/>
                                <w:bottom w:val="none" w:sz="0" w:space="0" w:color="auto"/>
                                <w:right w:val="none" w:sz="0" w:space="0" w:color="auto"/>
                              </w:divBdr>
                            </w:div>
                          </w:divsChild>
                        </w:div>
                      </w:divsChild>
                    </w:div>
                  </w:divsChild>
                </w:div>
              </w:divsChild>
            </w:div>
          </w:divsChild>
        </w:div>
      </w:divsChild>
    </w:div>
    <w:div w:id="1955018644">
      <w:bodyDiv w:val="1"/>
      <w:marLeft w:val="0"/>
      <w:marRight w:val="0"/>
      <w:marTop w:val="0"/>
      <w:marBottom w:val="0"/>
      <w:divBdr>
        <w:top w:val="none" w:sz="0" w:space="0" w:color="auto"/>
        <w:left w:val="none" w:sz="0" w:space="0" w:color="auto"/>
        <w:bottom w:val="none" w:sz="0" w:space="0" w:color="auto"/>
        <w:right w:val="none" w:sz="0" w:space="0" w:color="auto"/>
      </w:divBdr>
      <w:divsChild>
        <w:div w:id="1880244516">
          <w:marLeft w:val="0"/>
          <w:marRight w:val="0"/>
          <w:marTop w:val="0"/>
          <w:marBottom w:val="0"/>
          <w:divBdr>
            <w:top w:val="none" w:sz="0" w:space="0" w:color="auto"/>
            <w:left w:val="none" w:sz="0" w:space="0" w:color="auto"/>
            <w:bottom w:val="none" w:sz="0" w:space="0" w:color="auto"/>
            <w:right w:val="none" w:sz="0" w:space="0" w:color="auto"/>
          </w:divBdr>
          <w:divsChild>
            <w:div w:id="1012995607">
              <w:marLeft w:val="0"/>
              <w:marRight w:val="0"/>
              <w:marTop w:val="0"/>
              <w:marBottom w:val="0"/>
              <w:divBdr>
                <w:top w:val="none" w:sz="0" w:space="0" w:color="auto"/>
                <w:left w:val="none" w:sz="0" w:space="0" w:color="auto"/>
                <w:bottom w:val="none" w:sz="0" w:space="0" w:color="auto"/>
                <w:right w:val="none" w:sz="0" w:space="0" w:color="auto"/>
              </w:divBdr>
              <w:divsChild>
                <w:div w:id="1000159928">
                  <w:marLeft w:val="0"/>
                  <w:marRight w:val="0"/>
                  <w:marTop w:val="0"/>
                  <w:marBottom w:val="225"/>
                  <w:divBdr>
                    <w:top w:val="none" w:sz="0" w:space="0" w:color="auto"/>
                    <w:left w:val="none" w:sz="0" w:space="0" w:color="auto"/>
                    <w:bottom w:val="none" w:sz="0" w:space="0" w:color="auto"/>
                    <w:right w:val="none" w:sz="0" w:space="0" w:color="auto"/>
                  </w:divBdr>
                </w:div>
                <w:div w:id="1047678772">
                  <w:marLeft w:val="0"/>
                  <w:marRight w:val="0"/>
                  <w:marTop w:val="0"/>
                  <w:marBottom w:val="0"/>
                  <w:divBdr>
                    <w:top w:val="none" w:sz="0" w:space="0" w:color="auto"/>
                    <w:left w:val="none" w:sz="0" w:space="0" w:color="auto"/>
                    <w:bottom w:val="none" w:sz="0" w:space="0" w:color="auto"/>
                    <w:right w:val="none" w:sz="0" w:space="0" w:color="auto"/>
                  </w:divBdr>
                </w:div>
                <w:div w:id="1680813554">
                  <w:marLeft w:val="0"/>
                  <w:marRight w:val="0"/>
                  <w:marTop w:val="225"/>
                  <w:marBottom w:val="0"/>
                  <w:divBdr>
                    <w:top w:val="none" w:sz="0" w:space="0" w:color="auto"/>
                    <w:left w:val="none" w:sz="0" w:space="0" w:color="auto"/>
                    <w:bottom w:val="none" w:sz="0" w:space="0" w:color="auto"/>
                    <w:right w:val="none" w:sz="0" w:space="0" w:color="auto"/>
                  </w:divBdr>
                  <w:divsChild>
                    <w:div w:id="800734456">
                      <w:marLeft w:val="0"/>
                      <w:marRight w:val="0"/>
                      <w:marTop w:val="0"/>
                      <w:marBottom w:val="0"/>
                      <w:divBdr>
                        <w:top w:val="none" w:sz="0" w:space="0" w:color="auto"/>
                        <w:left w:val="none" w:sz="0" w:space="0" w:color="auto"/>
                        <w:bottom w:val="none" w:sz="0" w:space="0" w:color="auto"/>
                        <w:right w:val="none" w:sz="0" w:space="0" w:color="auto"/>
                      </w:divBdr>
                    </w:div>
                    <w:div w:id="44978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148622">
          <w:marLeft w:val="0"/>
          <w:marRight w:val="0"/>
          <w:marTop w:val="0"/>
          <w:marBottom w:val="300"/>
          <w:divBdr>
            <w:top w:val="none" w:sz="0" w:space="0" w:color="auto"/>
            <w:left w:val="none" w:sz="0" w:space="0" w:color="auto"/>
            <w:bottom w:val="none" w:sz="0" w:space="0" w:color="auto"/>
            <w:right w:val="none" w:sz="0" w:space="0" w:color="auto"/>
          </w:divBdr>
        </w:div>
      </w:divsChild>
    </w:div>
    <w:div w:id="1961111199">
      <w:bodyDiv w:val="1"/>
      <w:marLeft w:val="0"/>
      <w:marRight w:val="0"/>
      <w:marTop w:val="0"/>
      <w:marBottom w:val="0"/>
      <w:divBdr>
        <w:top w:val="single" w:sz="2" w:space="0" w:color="CC3640"/>
        <w:left w:val="none" w:sz="0" w:space="0" w:color="auto"/>
        <w:bottom w:val="none" w:sz="0" w:space="0" w:color="auto"/>
        <w:right w:val="none" w:sz="0" w:space="0" w:color="auto"/>
      </w:divBdr>
      <w:divsChild>
        <w:div w:id="1052657448">
          <w:marLeft w:val="0"/>
          <w:marRight w:val="0"/>
          <w:marTop w:val="0"/>
          <w:marBottom w:val="0"/>
          <w:divBdr>
            <w:top w:val="single" w:sz="2" w:space="0" w:color="FF0000"/>
            <w:left w:val="single" w:sz="2" w:space="0" w:color="FF0000"/>
            <w:bottom w:val="single" w:sz="2" w:space="0" w:color="FF0000"/>
            <w:right w:val="single" w:sz="2" w:space="0" w:color="FF0000"/>
          </w:divBdr>
          <w:divsChild>
            <w:div w:id="460197824">
              <w:marLeft w:val="0"/>
              <w:marRight w:val="0"/>
              <w:marTop w:val="0"/>
              <w:marBottom w:val="0"/>
              <w:divBdr>
                <w:top w:val="none" w:sz="0" w:space="0" w:color="auto"/>
                <w:left w:val="single" w:sz="6" w:space="0" w:color="DDDDDD"/>
                <w:bottom w:val="none" w:sz="0" w:space="0" w:color="auto"/>
                <w:right w:val="none" w:sz="0" w:space="0" w:color="auto"/>
              </w:divBdr>
              <w:divsChild>
                <w:div w:id="1242063483">
                  <w:marLeft w:val="0"/>
                  <w:marRight w:val="0"/>
                  <w:marTop w:val="0"/>
                  <w:marBottom w:val="0"/>
                  <w:divBdr>
                    <w:top w:val="single" w:sz="2" w:space="0" w:color="008000"/>
                    <w:left w:val="single" w:sz="2" w:space="0" w:color="008000"/>
                    <w:bottom w:val="single" w:sz="2" w:space="0" w:color="008000"/>
                    <w:right w:val="single" w:sz="2" w:space="0" w:color="008000"/>
                  </w:divBdr>
                  <w:divsChild>
                    <w:div w:id="2060669156">
                      <w:marLeft w:val="0"/>
                      <w:marRight w:val="0"/>
                      <w:marTop w:val="0"/>
                      <w:marBottom w:val="0"/>
                      <w:divBdr>
                        <w:top w:val="none" w:sz="0" w:space="0" w:color="auto"/>
                        <w:left w:val="none" w:sz="0" w:space="0" w:color="auto"/>
                        <w:bottom w:val="none" w:sz="0" w:space="0" w:color="auto"/>
                        <w:right w:val="none" w:sz="0" w:space="0" w:color="auto"/>
                      </w:divBdr>
                      <w:divsChild>
                        <w:div w:id="1619754586">
                          <w:marLeft w:val="0"/>
                          <w:marRight w:val="0"/>
                          <w:marTop w:val="0"/>
                          <w:marBottom w:val="0"/>
                          <w:divBdr>
                            <w:top w:val="none" w:sz="0" w:space="0" w:color="auto"/>
                            <w:left w:val="none" w:sz="0" w:space="0" w:color="auto"/>
                            <w:bottom w:val="none" w:sz="0" w:space="0" w:color="auto"/>
                            <w:right w:val="none" w:sz="0" w:space="0" w:color="auto"/>
                          </w:divBdr>
                          <w:divsChild>
                            <w:div w:id="1158501438">
                              <w:marLeft w:val="0"/>
                              <w:marRight w:val="0"/>
                              <w:marTop w:val="0"/>
                              <w:marBottom w:val="0"/>
                              <w:divBdr>
                                <w:top w:val="none" w:sz="0" w:space="0" w:color="auto"/>
                                <w:left w:val="single" w:sz="6" w:space="0" w:color="C3CDD8"/>
                                <w:bottom w:val="none" w:sz="0" w:space="0" w:color="auto"/>
                                <w:right w:val="none" w:sz="0" w:space="0" w:color="auto"/>
                              </w:divBdr>
                            </w:div>
                          </w:divsChild>
                        </w:div>
                      </w:divsChild>
                    </w:div>
                  </w:divsChild>
                </w:div>
              </w:divsChild>
            </w:div>
          </w:divsChild>
        </w:div>
      </w:divsChild>
    </w:div>
    <w:div w:id="2031249956">
      <w:bodyDiv w:val="1"/>
      <w:marLeft w:val="0"/>
      <w:marRight w:val="0"/>
      <w:marTop w:val="0"/>
      <w:marBottom w:val="0"/>
      <w:divBdr>
        <w:top w:val="none" w:sz="0" w:space="0" w:color="auto"/>
        <w:left w:val="none" w:sz="0" w:space="0" w:color="auto"/>
        <w:bottom w:val="none" w:sz="0" w:space="0" w:color="auto"/>
        <w:right w:val="none" w:sz="0" w:space="0" w:color="auto"/>
      </w:divBdr>
      <w:divsChild>
        <w:div w:id="927274143">
          <w:marLeft w:val="0"/>
          <w:marRight w:val="0"/>
          <w:marTop w:val="0"/>
          <w:marBottom w:val="0"/>
          <w:divBdr>
            <w:top w:val="none" w:sz="0" w:space="0" w:color="auto"/>
            <w:left w:val="none" w:sz="0" w:space="0" w:color="auto"/>
            <w:bottom w:val="none" w:sz="0" w:space="0" w:color="auto"/>
            <w:right w:val="none" w:sz="0" w:space="0" w:color="auto"/>
          </w:divBdr>
        </w:div>
      </w:divsChild>
    </w:div>
    <w:div w:id="2041972339">
      <w:bodyDiv w:val="1"/>
      <w:marLeft w:val="0"/>
      <w:marRight w:val="0"/>
      <w:marTop w:val="0"/>
      <w:marBottom w:val="0"/>
      <w:divBdr>
        <w:top w:val="none" w:sz="0" w:space="0" w:color="auto"/>
        <w:left w:val="none" w:sz="0" w:space="0" w:color="auto"/>
        <w:bottom w:val="none" w:sz="0" w:space="0" w:color="auto"/>
        <w:right w:val="none" w:sz="0" w:space="0" w:color="auto"/>
      </w:divBdr>
    </w:div>
    <w:div w:id="2062247643">
      <w:bodyDiv w:val="1"/>
      <w:marLeft w:val="0"/>
      <w:marRight w:val="0"/>
      <w:marTop w:val="0"/>
      <w:marBottom w:val="0"/>
      <w:divBdr>
        <w:top w:val="none" w:sz="0" w:space="0" w:color="auto"/>
        <w:left w:val="none" w:sz="0" w:space="0" w:color="auto"/>
        <w:bottom w:val="none" w:sz="0" w:space="0" w:color="auto"/>
        <w:right w:val="none" w:sz="0" w:space="0" w:color="auto"/>
      </w:divBdr>
    </w:div>
    <w:div w:id="2129427861">
      <w:bodyDiv w:val="1"/>
      <w:marLeft w:val="0"/>
      <w:marRight w:val="0"/>
      <w:marTop w:val="0"/>
      <w:marBottom w:val="0"/>
      <w:divBdr>
        <w:top w:val="none" w:sz="0" w:space="0" w:color="auto"/>
        <w:left w:val="none" w:sz="0" w:space="0" w:color="auto"/>
        <w:bottom w:val="none" w:sz="0" w:space="0" w:color="auto"/>
        <w:right w:val="none" w:sz="0" w:space="0" w:color="auto"/>
      </w:divBdr>
    </w:div>
    <w:div w:id="21307327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43A0A2-ACDC-456B-AF08-576A862FC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12</Pages>
  <Words>5164</Words>
  <Characters>30157</Characters>
  <Application>Microsoft Office Word</Application>
  <DocSecurity>0</DocSecurity>
  <Lines>701</Lines>
  <Paragraphs>349</Paragraphs>
  <ScaleCrop>false</ScaleCrop>
  <HeadingPairs>
    <vt:vector size="2" baseType="variant">
      <vt:variant>
        <vt:lpstr>Título</vt:lpstr>
      </vt:variant>
      <vt:variant>
        <vt:i4>1</vt:i4>
      </vt:variant>
    </vt:vector>
  </HeadingPairs>
  <TitlesOfParts>
    <vt:vector size="1" baseType="lpstr">
      <vt:lpstr>APUNTES SOBRE LA ACTUALIDAD FISCAL</vt:lpstr>
    </vt:vector>
  </TitlesOfParts>
  <Company>Atlantis Hotels</Company>
  <LinksUpToDate>false</LinksUpToDate>
  <CharactersWithSpaces>34972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APUNTES SOBRE LA ACTUALIDAD FISCAL</dc:title>
  <dc:creator>Juan Lorente</dc:creator>
  <cp:lastModifiedBy>Jose Luis Chico Bersabe</cp:lastModifiedBy>
  <cp:revision>4</cp:revision>
  <cp:lastPrinted>2013-12-31T11:04:00Z</cp:lastPrinted>
  <dcterms:created xsi:type="dcterms:W3CDTF">2025-12-29T09:13:00Z</dcterms:created>
  <dcterms:modified xsi:type="dcterms:W3CDTF">2025-12-30T13:38:00Z</dcterms:modified>
</cp:coreProperties>
</file>