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AE97E" w14:textId="4E7C59CB" w:rsidR="006D7141" w:rsidRDefault="006D7141"/>
    <w:p w14:paraId="138DA47B" w14:textId="77777777" w:rsidR="006D7141" w:rsidRDefault="006D7141"/>
    <w:tbl>
      <w:tblPr>
        <w:tblW w:w="0" w:type="auto"/>
        <w:tblInd w:w="-68" w:type="dxa"/>
        <w:tblCellMar>
          <w:left w:w="70" w:type="dxa"/>
          <w:right w:w="70" w:type="dxa"/>
        </w:tblCellMar>
        <w:tblLook w:val="0000" w:firstRow="0" w:lastRow="0" w:firstColumn="0" w:lastColumn="0" w:noHBand="0" w:noVBand="0"/>
      </w:tblPr>
      <w:tblGrid>
        <w:gridCol w:w="1179"/>
        <w:gridCol w:w="7393"/>
      </w:tblGrid>
      <w:tr w:rsidR="004D4CE9" w14:paraId="085AEC6D" w14:textId="77777777" w:rsidTr="006D7141">
        <w:trPr>
          <w:trHeight w:val="889"/>
        </w:trPr>
        <w:tc>
          <w:tcPr>
            <w:tcW w:w="1179" w:type="dxa"/>
            <w:shd w:val="clear" w:color="auto" w:fill="000000"/>
            <w:vAlign w:val="center"/>
          </w:tcPr>
          <w:p w14:paraId="342A7A5F" w14:textId="5AE206CA" w:rsidR="004D4CE9" w:rsidRPr="007628B5" w:rsidRDefault="004D4CE9" w:rsidP="00E64B41">
            <w:pPr>
              <w:jc w:val="center"/>
              <w:rPr>
                <w:rFonts w:ascii="Verdana" w:hAnsi="Verdana" w:cs="Verdana"/>
                <w:b/>
                <w:bCs/>
              </w:rPr>
            </w:pPr>
            <w:r w:rsidRPr="007628B5">
              <w:rPr>
                <w:rFonts w:ascii="Verdana" w:hAnsi="Verdana" w:cs="Verdana"/>
                <w:b/>
                <w:bCs/>
              </w:rPr>
              <w:t>FEBRERO</w:t>
            </w:r>
          </w:p>
          <w:p w14:paraId="5CA55A0A" w14:textId="65A28D83" w:rsidR="004D4CE9" w:rsidRPr="003C16F3" w:rsidRDefault="004D4CE9" w:rsidP="0010074F">
            <w:pPr>
              <w:jc w:val="center"/>
              <w:rPr>
                <w:b/>
                <w:bCs/>
                <w:sz w:val="32"/>
                <w:szCs w:val="32"/>
                <w:lang w:val="ca-ES"/>
              </w:rPr>
            </w:pPr>
            <w:r w:rsidRPr="007628B5">
              <w:rPr>
                <w:rFonts w:ascii="Verdana" w:hAnsi="Verdana" w:cs="Verdana"/>
                <w:b/>
                <w:bCs/>
              </w:rPr>
              <w:t>20</w:t>
            </w:r>
            <w:r w:rsidR="00FA1313">
              <w:rPr>
                <w:rFonts w:ascii="Verdana" w:hAnsi="Verdana" w:cs="Verdana"/>
                <w:b/>
                <w:bCs/>
              </w:rPr>
              <w:t>2</w:t>
            </w:r>
            <w:r w:rsidR="00CF4C5C">
              <w:rPr>
                <w:rFonts w:ascii="Verdana" w:hAnsi="Verdana" w:cs="Verdana"/>
                <w:b/>
                <w:bCs/>
              </w:rPr>
              <w:t>6</w:t>
            </w:r>
          </w:p>
        </w:tc>
        <w:tc>
          <w:tcPr>
            <w:tcW w:w="7393" w:type="dxa"/>
            <w:shd w:val="clear" w:color="auto" w:fill="993300"/>
            <w:vAlign w:val="center"/>
          </w:tcPr>
          <w:p w14:paraId="4E7C0F11" w14:textId="61988765" w:rsidR="004D4CE9" w:rsidRPr="007628B5" w:rsidRDefault="00E64B41" w:rsidP="00E64B41">
            <w:pPr>
              <w:jc w:val="center"/>
              <w:rPr>
                <w:rFonts w:ascii="Verdana" w:hAnsi="Verdana" w:cs="Verdana"/>
                <w:b/>
                <w:bCs/>
                <w:color w:val="FFFFFF"/>
                <w:sz w:val="24"/>
                <w:szCs w:val="24"/>
              </w:rPr>
            </w:pPr>
            <w:r>
              <w:rPr>
                <w:rFonts w:ascii="Verdana" w:hAnsi="Verdana" w:cs="Verdana"/>
                <w:b/>
                <w:bCs/>
                <w:color w:val="FFFFFF"/>
                <w:sz w:val="24"/>
                <w:szCs w:val="24"/>
              </w:rPr>
              <w:t>APUNTES SOBRE LA ACTUALIDAD FISCAL</w:t>
            </w:r>
            <w:r w:rsidR="00174553">
              <w:rPr>
                <w:rFonts w:ascii="Verdana" w:hAnsi="Verdana" w:cs="Verdana"/>
                <w:b/>
                <w:bCs/>
                <w:color w:val="FFFFFF"/>
                <w:sz w:val="24"/>
                <w:szCs w:val="24"/>
              </w:rPr>
              <w:t xml:space="preserve"> </w:t>
            </w:r>
          </w:p>
        </w:tc>
      </w:tr>
    </w:tbl>
    <w:p w14:paraId="232CBEA2" w14:textId="77777777" w:rsidR="004D4CE9" w:rsidRDefault="004D4CE9">
      <w:pPr>
        <w:rPr>
          <w:b/>
          <w:bCs/>
          <w:sz w:val="32"/>
          <w:szCs w:val="32"/>
        </w:rPr>
      </w:pPr>
    </w:p>
    <w:p w14:paraId="4B392CF3" w14:textId="77777777" w:rsidR="003E29AE" w:rsidRDefault="003E29AE">
      <w:pPr>
        <w:pStyle w:val="Ttulo3"/>
        <w:widowControl/>
        <w:rPr>
          <w:rFonts w:ascii="Verdana" w:hAnsi="Verdana" w:cs="Verdana"/>
          <w:color w:val="800000"/>
        </w:rPr>
      </w:pPr>
      <w:bookmarkStart w:id="0" w:name="_Toc315020047"/>
    </w:p>
    <w:p w14:paraId="5DFFBD31" w14:textId="4EB24DC4" w:rsidR="004D4CE9" w:rsidRPr="005A3638" w:rsidRDefault="004D4CE9">
      <w:pPr>
        <w:pStyle w:val="Ttulo3"/>
        <w:widowControl/>
        <w:rPr>
          <w:rFonts w:ascii="Verdana" w:hAnsi="Verdana" w:cs="Verdana"/>
          <w:color w:val="800000"/>
        </w:rPr>
      </w:pPr>
      <w:r w:rsidRPr="005A3638">
        <w:rPr>
          <w:rFonts w:ascii="Verdana" w:hAnsi="Verdana" w:cs="Verdana"/>
          <w:color w:val="800000"/>
        </w:rPr>
        <w:t>SUMARIO</w:t>
      </w:r>
      <w:bookmarkEnd w:id="0"/>
    </w:p>
    <w:p w14:paraId="3709FB89" w14:textId="7019E900" w:rsidR="004D4CE9" w:rsidRDefault="004D4CE9">
      <w:pPr>
        <w:tabs>
          <w:tab w:val="left" w:pos="360"/>
        </w:tabs>
        <w:jc w:val="both"/>
        <w:rPr>
          <w:rFonts w:ascii="Verdana" w:hAnsi="Verdana" w:cs="Verdana"/>
          <w:b/>
          <w:bCs/>
          <w:i/>
          <w:iCs/>
          <w:color w:val="800000"/>
          <w:sz w:val="18"/>
          <w:szCs w:val="18"/>
        </w:rPr>
      </w:pPr>
    </w:p>
    <w:p w14:paraId="155D43F2" w14:textId="77777777" w:rsidR="003F5739" w:rsidRDefault="003F5739" w:rsidP="00CF4C5C">
      <w:pPr>
        <w:pStyle w:val="Prrafodelista"/>
        <w:tabs>
          <w:tab w:val="left" w:pos="284"/>
        </w:tabs>
        <w:ind w:left="284"/>
        <w:jc w:val="both"/>
        <w:rPr>
          <w:rFonts w:ascii="Verdana" w:hAnsi="Verdana" w:cs="Verdana"/>
          <w:b/>
          <w:bCs/>
          <w:i/>
          <w:iCs/>
          <w:color w:val="800000"/>
          <w:sz w:val="18"/>
          <w:szCs w:val="18"/>
        </w:rPr>
      </w:pPr>
      <w:bookmarkStart w:id="1" w:name="_Hlk188875090"/>
    </w:p>
    <w:p w14:paraId="01DA4620" w14:textId="376EA4B7" w:rsidR="003F5739" w:rsidRPr="00B4716D" w:rsidRDefault="00EE479D">
      <w:pPr>
        <w:pStyle w:val="Prrafodelista"/>
        <w:numPr>
          <w:ilvl w:val="0"/>
          <w:numId w:val="4"/>
        </w:numPr>
        <w:tabs>
          <w:tab w:val="left" w:pos="284"/>
        </w:tabs>
        <w:ind w:left="284" w:hanging="284"/>
        <w:jc w:val="both"/>
        <w:rPr>
          <w:rFonts w:ascii="Verdana" w:hAnsi="Verdana" w:cs="Verdana"/>
          <w:b/>
          <w:bCs/>
          <w:i/>
          <w:iCs/>
          <w:color w:val="800000"/>
          <w:sz w:val="18"/>
          <w:szCs w:val="18"/>
        </w:rPr>
      </w:pPr>
      <w:r>
        <w:rPr>
          <w:rFonts w:ascii="Verdana" w:hAnsi="Verdana" w:cs="Verdana"/>
          <w:b/>
          <w:bCs/>
          <w:i/>
          <w:iCs/>
          <w:color w:val="800000"/>
          <w:sz w:val="18"/>
          <w:szCs w:val="18"/>
        </w:rPr>
        <w:t xml:space="preserve">IS </w:t>
      </w:r>
      <w:r w:rsidR="005A05F3">
        <w:rPr>
          <w:rFonts w:ascii="Verdana" w:hAnsi="Verdana" w:cs="Verdana"/>
          <w:b/>
          <w:bCs/>
          <w:i/>
          <w:iCs/>
          <w:color w:val="800000"/>
          <w:sz w:val="18"/>
          <w:szCs w:val="18"/>
        </w:rPr>
        <w:t xml:space="preserve">- </w:t>
      </w:r>
      <w:r w:rsidR="005A05F3" w:rsidRPr="005446F3">
        <w:rPr>
          <w:rFonts w:ascii="Verdana" w:hAnsi="Verdana" w:cs="Verdana"/>
          <w:b/>
          <w:bCs/>
          <w:i/>
          <w:iCs/>
          <w:color w:val="800000"/>
          <w:sz w:val="18"/>
          <w:szCs w:val="18"/>
        </w:rPr>
        <w:t>DEDUCIBILIDAD</w:t>
      </w:r>
      <w:r w:rsidR="005446F3" w:rsidRPr="005446F3">
        <w:rPr>
          <w:rFonts w:ascii="Verdana" w:hAnsi="Verdana" w:cs="Verdana"/>
          <w:b/>
          <w:bCs/>
          <w:i/>
          <w:iCs/>
          <w:color w:val="800000"/>
          <w:sz w:val="18"/>
          <w:szCs w:val="18"/>
        </w:rPr>
        <w:t xml:space="preserve"> DE PROVISIONES POR BONUS E INDEMNIZACIONES</w:t>
      </w:r>
    </w:p>
    <w:bookmarkEnd w:id="1"/>
    <w:p w14:paraId="6BF640B2" w14:textId="349C95D0" w:rsidR="009E71CE" w:rsidRDefault="002A340C" w:rsidP="009E71CE">
      <w:pPr>
        <w:pStyle w:val="Prrafodelista"/>
        <w:tabs>
          <w:tab w:val="left" w:pos="284"/>
        </w:tabs>
        <w:ind w:left="284"/>
        <w:jc w:val="both"/>
        <w:rPr>
          <w:rFonts w:ascii="Verdana" w:hAnsi="Verdana" w:cs="Verdana"/>
          <w:b/>
          <w:bCs/>
          <w:i/>
          <w:iCs/>
          <w:color w:val="800000"/>
          <w:sz w:val="18"/>
          <w:szCs w:val="18"/>
        </w:rPr>
      </w:pPr>
      <w:r>
        <w:rPr>
          <w:rFonts w:ascii="Verdana" w:hAnsi="Verdana" w:cs="Verdana"/>
          <w:b/>
          <w:bCs/>
          <w:i/>
          <w:iCs/>
          <w:color w:val="800000"/>
          <w:sz w:val="18"/>
          <w:szCs w:val="18"/>
        </w:rPr>
        <w:t>S</w:t>
      </w:r>
      <w:r w:rsidR="009E71CE" w:rsidRPr="009E71CE">
        <w:rPr>
          <w:rFonts w:ascii="Verdana" w:hAnsi="Verdana" w:cs="Verdana"/>
          <w:b/>
          <w:bCs/>
          <w:i/>
          <w:iCs/>
          <w:color w:val="800000"/>
          <w:sz w:val="18"/>
          <w:szCs w:val="18"/>
        </w:rPr>
        <w:t>i en un ejercicio prescrito se dotó contable y fiscalmente una provisión fiscalmente no deducible, deberá darse el ingreso fiscal correspondiente a su reversión contabl</w:t>
      </w:r>
      <w:r w:rsidR="000120FB">
        <w:rPr>
          <w:rFonts w:ascii="Verdana" w:hAnsi="Verdana" w:cs="Verdana"/>
          <w:b/>
          <w:bCs/>
          <w:i/>
          <w:iCs/>
          <w:color w:val="800000"/>
          <w:sz w:val="18"/>
          <w:szCs w:val="18"/>
        </w:rPr>
        <w:t>e.</w:t>
      </w:r>
    </w:p>
    <w:p w14:paraId="162D4895" w14:textId="77777777" w:rsidR="002A340C" w:rsidRDefault="002A340C" w:rsidP="009E71CE">
      <w:pPr>
        <w:pStyle w:val="Prrafodelista"/>
        <w:tabs>
          <w:tab w:val="left" w:pos="284"/>
        </w:tabs>
        <w:ind w:left="284"/>
        <w:jc w:val="both"/>
        <w:rPr>
          <w:rFonts w:ascii="Verdana" w:hAnsi="Verdana" w:cs="Verdana"/>
          <w:b/>
          <w:bCs/>
          <w:i/>
          <w:iCs/>
          <w:color w:val="800000"/>
          <w:sz w:val="18"/>
          <w:szCs w:val="18"/>
        </w:rPr>
      </w:pPr>
    </w:p>
    <w:p w14:paraId="1C40DB07" w14:textId="77777777" w:rsidR="002A340C" w:rsidRDefault="002A340C">
      <w:pPr>
        <w:pStyle w:val="Prrafodelista"/>
        <w:numPr>
          <w:ilvl w:val="0"/>
          <w:numId w:val="4"/>
        </w:numPr>
        <w:tabs>
          <w:tab w:val="left" w:pos="284"/>
        </w:tabs>
        <w:ind w:left="284" w:hanging="284"/>
        <w:jc w:val="both"/>
        <w:rPr>
          <w:rFonts w:ascii="Verdana" w:hAnsi="Verdana" w:cs="Verdana"/>
          <w:b/>
          <w:bCs/>
          <w:i/>
          <w:iCs/>
          <w:color w:val="800000"/>
          <w:sz w:val="18"/>
          <w:szCs w:val="18"/>
        </w:rPr>
      </w:pPr>
      <w:r>
        <w:rPr>
          <w:rFonts w:ascii="Verdana" w:hAnsi="Verdana" w:cs="Verdana"/>
          <w:b/>
          <w:bCs/>
          <w:i/>
          <w:iCs/>
          <w:color w:val="800000"/>
          <w:sz w:val="18"/>
          <w:szCs w:val="18"/>
        </w:rPr>
        <w:t xml:space="preserve">IS. </w:t>
      </w:r>
      <w:r w:rsidRPr="00D93B1C">
        <w:rPr>
          <w:rFonts w:ascii="Verdana" w:hAnsi="Verdana" w:cs="Verdana"/>
          <w:b/>
          <w:bCs/>
          <w:i/>
          <w:iCs/>
          <w:color w:val="800000"/>
          <w:sz w:val="18"/>
          <w:szCs w:val="18"/>
        </w:rPr>
        <w:t xml:space="preserve">REQUISITOS PARA APLICAR EL TIPO REDUCIDO DEL 15% EN ENTIDADES DE NUEVA CREACIÓN QUE REALIZAN LAS MISMAS ACTIVIDADES QUE SUS SOCIOS O ENTIDADES VINCULADAS A </w:t>
      </w:r>
      <w:r>
        <w:rPr>
          <w:rFonts w:ascii="Verdana" w:hAnsi="Verdana" w:cs="Verdana"/>
          <w:b/>
          <w:bCs/>
          <w:i/>
          <w:iCs/>
          <w:color w:val="800000"/>
          <w:sz w:val="18"/>
          <w:szCs w:val="18"/>
        </w:rPr>
        <w:t>LOS MISMOS</w:t>
      </w:r>
    </w:p>
    <w:p w14:paraId="7F1F4B32" w14:textId="77777777" w:rsidR="002A340C" w:rsidRDefault="002A340C" w:rsidP="002A340C">
      <w:pPr>
        <w:pStyle w:val="Prrafodelista"/>
        <w:tabs>
          <w:tab w:val="left" w:pos="284"/>
        </w:tabs>
        <w:ind w:left="284"/>
        <w:jc w:val="both"/>
        <w:rPr>
          <w:rFonts w:ascii="Verdana" w:hAnsi="Verdana" w:cs="Verdana"/>
          <w:b/>
          <w:bCs/>
          <w:i/>
          <w:iCs/>
          <w:color w:val="800000"/>
          <w:sz w:val="18"/>
          <w:szCs w:val="18"/>
        </w:rPr>
      </w:pPr>
      <w:r w:rsidRPr="00D93B1C">
        <w:rPr>
          <w:rFonts w:ascii="Verdana" w:hAnsi="Verdana" w:cs="Verdana"/>
          <w:b/>
          <w:bCs/>
          <w:i/>
          <w:iCs/>
          <w:color w:val="800000"/>
          <w:sz w:val="18"/>
          <w:szCs w:val="18"/>
        </w:rPr>
        <w:t>La reciente resolución vinculante V1627-25, de 15 de septiembre de la Dirección General de Tributos ha aportado nuevas precisiones relevantes sobre este tipo de supuestos</w:t>
      </w:r>
      <w:r>
        <w:rPr>
          <w:rFonts w:ascii="Verdana" w:hAnsi="Verdana" w:cs="Verdana"/>
          <w:b/>
          <w:bCs/>
          <w:i/>
          <w:iCs/>
          <w:color w:val="800000"/>
          <w:sz w:val="18"/>
          <w:szCs w:val="18"/>
        </w:rPr>
        <w:t>.</w:t>
      </w:r>
    </w:p>
    <w:p w14:paraId="1ACBCF77" w14:textId="77777777" w:rsidR="000120FB" w:rsidRDefault="000120FB" w:rsidP="009E71CE">
      <w:pPr>
        <w:pStyle w:val="Prrafodelista"/>
        <w:tabs>
          <w:tab w:val="left" w:pos="284"/>
        </w:tabs>
        <w:ind w:left="284"/>
        <w:jc w:val="both"/>
        <w:rPr>
          <w:rFonts w:ascii="Verdana" w:hAnsi="Verdana" w:cs="Verdana"/>
          <w:b/>
          <w:bCs/>
          <w:i/>
          <w:iCs/>
          <w:color w:val="800000"/>
          <w:sz w:val="18"/>
          <w:szCs w:val="18"/>
        </w:rPr>
      </w:pPr>
    </w:p>
    <w:p w14:paraId="23613369" w14:textId="6595E791" w:rsidR="00410565" w:rsidRDefault="00410565">
      <w:pPr>
        <w:pStyle w:val="Prrafodelista"/>
        <w:numPr>
          <w:ilvl w:val="0"/>
          <w:numId w:val="4"/>
        </w:numPr>
        <w:tabs>
          <w:tab w:val="left" w:pos="284"/>
        </w:tabs>
        <w:ind w:left="284" w:hanging="284"/>
        <w:jc w:val="both"/>
        <w:rPr>
          <w:rFonts w:ascii="Verdana" w:hAnsi="Verdana" w:cs="Verdana"/>
          <w:b/>
          <w:bCs/>
          <w:i/>
          <w:iCs/>
          <w:color w:val="800000"/>
          <w:sz w:val="18"/>
          <w:szCs w:val="18"/>
        </w:rPr>
      </w:pPr>
      <w:r>
        <w:rPr>
          <w:rFonts w:ascii="Verdana" w:hAnsi="Verdana" w:cs="Verdana"/>
          <w:b/>
          <w:bCs/>
          <w:i/>
          <w:iCs/>
          <w:color w:val="800000"/>
          <w:sz w:val="18"/>
          <w:szCs w:val="18"/>
        </w:rPr>
        <w:t>IRPF. SE EXIGE UNA TRIPLE PRUEBA PARA DESVIRTUAR UNA GANANCIA PATRIMONIAL NO JUSTIFICADA</w:t>
      </w:r>
    </w:p>
    <w:p w14:paraId="61052FB1" w14:textId="08D1C75E" w:rsidR="00410565" w:rsidRDefault="00BD2837" w:rsidP="00410565">
      <w:pPr>
        <w:pStyle w:val="Prrafodelista"/>
        <w:tabs>
          <w:tab w:val="left" w:pos="284"/>
        </w:tabs>
        <w:ind w:left="284"/>
        <w:jc w:val="both"/>
        <w:rPr>
          <w:rFonts w:ascii="Verdana" w:hAnsi="Verdana" w:cs="Verdana"/>
          <w:b/>
          <w:bCs/>
          <w:i/>
          <w:iCs/>
          <w:color w:val="800000"/>
          <w:sz w:val="18"/>
          <w:szCs w:val="18"/>
        </w:rPr>
      </w:pPr>
      <w:r w:rsidRPr="00BD2837">
        <w:rPr>
          <w:rFonts w:ascii="Verdana" w:hAnsi="Verdana" w:cs="Verdana"/>
          <w:b/>
          <w:bCs/>
          <w:i/>
          <w:iCs/>
          <w:color w:val="800000"/>
          <w:sz w:val="18"/>
          <w:szCs w:val="18"/>
        </w:rPr>
        <w:t>En dos Sentencias de 27 de noviembre de 2025 (rec. núm. 5514/2023 y 2028/2023), el Tribunal Supremo ha analizado en casación qué pruebas ha de aportar el contribuyente para poder desvirtuar la imputación de una ganancia de patrimonio no justificada</w:t>
      </w:r>
      <w:r>
        <w:rPr>
          <w:rFonts w:ascii="Verdana" w:hAnsi="Verdana" w:cs="Verdana"/>
          <w:b/>
          <w:bCs/>
          <w:i/>
          <w:iCs/>
          <w:color w:val="800000"/>
          <w:sz w:val="18"/>
          <w:szCs w:val="18"/>
        </w:rPr>
        <w:t>.</w:t>
      </w:r>
    </w:p>
    <w:p w14:paraId="3032693E" w14:textId="77777777" w:rsidR="00C42284" w:rsidRDefault="00C42284" w:rsidP="00410565">
      <w:pPr>
        <w:pStyle w:val="Prrafodelista"/>
        <w:tabs>
          <w:tab w:val="left" w:pos="284"/>
        </w:tabs>
        <w:ind w:left="284"/>
        <w:jc w:val="both"/>
        <w:rPr>
          <w:rFonts w:ascii="Verdana" w:hAnsi="Verdana" w:cs="Verdana"/>
          <w:b/>
          <w:bCs/>
          <w:i/>
          <w:iCs/>
          <w:color w:val="800000"/>
          <w:sz w:val="18"/>
          <w:szCs w:val="18"/>
        </w:rPr>
      </w:pPr>
    </w:p>
    <w:p w14:paraId="7294418C" w14:textId="4FC292AA" w:rsidR="009C1783" w:rsidRDefault="009C1783">
      <w:pPr>
        <w:pStyle w:val="Prrafodelista"/>
        <w:numPr>
          <w:ilvl w:val="0"/>
          <w:numId w:val="4"/>
        </w:numPr>
        <w:tabs>
          <w:tab w:val="left" w:pos="284"/>
        </w:tabs>
        <w:ind w:left="426" w:hanging="426"/>
        <w:jc w:val="both"/>
        <w:rPr>
          <w:rFonts w:ascii="Verdana" w:hAnsi="Verdana" w:cs="Verdana"/>
          <w:b/>
          <w:bCs/>
          <w:i/>
          <w:iCs/>
          <w:color w:val="800000"/>
          <w:sz w:val="18"/>
          <w:szCs w:val="18"/>
        </w:rPr>
      </w:pPr>
      <w:r w:rsidRPr="009C1783">
        <w:rPr>
          <w:rFonts w:ascii="Verdana" w:hAnsi="Verdana" w:cs="Verdana"/>
          <w:b/>
          <w:bCs/>
          <w:i/>
          <w:iCs/>
          <w:color w:val="800000"/>
          <w:sz w:val="18"/>
          <w:szCs w:val="18"/>
        </w:rPr>
        <w:t>IRPF</w:t>
      </w:r>
      <w:r w:rsidR="00EE479D">
        <w:rPr>
          <w:rFonts w:ascii="Verdana" w:hAnsi="Verdana" w:cs="Verdana"/>
          <w:b/>
          <w:bCs/>
          <w:i/>
          <w:iCs/>
          <w:color w:val="800000"/>
          <w:sz w:val="18"/>
          <w:szCs w:val="18"/>
        </w:rPr>
        <w:t xml:space="preserve"> - </w:t>
      </w:r>
      <w:r w:rsidR="00EE479D" w:rsidRPr="009C1783">
        <w:rPr>
          <w:rFonts w:ascii="Verdana" w:hAnsi="Verdana" w:cs="Verdana"/>
          <w:b/>
          <w:bCs/>
          <w:i/>
          <w:iCs/>
          <w:color w:val="800000"/>
          <w:sz w:val="18"/>
          <w:szCs w:val="18"/>
        </w:rPr>
        <w:t>DEDUCCIONES</w:t>
      </w:r>
      <w:r w:rsidRPr="009C1783">
        <w:rPr>
          <w:rFonts w:ascii="Verdana" w:hAnsi="Verdana" w:cs="Verdana"/>
          <w:b/>
          <w:bCs/>
          <w:i/>
          <w:iCs/>
          <w:color w:val="800000"/>
          <w:sz w:val="18"/>
          <w:szCs w:val="18"/>
        </w:rPr>
        <w:t xml:space="preserve"> POR OBRAS DE MEJORA DE LA EFICIENCIA ENERGÉTICA</w:t>
      </w:r>
    </w:p>
    <w:p w14:paraId="7C87E3FE" w14:textId="694B5341" w:rsidR="00D93B1C" w:rsidRDefault="00EE5D70" w:rsidP="004C5A95">
      <w:pPr>
        <w:pStyle w:val="Prrafodelista"/>
        <w:tabs>
          <w:tab w:val="left" w:pos="284"/>
        </w:tabs>
        <w:ind w:left="284"/>
        <w:jc w:val="both"/>
        <w:rPr>
          <w:rFonts w:ascii="Verdana" w:hAnsi="Verdana" w:cs="Verdana"/>
          <w:b/>
          <w:bCs/>
          <w:i/>
          <w:iCs/>
          <w:color w:val="800000"/>
          <w:sz w:val="18"/>
          <w:szCs w:val="18"/>
        </w:rPr>
      </w:pPr>
      <w:r w:rsidRPr="00EE5D70">
        <w:rPr>
          <w:rFonts w:ascii="Verdana" w:hAnsi="Verdana" w:cs="Verdana"/>
          <w:b/>
          <w:bCs/>
          <w:i/>
          <w:iCs/>
          <w:color w:val="800000"/>
          <w:sz w:val="18"/>
          <w:szCs w:val="18"/>
        </w:rPr>
        <w:t>La consulta tributaria V1462-25, de 5 de agosto de 2025, analiza la aplicación de estas deducciones a un supuesto en el que el contribuyente realiza diversas actuaciones orientadas a la reducción del consumo energético de su vivienda, tales como la instalación de aerotermia y placas solares fotovoltaicas, la sustitución de ventanas y la mejora del aislamiento térmico</w:t>
      </w:r>
      <w:r>
        <w:rPr>
          <w:rFonts w:ascii="Verdana" w:hAnsi="Verdana" w:cs="Verdana"/>
          <w:b/>
          <w:bCs/>
          <w:i/>
          <w:iCs/>
          <w:color w:val="800000"/>
          <w:sz w:val="18"/>
          <w:szCs w:val="18"/>
        </w:rPr>
        <w:t>.</w:t>
      </w:r>
    </w:p>
    <w:p w14:paraId="3AD77004" w14:textId="77777777" w:rsidR="00EE479D" w:rsidRDefault="00EE479D" w:rsidP="004C5A95">
      <w:pPr>
        <w:pStyle w:val="Prrafodelista"/>
        <w:tabs>
          <w:tab w:val="left" w:pos="284"/>
        </w:tabs>
        <w:ind w:left="284"/>
        <w:jc w:val="both"/>
        <w:rPr>
          <w:rFonts w:ascii="Verdana" w:hAnsi="Verdana" w:cs="Verdana"/>
          <w:b/>
          <w:bCs/>
          <w:i/>
          <w:iCs/>
          <w:color w:val="800000"/>
          <w:sz w:val="18"/>
          <w:szCs w:val="18"/>
        </w:rPr>
      </w:pPr>
    </w:p>
    <w:p w14:paraId="2A4A3349" w14:textId="1BF58178" w:rsidR="00EE479D" w:rsidRPr="00EE479D" w:rsidRDefault="00EE479D">
      <w:pPr>
        <w:pStyle w:val="Prrafodelista"/>
        <w:numPr>
          <w:ilvl w:val="0"/>
          <w:numId w:val="4"/>
        </w:numPr>
        <w:tabs>
          <w:tab w:val="left" w:pos="284"/>
        </w:tabs>
        <w:ind w:left="284" w:hanging="284"/>
        <w:jc w:val="both"/>
        <w:rPr>
          <w:rFonts w:ascii="Verdana" w:hAnsi="Verdana" w:cs="Verdana"/>
          <w:b/>
          <w:bCs/>
          <w:i/>
          <w:iCs/>
          <w:color w:val="800000"/>
          <w:sz w:val="18"/>
          <w:szCs w:val="18"/>
        </w:rPr>
      </w:pPr>
      <w:r>
        <w:rPr>
          <w:rFonts w:ascii="Verdana" w:hAnsi="Verdana" w:cs="Verdana"/>
          <w:b/>
          <w:bCs/>
          <w:i/>
          <w:iCs/>
          <w:color w:val="800000"/>
          <w:sz w:val="18"/>
          <w:szCs w:val="18"/>
        </w:rPr>
        <w:t>I</w:t>
      </w:r>
      <w:r w:rsidRPr="00EE479D">
        <w:rPr>
          <w:rFonts w:ascii="Verdana" w:hAnsi="Verdana" w:cs="Verdana"/>
          <w:b/>
          <w:bCs/>
          <w:i/>
          <w:iCs/>
          <w:color w:val="800000"/>
          <w:sz w:val="18"/>
          <w:szCs w:val="18"/>
        </w:rPr>
        <w:t>RPF – TRANSMISIÓN DE INMUEBLE ARRENDADO Y AMORTIZACIÓN MÍNIMA</w:t>
      </w:r>
      <w:r>
        <w:rPr>
          <w:rFonts w:ascii="Verdana" w:hAnsi="Verdana" w:cs="Verdana"/>
          <w:b/>
          <w:bCs/>
          <w:i/>
          <w:iCs/>
          <w:color w:val="800000"/>
          <w:sz w:val="18"/>
          <w:szCs w:val="18"/>
        </w:rPr>
        <w:t xml:space="preserve"> EN EL CÓMPUTO DE LAS GANANCIAS PATRIMONIALES</w:t>
      </w:r>
    </w:p>
    <w:p w14:paraId="7B9E3B07" w14:textId="77777777" w:rsidR="00EE479D" w:rsidRPr="00EE479D" w:rsidRDefault="00EE479D" w:rsidP="00EE479D">
      <w:pPr>
        <w:tabs>
          <w:tab w:val="left" w:pos="284"/>
          <w:tab w:val="left" w:pos="851"/>
        </w:tabs>
        <w:ind w:left="284"/>
        <w:jc w:val="both"/>
        <w:rPr>
          <w:rFonts w:ascii="Verdana" w:hAnsi="Verdana" w:cs="Verdana"/>
          <w:b/>
          <w:bCs/>
          <w:i/>
          <w:iCs/>
          <w:color w:val="800000"/>
          <w:sz w:val="18"/>
          <w:szCs w:val="18"/>
        </w:rPr>
      </w:pPr>
      <w:r w:rsidRPr="00EE479D">
        <w:rPr>
          <w:rFonts w:ascii="Verdana" w:hAnsi="Verdana" w:cs="Verdana"/>
          <w:b/>
          <w:bCs/>
          <w:i/>
          <w:iCs/>
          <w:color w:val="800000"/>
          <w:sz w:val="18"/>
          <w:szCs w:val="18"/>
        </w:rPr>
        <w:t>El Tribunal Supremo, en su Sentencia de 20 de noviembre de 2025 (STS 5416/2025), fija doctrina sobre el cálculo de la ganancia patrimonial en la transmisión de inmuebles arrendados en el IRPF, cuando el contribuyente no ejerce actividades económicas.</w:t>
      </w:r>
    </w:p>
    <w:p w14:paraId="348F26F2" w14:textId="77777777" w:rsidR="002357D2" w:rsidRDefault="002357D2" w:rsidP="004C5A95">
      <w:pPr>
        <w:pStyle w:val="Prrafodelista"/>
        <w:tabs>
          <w:tab w:val="left" w:pos="284"/>
        </w:tabs>
        <w:ind w:left="284"/>
        <w:jc w:val="both"/>
        <w:rPr>
          <w:rFonts w:ascii="Verdana" w:hAnsi="Verdana" w:cs="Verdana"/>
          <w:b/>
          <w:bCs/>
          <w:i/>
          <w:iCs/>
          <w:color w:val="800000"/>
          <w:sz w:val="18"/>
          <w:szCs w:val="18"/>
        </w:rPr>
      </w:pPr>
    </w:p>
    <w:p w14:paraId="11DC52A5" w14:textId="76EB3C9F" w:rsidR="002357D2" w:rsidRDefault="002357D2">
      <w:pPr>
        <w:pStyle w:val="Prrafodelista"/>
        <w:numPr>
          <w:ilvl w:val="0"/>
          <w:numId w:val="4"/>
        </w:numPr>
        <w:tabs>
          <w:tab w:val="left" w:pos="284"/>
        </w:tabs>
        <w:ind w:left="284" w:hanging="284"/>
        <w:jc w:val="both"/>
        <w:rPr>
          <w:rFonts w:ascii="Verdana" w:hAnsi="Verdana" w:cs="Verdana"/>
          <w:b/>
          <w:bCs/>
          <w:i/>
          <w:iCs/>
          <w:color w:val="800000"/>
          <w:sz w:val="18"/>
          <w:szCs w:val="18"/>
        </w:rPr>
      </w:pPr>
      <w:r>
        <w:rPr>
          <w:rFonts w:ascii="Verdana" w:hAnsi="Verdana" w:cs="Verdana"/>
          <w:b/>
          <w:bCs/>
          <w:i/>
          <w:iCs/>
          <w:color w:val="800000"/>
          <w:sz w:val="18"/>
          <w:szCs w:val="18"/>
        </w:rPr>
        <w:t>IRPF</w:t>
      </w:r>
      <w:r w:rsidR="00EE479D">
        <w:rPr>
          <w:rFonts w:ascii="Verdana" w:hAnsi="Verdana" w:cs="Verdana"/>
          <w:b/>
          <w:bCs/>
          <w:i/>
          <w:iCs/>
          <w:color w:val="800000"/>
          <w:sz w:val="18"/>
          <w:szCs w:val="18"/>
        </w:rPr>
        <w:t xml:space="preserve"> -</w:t>
      </w:r>
      <w:r>
        <w:rPr>
          <w:rFonts w:ascii="Verdana" w:hAnsi="Verdana" w:cs="Verdana"/>
          <w:b/>
          <w:bCs/>
          <w:i/>
          <w:iCs/>
          <w:color w:val="800000"/>
          <w:sz w:val="18"/>
          <w:szCs w:val="18"/>
        </w:rPr>
        <w:t xml:space="preserve"> </w:t>
      </w:r>
      <w:r w:rsidRPr="002357D2">
        <w:rPr>
          <w:rFonts w:ascii="Verdana" w:hAnsi="Verdana" w:cs="Verdana"/>
          <w:b/>
          <w:bCs/>
          <w:i/>
          <w:iCs/>
          <w:color w:val="800000"/>
          <w:sz w:val="18"/>
          <w:szCs w:val="18"/>
        </w:rPr>
        <w:t xml:space="preserve">REGLA DE AMORTIZACIÓN DE BIENES INMUEBLES ARRENDADOS EN </w:t>
      </w:r>
      <w:r w:rsidR="00EE479D">
        <w:rPr>
          <w:rFonts w:ascii="Verdana" w:hAnsi="Verdana" w:cs="Verdana"/>
          <w:b/>
          <w:bCs/>
          <w:i/>
          <w:iCs/>
          <w:color w:val="800000"/>
          <w:sz w:val="18"/>
          <w:szCs w:val="18"/>
        </w:rPr>
        <w:t>LOS</w:t>
      </w:r>
      <w:r w:rsidRPr="002357D2">
        <w:rPr>
          <w:rFonts w:ascii="Verdana" w:hAnsi="Verdana" w:cs="Verdana"/>
          <w:b/>
          <w:bCs/>
          <w:i/>
          <w:iCs/>
          <w:color w:val="800000"/>
          <w:sz w:val="18"/>
          <w:szCs w:val="18"/>
        </w:rPr>
        <w:t xml:space="preserve"> RENDIMIENTOS DEL CAPITAL INMOBILIARIO</w:t>
      </w:r>
    </w:p>
    <w:p w14:paraId="0A09F36D" w14:textId="054A35BC" w:rsidR="002357D2" w:rsidRDefault="00F14369" w:rsidP="002357D2">
      <w:pPr>
        <w:pStyle w:val="Prrafodelista"/>
        <w:tabs>
          <w:tab w:val="left" w:pos="284"/>
        </w:tabs>
        <w:ind w:left="284"/>
        <w:jc w:val="both"/>
        <w:rPr>
          <w:rFonts w:ascii="Verdana" w:hAnsi="Verdana" w:cs="Verdana"/>
          <w:b/>
          <w:bCs/>
          <w:i/>
          <w:iCs/>
          <w:color w:val="800000"/>
          <w:sz w:val="18"/>
          <w:szCs w:val="18"/>
        </w:rPr>
      </w:pPr>
      <w:r>
        <w:rPr>
          <w:rFonts w:ascii="Verdana" w:hAnsi="Verdana" w:cs="Verdana"/>
          <w:b/>
          <w:bCs/>
          <w:i/>
          <w:iCs/>
          <w:color w:val="800000"/>
          <w:sz w:val="18"/>
          <w:szCs w:val="18"/>
        </w:rPr>
        <w:t>E</w:t>
      </w:r>
      <w:r w:rsidR="002357D2" w:rsidRPr="002357D2">
        <w:rPr>
          <w:rFonts w:ascii="Verdana" w:hAnsi="Verdana" w:cs="Verdana"/>
          <w:b/>
          <w:bCs/>
          <w:i/>
          <w:iCs/>
          <w:color w:val="800000"/>
          <w:sz w:val="18"/>
          <w:szCs w:val="18"/>
        </w:rPr>
        <w:t>l Tribunal Económico-Administrativo Central aclara el efecto de la regla de amortización de los bienes inmuebles arrendados en el cómputo de ciertas rentas obtenidas por contribuyentes del IRPF</w:t>
      </w:r>
      <w:r w:rsidR="002357D2">
        <w:rPr>
          <w:rFonts w:ascii="Verdana" w:hAnsi="Verdana" w:cs="Verdana"/>
          <w:b/>
          <w:bCs/>
          <w:i/>
          <w:iCs/>
          <w:color w:val="800000"/>
          <w:sz w:val="18"/>
          <w:szCs w:val="18"/>
        </w:rPr>
        <w:t>.</w:t>
      </w:r>
    </w:p>
    <w:p w14:paraId="3020C92C" w14:textId="77777777" w:rsidR="00EE479D" w:rsidRDefault="00EE479D" w:rsidP="002357D2">
      <w:pPr>
        <w:pStyle w:val="Prrafodelista"/>
        <w:tabs>
          <w:tab w:val="left" w:pos="284"/>
        </w:tabs>
        <w:ind w:left="284"/>
        <w:jc w:val="both"/>
        <w:rPr>
          <w:rFonts w:ascii="Verdana" w:hAnsi="Verdana" w:cs="Verdana"/>
          <w:b/>
          <w:bCs/>
          <w:i/>
          <w:iCs/>
          <w:color w:val="800000"/>
          <w:sz w:val="18"/>
          <w:szCs w:val="18"/>
        </w:rPr>
      </w:pPr>
    </w:p>
    <w:p w14:paraId="6398DD68" w14:textId="0AFC2173" w:rsidR="002A340C" w:rsidRPr="009E71CE" w:rsidRDefault="002A340C">
      <w:pPr>
        <w:pStyle w:val="Prrafodelista"/>
        <w:numPr>
          <w:ilvl w:val="0"/>
          <w:numId w:val="4"/>
        </w:numPr>
        <w:tabs>
          <w:tab w:val="left" w:pos="284"/>
        </w:tabs>
        <w:ind w:left="284" w:hanging="284"/>
        <w:jc w:val="both"/>
        <w:rPr>
          <w:rFonts w:ascii="Verdana" w:hAnsi="Verdana" w:cs="Verdana"/>
          <w:b/>
          <w:bCs/>
          <w:i/>
          <w:iCs/>
          <w:color w:val="800000"/>
          <w:sz w:val="18"/>
          <w:szCs w:val="18"/>
        </w:rPr>
      </w:pPr>
      <w:r>
        <w:rPr>
          <w:rFonts w:ascii="Verdana" w:hAnsi="Verdana" w:cs="Verdana"/>
          <w:b/>
          <w:bCs/>
          <w:i/>
          <w:iCs/>
          <w:color w:val="800000"/>
          <w:sz w:val="18"/>
          <w:szCs w:val="18"/>
        </w:rPr>
        <w:t xml:space="preserve">ITP Y AJD. </w:t>
      </w:r>
      <w:r w:rsidRPr="00410565">
        <w:rPr>
          <w:rFonts w:ascii="Verdana" w:hAnsi="Verdana" w:cs="Verdana"/>
          <w:b/>
          <w:bCs/>
          <w:i/>
          <w:iCs/>
          <w:color w:val="800000"/>
          <w:sz w:val="18"/>
          <w:szCs w:val="18"/>
        </w:rPr>
        <w:t>LA ADMINISTRACIÓN NO PUEDE ASIGNAR DOS VALORES A UN MISMO INMUEBLE ADQUIRIDO EN UN MISMO ACTO POR VARIOS COPROPIETARIOS</w:t>
      </w:r>
      <w:r>
        <w:rPr>
          <w:rFonts w:ascii="Verdana" w:hAnsi="Verdana" w:cs="Verdana"/>
          <w:b/>
          <w:bCs/>
          <w:i/>
          <w:iCs/>
          <w:color w:val="800000"/>
          <w:sz w:val="18"/>
          <w:szCs w:val="18"/>
        </w:rPr>
        <w:t xml:space="preserve"> </w:t>
      </w:r>
    </w:p>
    <w:p w14:paraId="7A72C6A1" w14:textId="77777777" w:rsidR="002A340C" w:rsidRDefault="002A340C" w:rsidP="002A340C">
      <w:pPr>
        <w:pStyle w:val="Prrafodelista"/>
        <w:tabs>
          <w:tab w:val="left" w:pos="284"/>
        </w:tabs>
        <w:ind w:left="284"/>
        <w:jc w:val="both"/>
        <w:rPr>
          <w:rFonts w:ascii="Verdana" w:hAnsi="Verdana" w:cs="Verdana"/>
          <w:b/>
          <w:bCs/>
          <w:i/>
          <w:iCs/>
          <w:color w:val="800000"/>
          <w:sz w:val="18"/>
          <w:szCs w:val="18"/>
        </w:rPr>
      </w:pPr>
      <w:r w:rsidRPr="00410565">
        <w:rPr>
          <w:rFonts w:ascii="Verdana" w:hAnsi="Verdana" w:cs="Verdana"/>
          <w:b/>
          <w:bCs/>
          <w:i/>
          <w:iCs/>
          <w:color w:val="800000"/>
          <w:sz w:val="18"/>
          <w:szCs w:val="18"/>
        </w:rPr>
        <w:t>El Tribunal Supremo establece que la Administración tributaria no puede asignar valores distintos a un mismo inmueble cuando ha sido adquirido en un único acto por varios copropietarios.</w:t>
      </w:r>
    </w:p>
    <w:p w14:paraId="7B09639E" w14:textId="77777777" w:rsidR="00014BE4" w:rsidRDefault="00014BE4" w:rsidP="004C5A95">
      <w:pPr>
        <w:pStyle w:val="Prrafodelista"/>
        <w:tabs>
          <w:tab w:val="left" w:pos="284"/>
        </w:tabs>
        <w:ind w:left="284"/>
        <w:jc w:val="both"/>
        <w:rPr>
          <w:rFonts w:ascii="Verdana" w:hAnsi="Verdana" w:cs="Verdana"/>
          <w:b/>
          <w:bCs/>
          <w:i/>
          <w:iCs/>
          <w:color w:val="800000"/>
          <w:sz w:val="18"/>
          <w:szCs w:val="18"/>
        </w:rPr>
      </w:pPr>
    </w:p>
    <w:p w14:paraId="166112D1" w14:textId="38E121DA" w:rsidR="00014BE4" w:rsidRDefault="00014BE4">
      <w:pPr>
        <w:pStyle w:val="Prrafodelista"/>
        <w:numPr>
          <w:ilvl w:val="0"/>
          <w:numId w:val="4"/>
        </w:numPr>
        <w:tabs>
          <w:tab w:val="left" w:pos="284"/>
        </w:tabs>
        <w:ind w:left="284" w:hanging="284"/>
        <w:jc w:val="both"/>
        <w:rPr>
          <w:rFonts w:ascii="Verdana" w:hAnsi="Verdana" w:cs="Verdana"/>
          <w:b/>
          <w:bCs/>
          <w:i/>
          <w:iCs/>
          <w:color w:val="800000"/>
          <w:sz w:val="18"/>
          <w:szCs w:val="18"/>
        </w:rPr>
      </w:pPr>
      <w:r w:rsidRPr="00014BE4">
        <w:rPr>
          <w:rFonts w:ascii="Verdana" w:hAnsi="Verdana" w:cs="Verdana"/>
          <w:b/>
          <w:bCs/>
          <w:i/>
          <w:iCs/>
          <w:color w:val="800000"/>
          <w:sz w:val="18"/>
          <w:szCs w:val="18"/>
        </w:rPr>
        <w:t>IP</w:t>
      </w:r>
      <w:r>
        <w:rPr>
          <w:rFonts w:ascii="Verdana" w:hAnsi="Verdana" w:cs="Verdana"/>
          <w:b/>
          <w:bCs/>
          <w:i/>
          <w:iCs/>
          <w:color w:val="800000"/>
          <w:sz w:val="18"/>
          <w:szCs w:val="18"/>
        </w:rPr>
        <w:t>.</w:t>
      </w:r>
      <w:r w:rsidRPr="00014BE4">
        <w:rPr>
          <w:rFonts w:ascii="Verdana" w:hAnsi="Verdana" w:cs="Verdana"/>
          <w:b/>
          <w:bCs/>
          <w:i/>
          <w:iCs/>
          <w:color w:val="800000"/>
          <w:sz w:val="18"/>
          <w:szCs w:val="18"/>
        </w:rPr>
        <w:t xml:space="preserve"> DEDUCIBILIDAD DE LAS DEUDAS DERIVADAS DEL IRPF</w:t>
      </w:r>
    </w:p>
    <w:p w14:paraId="4B953C8E" w14:textId="057D267B" w:rsidR="00014BE4" w:rsidRDefault="00014BE4" w:rsidP="00014BE4">
      <w:pPr>
        <w:tabs>
          <w:tab w:val="left" w:pos="284"/>
        </w:tabs>
        <w:ind w:left="284" w:hanging="284"/>
        <w:jc w:val="both"/>
        <w:rPr>
          <w:rFonts w:ascii="Verdana" w:hAnsi="Verdana" w:cs="Verdana"/>
          <w:b/>
          <w:bCs/>
          <w:i/>
          <w:iCs/>
          <w:color w:val="800000"/>
          <w:sz w:val="18"/>
          <w:szCs w:val="18"/>
        </w:rPr>
      </w:pPr>
      <w:r>
        <w:rPr>
          <w:rFonts w:ascii="Verdana" w:hAnsi="Verdana" w:cs="Verdana"/>
          <w:b/>
          <w:bCs/>
          <w:i/>
          <w:iCs/>
          <w:color w:val="800000"/>
          <w:sz w:val="18"/>
          <w:szCs w:val="18"/>
        </w:rPr>
        <w:tab/>
      </w:r>
      <w:r w:rsidRPr="00014BE4">
        <w:rPr>
          <w:rFonts w:ascii="Verdana" w:hAnsi="Verdana" w:cs="Verdana"/>
          <w:b/>
          <w:bCs/>
          <w:i/>
          <w:iCs/>
          <w:color w:val="800000"/>
          <w:sz w:val="18"/>
          <w:szCs w:val="18"/>
        </w:rPr>
        <w:t>El Tribunal Supremo, en su Sentencia 1584/2025, de 5 de diciembre, fija doctrina sobre el momento relevante para la deducibilidad de las deudas del IRPF en la base imponible del Impuesto sobre el Patrimonio</w:t>
      </w:r>
      <w:r>
        <w:rPr>
          <w:rFonts w:ascii="Verdana" w:hAnsi="Verdana" w:cs="Verdana"/>
          <w:b/>
          <w:bCs/>
          <w:i/>
          <w:iCs/>
          <w:color w:val="800000"/>
          <w:sz w:val="18"/>
          <w:szCs w:val="18"/>
        </w:rPr>
        <w:t>.</w:t>
      </w:r>
    </w:p>
    <w:p w14:paraId="13453E58" w14:textId="77777777" w:rsidR="002A340C" w:rsidRDefault="002A340C" w:rsidP="002A340C">
      <w:pPr>
        <w:tabs>
          <w:tab w:val="left" w:pos="284"/>
        </w:tabs>
        <w:ind w:left="284" w:hanging="284"/>
        <w:jc w:val="both"/>
        <w:rPr>
          <w:rFonts w:ascii="Verdana" w:hAnsi="Verdana" w:cs="Verdana"/>
          <w:b/>
          <w:bCs/>
          <w:i/>
          <w:iCs/>
          <w:color w:val="800000"/>
          <w:sz w:val="18"/>
          <w:szCs w:val="18"/>
        </w:rPr>
      </w:pPr>
    </w:p>
    <w:p w14:paraId="106BC429" w14:textId="49040E78" w:rsidR="002A340C" w:rsidRPr="009C1783" w:rsidRDefault="002A340C">
      <w:pPr>
        <w:pStyle w:val="Prrafodelista"/>
        <w:numPr>
          <w:ilvl w:val="0"/>
          <w:numId w:val="4"/>
        </w:numPr>
        <w:ind w:left="284" w:hanging="284"/>
        <w:jc w:val="both"/>
        <w:rPr>
          <w:rFonts w:ascii="Verdana" w:hAnsi="Verdana" w:cs="Verdana"/>
          <w:b/>
          <w:bCs/>
          <w:i/>
          <w:iCs/>
          <w:color w:val="800000"/>
          <w:sz w:val="18"/>
          <w:szCs w:val="18"/>
        </w:rPr>
      </w:pPr>
      <w:r>
        <w:rPr>
          <w:rFonts w:ascii="Verdana" w:hAnsi="Verdana"/>
          <w:b/>
          <w:bCs/>
          <w:i/>
          <w:iCs/>
          <w:color w:val="800000"/>
          <w:sz w:val="18"/>
          <w:szCs w:val="18"/>
        </w:rPr>
        <w:lastRenderedPageBreak/>
        <w:t xml:space="preserve">IMPUESTO SOBRE DONACIONES - </w:t>
      </w:r>
      <w:r w:rsidRPr="005446F3">
        <w:rPr>
          <w:rFonts w:ascii="Verdana" w:hAnsi="Verdana"/>
          <w:b/>
          <w:bCs/>
          <w:i/>
          <w:iCs/>
          <w:color w:val="800000"/>
          <w:sz w:val="18"/>
          <w:szCs w:val="18"/>
        </w:rPr>
        <w:t>NO PUEDE APLI</w:t>
      </w:r>
      <w:r w:rsidRPr="009C1783">
        <w:rPr>
          <w:rFonts w:ascii="Verdana" w:hAnsi="Verdana"/>
          <w:b/>
          <w:bCs/>
          <w:i/>
          <w:iCs/>
          <w:color w:val="800000"/>
          <w:sz w:val="18"/>
          <w:szCs w:val="18"/>
        </w:rPr>
        <w:t>CARSE LA BONIFICACIÓN POR PARENT</w:t>
      </w:r>
      <w:r w:rsidR="00F14369">
        <w:rPr>
          <w:rFonts w:ascii="Verdana" w:hAnsi="Verdana"/>
          <w:b/>
          <w:bCs/>
          <w:i/>
          <w:iCs/>
          <w:color w:val="800000"/>
          <w:sz w:val="18"/>
          <w:szCs w:val="18"/>
        </w:rPr>
        <w:t>E</w:t>
      </w:r>
      <w:r w:rsidRPr="009C1783">
        <w:rPr>
          <w:rFonts w:ascii="Verdana" w:hAnsi="Verdana"/>
          <w:b/>
          <w:bCs/>
          <w:i/>
          <w:iCs/>
          <w:color w:val="800000"/>
          <w:sz w:val="18"/>
          <w:szCs w:val="18"/>
        </w:rPr>
        <w:t xml:space="preserve">SCO </w:t>
      </w:r>
      <w:r w:rsidR="00F14369">
        <w:rPr>
          <w:rFonts w:ascii="Verdana" w:hAnsi="Verdana"/>
          <w:b/>
          <w:bCs/>
          <w:i/>
          <w:iCs/>
          <w:color w:val="800000"/>
          <w:sz w:val="18"/>
          <w:szCs w:val="18"/>
        </w:rPr>
        <w:t>EN</w:t>
      </w:r>
      <w:r w:rsidRPr="009C1783">
        <w:rPr>
          <w:rFonts w:ascii="Verdana" w:hAnsi="Verdana"/>
          <w:b/>
          <w:bCs/>
          <w:i/>
          <w:iCs/>
          <w:color w:val="800000"/>
          <w:sz w:val="18"/>
          <w:szCs w:val="18"/>
        </w:rPr>
        <w:t xml:space="preserve"> LA CESIÓN GRATUITA DE DERECHOS DE CRÉDITO MEDIANTE DOCUMENTO PRIVADO</w:t>
      </w:r>
    </w:p>
    <w:p w14:paraId="0C6C09AC" w14:textId="3BABDCF9" w:rsidR="002A340C" w:rsidRPr="00014BE4" w:rsidRDefault="002A340C" w:rsidP="002A340C">
      <w:pPr>
        <w:ind w:left="284" w:hanging="284"/>
        <w:jc w:val="both"/>
        <w:rPr>
          <w:rFonts w:ascii="Verdana" w:hAnsi="Verdana" w:cs="Verdana"/>
          <w:b/>
          <w:bCs/>
          <w:i/>
          <w:iCs/>
          <w:color w:val="800000"/>
          <w:sz w:val="18"/>
          <w:szCs w:val="18"/>
        </w:rPr>
      </w:pPr>
      <w:r>
        <w:rPr>
          <w:rFonts w:ascii="Verdana" w:hAnsi="Verdana" w:cs="Verdana"/>
          <w:b/>
          <w:bCs/>
          <w:i/>
          <w:iCs/>
          <w:color w:val="800000"/>
          <w:sz w:val="18"/>
          <w:szCs w:val="18"/>
        </w:rPr>
        <w:tab/>
      </w:r>
      <w:r w:rsidRPr="002F2D58">
        <w:rPr>
          <w:rFonts w:ascii="Verdana" w:hAnsi="Verdana" w:cs="Verdana"/>
          <w:b/>
          <w:bCs/>
          <w:i/>
          <w:iCs/>
          <w:color w:val="800000"/>
          <w:sz w:val="18"/>
          <w:szCs w:val="18"/>
        </w:rPr>
        <w:t>Así lo establece la sentencia del Tribunal Superior de Justicia de Madrid, núm. 660/2025, de 3 de octubre de 2025, rec. núm. 1072/2023</w:t>
      </w:r>
      <w:r w:rsidR="00F14369">
        <w:rPr>
          <w:rFonts w:ascii="Verdana" w:hAnsi="Verdana" w:cs="Verdana"/>
          <w:b/>
          <w:bCs/>
          <w:i/>
          <w:iCs/>
          <w:color w:val="800000"/>
          <w:sz w:val="18"/>
          <w:szCs w:val="18"/>
        </w:rPr>
        <w:t>.</w:t>
      </w:r>
    </w:p>
    <w:p w14:paraId="0600F455" w14:textId="77777777" w:rsidR="00D93B1C" w:rsidRDefault="00D93B1C" w:rsidP="004C5A95">
      <w:pPr>
        <w:pStyle w:val="Prrafodelista"/>
        <w:tabs>
          <w:tab w:val="left" w:pos="284"/>
        </w:tabs>
        <w:ind w:left="284"/>
        <w:jc w:val="both"/>
        <w:rPr>
          <w:rFonts w:ascii="Verdana" w:hAnsi="Verdana" w:cs="Verdana"/>
          <w:b/>
          <w:bCs/>
          <w:i/>
          <w:iCs/>
          <w:color w:val="800000"/>
          <w:sz w:val="18"/>
          <w:szCs w:val="18"/>
        </w:rPr>
      </w:pPr>
    </w:p>
    <w:p w14:paraId="5FFA7B71" w14:textId="77777777" w:rsidR="005446F3" w:rsidRDefault="005446F3" w:rsidP="004C5A95">
      <w:pPr>
        <w:pStyle w:val="Prrafodelista"/>
        <w:tabs>
          <w:tab w:val="left" w:pos="284"/>
        </w:tabs>
        <w:ind w:left="284"/>
        <w:jc w:val="both"/>
        <w:rPr>
          <w:rFonts w:ascii="Verdana" w:hAnsi="Verdana" w:cs="Verdana"/>
          <w:b/>
          <w:bCs/>
          <w:i/>
          <w:i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2A340C" w:rsidRPr="005446F3" w14:paraId="759C015F" w14:textId="77777777" w:rsidTr="00C65B71">
        <w:tc>
          <w:tcPr>
            <w:tcW w:w="180" w:type="dxa"/>
            <w:shd w:val="clear" w:color="auto" w:fill="FF6600"/>
          </w:tcPr>
          <w:p w14:paraId="7D498C9B" w14:textId="77777777" w:rsidR="002A340C" w:rsidRPr="005446F3" w:rsidRDefault="002A340C" w:rsidP="00C65B71">
            <w:pPr>
              <w:ind w:left="360"/>
              <w:rPr>
                <w:rFonts w:ascii="Verdana" w:hAnsi="Verdana"/>
                <w:b/>
                <w:bCs/>
                <w:color w:val="800000"/>
                <w:sz w:val="18"/>
                <w:szCs w:val="18"/>
              </w:rPr>
            </w:pPr>
            <w:bookmarkStart w:id="2" w:name="_Hlk220324099"/>
          </w:p>
        </w:tc>
        <w:tc>
          <w:tcPr>
            <w:tcW w:w="8460" w:type="dxa"/>
          </w:tcPr>
          <w:p w14:paraId="09A40D39" w14:textId="77777777" w:rsidR="002A340C" w:rsidRPr="005446F3" w:rsidRDefault="002A340C">
            <w:pPr>
              <w:numPr>
                <w:ilvl w:val="1"/>
                <w:numId w:val="3"/>
              </w:numPr>
              <w:ind w:left="389" w:hanging="283"/>
              <w:jc w:val="both"/>
              <w:rPr>
                <w:rFonts w:ascii="Verdana" w:hAnsi="Verdana"/>
                <w:b/>
                <w:bCs/>
                <w:color w:val="800000"/>
                <w:sz w:val="18"/>
                <w:szCs w:val="18"/>
              </w:rPr>
            </w:pPr>
            <w:r>
              <w:rPr>
                <w:rFonts w:ascii="Verdana" w:hAnsi="Verdana" w:cs="Verdana"/>
                <w:b/>
                <w:bCs/>
                <w:color w:val="800000"/>
                <w:sz w:val="18"/>
                <w:szCs w:val="18"/>
              </w:rPr>
              <w:t>IS -</w:t>
            </w:r>
            <w:r w:rsidRPr="005446F3">
              <w:rPr>
                <w:rFonts w:ascii="Verdana" w:hAnsi="Verdana" w:cs="Verdana"/>
                <w:b/>
                <w:bCs/>
                <w:color w:val="800000"/>
                <w:sz w:val="18"/>
                <w:szCs w:val="18"/>
              </w:rPr>
              <w:t xml:space="preserve"> DEDUCIBILIDAD DE PROVISIONES POR BONUS E INDEMNIZACIONES</w:t>
            </w:r>
            <w:r w:rsidRPr="005446F3">
              <w:rPr>
                <w:rFonts w:ascii="Verdana" w:hAnsi="Verdana"/>
                <w:b/>
                <w:bCs/>
                <w:color w:val="800000"/>
                <w:sz w:val="18"/>
                <w:szCs w:val="18"/>
              </w:rPr>
              <w:t xml:space="preserve"> </w:t>
            </w:r>
          </w:p>
        </w:tc>
      </w:tr>
    </w:tbl>
    <w:bookmarkEnd w:id="2"/>
    <w:p w14:paraId="7CED8628" w14:textId="77777777" w:rsidR="002A340C" w:rsidRPr="00E42FDE" w:rsidRDefault="002A340C" w:rsidP="002A340C">
      <w:pPr>
        <w:spacing w:before="100" w:beforeAutospacing="1" w:after="100" w:afterAutospacing="1"/>
        <w:ind w:left="284"/>
        <w:jc w:val="both"/>
        <w:rPr>
          <w:rFonts w:ascii="Verdana" w:hAnsi="Verdana" w:cs="Times New Roman"/>
          <w:sz w:val="18"/>
          <w:szCs w:val="18"/>
        </w:rPr>
      </w:pPr>
      <w:r w:rsidRPr="00E42FDE">
        <w:rPr>
          <w:rFonts w:ascii="Verdana" w:hAnsi="Verdana" w:cs="Times New Roman"/>
          <w:sz w:val="18"/>
          <w:szCs w:val="18"/>
        </w:rPr>
        <w:t xml:space="preserve">El TEAC </w:t>
      </w:r>
      <w:r w:rsidRPr="00BD2837">
        <w:rPr>
          <w:rFonts w:ascii="Verdana" w:hAnsi="Verdana" w:cs="Times New Roman"/>
          <w:sz w:val="18"/>
          <w:szCs w:val="18"/>
        </w:rPr>
        <w:t>en su resolución</w:t>
      </w:r>
      <w:r w:rsidRPr="00BD2837">
        <w:rPr>
          <w:rFonts w:ascii="Verdana" w:hAnsi="Verdana"/>
          <w:sz w:val="18"/>
          <w:szCs w:val="18"/>
        </w:rPr>
        <w:t xml:space="preserve"> de 20 de octubre de 2025 (RG 8218/2022),</w:t>
      </w:r>
      <w:r w:rsidRPr="00BD2837">
        <w:rPr>
          <w:rFonts w:ascii="Verdana" w:hAnsi="Verdana" w:cs="Times New Roman"/>
          <w:sz w:val="18"/>
          <w:szCs w:val="18"/>
        </w:rPr>
        <w:t xml:space="preserve"> </w:t>
      </w:r>
      <w:r w:rsidRPr="00E42FDE">
        <w:rPr>
          <w:rFonts w:ascii="Verdana" w:hAnsi="Verdana" w:cs="Times New Roman"/>
          <w:sz w:val="18"/>
          <w:szCs w:val="18"/>
        </w:rPr>
        <w:t xml:space="preserve">analiza la </w:t>
      </w:r>
      <w:r w:rsidRPr="00E42FDE">
        <w:rPr>
          <w:rFonts w:ascii="Verdana" w:hAnsi="Verdana" w:cs="Times New Roman"/>
          <w:b/>
          <w:bCs/>
          <w:sz w:val="18"/>
          <w:szCs w:val="18"/>
        </w:rPr>
        <w:t>deducibilidad en el IS de provisiones por bonus e indemnizaciones</w:t>
      </w:r>
      <w:r w:rsidRPr="00E42FDE">
        <w:rPr>
          <w:rFonts w:ascii="Verdana" w:hAnsi="Verdana" w:cs="Times New Roman"/>
          <w:sz w:val="18"/>
          <w:szCs w:val="18"/>
        </w:rPr>
        <w:t xml:space="preserve">, reiterando que solo son fiscalmente deducibles cuando exista una </w:t>
      </w:r>
      <w:r w:rsidRPr="00E42FDE">
        <w:rPr>
          <w:rFonts w:ascii="Verdana" w:hAnsi="Verdana" w:cs="Times New Roman"/>
          <w:b/>
          <w:bCs/>
          <w:sz w:val="18"/>
          <w:szCs w:val="18"/>
        </w:rPr>
        <w:t>obligación cierta, exigible y debidamente acreditada</w:t>
      </w:r>
      <w:r w:rsidRPr="00E42FDE">
        <w:rPr>
          <w:rFonts w:ascii="Verdana" w:hAnsi="Verdana" w:cs="Times New Roman"/>
          <w:sz w:val="18"/>
          <w:szCs w:val="18"/>
        </w:rPr>
        <w:t>, conforme a los arts. 14 LIS y 105 LGT.</w:t>
      </w:r>
    </w:p>
    <w:p w14:paraId="3F40950E" w14:textId="77777777" w:rsidR="002A340C" w:rsidRPr="00E42FDE" w:rsidRDefault="002A340C" w:rsidP="002A340C">
      <w:pPr>
        <w:spacing w:before="100" w:beforeAutospacing="1" w:after="100" w:afterAutospacing="1"/>
        <w:ind w:left="284"/>
        <w:jc w:val="both"/>
        <w:rPr>
          <w:rFonts w:ascii="Verdana" w:hAnsi="Verdana" w:cs="Times New Roman"/>
          <w:sz w:val="18"/>
          <w:szCs w:val="18"/>
        </w:rPr>
      </w:pPr>
      <w:r w:rsidRPr="00E42FDE">
        <w:rPr>
          <w:rFonts w:ascii="Verdana" w:hAnsi="Verdana" w:cs="Times New Roman"/>
          <w:sz w:val="18"/>
          <w:szCs w:val="18"/>
        </w:rPr>
        <w:t xml:space="preserve">No resultan deducibles las provisiones basadas en </w:t>
      </w:r>
      <w:r w:rsidRPr="00E42FDE">
        <w:rPr>
          <w:rFonts w:ascii="Verdana" w:hAnsi="Verdana" w:cs="Times New Roman"/>
          <w:b/>
          <w:bCs/>
          <w:sz w:val="18"/>
          <w:szCs w:val="18"/>
        </w:rPr>
        <w:t>obligaciones implícitas, expectativas o prácticas habituales</w:t>
      </w:r>
      <w:r w:rsidRPr="00E42FDE">
        <w:rPr>
          <w:rFonts w:ascii="Verdana" w:hAnsi="Verdana" w:cs="Times New Roman"/>
          <w:sz w:val="18"/>
          <w:szCs w:val="18"/>
        </w:rPr>
        <w:t xml:space="preserve">, ni aquellas </w:t>
      </w:r>
      <w:r w:rsidRPr="00E42FDE">
        <w:rPr>
          <w:rFonts w:ascii="Verdana" w:hAnsi="Verdana" w:cs="Times New Roman"/>
          <w:b/>
          <w:bCs/>
          <w:sz w:val="18"/>
          <w:szCs w:val="18"/>
        </w:rPr>
        <w:t>condicionadas a hechos futuros e inciertos</w:t>
      </w:r>
      <w:r w:rsidRPr="00E42FDE">
        <w:rPr>
          <w:rFonts w:ascii="Verdana" w:hAnsi="Verdana" w:cs="Times New Roman"/>
          <w:sz w:val="18"/>
          <w:szCs w:val="18"/>
        </w:rPr>
        <w:t>.</w:t>
      </w:r>
    </w:p>
    <w:p w14:paraId="2BA322EA" w14:textId="77777777" w:rsidR="002A340C" w:rsidRPr="00E42FDE" w:rsidRDefault="002A340C" w:rsidP="002A340C">
      <w:pPr>
        <w:spacing w:before="100" w:beforeAutospacing="1" w:after="100" w:afterAutospacing="1"/>
        <w:ind w:left="284"/>
        <w:jc w:val="both"/>
        <w:rPr>
          <w:rFonts w:ascii="Verdana" w:hAnsi="Verdana" w:cs="Times New Roman"/>
          <w:sz w:val="18"/>
          <w:szCs w:val="18"/>
        </w:rPr>
      </w:pPr>
      <w:r w:rsidRPr="00E42FDE">
        <w:rPr>
          <w:rFonts w:ascii="Verdana" w:hAnsi="Verdana" w:cs="Times New Roman"/>
          <w:sz w:val="18"/>
          <w:szCs w:val="18"/>
        </w:rPr>
        <w:t xml:space="preserve">Asimismo, el Tribunal declara improcedente imputar en ejercicios no prescritos provisiones contabilizadas en </w:t>
      </w:r>
      <w:r w:rsidRPr="00E42FDE">
        <w:rPr>
          <w:rFonts w:ascii="Verdana" w:hAnsi="Verdana" w:cs="Times New Roman"/>
          <w:b/>
          <w:bCs/>
          <w:sz w:val="18"/>
          <w:szCs w:val="18"/>
        </w:rPr>
        <w:t>ejercicios ya prescritos</w:t>
      </w:r>
      <w:r w:rsidRPr="00E42FDE">
        <w:rPr>
          <w:rFonts w:ascii="Verdana" w:hAnsi="Verdana" w:cs="Times New Roman"/>
          <w:sz w:val="18"/>
          <w:szCs w:val="18"/>
        </w:rPr>
        <w:t>, aunque el saldo permanezca en balance (art. 121 LIS).</w:t>
      </w:r>
    </w:p>
    <w:p w14:paraId="2C7F22E8" w14:textId="77777777" w:rsidR="002A340C" w:rsidRPr="00BD2837" w:rsidRDefault="002A340C" w:rsidP="002A340C">
      <w:pPr>
        <w:spacing w:before="100" w:beforeAutospacing="1" w:after="100" w:afterAutospacing="1"/>
        <w:ind w:left="284"/>
        <w:jc w:val="both"/>
        <w:rPr>
          <w:rFonts w:ascii="Verdana" w:hAnsi="Verdana" w:cs="Times New Roman"/>
          <w:sz w:val="18"/>
          <w:szCs w:val="18"/>
        </w:rPr>
      </w:pPr>
      <w:r w:rsidRPr="00E42FDE">
        <w:rPr>
          <w:rFonts w:ascii="Verdana" w:hAnsi="Verdana" w:cs="Times New Roman"/>
          <w:sz w:val="18"/>
          <w:szCs w:val="18"/>
        </w:rPr>
        <w:t xml:space="preserve">Se confirman las </w:t>
      </w:r>
      <w:r w:rsidRPr="00E42FDE">
        <w:rPr>
          <w:rFonts w:ascii="Verdana" w:hAnsi="Verdana" w:cs="Times New Roman"/>
          <w:b/>
          <w:bCs/>
          <w:sz w:val="18"/>
          <w:szCs w:val="18"/>
        </w:rPr>
        <w:t>regularizaciones y sanciones</w:t>
      </w:r>
      <w:r w:rsidRPr="00E42FDE">
        <w:rPr>
          <w:rFonts w:ascii="Verdana" w:hAnsi="Verdana" w:cs="Times New Roman"/>
          <w:sz w:val="18"/>
          <w:szCs w:val="18"/>
        </w:rPr>
        <w:t xml:space="preserve"> al no apreciarse interpretación razonable de la norma.</w:t>
      </w:r>
    </w:p>
    <w:p w14:paraId="246AE517" w14:textId="77777777" w:rsidR="002A340C" w:rsidRPr="00E42FDE" w:rsidRDefault="002A340C" w:rsidP="002A340C">
      <w:pPr>
        <w:spacing w:before="100" w:beforeAutospacing="1" w:after="100" w:afterAutospacing="1"/>
        <w:ind w:left="284"/>
        <w:jc w:val="both"/>
        <w:outlineLvl w:val="2"/>
        <w:rPr>
          <w:rFonts w:ascii="Verdana" w:hAnsi="Verdana" w:cs="Times New Roman"/>
          <w:b/>
          <w:bCs/>
          <w:sz w:val="18"/>
          <w:szCs w:val="18"/>
        </w:rPr>
      </w:pPr>
      <w:r w:rsidRPr="00E42FDE">
        <w:rPr>
          <w:rFonts w:ascii="Verdana" w:hAnsi="Verdana" w:cs="Times New Roman"/>
          <w:b/>
          <w:bCs/>
          <w:sz w:val="18"/>
          <w:szCs w:val="18"/>
        </w:rPr>
        <w:t>Conclusión práctica</w:t>
      </w:r>
    </w:p>
    <w:p w14:paraId="33E36FC9" w14:textId="77777777" w:rsidR="002A340C" w:rsidRPr="00E42FDE" w:rsidRDefault="002A340C" w:rsidP="002A340C">
      <w:pPr>
        <w:spacing w:before="100" w:beforeAutospacing="1" w:after="100" w:afterAutospacing="1"/>
        <w:ind w:left="284"/>
        <w:jc w:val="both"/>
        <w:rPr>
          <w:rFonts w:ascii="Verdana" w:hAnsi="Verdana" w:cs="Times New Roman"/>
          <w:sz w:val="18"/>
          <w:szCs w:val="18"/>
        </w:rPr>
      </w:pPr>
      <w:r w:rsidRPr="00E42FDE">
        <w:rPr>
          <w:rFonts w:ascii="Verdana" w:hAnsi="Verdana" w:cs="Times New Roman"/>
          <w:sz w:val="18"/>
          <w:szCs w:val="18"/>
        </w:rPr>
        <w:t>Esta resolución refuerza un criterio consolidado del TEAC:</w:t>
      </w:r>
    </w:p>
    <w:p w14:paraId="37442FFC" w14:textId="77777777" w:rsidR="002A340C" w:rsidRPr="00BD2837" w:rsidRDefault="002A340C" w:rsidP="002A340C">
      <w:pPr>
        <w:spacing w:before="100" w:beforeAutospacing="1" w:after="100" w:afterAutospacing="1"/>
        <w:ind w:left="567" w:hanging="283"/>
        <w:jc w:val="both"/>
        <w:rPr>
          <w:rFonts w:ascii="Verdana" w:hAnsi="Verdana" w:cs="Times New Roman"/>
          <w:b/>
          <w:bCs/>
          <w:sz w:val="18"/>
          <w:szCs w:val="18"/>
        </w:rPr>
      </w:pPr>
      <w:r w:rsidRPr="00E42FDE">
        <w:rPr>
          <w:rFonts w:ascii="Segoe UI Emoji" w:hAnsi="Segoe UI Emoji" w:cs="Segoe UI Emoji"/>
          <w:sz w:val="18"/>
          <w:szCs w:val="18"/>
        </w:rPr>
        <w:t>✔️</w:t>
      </w:r>
      <w:r w:rsidRPr="00E42FDE">
        <w:rPr>
          <w:rFonts w:ascii="Verdana" w:hAnsi="Verdana" w:cs="Times New Roman"/>
          <w:sz w:val="18"/>
          <w:szCs w:val="18"/>
        </w:rPr>
        <w:t xml:space="preserve"> </w:t>
      </w:r>
      <w:r w:rsidRPr="00E42FDE">
        <w:rPr>
          <w:rFonts w:ascii="Verdana" w:hAnsi="Verdana" w:cs="Times New Roman"/>
          <w:b/>
          <w:bCs/>
          <w:sz w:val="18"/>
          <w:szCs w:val="18"/>
        </w:rPr>
        <w:t>Las provisiones por bonus e indemnizaciones solo son fiscalmente deducibles si existe una obligación cierta, exigible y debidamente documentada.</w:t>
      </w:r>
    </w:p>
    <w:p w14:paraId="4DF1B8B4" w14:textId="77777777" w:rsidR="002A340C" w:rsidRPr="00BD2837" w:rsidRDefault="002A340C" w:rsidP="002A340C">
      <w:pPr>
        <w:spacing w:before="100" w:beforeAutospacing="1" w:after="100" w:afterAutospacing="1"/>
        <w:ind w:left="567" w:hanging="283"/>
        <w:jc w:val="both"/>
        <w:rPr>
          <w:rFonts w:ascii="Verdana" w:hAnsi="Verdana" w:cs="Times New Roman"/>
          <w:b/>
          <w:bCs/>
          <w:sz w:val="18"/>
          <w:szCs w:val="18"/>
        </w:rPr>
      </w:pPr>
      <w:r w:rsidRPr="00E42FDE">
        <w:rPr>
          <w:rFonts w:ascii="Segoe UI Emoji" w:hAnsi="Segoe UI Emoji" w:cs="Segoe UI Emoji"/>
          <w:sz w:val="18"/>
          <w:szCs w:val="18"/>
        </w:rPr>
        <w:t>✔️</w:t>
      </w:r>
      <w:r w:rsidRPr="00E42FDE">
        <w:rPr>
          <w:rFonts w:ascii="Verdana" w:hAnsi="Verdana" w:cs="Times New Roman"/>
          <w:sz w:val="18"/>
          <w:szCs w:val="18"/>
        </w:rPr>
        <w:t xml:space="preserve"> </w:t>
      </w:r>
      <w:r w:rsidRPr="00E42FDE">
        <w:rPr>
          <w:rFonts w:ascii="Verdana" w:hAnsi="Verdana" w:cs="Times New Roman"/>
          <w:b/>
          <w:bCs/>
          <w:sz w:val="18"/>
          <w:szCs w:val="18"/>
        </w:rPr>
        <w:t>Las prácticas habituales, expectativas o compromisos condicionados a hechos futuros no generan gasto deducible.</w:t>
      </w:r>
    </w:p>
    <w:p w14:paraId="4D47A948" w14:textId="77777777" w:rsidR="002A340C" w:rsidRPr="00BD2837" w:rsidRDefault="002A340C" w:rsidP="002A340C">
      <w:pPr>
        <w:spacing w:before="100" w:beforeAutospacing="1" w:after="100" w:afterAutospacing="1"/>
        <w:ind w:left="567" w:hanging="283"/>
        <w:jc w:val="both"/>
        <w:rPr>
          <w:rFonts w:ascii="Verdana" w:hAnsi="Verdana" w:cs="Times New Roman"/>
          <w:b/>
          <w:bCs/>
          <w:sz w:val="18"/>
          <w:szCs w:val="18"/>
        </w:rPr>
      </w:pPr>
      <w:r w:rsidRPr="00E42FDE">
        <w:rPr>
          <w:rFonts w:ascii="Segoe UI Emoji" w:hAnsi="Segoe UI Emoji" w:cs="Segoe UI Emoji"/>
          <w:sz w:val="18"/>
          <w:szCs w:val="18"/>
        </w:rPr>
        <w:t>✔️</w:t>
      </w:r>
      <w:r w:rsidRPr="00E42FDE">
        <w:rPr>
          <w:rFonts w:ascii="Verdana" w:hAnsi="Verdana" w:cs="Times New Roman"/>
          <w:sz w:val="18"/>
          <w:szCs w:val="18"/>
        </w:rPr>
        <w:t xml:space="preserve"> </w:t>
      </w:r>
      <w:r w:rsidRPr="00E42FDE">
        <w:rPr>
          <w:rFonts w:ascii="Verdana" w:hAnsi="Verdana" w:cs="Times New Roman"/>
          <w:b/>
          <w:bCs/>
          <w:sz w:val="18"/>
          <w:szCs w:val="18"/>
        </w:rPr>
        <w:t>No cabe regularizar en ejercicios no prescritos provisiones contabilizadas en ejercicios ya prescritos únicamente por permanecer en el balance.</w:t>
      </w:r>
    </w:p>
    <w:p w14:paraId="51360B78" w14:textId="5B2B0B4E" w:rsidR="002A340C" w:rsidRPr="00550133" w:rsidRDefault="00550133" w:rsidP="00550133">
      <w:pPr>
        <w:spacing w:before="100" w:beforeAutospacing="1" w:after="100" w:afterAutospacing="1"/>
        <w:ind w:left="644" w:hanging="360"/>
        <w:jc w:val="both"/>
        <w:rPr>
          <w:rFonts w:ascii="Verdana" w:hAnsi="Verdana" w:cs="Times New Roman"/>
          <w:b/>
          <w:bCs/>
          <w:sz w:val="18"/>
          <w:szCs w:val="18"/>
        </w:rPr>
      </w:pPr>
      <w:r w:rsidRPr="00E42FDE">
        <w:rPr>
          <w:rFonts w:ascii="Segoe UI Emoji" w:hAnsi="Segoe UI Emoji" w:cs="Segoe UI Emoji"/>
          <w:sz w:val="18"/>
          <w:szCs w:val="18"/>
        </w:rPr>
        <w:t>✔️</w:t>
      </w:r>
      <w:r w:rsidRPr="00E42FDE">
        <w:rPr>
          <w:rFonts w:ascii="Verdana" w:hAnsi="Verdana" w:cs="Times New Roman"/>
          <w:sz w:val="18"/>
          <w:szCs w:val="18"/>
        </w:rPr>
        <w:t xml:space="preserve"> </w:t>
      </w:r>
      <w:r w:rsidR="002A340C" w:rsidRPr="00550133">
        <w:rPr>
          <w:rFonts w:ascii="Verdana" w:hAnsi="Verdana" w:cs="Open Sans"/>
          <w:b/>
          <w:bCs/>
          <w:color w:val="222222"/>
          <w:sz w:val="18"/>
          <w:szCs w:val="18"/>
          <w:shd w:val="clear" w:color="auto" w:fill="FFFFFF"/>
        </w:rPr>
        <w:t>La reversión contable de provisiones ya dotadas en ejercicios prescritos debe integrarse en la base imponible del IS en el ejercicio en que se realiza la reversión.</w:t>
      </w: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2A340C" w:rsidRPr="00D93B1C" w14:paraId="40D5D03D" w14:textId="77777777" w:rsidTr="00C65B71">
        <w:tc>
          <w:tcPr>
            <w:tcW w:w="180" w:type="dxa"/>
            <w:shd w:val="clear" w:color="auto" w:fill="FF6600"/>
          </w:tcPr>
          <w:p w14:paraId="1FB1D273" w14:textId="77777777" w:rsidR="002A340C" w:rsidRPr="00D93B1C" w:rsidRDefault="002A340C" w:rsidP="00C65B71">
            <w:pPr>
              <w:ind w:left="360"/>
              <w:rPr>
                <w:rFonts w:ascii="Verdana" w:hAnsi="Verdana"/>
                <w:b/>
                <w:bCs/>
                <w:color w:val="800000"/>
                <w:sz w:val="18"/>
                <w:szCs w:val="18"/>
              </w:rPr>
            </w:pPr>
            <w:bookmarkStart w:id="3" w:name="_Hlk220347546"/>
          </w:p>
        </w:tc>
        <w:tc>
          <w:tcPr>
            <w:tcW w:w="8460" w:type="dxa"/>
          </w:tcPr>
          <w:p w14:paraId="03E344DF" w14:textId="77777777" w:rsidR="002A340C" w:rsidRPr="00D93B1C" w:rsidRDefault="002A340C">
            <w:pPr>
              <w:numPr>
                <w:ilvl w:val="1"/>
                <w:numId w:val="3"/>
              </w:numPr>
              <w:ind w:left="389" w:hanging="283"/>
              <w:jc w:val="both"/>
              <w:rPr>
                <w:rFonts w:ascii="Verdana" w:hAnsi="Verdana"/>
                <w:b/>
                <w:bCs/>
                <w:color w:val="800000"/>
                <w:sz w:val="18"/>
                <w:szCs w:val="18"/>
              </w:rPr>
            </w:pPr>
            <w:r w:rsidRPr="00D93B1C">
              <w:rPr>
                <w:rFonts w:ascii="Verdana" w:hAnsi="Verdana" w:cs="Verdana"/>
                <w:b/>
                <w:bCs/>
                <w:color w:val="800000"/>
                <w:sz w:val="18"/>
                <w:szCs w:val="18"/>
              </w:rPr>
              <w:t xml:space="preserve">IS. REQUISITOS PARA APLICAR EL TIPO REDUCIDO DEL 15% EN ENTIDADES DE NUEVA CREACIÓN QUE REALIZAN LAS MISMAS ACTIVIDADES QUE SUS SOCIOS O ENTIDADES VINCULADAS A </w:t>
            </w:r>
            <w:r>
              <w:rPr>
                <w:rFonts w:ascii="Verdana" w:hAnsi="Verdana" w:cs="Verdana"/>
                <w:b/>
                <w:bCs/>
                <w:color w:val="800000"/>
                <w:sz w:val="18"/>
                <w:szCs w:val="18"/>
              </w:rPr>
              <w:t>LOS MISMOS</w:t>
            </w:r>
          </w:p>
        </w:tc>
      </w:tr>
    </w:tbl>
    <w:bookmarkEnd w:id="3"/>
    <w:p w14:paraId="65A29AF6" w14:textId="77777777" w:rsidR="002A340C" w:rsidRPr="00D93B1C" w:rsidRDefault="002A340C" w:rsidP="002A340C">
      <w:pPr>
        <w:spacing w:before="100" w:beforeAutospacing="1" w:after="100" w:afterAutospacing="1"/>
        <w:ind w:left="284"/>
        <w:jc w:val="both"/>
        <w:rPr>
          <w:rFonts w:ascii="Verdana" w:hAnsi="Verdana" w:cs="Times New Roman"/>
          <w:sz w:val="18"/>
          <w:szCs w:val="18"/>
        </w:rPr>
      </w:pPr>
      <w:r w:rsidRPr="00D93B1C">
        <w:rPr>
          <w:rFonts w:ascii="Verdana" w:hAnsi="Verdana" w:cs="Times New Roman"/>
          <w:sz w:val="18"/>
          <w:szCs w:val="18"/>
        </w:rPr>
        <w:t xml:space="preserve">La Dirección General de Tributos, en su resolución vinculante </w:t>
      </w:r>
      <w:r w:rsidRPr="00D93B1C">
        <w:rPr>
          <w:rFonts w:ascii="Verdana" w:hAnsi="Verdana" w:cs="Times New Roman"/>
          <w:b/>
          <w:bCs/>
          <w:sz w:val="18"/>
          <w:szCs w:val="18"/>
        </w:rPr>
        <w:t>V1627-25 (15-09-2025)</w:t>
      </w:r>
      <w:r w:rsidRPr="00D93B1C">
        <w:rPr>
          <w:rFonts w:ascii="Verdana" w:hAnsi="Verdana" w:cs="Times New Roman"/>
          <w:sz w:val="18"/>
          <w:szCs w:val="18"/>
        </w:rPr>
        <w:t xml:space="preserve">, aclara los requisitos para aplicar el tipo reducido del </w:t>
      </w:r>
      <w:r w:rsidRPr="00D93B1C">
        <w:rPr>
          <w:rFonts w:ascii="Verdana" w:hAnsi="Verdana" w:cs="Times New Roman"/>
          <w:b/>
          <w:bCs/>
          <w:sz w:val="18"/>
          <w:szCs w:val="18"/>
        </w:rPr>
        <w:t>15 % en el Impuesto sobre Sociedades</w:t>
      </w:r>
      <w:r w:rsidRPr="00D93B1C">
        <w:rPr>
          <w:rFonts w:ascii="Verdana" w:hAnsi="Verdana" w:cs="Times New Roman"/>
          <w:sz w:val="18"/>
          <w:szCs w:val="18"/>
        </w:rPr>
        <w:t xml:space="preserve"> a entidades de nueva creación que desarrollan actividades coincidentes con las de sus socios u otras entidades vinculadas.</w:t>
      </w:r>
    </w:p>
    <w:p w14:paraId="2A1FB14D" w14:textId="77777777" w:rsidR="002A340C" w:rsidRPr="00D93B1C" w:rsidRDefault="002A340C" w:rsidP="002A340C">
      <w:pPr>
        <w:spacing w:before="100" w:beforeAutospacing="1" w:after="100" w:afterAutospacing="1"/>
        <w:ind w:left="284"/>
        <w:jc w:val="both"/>
        <w:rPr>
          <w:rFonts w:ascii="Verdana" w:hAnsi="Verdana" w:cs="Times New Roman"/>
          <w:sz w:val="18"/>
          <w:szCs w:val="18"/>
        </w:rPr>
      </w:pPr>
      <w:r w:rsidRPr="00D93B1C">
        <w:rPr>
          <w:rFonts w:ascii="Verdana" w:hAnsi="Verdana" w:cs="Times New Roman"/>
          <w:sz w:val="18"/>
          <w:szCs w:val="18"/>
        </w:rPr>
        <w:t xml:space="preserve">La DGT concluye que </w:t>
      </w:r>
      <w:r w:rsidRPr="00D93B1C">
        <w:rPr>
          <w:rFonts w:ascii="Verdana" w:hAnsi="Verdana" w:cs="Times New Roman"/>
          <w:b/>
          <w:bCs/>
          <w:sz w:val="18"/>
          <w:szCs w:val="18"/>
        </w:rPr>
        <w:t>la mera coincidencia de actividad no impide la aplicación del tipo reducido</w:t>
      </w:r>
      <w:r w:rsidRPr="00D93B1C">
        <w:rPr>
          <w:rFonts w:ascii="Verdana" w:hAnsi="Verdana" w:cs="Times New Roman"/>
          <w:sz w:val="18"/>
          <w:szCs w:val="18"/>
        </w:rPr>
        <w:t xml:space="preserve">, siempre que </w:t>
      </w:r>
      <w:r w:rsidRPr="00D93B1C">
        <w:rPr>
          <w:rFonts w:ascii="Verdana" w:hAnsi="Verdana" w:cs="Times New Roman"/>
          <w:b/>
          <w:bCs/>
          <w:sz w:val="18"/>
          <w:szCs w:val="18"/>
        </w:rPr>
        <w:t>no exista transmisión jurídica previa del negocio o de los activos afectos</w:t>
      </w:r>
      <w:r w:rsidRPr="00D93B1C">
        <w:rPr>
          <w:rFonts w:ascii="Verdana" w:hAnsi="Verdana" w:cs="Times New Roman"/>
          <w:sz w:val="18"/>
          <w:szCs w:val="18"/>
        </w:rPr>
        <w:t xml:space="preserve"> desde personas o entidades vinculadas a la nueva sociedad.</w:t>
      </w:r>
    </w:p>
    <w:p w14:paraId="1CE199F6" w14:textId="77777777" w:rsidR="002A340C" w:rsidRPr="00D93B1C" w:rsidRDefault="002A340C" w:rsidP="002A340C">
      <w:pPr>
        <w:spacing w:before="100" w:beforeAutospacing="1" w:after="100" w:afterAutospacing="1"/>
        <w:ind w:left="284"/>
        <w:jc w:val="both"/>
        <w:rPr>
          <w:rFonts w:ascii="Verdana" w:hAnsi="Verdana" w:cs="Times New Roman"/>
          <w:sz w:val="18"/>
          <w:szCs w:val="18"/>
        </w:rPr>
      </w:pPr>
      <w:r w:rsidRPr="00D93B1C">
        <w:rPr>
          <w:rFonts w:ascii="Verdana" w:hAnsi="Verdana" w:cs="Times New Roman"/>
          <w:sz w:val="18"/>
          <w:szCs w:val="18"/>
        </w:rPr>
        <w:t>En particular, la resolución precisa que:</w:t>
      </w:r>
    </w:p>
    <w:p w14:paraId="15DC34AE" w14:textId="77777777" w:rsidR="002A340C" w:rsidRPr="00062B4D" w:rsidRDefault="002A340C">
      <w:pPr>
        <w:numPr>
          <w:ilvl w:val="0"/>
          <w:numId w:val="6"/>
        </w:numPr>
        <w:spacing w:before="100" w:beforeAutospacing="1" w:after="100" w:afterAutospacing="1"/>
        <w:ind w:left="567" w:hanging="283"/>
        <w:jc w:val="both"/>
        <w:rPr>
          <w:rFonts w:ascii="Verdana" w:hAnsi="Verdana" w:cs="Times New Roman"/>
          <w:sz w:val="18"/>
          <w:szCs w:val="18"/>
        </w:rPr>
      </w:pPr>
      <w:r w:rsidRPr="00D93B1C">
        <w:rPr>
          <w:rFonts w:ascii="Verdana" w:hAnsi="Verdana" w:cs="Times New Roman"/>
          <w:sz w:val="18"/>
          <w:szCs w:val="18"/>
        </w:rPr>
        <w:t xml:space="preserve">La exclusión por continuidad de actividad solo opera si, además de la vinculación, </w:t>
      </w:r>
      <w:r w:rsidRPr="00D93B1C">
        <w:rPr>
          <w:rFonts w:ascii="Verdana" w:hAnsi="Verdana" w:cs="Times New Roman"/>
          <w:b/>
          <w:bCs/>
          <w:sz w:val="18"/>
          <w:szCs w:val="18"/>
        </w:rPr>
        <w:t>ha existido una transmisión jurídica efectiva</w:t>
      </w:r>
      <w:r w:rsidRPr="00D93B1C">
        <w:rPr>
          <w:rFonts w:ascii="Verdana" w:hAnsi="Verdana" w:cs="Times New Roman"/>
          <w:sz w:val="18"/>
          <w:szCs w:val="18"/>
        </w:rPr>
        <w:t xml:space="preserve"> de la actividad.</w:t>
      </w:r>
    </w:p>
    <w:p w14:paraId="3BDDC789" w14:textId="77777777" w:rsidR="002A340C" w:rsidRPr="00D93B1C" w:rsidRDefault="002A340C">
      <w:pPr>
        <w:numPr>
          <w:ilvl w:val="0"/>
          <w:numId w:val="6"/>
        </w:numPr>
        <w:spacing w:before="100" w:beforeAutospacing="1" w:after="100" w:afterAutospacing="1"/>
        <w:ind w:left="567" w:hanging="283"/>
        <w:jc w:val="both"/>
        <w:rPr>
          <w:rFonts w:ascii="Verdana" w:hAnsi="Verdana" w:cs="Times New Roman"/>
          <w:sz w:val="18"/>
          <w:szCs w:val="18"/>
        </w:rPr>
      </w:pPr>
      <w:r w:rsidRPr="00D93B1C">
        <w:rPr>
          <w:rFonts w:ascii="Verdana" w:hAnsi="Verdana" w:cs="Times New Roman"/>
          <w:sz w:val="18"/>
          <w:szCs w:val="18"/>
        </w:rPr>
        <w:lastRenderedPageBreak/>
        <w:t xml:space="preserve">La exclusión relativa a personas físicas que ejercían la actividad en el año anterior </w:t>
      </w:r>
      <w:r w:rsidRPr="00D93B1C">
        <w:rPr>
          <w:rFonts w:ascii="Verdana" w:hAnsi="Verdana" w:cs="Times New Roman"/>
          <w:b/>
          <w:bCs/>
          <w:sz w:val="18"/>
          <w:szCs w:val="18"/>
        </w:rPr>
        <w:t>solo se aplica cuando un socio, de forma individual</w:t>
      </w:r>
      <w:r w:rsidRPr="00D93B1C">
        <w:rPr>
          <w:rFonts w:ascii="Verdana" w:hAnsi="Verdana" w:cs="Times New Roman"/>
          <w:sz w:val="18"/>
          <w:szCs w:val="18"/>
        </w:rPr>
        <w:t xml:space="preserve">, ostenta </w:t>
      </w:r>
      <w:r w:rsidRPr="00D93B1C">
        <w:rPr>
          <w:rFonts w:ascii="Verdana" w:hAnsi="Verdana" w:cs="Times New Roman"/>
          <w:b/>
          <w:bCs/>
          <w:sz w:val="18"/>
          <w:szCs w:val="18"/>
        </w:rPr>
        <w:t>más del 50 % del capital</w:t>
      </w:r>
      <w:r w:rsidRPr="00D93B1C">
        <w:rPr>
          <w:rFonts w:ascii="Verdana" w:hAnsi="Verdana" w:cs="Times New Roman"/>
          <w:sz w:val="18"/>
          <w:szCs w:val="18"/>
        </w:rPr>
        <w:t xml:space="preserve"> de la nueva entidad.</w:t>
      </w:r>
    </w:p>
    <w:p w14:paraId="463CA1D2" w14:textId="77777777" w:rsidR="002A340C" w:rsidRPr="00D93B1C" w:rsidRDefault="002A340C">
      <w:pPr>
        <w:numPr>
          <w:ilvl w:val="0"/>
          <w:numId w:val="6"/>
        </w:numPr>
        <w:spacing w:before="100" w:beforeAutospacing="1" w:after="100" w:afterAutospacing="1"/>
        <w:ind w:left="567" w:hanging="283"/>
        <w:jc w:val="both"/>
        <w:rPr>
          <w:rFonts w:ascii="Verdana" w:hAnsi="Verdana" w:cs="Times New Roman"/>
          <w:sz w:val="18"/>
          <w:szCs w:val="18"/>
        </w:rPr>
      </w:pPr>
      <w:r w:rsidRPr="00D93B1C">
        <w:rPr>
          <w:rFonts w:ascii="Verdana" w:hAnsi="Verdana" w:cs="Times New Roman"/>
          <w:sz w:val="18"/>
          <w:szCs w:val="18"/>
        </w:rPr>
        <w:t xml:space="preserve">La coincidencia de socios personas físicas </w:t>
      </w:r>
      <w:r w:rsidRPr="00D93B1C">
        <w:rPr>
          <w:rFonts w:ascii="Verdana" w:hAnsi="Verdana" w:cs="Times New Roman"/>
          <w:b/>
          <w:bCs/>
          <w:sz w:val="18"/>
          <w:szCs w:val="18"/>
        </w:rPr>
        <w:t>no determina por sí sola</w:t>
      </w:r>
      <w:r w:rsidRPr="00D93B1C">
        <w:rPr>
          <w:rFonts w:ascii="Verdana" w:hAnsi="Verdana" w:cs="Times New Roman"/>
          <w:sz w:val="18"/>
          <w:szCs w:val="18"/>
        </w:rPr>
        <w:t xml:space="preserve"> la existencia de un grupo mercantil; es necesaria una </w:t>
      </w:r>
      <w:r w:rsidRPr="00D93B1C">
        <w:rPr>
          <w:rFonts w:ascii="Verdana" w:hAnsi="Verdana" w:cs="Times New Roman"/>
          <w:b/>
          <w:bCs/>
          <w:sz w:val="18"/>
          <w:szCs w:val="18"/>
        </w:rPr>
        <w:t>relación de control</w:t>
      </w:r>
      <w:r w:rsidRPr="00D93B1C">
        <w:rPr>
          <w:rFonts w:ascii="Verdana" w:hAnsi="Verdana" w:cs="Times New Roman"/>
          <w:sz w:val="18"/>
          <w:szCs w:val="18"/>
        </w:rPr>
        <w:t xml:space="preserve"> conforme al artículo 42 del Código de Comercio.</w:t>
      </w:r>
    </w:p>
    <w:p w14:paraId="1F18C0F8" w14:textId="77777777" w:rsidR="002A340C" w:rsidRPr="00D93B1C" w:rsidRDefault="002A340C">
      <w:pPr>
        <w:numPr>
          <w:ilvl w:val="0"/>
          <w:numId w:val="6"/>
        </w:numPr>
        <w:spacing w:before="100" w:beforeAutospacing="1" w:after="100" w:afterAutospacing="1"/>
        <w:ind w:left="567" w:hanging="283"/>
        <w:jc w:val="both"/>
        <w:rPr>
          <w:rFonts w:ascii="Verdana" w:hAnsi="Verdana" w:cs="Times New Roman"/>
          <w:sz w:val="18"/>
          <w:szCs w:val="18"/>
        </w:rPr>
      </w:pPr>
      <w:r w:rsidRPr="00D93B1C">
        <w:rPr>
          <w:rFonts w:ascii="Verdana" w:hAnsi="Verdana" w:cs="Times New Roman"/>
          <w:sz w:val="18"/>
          <w:szCs w:val="18"/>
        </w:rPr>
        <w:t xml:space="preserve">El tipo reducido no resulta aplicable a </w:t>
      </w:r>
      <w:r w:rsidRPr="00D93B1C">
        <w:rPr>
          <w:rFonts w:ascii="Verdana" w:hAnsi="Verdana" w:cs="Times New Roman"/>
          <w:b/>
          <w:bCs/>
          <w:sz w:val="18"/>
          <w:szCs w:val="18"/>
        </w:rPr>
        <w:t>entidades patrimoniales</w:t>
      </w:r>
      <w:r w:rsidRPr="00D93B1C">
        <w:rPr>
          <w:rFonts w:ascii="Verdana" w:hAnsi="Verdana" w:cs="Times New Roman"/>
          <w:sz w:val="18"/>
          <w:szCs w:val="18"/>
        </w:rPr>
        <w:t xml:space="preserve">, debiendo el contribuyente acreditar que desarrolla una </w:t>
      </w:r>
      <w:r w:rsidRPr="00D93B1C">
        <w:rPr>
          <w:rFonts w:ascii="Verdana" w:hAnsi="Verdana" w:cs="Times New Roman"/>
          <w:b/>
          <w:bCs/>
          <w:sz w:val="18"/>
          <w:szCs w:val="18"/>
        </w:rPr>
        <w:t>actividad económica real</w:t>
      </w:r>
      <w:r w:rsidRPr="00D93B1C">
        <w:rPr>
          <w:rFonts w:ascii="Verdana" w:hAnsi="Verdana" w:cs="Times New Roman"/>
          <w:sz w:val="18"/>
          <w:szCs w:val="18"/>
        </w:rPr>
        <w:t xml:space="preserve"> y que sus activos están afectos a ella.</w:t>
      </w:r>
    </w:p>
    <w:p w14:paraId="13AFAF1B" w14:textId="77777777" w:rsidR="002A340C" w:rsidRDefault="002A340C" w:rsidP="002A340C">
      <w:pPr>
        <w:pStyle w:val="Prrafodelista"/>
        <w:tabs>
          <w:tab w:val="left" w:pos="284"/>
        </w:tabs>
        <w:ind w:left="284"/>
        <w:jc w:val="both"/>
        <w:rPr>
          <w:rFonts w:ascii="Verdana" w:hAnsi="Verdana" w:cs="Verdana"/>
          <w:b/>
          <w:bCs/>
          <w:i/>
          <w:iCs/>
          <w:color w:val="800000"/>
          <w:sz w:val="18"/>
          <w:szCs w:val="18"/>
        </w:rPr>
      </w:pPr>
      <w:r w:rsidRPr="00D93B1C">
        <w:rPr>
          <w:rFonts w:ascii="Verdana" w:hAnsi="Verdana" w:cs="Times New Roman"/>
          <w:sz w:val="18"/>
          <w:szCs w:val="18"/>
        </w:rPr>
        <w:t xml:space="preserve">Esta doctrina resulta especialmente relevante en sectores donde es habitual estructurar la actividad mediante sociedades independientes con un mismo núcleo inversor (inmobiliario, energías renovables, infraestructuras, retail, empresas familiares o startups). En estos casos, </w:t>
      </w:r>
      <w:r w:rsidRPr="00F14369">
        <w:rPr>
          <w:rFonts w:ascii="Verdana" w:hAnsi="Verdana" w:cs="Times New Roman"/>
          <w:b/>
          <w:bCs/>
          <w:sz w:val="18"/>
          <w:szCs w:val="18"/>
        </w:rPr>
        <w:t>la</w:t>
      </w:r>
      <w:r w:rsidRPr="00D93B1C">
        <w:rPr>
          <w:rFonts w:ascii="Verdana" w:hAnsi="Verdana" w:cs="Times New Roman"/>
          <w:sz w:val="18"/>
          <w:szCs w:val="18"/>
        </w:rPr>
        <w:t xml:space="preserve"> </w:t>
      </w:r>
      <w:r w:rsidRPr="00D93B1C">
        <w:rPr>
          <w:rFonts w:ascii="Verdana" w:hAnsi="Verdana" w:cs="Times New Roman"/>
          <w:b/>
          <w:bCs/>
          <w:sz w:val="18"/>
          <w:szCs w:val="18"/>
        </w:rPr>
        <w:t>correcta delimitación jurídica de las actividades</w:t>
      </w:r>
      <w:r w:rsidRPr="00D93B1C">
        <w:rPr>
          <w:rFonts w:ascii="Verdana" w:hAnsi="Verdana" w:cs="Times New Roman"/>
          <w:sz w:val="18"/>
          <w:szCs w:val="18"/>
        </w:rPr>
        <w:t xml:space="preserve">, </w:t>
      </w:r>
      <w:r w:rsidRPr="00F14369">
        <w:rPr>
          <w:rFonts w:ascii="Verdana" w:hAnsi="Verdana" w:cs="Times New Roman"/>
          <w:b/>
          <w:bCs/>
          <w:sz w:val="18"/>
          <w:szCs w:val="18"/>
        </w:rPr>
        <w:t>la</w:t>
      </w:r>
      <w:r w:rsidRPr="00D93B1C">
        <w:rPr>
          <w:rFonts w:ascii="Verdana" w:hAnsi="Verdana" w:cs="Times New Roman"/>
          <w:sz w:val="18"/>
          <w:szCs w:val="18"/>
        </w:rPr>
        <w:t xml:space="preserve"> </w:t>
      </w:r>
      <w:r w:rsidRPr="00D93B1C">
        <w:rPr>
          <w:rFonts w:ascii="Verdana" w:hAnsi="Verdana" w:cs="Times New Roman"/>
          <w:b/>
          <w:bCs/>
          <w:sz w:val="18"/>
          <w:szCs w:val="18"/>
        </w:rPr>
        <w:t>ausencia de transmisión formal</w:t>
      </w:r>
      <w:r w:rsidRPr="00D93B1C">
        <w:rPr>
          <w:rFonts w:ascii="Verdana" w:hAnsi="Verdana" w:cs="Times New Roman"/>
          <w:sz w:val="18"/>
          <w:szCs w:val="18"/>
        </w:rPr>
        <w:t xml:space="preserve"> y la </w:t>
      </w:r>
      <w:r w:rsidRPr="00D93B1C">
        <w:rPr>
          <w:rFonts w:ascii="Verdana" w:hAnsi="Verdana" w:cs="Times New Roman"/>
          <w:b/>
          <w:bCs/>
          <w:sz w:val="18"/>
          <w:szCs w:val="18"/>
        </w:rPr>
        <w:t>adecuada acreditación de la actividad económica</w:t>
      </w:r>
      <w:r w:rsidRPr="00D93B1C">
        <w:rPr>
          <w:rFonts w:ascii="Verdana" w:hAnsi="Verdana" w:cs="Times New Roman"/>
          <w:sz w:val="18"/>
          <w:szCs w:val="18"/>
        </w:rPr>
        <w:t xml:space="preserve"> son elementos clave para sostener la aplicación del tipo reducido del 15 %.</w:t>
      </w:r>
    </w:p>
    <w:p w14:paraId="627E2227" w14:textId="77777777" w:rsidR="005446F3" w:rsidRDefault="005446F3" w:rsidP="004C5A95">
      <w:pPr>
        <w:pStyle w:val="Prrafodelista"/>
        <w:tabs>
          <w:tab w:val="left" w:pos="284"/>
        </w:tabs>
        <w:ind w:left="284"/>
        <w:jc w:val="both"/>
        <w:rPr>
          <w:rFonts w:ascii="Verdana" w:hAnsi="Verdana" w:cs="Verdana"/>
          <w:b/>
          <w:bCs/>
          <w:i/>
          <w:iCs/>
          <w:color w:val="800000"/>
          <w:sz w:val="18"/>
          <w:szCs w:val="18"/>
        </w:rPr>
      </w:pPr>
    </w:p>
    <w:p w14:paraId="3C8211E1" w14:textId="77777777" w:rsidR="002A340C" w:rsidRDefault="002A340C" w:rsidP="004C5A95">
      <w:pPr>
        <w:pStyle w:val="Prrafodelista"/>
        <w:tabs>
          <w:tab w:val="left" w:pos="284"/>
        </w:tabs>
        <w:ind w:left="284"/>
        <w:jc w:val="both"/>
        <w:rPr>
          <w:rFonts w:ascii="Verdana" w:hAnsi="Verdana" w:cs="Verdana"/>
          <w:b/>
          <w:bCs/>
          <w:i/>
          <w:i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2A340C" w:rsidRPr="009A1B50" w14:paraId="79599D6E" w14:textId="77777777" w:rsidTr="00C65B71">
        <w:tc>
          <w:tcPr>
            <w:tcW w:w="180" w:type="dxa"/>
            <w:shd w:val="clear" w:color="auto" w:fill="FF6600"/>
          </w:tcPr>
          <w:p w14:paraId="5F83C875" w14:textId="77777777" w:rsidR="002A340C" w:rsidRPr="009A1B50" w:rsidRDefault="002A340C" w:rsidP="00C65B71">
            <w:pPr>
              <w:ind w:left="360"/>
              <w:rPr>
                <w:rFonts w:ascii="Verdana" w:hAnsi="Verdana"/>
                <w:b/>
                <w:bCs/>
                <w:color w:val="800000"/>
                <w:sz w:val="18"/>
                <w:szCs w:val="18"/>
              </w:rPr>
            </w:pPr>
            <w:bookmarkStart w:id="4" w:name="_Hlk220325424"/>
          </w:p>
        </w:tc>
        <w:tc>
          <w:tcPr>
            <w:tcW w:w="8460" w:type="dxa"/>
          </w:tcPr>
          <w:p w14:paraId="5DAE0DF0" w14:textId="77777777" w:rsidR="002A340C" w:rsidRPr="009A1B50" w:rsidRDefault="002A340C">
            <w:pPr>
              <w:numPr>
                <w:ilvl w:val="1"/>
                <w:numId w:val="3"/>
              </w:numPr>
              <w:ind w:left="389" w:hanging="283"/>
              <w:jc w:val="both"/>
              <w:rPr>
                <w:rFonts w:ascii="Verdana" w:hAnsi="Verdana"/>
                <w:b/>
                <w:bCs/>
                <w:color w:val="800000"/>
                <w:sz w:val="18"/>
                <w:szCs w:val="18"/>
              </w:rPr>
            </w:pPr>
            <w:r w:rsidRPr="009A1B50">
              <w:rPr>
                <w:rFonts w:ascii="Verdana" w:hAnsi="Verdana" w:cs="Verdana"/>
                <w:b/>
                <w:bCs/>
                <w:color w:val="800000"/>
                <w:sz w:val="18"/>
                <w:szCs w:val="18"/>
              </w:rPr>
              <w:t>IRPF. SE EXIGE UNA TRIPLE PRUEBA PARA DESVIRTUAR UNA GANANCIA PATRIMONIAL NO JUSTIFICADA</w:t>
            </w:r>
            <w:r w:rsidRPr="009A1B50">
              <w:rPr>
                <w:rFonts w:ascii="Verdana" w:hAnsi="Verdana"/>
                <w:b/>
                <w:bCs/>
                <w:color w:val="800000"/>
                <w:sz w:val="18"/>
                <w:szCs w:val="18"/>
              </w:rPr>
              <w:t xml:space="preserve"> </w:t>
            </w:r>
          </w:p>
        </w:tc>
      </w:tr>
    </w:tbl>
    <w:bookmarkEnd w:id="4"/>
    <w:p w14:paraId="7DF97EB7" w14:textId="77777777" w:rsidR="002A340C" w:rsidRPr="00C42284" w:rsidRDefault="002A340C" w:rsidP="002A340C">
      <w:pPr>
        <w:spacing w:before="100" w:beforeAutospacing="1" w:after="100" w:afterAutospacing="1"/>
        <w:ind w:left="284"/>
        <w:jc w:val="both"/>
        <w:rPr>
          <w:rFonts w:ascii="Verdana" w:hAnsi="Verdana" w:cs="Times New Roman"/>
          <w:sz w:val="18"/>
          <w:szCs w:val="18"/>
        </w:rPr>
      </w:pPr>
      <w:r w:rsidRPr="00C42284">
        <w:rPr>
          <w:rFonts w:ascii="Verdana" w:hAnsi="Verdana" w:cs="Times New Roman"/>
          <w:sz w:val="18"/>
          <w:szCs w:val="18"/>
        </w:rPr>
        <w:t xml:space="preserve">El </w:t>
      </w:r>
      <w:r w:rsidRPr="00C42284">
        <w:rPr>
          <w:rFonts w:ascii="Verdana" w:hAnsi="Verdana" w:cs="Times New Roman"/>
          <w:b/>
          <w:bCs/>
          <w:sz w:val="18"/>
          <w:szCs w:val="18"/>
        </w:rPr>
        <w:t>Tribunal Supremo</w:t>
      </w:r>
      <w:r w:rsidRPr="00C42284">
        <w:rPr>
          <w:rFonts w:ascii="Verdana" w:hAnsi="Verdana" w:cs="Times New Roman"/>
          <w:sz w:val="18"/>
          <w:szCs w:val="18"/>
        </w:rPr>
        <w:t>, en sus sentencias de 27 de noviembre de 2025 (rec. núm. 5514/2023 y 2028/2023), fija criterios de especial relevancia práctica para la defensa frente a regularizaciones por ganancias patrimoniales no justificadas en el IRPF.</w:t>
      </w:r>
    </w:p>
    <w:p w14:paraId="677F3920" w14:textId="77777777" w:rsidR="002A340C" w:rsidRPr="00C42284" w:rsidRDefault="002A340C" w:rsidP="002A340C">
      <w:pPr>
        <w:spacing w:before="100" w:beforeAutospacing="1" w:after="100" w:afterAutospacing="1"/>
        <w:ind w:left="284"/>
        <w:jc w:val="both"/>
        <w:rPr>
          <w:rFonts w:ascii="Verdana" w:hAnsi="Verdana" w:cs="Times New Roman"/>
          <w:sz w:val="18"/>
          <w:szCs w:val="18"/>
        </w:rPr>
      </w:pPr>
      <w:r w:rsidRPr="00C42284">
        <w:rPr>
          <w:rFonts w:ascii="Verdana" w:hAnsi="Verdana" w:cs="Times New Roman"/>
          <w:sz w:val="18"/>
          <w:szCs w:val="18"/>
        </w:rPr>
        <w:t xml:space="preserve">La principal conclusión es que </w:t>
      </w:r>
      <w:r w:rsidRPr="00C42284">
        <w:rPr>
          <w:rFonts w:ascii="Verdana" w:hAnsi="Verdana" w:cs="Times New Roman"/>
          <w:b/>
          <w:bCs/>
          <w:sz w:val="18"/>
          <w:szCs w:val="18"/>
        </w:rPr>
        <w:t>no basta con identificar el origen económico de los fondos</w:t>
      </w:r>
      <w:r w:rsidRPr="00C42284">
        <w:rPr>
          <w:rFonts w:ascii="Verdana" w:hAnsi="Verdana" w:cs="Times New Roman"/>
          <w:sz w:val="18"/>
          <w:szCs w:val="18"/>
        </w:rPr>
        <w:t xml:space="preserve">. Para desvirtuar la presunción del artículo 39 LIRPF, el contribuyente debe aportar una </w:t>
      </w:r>
      <w:r w:rsidRPr="00C42284">
        <w:rPr>
          <w:rFonts w:ascii="Verdana" w:hAnsi="Verdana" w:cs="Times New Roman"/>
          <w:b/>
          <w:bCs/>
          <w:sz w:val="18"/>
          <w:szCs w:val="18"/>
        </w:rPr>
        <w:t>prueba completa y coherente</w:t>
      </w:r>
      <w:r w:rsidRPr="00C42284">
        <w:rPr>
          <w:rFonts w:ascii="Verdana" w:hAnsi="Verdana" w:cs="Times New Roman"/>
          <w:sz w:val="18"/>
          <w:szCs w:val="18"/>
        </w:rPr>
        <w:t xml:space="preserve"> de los siguientes extremos:</w:t>
      </w:r>
    </w:p>
    <w:p w14:paraId="16BF6A34" w14:textId="77777777" w:rsidR="002A340C" w:rsidRPr="00C42284" w:rsidRDefault="002A340C">
      <w:pPr>
        <w:numPr>
          <w:ilvl w:val="0"/>
          <w:numId w:val="5"/>
        </w:numPr>
        <w:spacing w:before="100" w:beforeAutospacing="1" w:after="100" w:afterAutospacing="1"/>
        <w:ind w:left="284" w:firstLine="0"/>
        <w:jc w:val="both"/>
        <w:rPr>
          <w:rFonts w:ascii="Verdana" w:hAnsi="Verdana" w:cs="Times New Roman"/>
          <w:sz w:val="18"/>
          <w:szCs w:val="18"/>
        </w:rPr>
      </w:pPr>
      <w:r w:rsidRPr="00C42284">
        <w:rPr>
          <w:rFonts w:ascii="Verdana" w:hAnsi="Verdana" w:cs="Times New Roman"/>
          <w:b/>
          <w:bCs/>
          <w:sz w:val="18"/>
          <w:szCs w:val="18"/>
        </w:rPr>
        <w:t>Origen objetivo</w:t>
      </w:r>
      <w:r w:rsidRPr="00C42284">
        <w:rPr>
          <w:rFonts w:ascii="Verdana" w:hAnsi="Verdana" w:cs="Times New Roman"/>
          <w:sz w:val="18"/>
          <w:szCs w:val="18"/>
        </w:rPr>
        <w:t>: cómo se transmiten los fondos o bienes (transferencia, ingreso en efectivo, etc.).</w:t>
      </w:r>
    </w:p>
    <w:p w14:paraId="4859FDBE" w14:textId="77777777" w:rsidR="002A340C" w:rsidRPr="00C42284" w:rsidRDefault="002A340C">
      <w:pPr>
        <w:numPr>
          <w:ilvl w:val="0"/>
          <w:numId w:val="5"/>
        </w:numPr>
        <w:spacing w:before="100" w:beforeAutospacing="1" w:after="100" w:afterAutospacing="1"/>
        <w:ind w:left="284" w:firstLine="0"/>
        <w:jc w:val="both"/>
        <w:rPr>
          <w:rFonts w:ascii="Verdana" w:hAnsi="Verdana" w:cs="Times New Roman"/>
          <w:sz w:val="18"/>
          <w:szCs w:val="18"/>
        </w:rPr>
      </w:pPr>
      <w:r w:rsidRPr="00C42284">
        <w:rPr>
          <w:rFonts w:ascii="Verdana" w:hAnsi="Verdana" w:cs="Times New Roman"/>
          <w:b/>
          <w:bCs/>
          <w:sz w:val="18"/>
          <w:szCs w:val="18"/>
        </w:rPr>
        <w:t>Origen subjetivo</w:t>
      </w:r>
      <w:r w:rsidRPr="00C42284">
        <w:rPr>
          <w:rFonts w:ascii="Verdana" w:hAnsi="Verdana" w:cs="Times New Roman"/>
          <w:sz w:val="18"/>
          <w:szCs w:val="18"/>
        </w:rPr>
        <w:t>: quién realiza la transmisión.</w:t>
      </w:r>
    </w:p>
    <w:p w14:paraId="3F684C59" w14:textId="77777777" w:rsidR="002A340C" w:rsidRPr="00C42284" w:rsidRDefault="002A340C">
      <w:pPr>
        <w:numPr>
          <w:ilvl w:val="0"/>
          <w:numId w:val="5"/>
        </w:numPr>
        <w:spacing w:before="100" w:beforeAutospacing="1" w:after="100" w:afterAutospacing="1"/>
        <w:ind w:left="284" w:firstLine="0"/>
        <w:jc w:val="both"/>
        <w:rPr>
          <w:rFonts w:ascii="Verdana" w:hAnsi="Verdana" w:cs="Times New Roman"/>
          <w:sz w:val="18"/>
          <w:szCs w:val="18"/>
        </w:rPr>
      </w:pPr>
      <w:r w:rsidRPr="00C42284">
        <w:rPr>
          <w:rFonts w:ascii="Verdana" w:hAnsi="Verdana" w:cs="Times New Roman"/>
          <w:b/>
          <w:bCs/>
          <w:sz w:val="18"/>
          <w:szCs w:val="18"/>
        </w:rPr>
        <w:t>Causa jurídica</w:t>
      </w:r>
      <w:r w:rsidRPr="00C42284">
        <w:rPr>
          <w:rFonts w:ascii="Verdana" w:hAnsi="Verdana" w:cs="Times New Roman"/>
          <w:sz w:val="18"/>
          <w:szCs w:val="18"/>
        </w:rPr>
        <w:t>: cuál es el negocio jurídico que justifica la alteración patrimonial (donación, préstamo, crédito, herencia, etc.).</w:t>
      </w:r>
    </w:p>
    <w:p w14:paraId="1F45C282" w14:textId="77777777" w:rsidR="002A340C" w:rsidRPr="00C42284" w:rsidRDefault="002A340C" w:rsidP="002A340C">
      <w:pPr>
        <w:spacing w:before="100" w:beforeAutospacing="1" w:after="100" w:afterAutospacing="1"/>
        <w:ind w:left="284"/>
        <w:jc w:val="both"/>
        <w:rPr>
          <w:rFonts w:ascii="Verdana" w:hAnsi="Verdana" w:cs="Times New Roman"/>
          <w:sz w:val="18"/>
          <w:szCs w:val="18"/>
        </w:rPr>
      </w:pPr>
      <w:r w:rsidRPr="00C42284">
        <w:rPr>
          <w:rFonts w:ascii="Verdana" w:hAnsi="Verdana" w:cs="Times New Roman"/>
          <w:sz w:val="18"/>
          <w:szCs w:val="18"/>
        </w:rPr>
        <w:t xml:space="preserve">Desde una perspectiva operativa, la doctrina exige que la documentación aportada </w:t>
      </w:r>
      <w:r w:rsidRPr="00C42284">
        <w:rPr>
          <w:rFonts w:ascii="Verdana" w:hAnsi="Verdana" w:cs="Times New Roman"/>
          <w:b/>
          <w:bCs/>
          <w:sz w:val="18"/>
          <w:szCs w:val="18"/>
        </w:rPr>
        <w:t>permita reconstruir sin fisuras la trazabilidad del dinero</w:t>
      </w:r>
      <w:r w:rsidRPr="00C42284">
        <w:rPr>
          <w:rFonts w:ascii="Verdana" w:hAnsi="Verdana" w:cs="Times New Roman"/>
          <w:sz w:val="18"/>
          <w:szCs w:val="18"/>
        </w:rPr>
        <w:t>, evitando incoherencias temporales o cuantitativas. No resultan suficientes los contratos genéricos, de fecha posterior a los ingresos, ni aquellos que no permiten vincular de forma directa los abonos bancarios con el negocio jurídico invocado.</w:t>
      </w:r>
    </w:p>
    <w:p w14:paraId="5243B657" w14:textId="33BEDEEA" w:rsidR="002A340C" w:rsidRPr="00C42284" w:rsidRDefault="002A340C" w:rsidP="002A340C">
      <w:pPr>
        <w:spacing w:before="100" w:beforeAutospacing="1" w:after="100" w:afterAutospacing="1"/>
        <w:ind w:left="284"/>
        <w:jc w:val="both"/>
        <w:rPr>
          <w:rFonts w:ascii="Verdana" w:hAnsi="Verdana" w:cs="Times New Roman"/>
          <w:sz w:val="18"/>
          <w:szCs w:val="18"/>
        </w:rPr>
      </w:pPr>
      <w:r w:rsidRPr="00C42284">
        <w:rPr>
          <w:rFonts w:ascii="Verdana" w:hAnsi="Verdana" w:cs="Times New Roman"/>
          <w:sz w:val="18"/>
          <w:szCs w:val="18"/>
        </w:rPr>
        <w:t xml:space="preserve">En la práctica, estas sentencias refuerzan la necesidad de </w:t>
      </w:r>
      <w:r w:rsidRPr="00C42284">
        <w:rPr>
          <w:rFonts w:ascii="Verdana" w:hAnsi="Verdana" w:cs="Times New Roman"/>
          <w:b/>
          <w:bCs/>
          <w:sz w:val="18"/>
          <w:szCs w:val="18"/>
        </w:rPr>
        <w:t>anticiparse a la prueba</w:t>
      </w:r>
      <w:r w:rsidRPr="00C42284">
        <w:rPr>
          <w:rFonts w:ascii="Verdana" w:hAnsi="Verdana" w:cs="Times New Roman"/>
          <w:sz w:val="18"/>
          <w:szCs w:val="18"/>
        </w:rPr>
        <w:t xml:space="preserve">: documentar adecuadamente las donaciones o préstamos familiares, identificar las cuentas de origen y destino, y conservar justificantes que permitan acreditar no solo el </w:t>
      </w:r>
      <w:r w:rsidRPr="00C42284">
        <w:rPr>
          <w:rFonts w:ascii="Verdana" w:hAnsi="Verdana" w:cs="Times New Roman"/>
          <w:i/>
          <w:iCs/>
          <w:sz w:val="18"/>
          <w:szCs w:val="18"/>
        </w:rPr>
        <w:t>de dónde</w:t>
      </w:r>
      <w:r w:rsidRPr="00C42284">
        <w:rPr>
          <w:rFonts w:ascii="Verdana" w:hAnsi="Verdana" w:cs="Times New Roman"/>
          <w:sz w:val="18"/>
          <w:szCs w:val="18"/>
        </w:rPr>
        <w:t xml:space="preserve"> y el </w:t>
      </w:r>
      <w:r w:rsidRPr="00C42284">
        <w:rPr>
          <w:rFonts w:ascii="Verdana" w:hAnsi="Verdana" w:cs="Times New Roman"/>
          <w:i/>
          <w:iCs/>
          <w:sz w:val="18"/>
          <w:szCs w:val="18"/>
        </w:rPr>
        <w:t>de quién</w:t>
      </w:r>
      <w:r w:rsidRPr="00C42284">
        <w:rPr>
          <w:rFonts w:ascii="Verdana" w:hAnsi="Verdana" w:cs="Times New Roman"/>
          <w:sz w:val="18"/>
          <w:szCs w:val="18"/>
        </w:rPr>
        <w:t xml:space="preserve">, sino también el </w:t>
      </w:r>
      <w:r w:rsidR="003058D7" w:rsidRPr="00C42284">
        <w:rPr>
          <w:rFonts w:ascii="Verdana" w:hAnsi="Verdana" w:cs="Times New Roman"/>
          <w:i/>
          <w:iCs/>
          <w:sz w:val="18"/>
          <w:szCs w:val="18"/>
        </w:rPr>
        <w:t>porqué</w:t>
      </w:r>
      <w:r w:rsidRPr="00C42284">
        <w:rPr>
          <w:rFonts w:ascii="Verdana" w:hAnsi="Verdana" w:cs="Times New Roman"/>
          <w:sz w:val="18"/>
          <w:szCs w:val="18"/>
        </w:rPr>
        <w:t xml:space="preserve"> de la transmisión.</w:t>
      </w:r>
    </w:p>
    <w:p w14:paraId="0AB6FB87" w14:textId="77777777" w:rsidR="002A340C" w:rsidRPr="00F14369" w:rsidRDefault="002A340C" w:rsidP="002A340C">
      <w:pPr>
        <w:spacing w:before="100" w:beforeAutospacing="1" w:after="100" w:afterAutospacing="1"/>
        <w:ind w:left="284"/>
        <w:jc w:val="both"/>
        <w:rPr>
          <w:rFonts w:ascii="Verdana" w:hAnsi="Verdana" w:cs="Times New Roman"/>
          <w:sz w:val="18"/>
          <w:szCs w:val="18"/>
        </w:rPr>
      </w:pPr>
      <w:r w:rsidRPr="00F14369">
        <w:rPr>
          <w:rFonts w:ascii="Verdana" w:hAnsi="Verdana" w:cs="Times New Roman"/>
          <w:sz w:val="18"/>
          <w:szCs w:val="18"/>
        </w:rPr>
        <w:t xml:space="preserve">Finalmente, el Tribunal recuerda que la exclusión de la ganancia patrimonial en el IRPF </w:t>
      </w:r>
      <w:r w:rsidRPr="00F14369">
        <w:rPr>
          <w:rFonts w:ascii="Verdana" w:hAnsi="Verdana" w:cs="Times New Roman"/>
          <w:b/>
          <w:bCs/>
          <w:sz w:val="18"/>
          <w:szCs w:val="18"/>
        </w:rPr>
        <w:t>no excluye automáticamente la tributación por otras figuras impositivas</w:t>
      </w:r>
      <w:r w:rsidRPr="00F14369">
        <w:rPr>
          <w:rFonts w:ascii="Verdana" w:hAnsi="Verdana" w:cs="Times New Roman"/>
          <w:sz w:val="18"/>
          <w:szCs w:val="18"/>
        </w:rPr>
        <w:t>, en particular el Impuesto sobre Sucesiones y Donaciones, aspecto que debe ser tenido en cuenta en la planificación fiscal de este tipo de operaciones.</w:t>
      </w:r>
    </w:p>
    <w:p w14:paraId="1999A3F6" w14:textId="77777777" w:rsidR="002A340C" w:rsidRDefault="002A340C" w:rsidP="004C5A95">
      <w:pPr>
        <w:pStyle w:val="Prrafodelista"/>
        <w:tabs>
          <w:tab w:val="left" w:pos="284"/>
        </w:tabs>
        <w:ind w:left="284"/>
        <w:jc w:val="both"/>
        <w:rPr>
          <w:rFonts w:ascii="Verdana" w:hAnsi="Verdana" w:cs="Verdana"/>
          <w:b/>
          <w:bCs/>
          <w:i/>
          <w:i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AC283D" w:rsidRPr="00AC283D" w14:paraId="06101C15" w14:textId="77777777" w:rsidTr="00C65B71">
        <w:tc>
          <w:tcPr>
            <w:tcW w:w="180" w:type="dxa"/>
            <w:shd w:val="clear" w:color="auto" w:fill="FF6600"/>
          </w:tcPr>
          <w:p w14:paraId="6A2AD992" w14:textId="77777777" w:rsidR="00AC283D" w:rsidRPr="00AC283D" w:rsidRDefault="00AC283D" w:rsidP="00C65B71">
            <w:pPr>
              <w:ind w:left="360"/>
              <w:rPr>
                <w:rFonts w:ascii="Verdana" w:hAnsi="Verdana"/>
                <w:b/>
                <w:bCs/>
                <w:color w:val="800000"/>
                <w:sz w:val="18"/>
                <w:szCs w:val="18"/>
              </w:rPr>
            </w:pPr>
          </w:p>
        </w:tc>
        <w:tc>
          <w:tcPr>
            <w:tcW w:w="8460" w:type="dxa"/>
          </w:tcPr>
          <w:p w14:paraId="08E9A29D" w14:textId="537FB837" w:rsidR="00AC283D" w:rsidRPr="00AC283D" w:rsidRDefault="00AC283D">
            <w:pPr>
              <w:numPr>
                <w:ilvl w:val="1"/>
                <w:numId w:val="3"/>
              </w:numPr>
              <w:ind w:left="389" w:hanging="283"/>
              <w:jc w:val="both"/>
              <w:rPr>
                <w:rFonts w:ascii="Verdana" w:hAnsi="Verdana"/>
                <w:b/>
                <w:bCs/>
                <w:color w:val="800000"/>
                <w:sz w:val="18"/>
                <w:szCs w:val="18"/>
              </w:rPr>
            </w:pPr>
            <w:r w:rsidRPr="00AC283D">
              <w:rPr>
                <w:rFonts w:ascii="Verdana" w:hAnsi="Verdana" w:cs="Verdana"/>
                <w:b/>
                <w:bCs/>
                <w:color w:val="800000"/>
                <w:sz w:val="18"/>
                <w:szCs w:val="18"/>
              </w:rPr>
              <w:t>IRPF - DEDUCCIONES POR OBRAS DE MEJORA DE LA EFICIENCIA ENERGÉTICA</w:t>
            </w:r>
            <w:r w:rsidRPr="00AC283D">
              <w:rPr>
                <w:rFonts w:ascii="Verdana" w:hAnsi="Verdana"/>
                <w:b/>
                <w:bCs/>
                <w:color w:val="800000"/>
                <w:sz w:val="18"/>
                <w:szCs w:val="18"/>
              </w:rPr>
              <w:t xml:space="preserve"> </w:t>
            </w:r>
          </w:p>
        </w:tc>
      </w:tr>
    </w:tbl>
    <w:p w14:paraId="4539164C" w14:textId="77777777" w:rsidR="00AC283D" w:rsidRPr="00EE5D70" w:rsidRDefault="00AC283D" w:rsidP="00AC283D">
      <w:pPr>
        <w:spacing w:before="100" w:beforeAutospacing="1" w:after="100" w:afterAutospacing="1"/>
        <w:ind w:left="284"/>
        <w:jc w:val="both"/>
        <w:rPr>
          <w:rFonts w:ascii="Verdana" w:hAnsi="Verdana" w:cs="Times New Roman"/>
          <w:sz w:val="18"/>
          <w:szCs w:val="18"/>
        </w:rPr>
      </w:pPr>
      <w:r w:rsidRPr="00EE5D70">
        <w:rPr>
          <w:rFonts w:ascii="Verdana" w:hAnsi="Verdana" w:cs="Times New Roman"/>
          <w:sz w:val="18"/>
          <w:szCs w:val="18"/>
        </w:rPr>
        <w:t xml:space="preserve">El </w:t>
      </w:r>
      <w:r w:rsidRPr="00EE5D70">
        <w:rPr>
          <w:rFonts w:ascii="Verdana" w:hAnsi="Verdana" w:cs="Times New Roman"/>
          <w:b/>
          <w:bCs/>
          <w:sz w:val="18"/>
          <w:szCs w:val="18"/>
        </w:rPr>
        <w:t>Real Decreto-ley 19/2021</w:t>
      </w:r>
      <w:r w:rsidRPr="00EE5D70">
        <w:rPr>
          <w:rFonts w:ascii="Verdana" w:hAnsi="Verdana" w:cs="Times New Roman"/>
          <w:sz w:val="18"/>
          <w:szCs w:val="18"/>
        </w:rPr>
        <w:t xml:space="preserve">, modificado por el </w:t>
      </w:r>
      <w:r w:rsidRPr="00EE5D70">
        <w:rPr>
          <w:rFonts w:ascii="Verdana" w:hAnsi="Verdana" w:cs="Times New Roman"/>
          <w:b/>
          <w:bCs/>
          <w:sz w:val="18"/>
          <w:szCs w:val="18"/>
        </w:rPr>
        <w:t>Real Decreto-ley 8/2023</w:t>
      </w:r>
      <w:r w:rsidRPr="00EE5D70">
        <w:rPr>
          <w:rFonts w:ascii="Verdana" w:hAnsi="Verdana" w:cs="Times New Roman"/>
          <w:sz w:val="18"/>
          <w:szCs w:val="18"/>
        </w:rPr>
        <w:t xml:space="preserve">, regula </w:t>
      </w:r>
      <w:r w:rsidRPr="00EE5D70">
        <w:rPr>
          <w:rFonts w:ascii="Verdana" w:hAnsi="Verdana" w:cs="Times New Roman"/>
          <w:b/>
          <w:bCs/>
          <w:sz w:val="18"/>
          <w:szCs w:val="18"/>
        </w:rPr>
        <w:t>tres deducciones temporales en el IRPF</w:t>
      </w:r>
      <w:r w:rsidRPr="00EE5D70">
        <w:rPr>
          <w:rFonts w:ascii="Verdana" w:hAnsi="Verdana" w:cs="Times New Roman"/>
          <w:sz w:val="18"/>
          <w:szCs w:val="18"/>
        </w:rPr>
        <w:t xml:space="preserve"> por obras de rehabilitación energética de viviendas y edificios residenciales, en el marco del Plan de Recuperación, Transformación y Resiliencia.</w:t>
      </w:r>
    </w:p>
    <w:p w14:paraId="3A19439E" w14:textId="665BBB46" w:rsidR="00AC283D" w:rsidRPr="00EE5D70" w:rsidRDefault="00AC283D" w:rsidP="00AC283D">
      <w:pPr>
        <w:spacing w:before="100" w:beforeAutospacing="1" w:after="100" w:afterAutospacing="1"/>
        <w:ind w:left="284"/>
        <w:jc w:val="both"/>
        <w:rPr>
          <w:rFonts w:ascii="Verdana" w:hAnsi="Verdana" w:cs="Times New Roman"/>
          <w:sz w:val="18"/>
          <w:szCs w:val="18"/>
        </w:rPr>
      </w:pPr>
      <w:r w:rsidRPr="00EE5D70">
        <w:rPr>
          <w:rFonts w:ascii="Verdana" w:hAnsi="Verdana" w:cs="Times New Roman"/>
          <w:sz w:val="18"/>
          <w:szCs w:val="18"/>
        </w:rPr>
        <w:t xml:space="preserve">La </w:t>
      </w:r>
      <w:r w:rsidRPr="00EE5D70">
        <w:rPr>
          <w:rFonts w:ascii="Verdana" w:hAnsi="Verdana" w:cs="Times New Roman"/>
          <w:b/>
          <w:bCs/>
          <w:sz w:val="18"/>
          <w:szCs w:val="18"/>
        </w:rPr>
        <w:t>consulta vinculante V1462-25, de 5 de agosto de 2025</w:t>
      </w:r>
      <w:r w:rsidRPr="00EE5D70">
        <w:rPr>
          <w:rFonts w:ascii="Verdana" w:hAnsi="Verdana" w:cs="Times New Roman"/>
          <w:sz w:val="18"/>
          <w:szCs w:val="18"/>
        </w:rPr>
        <w:t xml:space="preserve">, analiza la aplicación de estas deducciones a actuaciones como la </w:t>
      </w:r>
      <w:r w:rsidRPr="00EE5D70">
        <w:rPr>
          <w:rFonts w:ascii="Verdana" w:hAnsi="Verdana" w:cs="Times New Roman"/>
          <w:b/>
          <w:bCs/>
          <w:sz w:val="18"/>
          <w:szCs w:val="18"/>
        </w:rPr>
        <w:t>instalación de aerotermia y placas solares</w:t>
      </w:r>
      <w:r w:rsidRPr="00EE5D70">
        <w:rPr>
          <w:rFonts w:ascii="Verdana" w:hAnsi="Verdana" w:cs="Times New Roman"/>
          <w:sz w:val="18"/>
          <w:szCs w:val="18"/>
        </w:rPr>
        <w:t xml:space="preserve">, la </w:t>
      </w:r>
      <w:r w:rsidRPr="00EE5D70">
        <w:rPr>
          <w:rFonts w:ascii="Verdana" w:hAnsi="Verdana" w:cs="Times New Roman"/>
          <w:b/>
          <w:bCs/>
          <w:sz w:val="18"/>
          <w:szCs w:val="18"/>
        </w:rPr>
        <w:lastRenderedPageBreak/>
        <w:t>sustitución de ventanas</w:t>
      </w:r>
      <w:r w:rsidRPr="00EE5D70">
        <w:rPr>
          <w:rFonts w:ascii="Verdana" w:hAnsi="Verdana" w:cs="Times New Roman"/>
          <w:sz w:val="18"/>
          <w:szCs w:val="18"/>
        </w:rPr>
        <w:t xml:space="preserve"> y la </w:t>
      </w:r>
      <w:r w:rsidRPr="00EE5D70">
        <w:rPr>
          <w:rFonts w:ascii="Verdana" w:hAnsi="Verdana" w:cs="Times New Roman"/>
          <w:b/>
          <w:bCs/>
          <w:sz w:val="18"/>
          <w:szCs w:val="18"/>
        </w:rPr>
        <w:t>mejora del aislamiento térmico</w:t>
      </w:r>
      <w:r w:rsidRPr="00EE5D70">
        <w:rPr>
          <w:rFonts w:ascii="Verdana" w:hAnsi="Verdana" w:cs="Times New Roman"/>
          <w:sz w:val="18"/>
          <w:szCs w:val="18"/>
        </w:rPr>
        <w:t>, concluyendo que, en principio, pueden dar derecho a deducción si se cumplen los requisitos legales</w:t>
      </w:r>
      <w:r w:rsidR="00F14369">
        <w:rPr>
          <w:rFonts w:ascii="Verdana" w:hAnsi="Verdana" w:cs="Times New Roman"/>
          <w:sz w:val="18"/>
          <w:szCs w:val="18"/>
        </w:rPr>
        <w:t>.</w:t>
      </w:r>
    </w:p>
    <w:p w14:paraId="22503740" w14:textId="682C5EB1" w:rsidR="00AC283D" w:rsidRPr="00EE5D70" w:rsidRDefault="00AC283D" w:rsidP="00AC283D">
      <w:pPr>
        <w:ind w:left="284"/>
        <w:jc w:val="both"/>
        <w:rPr>
          <w:rFonts w:ascii="Verdana" w:hAnsi="Verdana" w:cs="Times New Roman"/>
          <w:b/>
          <w:bCs/>
          <w:sz w:val="18"/>
          <w:szCs w:val="18"/>
        </w:rPr>
      </w:pPr>
      <w:r w:rsidRPr="00EE5D70">
        <w:rPr>
          <w:rFonts w:ascii="Verdana" w:hAnsi="Verdana" w:cs="Times New Roman"/>
          <w:b/>
          <w:bCs/>
          <w:sz w:val="18"/>
          <w:szCs w:val="18"/>
        </w:rPr>
        <w:t xml:space="preserve"> Tipos de deducción</w:t>
      </w:r>
    </w:p>
    <w:p w14:paraId="7A646318" w14:textId="77777777" w:rsidR="00AC283D" w:rsidRPr="00EE5D70" w:rsidRDefault="00AC283D">
      <w:pPr>
        <w:numPr>
          <w:ilvl w:val="0"/>
          <w:numId w:val="7"/>
        </w:numPr>
        <w:spacing w:before="100" w:beforeAutospacing="1" w:after="100" w:afterAutospacing="1"/>
        <w:ind w:left="567" w:hanging="283"/>
        <w:jc w:val="both"/>
        <w:rPr>
          <w:rFonts w:ascii="Verdana" w:hAnsi="Verdana" w:cs="Times New Roman"/>
          <w:sz w:val="18"/>
          <w:szCs w:val="18"/>
        </w:rPr>
      </w:pPr>
      <w:r w:rsidRPr="00EE5D70">
        <w:rPr>
          <w:rFonts w:ascii="Verdana" w:hAnsi="Verdana" w:cs="Times New Roman"/>
          <w:b/>
          <w:bCs/>
          <w:sz w:val="18"/>
          <w:szCs w:val="18"/>
        </w:rPr>
        <w:t>20 %</w:t>
      </w:r>
      <w:r w:rsidRPr="00EE5D70">
        <w:rPr>
          <w:rFonts w:ascii="Verdana" w:hAnsi="Verdana" w:cs="Times New Roman"/>
          <w:sz w:val="18"/>
          <w:szCs w:val="18"/>
        </w:rPr>
        <w:t xml:space="preserve"> de las cantidades satisfechas (base máxima anual: </w:t>
      </w:r>
      <w:r w:rsidRPr="00EE5D70">
        <w:rPr>
          <w:rFonts w:ascii="Verdana" w:hAnsi="Verdana" w:cs="Times New Roman"/>
          <w:b/>
          <w:bCs/>
          <w:sz w:val="18"/>
          <w:szCs w:val="18"/>
        </w:rPr>
        <w:t>5.000 €</w:t>
      </w:r>
      <w:r w:rsidRPr="00EE5D70">
        <w:rPr>
          <w:rFonts w:ascii="Verdana" w:hAnsi="Verdana" w:cs="Times New Roman"/>
          <w:sz w:val="18"/>
          <w:szCs w:val="18"/>
        </w:rPr>
        <w:t xml:space="preserve">), cuando las obras reduzcan al menos un </w:t>
      </w:r>
      <w:r w:rsidRPr="00EE5D70">
        <w:rPr>
          <w:rFonts w:ascii="Verdana" w:hAnsi="Verdana" w:cs="Times New Roman"/>
          <w:b/>
          <w:bCs/>
          <w:sz w:val="18"/>
          <w:szCs w:val="18"/>
        </w:rPr>
        <w:t>7 % la demanda de calefacción y refrigeración</w:t>
      </w:r>
      <w:r w:rsidRPr="00EE5D70">
        <w:rPr>
          <w:rFonts w:ascii="Verdana" w:hAnsi="Verdana" w:cs="Times New Roman"/>
          <w:sz w:val="18"/>
          <w:szCs w:val="18"/>
        </w:rPr>
        <w:t>.</w:t>
      </w:r>
    </w:p>
    <w:p w14:paraId="783A8F8B" w14:textId="77777777" w:rsidR="00AC283D" w:rsidRPr="00EE5D70" w:rsidRDefault="00AC283D">
      <w:pPr>
        <w:numPr>
          <w:ilvl w:val="0"/>
          <w:numId w:val="7"/>
        </w:numPr>
        <w:spacing w:before="100" w:beforeAutospacing="1" w:after="100" w:afterAutospacing="1"/>
        <w:ind w:left="567" w:hanging="283"/>
        <w:jc w:val="both"/>
        <w:rPr>
          <w:rFonts w:ascii="Verdana" w:hAnsi="Verdana" w:cs="Times New Roman"/>
          <w:sz w:val="18"/>
          <w:szCs w:val="18"/>
        </w:rPr>
      </w:pPr>
      <w:r w:rsidRPr="00EE5D70">
        <w:rPr>
          <w:rFonts w:ascii="Verdana" w:hAnsi="Verdana" w:cs="Times New Roman"/>
          <w:b/>
          <w:bCs/>
          <w:sz w:val="18"/>
          <w:szCs w:val="18"/>
        </w:rPr>
        <w:t>40 %</w:t>
      </w:r>
      <w:r w:rsidRPr="00EE5D70">
        <w:rPr>
          <w:rFonts w:ascii="Verdana" w:hAnsi="Verdana" w:cs="Times New Roman"/>
          <w:sz w:val="18"/>
          <w:szCs w:val="18"/>
        </w:rPr>
        <w:t xml:space="preserve"> (base máxima anual: </w:t>
      </w:r>
      <w:r w:rsidRPr="00EE5D70">
        <w:rPr>
          <w:rFonts w:ascii="Verdana" w:hAnsi="Verdana" w:cs="Times New Roman"/>
          <w:b/>
          <w:bCs/>
          <w:sz w:val="18"/>
          <w:szCs w:val="18"/>
        </w:rPr>
        <w:t>7.500 €</w:t>
      </w:r>
      <w:r w:rsidRPr="00EE5D70">
        <w:rPr>
          <w:rFonts w:ascii="Verdana" w:hAnsi="Verdana" w:cs="Times New Roman"/>
          <w:sz w:val="18"/>
          <w:szCs w:val="18"/>
        </w:rPr>
        <w:t xml:space="preserve">), si se logra una </w:t>
      </w:r>
      <w:r w:rsidRPr="00EE5D70">
        <w:rPr>
          <w:rFonts w:ascii="Verdana" w:hAnsi="Verdana" w:cs="Times New Roman"/>
          <w:b/>
          <w:bCs/>
          <w:sz w:val="18"/>
          <w:szCs w:val="18"/>
        </w:rPr>
        <w:t>reducción mínima del 30 % del consumo de energía primaria no renovable</w:t>
      </w:r>
      <w:r w:rsidRPr="00EE5D70">
        <w:rPr>
          <w:rFonts w:ascii="Verdana" w:hAnsi="Verdana" w:cs="Times New Roman"/>
          <w:sz w:val="18"/>
          <w:szCs w:val="18"/>
        </w:rPr>
        <w:t xml:space="preserve"> o una </w:t>
      </w:r>
      <w:r w:rsidRPr="00EE5D70">
        <w:rPr>
          <w:rFonts w:ascii="Verdana" w:hAnsi="Verdana" w:cs="Times New Roman"/>
          <w:b/>
          <w:bCs/>
          <w:sz w:val="18"/>
          <w:szCs w:val="18"/>
        </w:rPr>
        <w:t>calificación energética A o B</w:t>
      </w:r>
      <w:r w:rsidRPr="00EE5D70">
        <w:rPr>
          <w:rFonts w:ascii="Verdana" w:hAnsi="Verdana" w:cs="Times New Roman"/>
          <w:sz w:val="18"/>
          <w:szCs w:val="18"/>
        </w:rPr>
        <w:t>.</w:t>
      </w:r>
    </w:p>
    <w:p w14:paraId="79A1C333" w14:textId="77777777" w:rsidR="00AC283D" w:rsidRPr="00EE5D70" w:rsidRDefault="00AC283D">
      <w:pPr>
        <w:numPr>
          <w:ilvl w:val="0"/>
          <w:numId w:val="7"/>
        </w:numPr>
        <w:spacing w:before="100" w:beforeAutospacing="1" w:after="100" w:afterAutospacing="1"/>
        <w:ind w:left="567" w:hanging="283"/>
        <w:jc w:val="both"/>
        <w:rPr>
          <w:rFonts w:ascii="Verdana" w:hAnsi="Verdana" w:cs="Times New Roman"/>
          <w:sz w:val="18"/>
          <w:szCs w:val="18"/>
        </w:rPr>
      </w:pPr>
      <w:r w:rsidRPr="00EE5D70">
        <w:rPr>
          <w:rFonts w:ascii="Verdana" w:hAnsi="Verdana" w:cs="Times New Roman"/>
          <w:b/>
          <w:bCs/>
          <w:sz w:val="18"/>
          <w:szCs w:val="18"/>
        </w:rPr>
        <w:t>60 %</w:t>
      </w:r>
      <w:r w:rsidRPr="00EE5D70">
        <w:rPr>
          <w:rFonts w:ascii="Verdana" w:hAnsi="Verdana" w:cs="Times New Roman"/>
          <w:sz w:val="18"/>
          <w:szCs w:val="18"/>
        </w:rPr>
        <w:t xml:space="preserve"> para obras en </w:t>
      </w:r>
      <w:r w:rsidRPr="00EE5D70">
        <w:rPr>
          <w:rFonts w:ascii="Verdana" w:hAnsi="Verdana" w:cs="Times New Roman"/>
          <w:b/>
          <w:bCs/>
          <w:sz w:val="18"/>
          <w:szCs w:val="18"/>
        </w:rPr>
        <w:t>edificios de uso residencial</w:t>
      </w:r>
      <w:r w:rsidRPr="00EE5D70">
        <w:rPr>
          <w:rFonts w:ascii="Verdana" w:hAnsi="Verdana" w:cs="Times New Roman"/>
          <w:sz w:val="18"/>
          <w:szCs w:val="18"/>
        </w:rPr>
        <w:t xml:space="preserve"> (base anual: </w:t>
      </w:r>
      <w:r w:rsidRPr="00EE5D70">
        <w:rPr>
          <w:rFonts w:ascii="Verdana" w:hAnsi="Verdana" w:cs="Times New Roman"/>
          <w:b/>
          <w:bCs/>
          <w:sz w:val="18"/>
          <w:szCs w:val="18"/>
        </w:rPr>
        <w:t>5.000 €</w:t>
      </w:r>
      <w:r w:rsidRPr="00EE5D70">
        <w:rPr>
          <w:rFonts w:ascii="Verdana" w:hAnsi="Verdana" w:cs="Times New Roman"/>
          <w:sz w:val="18"/>
          <w:szCs w:val="18"/>
        </w:rPr>
        <w:t xml:space="preserve">, con posibilidad de aplicar el exceso en los </w:t>
      </w:r>
      <w:r w:rsidRPr="00EE5D70">
        <w:rPr>
          <w:rFonts w:ascii="Verdana" w:hAnsi="Verdana" w:cs="Times New Roman"/>
          <w:b/>
          <w:bCs/>
          <w:sz w:val="18"/>
          <w:szCs w:val="18"/>
        </w:rPr>
        <w:t>cuatro ejercicios siguientes</w:t>
      </w:r>
      <w:r w:rsidRPr="00EE5D70">
        <w:rPr>
          <w:rFonts w:ascii="Verdana" w:hAnsi="Verdana" w:cs="Times New Roman"/>
          <w:sz w:val="18"/>
          <w:szCs w:val="18"/>
        </w:rPr>
        <w:t xml:space="preserve">, hasta </w:t>
      </w:r>
      <w:r w:rsidRPr="00EE5D70">
        <w:rPr>
          <w:rFonts w:ascii="Verdana" w:hAnsi="Verdana" w:cs="Times New Roman"/>
          <w:b/>
          <w:bCs/>
          <w:sz w:val="18"/>
          <w:szCs w:val="18"/>
        </w:rPr>
        <w:t>15.000 €</w:t>
      </w:r>
      <w:r w:rsidRPr="00EE5D70">
        <w:rPr>
          <w:rFonts w:ascii="Verdana" w:hAnsi="Verdana" w:cs="Times New Roman"/>
          <w:sz w:val="18"/>
          <w:szCs w:val="18"/>
        </w:rPr>
        <w:t>).</w:t>
      </w:r>
    </w:p>
    <w:p w14:paraId="4DCA7788" w14:textId="77777777" w:rsidR="00AC283D" w:rsidRPr="00EE5D70" w:rsidRDefault="00AC283D" w:rsidP="00AC283D">
      <w:pPr>
        <w:spacing w:before="100" w:beforeAutospacing="1" w:after="100" w:afterAutospacing="1"/>
        <w:ind w:left="284"/>
        <w:jc w:val="both"/>
        <w:rPr>
          <w:rFonts w:ascii="Verdana" w:hAnsi="Verdana" w:cs="Times New Roman"/>
          <w:sz w:val="18"/>
          <w:szCs w:val="18"/>
        </w:rPr>
      </w:pPr>
      <w:r w:rsidRPr="00EE5D70">
        <w:rPr>
          <w:rFonts w:ascii="Verdana" w:hAnsi="Verdana" w:cs="Times New Roman"/>
          <w:sz w:val="18"/>
          <w:szCs w:val="18"/>
        </w:rPr>
        <w:t xml:space="preserve">En todos los casos, la mejora energética debe acreditarse mediante </w:t>
      </w:r>
      <w:r w:rsidRPr="00EE5D70">
        <w:rPr>
          <w:rFonts w:ascii="Verdana" w:hAnsi="Verdana" w:cs="Times New Roman"/>
          <w:b/>
          <w:bCs/>
          <w:sz w:val="18"/>
          <w:szCs w:val="18"/>
        </w:rPr>
        <w:t>certificado de eficiencia energética emitido tras las obras</w:t>
      </w:r>
      <w:r w:rsidRPr="00EE5D70">
        <w:rPr>
          <w:rFonts w:ascii="Verdana" w:hAnsi="Verdana" w:cs="Times New Roman"/>
          <w:sz w:val="18"/>
          <w:szCs w:val="18"/>
        </w:rPr>
        <w:t>.</w:t>
      </w:r>
    </w:p>
    <w:p w14:paraId="6B588DEC" w14:textId="77777777" w:rsidR="00AC283D" w:rsidRPr="00EE5D70" w:rsidRDefault="00AC283D" w:rsidP="00AC283D">
      <w:pPr>
        <w:spacing w:before="100" w:beforeAutospacing="1" w:after="100" w:afterAutospacing="1"/>
        <w:ind w:left="284"/>
        <w:jc w:val="both"/>
        <w:outlineLvl w:val="2"/>
        <w:rPr>
          <w:rFonts w:ascii="Verdana" w:hAnsi="Verdana" w:cs="Times New Roman"/>
          <w:b/>
          <w:bCs/>
          <w:sz w:val="18"/>
          <w:szCs w:val="18"/>
        </w:rPr>
      </w:pPr>
      <w:r w:rsidRPr="00EE5D70">
        <w:rPr>
          <w:rFonts w:ascii="Verdana" w:hAnsi="Verdana" w:cs="Times New Roman"/>
          <w:b/>
          <w:bCs/>
          <w:sz w:val="18"/>
          <w:szCs w:val="18"/>
        </w:rPr>
        <w:t>Reglas comunes</w:t>
      </w:r>
    </w:p>
    <w:p w14:paraId="42C41F9A" w14:textId="3F4977B1" w:rsidR="002A340C" w:rsidRDefault="00AC283D" w:rsidP="00AC283D">
      <w:pPr>
        <w:pStyle w:val="Prrafodelista"/>
        <w:tabs>
          <w:tab w:val="left" w:pos="284"/>
        </w:tabs>
        <w:ind w:left="284"/>
        <w:jc w:val="both"/>
        <w:rPr>
          <w:rFonts w:ascii="Verdana" w:hAnsi="Verdana" w:cs="Verdana"/>
          <w:b/>
          <w:bCs/>
          <w:i/>
          <w:iCs/>
          <w:color w:val="800000"/>
          <w:sz w:val="18"/>
          <w:szCs w:val="18"/>
        </w:rPr>
      </w:pPr>
      <w:r w:rsidRPr="00F14369">
        <w:rPr>
          <w:rFonts w:ascii="Verdana" w:hAnsi="Verdana" w:cs="Times New Roman"/>
          <w:sz w:val="18"/>
          <w:szCs w:val="18"/>
        </w:rPr>
        <w:t xml:space="preserve">Las deducciones son </w:t>
      </w:r>
      <w:r w:rsidRPr="00F14369">
        <w:rPr>
          <w:rFonts w:ascii="Verdana" w:hAnsi="Verdana" w:cs="Times New Roman"/>
          <w:b/>
          <w:bCs/>
          <w:sz w:val="18"/>
          <w:szCs w:val="18"/>
        </w:rPr>
        <w:t>incompatibles entre sí</w:t>
      </w:r>
      <w:r w:rsidRPr="00F14369">
        <w:rPr>
          <w:rFonts w:ascii="Verdana" w:hAnsi="Verdana" w:cs="Times New Roman"/>
          <w:sz w:val="18"/>
          <w:szCs w:val="18"/>
        </w:rPr>
        <w:t xml:space="preserve">, no resultan aplicables a partes de la vivienda afectas a actividades económicas y la base de deducción se compone de las </w:t>
      </w:r>
      <w:r w:rsidRPr="00F14369">
        <w:rPr>
          <w:rFonts w:ascii="Verdana" w:hAnsi="Verdana" w:cs="Times New Roman"/>
          <w:b/>
          <w:bCs/>
          <w:sz w:val="18"/>
          <w:szCs w:val="18"/>
        </w:rPr>
        <w:t>cantidades efectivamente satisfechas por medios bancarios</w:t>
      </w:r>
      <w:r w:rsidRPr="00F14369">
        <w:rPr>
          <w:rFonts w:ascii="Verdana" w:hAnsi="Verdana" w:cs="Times New Roman"/>
          <w:sz w:val="18"/>
          <w:szCs w:val="18"/>
        </w:rPr>
        <w:t xml:space="preserve">, minoradas por las </w:t>
      </w:r>
      <w:r w:rsidRPr="00F14369">
        <w:rPr>
          <w:rFonts w:ascii="Verdana" w:hAnsi="Verdana" w:cs="Times New Roman"/>
          <w:b/>
          <w:bCs/>
          <w:sz w:val="18"/>
          <w:szCs w:val="18"/>
        </w:rPr>
        <w:t>subvenciones públicas recibidas</w:t>
      </w:r>
      <w:r w:rsidRPr="00F14369">
        <w:rPr>
          <w:rFonts w:ascii="Verdana" w:hAnsi="Verdana" w:cs="Times New Roman"/>
          <w:sz w:val="18"/>
          <w:szCs w:val="18"/>
        </w:rPr>
        <w:t xml:space="preserve">. El importe deducible no puede exceder de la </w:t>
      </w:r>
      <w:r w:rsidRPr="00F14369">
        <w:rPr>
          <w:rFonts w:ascii="Verdana" w:hAnsi="Verdana" w:cs="Times New Roman"/>
          <w:b/>
          <w:bCs/>
          <w:sz w:val="18"/>
          <w:szCs w:val="18"/>
        </w:rPr>
        <w:t>cuota íntegra estatal y autonómica</w:t>
      </w:r>
      <w:r w:rsidRPr="00F14369">
        <w:rPr>
          <w:rFonts w:ascii="Verdana" w:hAnsi="Verdana" w:cs="Times New Roman"/>
          <w:sz w:val="18"/>
          <w:szCs w:val="18"/>
        </w:rPr>
        <w:t xml:space="preserve"> del ejercicio</w:t>
      </w:r>
      <w:r w:rsidRPr="00EE5D70">
        <w:rPr>
          <w:rFonts w:ascii="Times New Roman" w:hAnsi="Times New Roman" w:cs="Times New Roman"/>
          <w:sz w:val="24"/>
          <w:szCs w:val="24"/>
        </w:rPr>
        <w:t>.</w:t>
      </w:r>
    </w:p>
    <w:p w14:paraId="6EF2A742" w14:textId="77777777" w:rsidR="002A340C" w:rsidRDefault="002A340C" w:rsidP="004C5A95">
      <w:pPr>
        <w:pStyle w:val="Prrafodelista"/>
        <w:tabs>
          <w:tab w:val="left" w:pos="284"/>
        </w:tabs>
        <w:ind w:left="284"/>
        <w:jc w:val="both"/>
        <w:rPr>
          <w:rFonts w:ascii="Verdana" w:hAnsi="Verdana" w:cs="Verdana"/>
          <w:b/>
          <w:bCs/>
          <w:i/>
          <w:iCs/>
          <w:color w:val="800000"/>
          <w:sz w:val="18"/>
          <w:szCs w:val="18"/>
        </w:rPr>
      </w:pPr>
    </w:p>
    <w:p w14:paraId="58831FF3" w14:textId="77777777" w:rsidR="003058D7" w:rsidRDefault="003058D7" w:rsidP="004C5A95">
      <w:pPr>
        <w:pStyle w:val="Prrafodelista"/>
        <w:tabs>
          <w:tab w:val="left" w:pos="284"/>
        </w:tabs>
        <w:ind w:left="284"/>
        <w:jc w:val="both"/>
        <w:rPr>
          <w:rFonts w:ascii="Verdana" w:hAnsi="Verdana" w:cs="Verdana"/>
          <w:b/>
          <w:bCs/>
          <w:i/>
          <w:iCs/>
          <w:color w:val="800000"/>
          <w:sz w:val="18"/>
          <w:szCs w:val="18"/>
        </w:rPr>
      </w:pPr>
    </w:p>
    <w:p w14:paraId="4586A155" w14:textId="77777777" w:rsidR="003058D7" w:rsidRDefault="003058D7" w:rsidP="004C5A95">
      <w:pPr>
        <w:pStyle w:val="Prrafodelista"/>
        <w:tabs>
          <w:tab w:val="left" w:pos="284"/>
        </w:tabs>
        <w:ind w:left="284"/>
        <w:jc w:val="both"/>
        <w:rPr>
          <w:rFonts w:ascii="Verdana" w:hAnsi="Verdana" w:cs="Verdana"/>
          <w:b/>
          <w:bCs/>
          <w:i/>
          <w:i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AC283D" w:rsidRPr="005A05F3" w14:paraId="4DD9DC0E" w14:textId="77777777" w:rsidTr="00C65B71">
        <w:tc>
          <w:tcPr>
            <w:tcW w:w="180" w:type="dxa"/>
            <w:shd w:val="clear" w:color="auto" w:fill="FF6600"/>
          </w:tcPr>
          <w:p w14:paraId="62BA068B" w14:textId="77777777" w:rsidR="00AC283D" w:rsidRPr="005A05F3" w:rsidRDefault="00AC283D" w:rsidP="00C65B71">
            <w:pPr>
              <w:ind w:left="360"/>
              <w:rPr>
                <w:rFonts w:ascii="Verdana" w:hAnsi="Verdana"/>
                <w:b/>
                <w:bCs/>
                <w:color w:val="800000"/>
                <w:sz w:val="18"/>
                <w:szCs w:val="18"/>
              </w:rPr>
            </w:pPr>
          </w:p>
        </w:tc>
        <w:tc>
          <w:tcPr>
            <w:tcW w:w="8460" w:type="dxa"/>
          </w:tcPr>
          <w:p w14:paraId="1599F1B1" w14:textId="77777777" w:rsidR="00AC283D" w:rsidRPr="005A05F3" w:rsidRDefault="00AC283D">
            <w:pPr>
              <w:numPr>
                <w:ilvl w:val="1"/>
                <w:numId w:val="3"/>
              </w:numPr>
              <w:ind w:left="389" w:hanging="283"/>
              <w:jc w:val="both"/>
              <w:rPr>
                <w:rFonts w:ascii="Verdana" w:hAnsi="Verdana"/>
                <w:b/>
                <w:bCs/>
                <w:color w:val="800000"/>
                <w:sz w:val="18"/>
                <w:szCs w:val="18"/>
              </w:rPr>
            </w:pPr>
            <w:r w:rsidRPr="005A05F3">
              <w:rPr>
                <w:rFonts w:ascii="Verdana" w:hAnsi="Verdana" w:cs="Verdana"/>
                <w:b/>
                <w:bCs/>
                <w:color w:val="800000"/>
                <w:sz w:val="18"/>
                <w:szCs w:val="18"/>
              </w:rPr>
              <w:t>IRPF – TRANSMISIÓN DE INMUEBLE ARRENDADO Y AMORTIZACIÓN MÍNIMA EN EL CÓMPUTO DE LAS GANANCIAS PATRIMONIALES</w:t>
            </w:r>
          </w:p>
        </w:tc>
      </w:tr>
    </w:tbl>
    <w:p w14:paraId="39DBED3D" w14:textId="77777777" w:rsidR="00AC283D" w:rsidRPr="005A05F3" w:rsidRDefault="00AC283D" w:rsidP="00AC283D">
      <w:pPr>
        <w:spacing w:before="100" w:beforeAutospacing="1" w:after="100" w:afterAutospacing="1"/>
        <w:ind w:left="284"/>
        <w:jc w:val="both"/>
        <w:rPr>
          <w:rFonts w:ascii="Verdana" w:hAnsi="Verdana" w:cs="Times New Roman"/>
          <w:sz w:val="18"/>
          <w:szCs w:val="18"/>
        </w:rPr>
      </w:pPr>
      <w:r w:rsidRPr="005A05F3">
        <w:rPr>
          <w:rFonts w:ascii="Verdana" w:hAnsi="Verdana" w:cs="Times New Roman"/>
          <w:sz w:val="18"/>
          <w:szCs w:val="18"/>
        </w:rPr>
        <w:t xml:space="preserve">El </w:t>
      </w:r>
      <w:r w:rsidRPr="005A05F3">
        <w:rPr>
          <w:rFonts w:ascii="Verdana" w:hAnsi="Verdana" w:cs="Times New Roman"/>
          <w:b/>
          <w:bCs/>
          <w:sz w:val="18"/>
          <w:szCs w:val="18"/>
        </w:rPr>
        <w:t>Tribunal Supremo</w:t>
      </w:r>
      <w:r w:rsidRPr="005A05F3">
        <w:rPr>
          <w:rFonts w:ascii="Verdana" w:hAnsi="Verdana" w:cs="Times New Roman"/>
          <w:sz w:val="18"/>
          <w:szCs w:val="18"/>
        </w:rPr>
        <w:t xml:space="preserve">, en su </w:t>
      </w:r>
      <w:r w:rsidRPr="005A05F3">
        <w:rPr>
          <w:rFonts w:ascii="Verdana" w:hAnsi="Verdana" w:cs="Times New Roman"/>
          <w:b/>
          <w:bCs/>
          <w:sz w:val="18"/>
          <w:szCs w:val="18"/>
        </w:rPr>
        <w:t>Sentencia de 20 de noviembre de 2025 (STS 5416/2025)</w:t>
      </w:r>
      <w:r w:rsidRPr="005A05F3">
        <w:rPr>
          <w:rFonts w:ascii="Verdana" w:hAnsi="Verdana" w:cs="Times New Roman"/>
          <w:sz w:val="18"/>
          <w:szCs w:val="18"/>
        </w:rPr>
        <w:t xml:space="preserve">, fija doctrina sobre el </w:t>
      </w:r>
      <w:r w:rsidRPr="005A05F3">
        <w:rPr>
          <w:rFonts w:ascii="Verdana" w:hAnsi="Verdana" w:cs="Times New Roman"/>
          <w:b/>
          <w:bCs/>
          <w:sz w:val="18"/>
          <w:szCs w:val="18"/>
        </w:rPr>
        <w:t>cálculo de la ganancia patrimonial en la transmisión de inmuebles arrendados en el IRPF</w:t>
      </w:r>
      <w:r w:rsidRPr="005A05F3">
        <w:rPr>
          <w:rFonts w:ascii="Verdana" w:hAnsi="Verdana" w:cs="Times New Roman"/>
          <w:sz w:val="18"/>
          <w:szCs w:val="18"/>
        </w:rPr>
        <w:t xml:space="preserve">, cuando el contribuyente </w:t>
      </w:r>
      <w:r w:rsidRPr="005A05F3">
        <w:rPr>
          <w:rFonts w:ascii="Verdana" w:hAnsi="Verdana" w:cs="Times New Roman"/>
          <w:b/>
          <w:bCs/>
          <w:sz w:val="18"/>
          <w:szCs w:val="18"/>
        </w:rPr>
        <w:t>no ejerce actividades económicas</w:t>
      </w:r>
      <w:r w:rsidRPr="005A05F3">
        <w:rPr>
          <w:rFonts w:ascii="Verdana" w:hAnsi="Verdana" w:cs="Times New Roman"/>
          <w:sz w:val="18"/>
          <w:szCs w:val="18"/>
        </w:rPr>
        <w:t>.</w:t>
      </w:r>
    </w:p>
    <w:p w14:paraId="45290311" w14:textId="77777777" w:rsidR="00AC283D" w:rsidRDefault="00AC283D" w:rsidP="00AC283D">
      <w:pPr>
        <w:spacing w:before="100" w:beforeAutospacing="1" w:after="100" w:afterAutospacing="1"/>
        <w:ind w:left="284"/>
        <w:jc w:val="both"/>
        <w:rPr>
          <w:rFonts w:ascii="Verdana" w:hAnsi="Verdana" w:cs="Times New Roman"/>
          <w:b/>
          <w:bCs/>
          <w:sz w:val="18"/>
          <w:szCs w:val="18"/>
        </w:rPr>
      </w:pPr>
      <w:r w:rsidRPr="005A05F3">
        <w:rPr>
          <w:rFonts w:ascii="Verdana" w:hAnsi="Verdana" w:cs="Times New Roman"/>
          <w:b/>
          <w:bCs/>
          <w:sz w:val="18"/>
          <w:szCs w:val="18"/>
        </w:rPr>
        <w:t>Cuestión controvertida</w:t>
      </w:r>
    </w:p>
    <w:p w14:paraId="51678F12" w14:textId="77777777" w:rsidR="00AC283D" w:rsidRPr="005A05F3" w:rsidRDefault="00AC283D" w:rsidP="00AC283D">
      <w:pPr>
        <w:spacing w:before="100" w:beforeAutospacing="1" w:after="100" w:afterAutospacing="1"/>
        <w:ind w:left="284"/>
        <w:jc w:val="both"/>
        <w:rPr>
          <w:rFonts w:ascii="Verdana" w:hAnsi="Verdana" w:cs="Times New Roman"/>
          <w:sz w:val="18"/>
          <w:szCs w:val="18"/>
        </w:rPr>
      </w:pPr>
      <w:r w:rsidRPr="005A05F3">
        <w:rPr>
          <w:rFonts w:ascii="Verdana" w:hAnsi="Verdana" w:cs="Times New Roman"/>
          <w:sz w:val="18"/>
          <w:szCs w:val="18"/>
        </w:rPr>
        <w:t xml:space="preserve">Se discutía si, para determinar el </w:t>
      </w:r>
      <w:r w:rsidRPr="005A05F3">
        <w:rPr>
          <w:rFonts w:ascii="Verdana" w:hAnsi="Verdana" w:cs="Times New Roman"/>
          <w:b/>
          <w:bCs/>
          <w:sz w:val="18"/>
          <w:szCs w:val="18"/>
        </w:rPr>
        <w:t>valor de adquisición</w:t>
      </w:r>
      <w:r w:rsidRPr="005A05F3">
        <w:rPr>
          <w:rFonts w:ascii="Verdana" w:hAnsi="Verdana" w:cs="Times New Roman"/>
          <w:sz w:val="18"/>
          <w:szCs w:val="18"/>
        </w:rPr>
        <w:t xml:space="preserve"> del inmueble transmitido, el contribuyente debía minorarlo </w:t>
      </w:r>
      <w:r w:rsidRPr="005A05F3">
        <w:rPr>
          <w:rFonts w:ascii="Verdana" w:hAnsi="Verdana" w:cs="Times New Roman"/>
          <w:b/>
          <w:bCs/>
          <w:sz w:val="18"/>
          <w:szCs w:val="18"/>
        </w:rPr>
        <w:t>obligatoriamente en la amortización máxima del 3 %</w:t>
      </w:r>
      <w:r w:rsidRPr="005A05F3">
        <w:rPr>
          <w:rFonts w:ascii="Verdana" w:hAnsi="Verdana" w:cs="Times New Roman"/>
          <w:sz w:val="18"/>
          <w:szCs w:val="18"/>
        </w:rPr>
        <w:t xml:space="preserve">, o si podía aplicar </w:t>
      </w:r>
      <w:r w:rsidRPr="005A05F3">
        <w:rPr>
          <w:rFonts w:ascii="Verdana" w:hAnsi="Verdana" w:cs="Times New Roman"/>
          <w:b/>
          <w:bCs/>
          <w:sz w:val="18"/>
          <w:szCs w:val="18"/>
        </w:rPr>
        <w:t>una amortización inferior</w:t>
      </w:r>
      <w:r w:rsidRPr="005A05F3">
        <w:rPr>
          <w:rFonts w:ascii="Verdana" w:hAnsi="Verdana" w:cs="Times New Roman"/>
          <w:sz w:val="18"/>
          <w:szCs w:val="18"/>
        </w:rPr>
        <w:t>, aunque el inmueble hubiera generado rendimientos del capital inmobiliario.</w:t>
      </w:r>
    </w:p>
    <w:p w14:paraId="0CE894F6" w14:textId="77777777" w:rsidR="00AC283D" w:rsidRDefault="00AC283D" w:rsidP="00AC283D">
      <w:pPr>
        <w:spacing w:before="100" w:beforeAutospacing="1" w:after="100" w:afterAutospacing="1"/>
        <w:ind w:left="284"/>
        <w:jc w:val="both"/>
        <w:rPr>
          <w:rFonts w:ascii="Verdana" w:hAnsi="Verdana" w:cs="Times New Roman"/>
          <w:b/>
          <w:bCs/>
          <w:sz w:val="18"/>
          <w:szCs w:val="18"/>
        </w:rPr>
      </w:pPr>
      <w:r w:rsidRPr="005A05F3">
        <w:rPr>
          <w:rFonts w:ascii="Verdana" w:hAnsi="Verdana" w:cs="Times New Roman"/>
          <w:b/>
          <w:bCs/>
          <w:sz w:val="18"/>
          <w:szCs w:val="18"/>
        </w:rPr>
        <w:t>Criterio del Tribunal Supremo</w:t>
      </w:r>
    </w:p>
    <w:p w14:paraId="51A758AA" w14:textId="77777777" w:rsidR="00AC283D" w:rsidRPr="005A05F3" w:rsidRDefault="00AC283D" w:rsidP="00AC283D">
      <w:pPr>
        <w:spacing w:before="100" w:beforeAutospacing="1" w:after="100" w:afterAutospacing="1"/>
        <w:ind w:left="284"/>
        <w:jc w:val="both"/>
        <w:rPr>
          <w:rFonts w:ascii="Verdana" w:hAnsi="Verdana" w:cs="Times New Roman"/>
          <w:sz w:val="18"/>
          <w:szCs w:val="18"/>
        </w:rPr>
      </w:pPr>
      <w:r w:rsidRPr="005A05F3">
        <w:rPr>
          <w:rFonts w:ascii="Verdana" w:hAnsi="Verdana" w:cs="Times New Roman"/>
          <w:sz w:val="18"/>
          <w:szCs w:val="18"/>
        </w:rPr>
        <w:t>El Alto Tribunal distingue claramente entre:</w:t>
      </w:r>
    </w:p>
    <w:p w14:paraId="1C014D8C" w14:textId="77777777" w:rsidR="00AC283D" w:rsidRPr="005A05F3" w:rsidRDefault="00AC283D">
      <w:pPr>
        <w:numPr>
          <w:ilvl w:val="0"/>
          <w:numId w:val="9"/>
        </w:numPr>
        <w:spacing w:before="100" w:beforeAutospacing="1" w:after="100" w:afterAutospacing="1"/>
        <w:jc w:val="both"/>
        <w:rPr>
          <w:rFonts w:ascii="Verdana" w:hAnsi="Verdana" w:cs="Times New Roman"/>
          <w:sz w:val="18"/>
          <w:szCs w:val="18"/>
        </w:rPr>
      </w:pPr>
      <w:r w:rsidRPr="005A05F3">
        <w:rPr>
          <w:rFonts w:ascii="Verdana" w:hAnsi="Verdana" w:cs="Times New Roman"/>
          <w:sz w:val="18"/>
          <w:szCs w:val="18"/>
        </w:rPr>
        <w:t xml:space="preserve">la </w:t>
      </w:r>
      <w:r w:rsidRPr="005A05F3">
        <w:rPr>
          <w:rFonts w:ascii="Verdana" w:hAnsi="Verdana" w:cs="Times New Roman"/>
          <w:b/>
          <w:bCs/>
          <w:sz w:val="18"/>
          <w:szCs w:val="18"/>
        </w:rPr>
        <w:t>amortización como gasto deducible</w:t>
      </w:r>
      <w:r w:rsidRPr="005A05F3">
        <w:rPr>
          <w:rFonts w:ascii="Verdana" w:hAnsi="Verdana" w:cs="Times New Roman"/>
          <w:sz w:val="18"/>
          <w:szCs w:val="18"/>
        </w:rPr>
        <w:t xml:space="preserve"> en los rendimientos del capital inmobiliario (art. 23.1.b LIRPF), donde el </w:t>
      </w:r>
      <w:r w:rsidRPr="005A05F3">
        <w:rPr>
          <w:rFonts w:ascii="Verdana" w:hAnsi="Verdana" w:cs="Times New Roman"/>
          <w:b/>
          <w:bCs/>
          <w:sz w:val="18"/>
          <w:szCs w:val="18"/>
        </w:rPr>
        <w:t>3 % actúa como límite máximo</w:t>
      </w:r>
      <w:r w:rsidRPr="005A05F3">
        <w:rPr>
          <w:rFonts w:ascii="Verdana" w:hAnsi="Verdana" w:cs="Times New Roman"/>
          <w:sz w:val="18"/>
          <w:szCs w:val="18"/>
        </w:rPr>
        <w:t>, y</w:t>
      </w:r>
    </w:p>
    <w:p w14:paraId="7908BAE3" w14:textId="77777777" w:rsidR="00AC283D" w:rsidRPr="005A05F3" w:rsidRDefault="00AC283D">
      <w:pPr>
        <w:numPr>
          <w:ilvl w:val="0"/>
          <w:numId w:val="9"/>
        </w:numPr>
        <w:spacing w:before="100" w:beforeAutospacing="1" w:after="100" w:afterAutospacing="1"/>
        <w:jc w:val="both"/>
        <w:rPr>
          <w:rFonts w:ascii="Verdana" w:hAnsi="Verdana" w:cs="Times New Roman"/>
          <w:sz w:val="18"/>
          <w:szCs w:val="18"/>
        </w:rPr>
      </w:pPr>
      <w:r w:rsidRPr="005A05F3">
        <w:rPr>
          <w:rFonts w:ascii="Verdana" w:hAnsi="Verdana" w:cs="Times New Roman"/>
          <w:sz w:val="18"/>
          <w:szCs w:val="18"/>
        </w:rPr>
        <w:t xml:space="preserve">la </w:t>
      </w:r>
      <w:r w:rsidRPr="005A05F3">
        <w:rPr>
          <w:rFonts w:ascii="Verdana" w:hAnsi="Verdana" w:cs="Times New Roman"/>
          <w:b/>
          <w:bCs/>
          <w:sz w:val="18"/>
          <w:szCs w:val="18"/>
        </w:rPr>
        <w:t>amortización mínima</w:t>
      </w:r>
      <w:r w:rsidRPr="005A05F3">
        <w:rPr>
          <w:rFonts w:ascii="Verdana" w:hAnsi="Verdana" w:cs="Times New Roman"/>
          <w:sz w:val="18"/>
          <w:szCs w:val="18"/>
        </w:rPr>
        <w:t xml:space="preserve"> que debe minorar el valor de adquisición a efectos del cálculo de la </w:t>
      </w:r>
      <w:r w:rsidRPr="005A05F3">
        <w:rPr>
          <w:rFonts w:ascii="Verdana" w:hAnsi="Verdana" w:cs="Times New Roman"/>
          <w:b/>
          <w:bCs/>
          <w:sz w:val="18"/>
          <w:szCs w:val="18"/>
        </w:rPr>
        <w:t>ganancia o pérdida patrimonial</w:t>
      </w:r>
      <w:r w:rsidRPr="005A05F3">
        <w:rPr>
          <w:rFonts w:ascii="Verdana" w:hAnsi="Verdana" w:cs="Times New Roman"/>
          <w:sz w:val="18"/>
          <w:szCs w:val="18"/>
        </w:rPr>
        <w:t xml:space="preserve"> (art. 35 LIRPF y art. 40 RIRPF).</w:t>
      </w:r>
    </w:p>
    <w:p w14:paraId="5EF69E29" w14:textId="77777777" w:rsidR="00AC283D" w:rsidRPr="005A05F3" w:rsidRDefault="00AC283D" w:rsidP="00AC283D">
      <w:pPr>
        <w:spacing w:before="100" w:beforeAutospacing="1" w:after="100" w:afterAutospacing="1"/>
        <w:ind w:left="284"/>
        <w:jc w:val="both"/>
        <w:rPr>
          <w:rFonts w:ascii="Verdana" w:hAnsi="Verdana" w:cs="Times New Roman"/>
          <w:sz w:val="18"/>
          <w:szCs w:val="18"/>
        </w:rPr>
      </w:pPr>
      <w:r w:rsidRPr="005A05F3">
        <w:rPr>
          <w:rFonts w:ascii="Verdana" w:hAnsi="Verdana" w:cs="Times New Roman"/>
          <w:sz w:val="18"/>
          <w:szCs w:val="18"/>
        </w:rPr>
        <w:t>El Supremo concluye que:</w:t>
      </w:r>
    </w:p>
    <w:p w14:paraId="361E62F0" w14:textId="77777777" w:rsidR="00AC283D" w:rsidRPr="005A05F3" w:rsidRDefault="00AC283D">
      <w:pPr>
        <w:numPr>
          <w:ilvl w:val="0"/>
          <w:numId w:val="10"/>
        </w:numPr>
        <w:spacing w:before="100" w:beforeAutospacing="1" w:after="100" w:afterAutospacing="1"/>
        <w:jc w:val="both"/>
        <w:rPr>
          <w:rFonts w:ascii="Verdana" w:hAnsi="Verdana" w:cs="Times New Roman"/>
          <w:sz w:val="18"/>
          <w:szCs w:val="18"/>
        </w:rPr>
      </w:pPr>
      <w:r w:rsidRPr="005A05F3">
        <w:rPr>
          <w:rFonts w:ascii="Verdana" w:hAnsi="Verdana" w:cs="Times New Roman"/>
          <w:b/>
          <w:bCs/>
          <w:sz w:val="18"/>
          <w:szCs w:val="18"/>
        </w:rPr>
        <w:t>no es obligatorio aplicar la amortización máxima del 3 %</w:t>
      </w:r>
      <w:r w:rsidRPr="005A05F3">
        <w:rPr>
          <w:rFonts w:ascii="Verdana" w:hAnsi="Verdana" w:cs="Times New Roman"/>
          <w:sz w:val="18"/>
          <w:szCs w:val="18"/>
        </w:rPr>
        <w:t xml:space="preserve"> para calcular la ganancia patrimonial;</w:t>
      </w:r>
    </w:p>
    <w:p w14:paraId="46C65513" w14:textId="77777777" w:rsidR="00AC283D" w:rsidRPr="005A05F3" w:rsidRDefault="00AC283D">
      <w:pPr>
        <w:numPr>
          <w:ilvl w:val="0"/>
          <w:numId w:val="10"/>
        </w:numPr>
        <w:spacing w:before="100" w:beforeAutospacing="1" w:after="100" w:afterAutospacing="1"/>
        <w:jc w:val="both"/>
        <w:rPr>
          <w:rFonts w:ascii="Verdana" w:hAnsi="Verdana" w:cs="Times New Roman"/>
          <w:sz w:val="18"/>
          <w:szCs w:val="18"/>
        </w:rPr>
      </w:pPr>
      <w:r w:rsidRPr="005A05F3">
        <w:rPr>
          <w:rFonts w:ascii="Verdana" w:hAnsi="Verdana" w:cs="Times New Roman"/>
          <w:sz w:val="18"/>
          <w:szCs w:val="18"/>
        </w:rPr>
        <w:t xml:space="preserve">el contribuyente </w:t>
      </w:r>
      <w:r w:rsidRPr="005A05F3">
        <w:rPr>
          <w:rFonts w:ascii="Verdana" w:hAnsi="Verdana" w:cs="Times New Roman"/>
          <w:b/>
          <w:bCs/>
          <w:sz w:val="18"/>
          <w:szCs w:val="18"/>
        </w:rPr>
        <w:t>puede aplicar una amortización inferior</w:t>
      </w:r>
      <w:r w:rsidRPr="005A05F3">
        <w:rPr>
          <w:rFonts w:ascii="Verdana" w:hAnsi="Verdana" w:cs="Times New Roman"/>
          <w:sz w:val="18"/>
          <w:szCs w:val="18"/>
        </w:rPr>
        <w:t xml:space="preserve">, siempre que encaje en el concepto de </w:t>
      </w:r>
      <w:r w:rsidRPr="005A05F3">
        <w:rPr>
          <w:rFonts w:ascii="Verdana" w:hAnsi="Verdana" w:cs="Times New Roman"/>
          <w:b/>
          <w:bCs/>
          <w:sz w:val="18"/>
          <w:szCs w:val="18"/>
        </w:rPr>
        <w:t>amortización mínima</w:t>
      </w:r>
      <w:r w:rsidRPr="005A05F3">
        <w:rPr>
          <w:rFonts w:ascii="Verdana" w:hAnsi="Verdana" w:cs="Times New Roman"/>
          <w:sz w:val="18"/>
          <w:szCs w:val="18"/>
        </w:rPr>
        <w:t xml:space="preserve">, incluso utilizando </w:t>
      </w:r>
      <w:r w:rsidRPr="005A05F3">
        <w:rPr>
          <w:rFonts w:ascii="Verdana" w:hAnsi="Verdana" w:cs="Times New Roman"/>
          <w:b/>
          <w:bCs/>
          <w:sz w:val="18"/>
          <w:szCs w:val="18"/>
        </w:rPr>
        <w:t>criterios contables o tablas de amortización</w:t>
      </w:r>
      <w:r w:rsidRPr="005A05F3">
        <w:rPr>
          <w:rFonts w:ascii="Verdana" w:hAnsi="Verdana" w:cs="Times New Roman"/>
          <w:sz w:val="18"/>
          <w:szCs w:val="18"/>
        </w:rPr>
        <w:t xml:space="preserve"> (como la Orden de 27 de marzo de 1998);</w:t>
      </w:r>
    </w:p>
    <w:p w14:paraId="41BA831C" w14:textId="77777777" w:rsidR="00AC283D" w:rsidRPr="005A05F3" w:rsidRDefault="00AC283D">
      <w:pPr>
        <w:numPr>
          <w:ilvl w:val="0"/>
          <w:numId w:val="10"/>
        </w:numPr>
        <w:spacing w:before="100" w:beforeAutospacing="1" w:after="100" w:afterAutospacing="1"/>
        <w:jc w:val="both"/>
        <w:rPr>
          <w:rFonts w:ascii="Verdana" w:hAnsi="Verdana" w:cs="Times New Roman"/>
          <w:sz w:val="18"/>
          <w:szCs w:val="18"/>
        </w:rPr>
      </w:pPr>
      <w:r w:rsidRPr="005A05F3">
        <w:rPr>
          <w:rFonts w:ascii="Verdana" w:hAnsi="Verdana" w:cs="Times New Roman"/>
          <w:sz w:val="18"/>
          <w:szCs w:val="18"/>
        </w:rPr>
        <w:t xml:space="preserve">el hecho de que el arrendamiento no constituya actividad económica </w:t>
      </w:r>
      <w:r w:rsidRPr="005A05F3">
        <w:rPr>
          <w:rFonts w:ascii="Verdana" w:hAnsi="Verdana" w:cs="Times New Roman"/>
          <w:b/>
          <w:bCs/>
          <w:sz w:val="18"/>
          <w:szCs w:val="18"/>
        </w:rPr>
        <w:t>no impide aplicar una amortización mínima distinta del 3 %</w:t>
      </w:r>
      <w:r w:rsidRPr="005A05F3">
        <w:rPr>
          <w:rFonts w:ascii="Verdana" w:hAnsi="Verdana" w:cs="Times New Roman"/>
          <w:sz w:val="18"/>
          <w:szCs w:val="18"/>
        </w:rPr>
        <w:t>.</w:t>
      </w:r>
    </w:p>
    <w:p w14:paraId="2B448E68" w14:textId="77777777" w:rsidR="00AC283D" w:rsidRDefault="00AC283D" w:rsidP="00AC283D">
      <w:pPr>
        <w:spacing w:before="100" w:beforeAutospacing="1" w:after="100" w:afterAutospacing="1"/>
        <w:ind w:left="284"/>
        <w:jc w:val="both"/>
        <w:rPr>
          <w:rFonts w:ascii="Verdana" w:hAnsi="Verdana" w:cs="Times New Roman"/>
          <w:b/>
          <w:bCs/>
          <w:sz w:val="18"/>
          <w:szCs w:val="18"/>
        </w:rPr>
      </w:pPr>
      <w:r w:rsidRPr="005A05F3">
        <w:rPr>
          <w:rFonts w:ascii="Verdana" w:hAnsi="Verdana" w:cs="Times New Roman"/>
          <w:b/>
          <w:bCs/>
          <w:sz w:val="18"/>
          <w:szCs w:val="18"/>
        </w:rPr>
        <w:lastRenderedPageBreak/>
        <w:t>Doctrina fijada</w:t>
      </w:r>
    </w:p>
    <w:p w14:paraId="0017FF55" w14:textId="77777777" w:rsidR="00AC283D" w:rsidRPr="005A05F3" w:rsidRDefault="00AC283D" w:rsidP="00AC283D">
      <w:pPr>
        <w:spacing w:before="100" w:beforeAutospacing="1" w:after="100" w:afterAutospacing="1"/>
        <w:ind w:left="284"/>
        <w:jc w:val="both"/>
        <w:rPr>
          <w:rFonts w:ascii="Verdana" w:hAnsi="Verdana" w:cs="Times New Roman"/>
          <w:b/>
          <w:bCs/>
          <w:sz w:val="18"/>
          <w:szCs w:val="18"/>
        </w:rPr>
      </w:pPr>
      <w:r w:rsidRPr="005A05F3">
        <w:rPr>
          <w:rFonts w:ascii="Verdana" w:hAnsi="Verdana" w:cs="Times New Roman"/>
          <w:sz w:val="18"/>
          <w:szCs w:val="18"/>
        </w:rPr>
        <w:t xml:space="preserve">En la transmisión de un inmueble arrendado por un contribuyente del IRPF </w:t>
      </w:r>
      <w:r w:rsidRPr="005A05F3">
        <w:rPr>
          <w:rFonts w:ascii="Verdana" w:hAnsi="Verdana" w:cs="Times New Roman"/>
          <w:b/>
          <w:bCs/>
          <w:sz w:val="18"/>
          <w:szCs w:val="18"/>
        </w:rPr>
        <w:t>sin actividad económica</w:t>
      </w:r>
      <w:r w:rsidRPr="005A05F3">
        <w:rPr>
          <w:rFonts w:ascii="Verdana" w:hAnsi="Verdana" w:cs="Times New Roman"/>
          <w:sz w:val="18"/>
          <w:szCs w:val="18"/>
        </w:rPr>
        <w:t xml:space="preserve">, </w:t>
      </w:r>
      <w:r w:rsidRPr="005A05F3">
        <w:rPr>
          <w:rFonts w:ascii="Verdana" w:hAnsi="Verdana" w:cs="Times New Roman"/>
          <w:b/>
          <w:bCs/>
          <w:sz w:val="18"/>
          <w:szCs w:val="18"/>
        </w:rPr>
        <w:t>no procede imponer automáticamente la amortización del 3 %</w:t>
      </w:r>
      <w:r w:rsidRPr="005A05F3">
        <w:rPr>
          <w:rFonts w:ascii="Verdana" w:hAnsi="Verdana" w:cs="Times New Roman"/>
          <w:sz w:val="18"/>
          <w:szCs w:val="18"/>
        </w:rPr>
        <w:t xml:space="preserve"> para minorar el valor de adquisición; es admisible </w:t>
      </w:r>
      <w:r w:rsidRPr="005A05F3">
        <w:rPr>
          <w:rFonts w:ascii="Verdana" w:hAnsi="Verdana" w:cs="Times New Roman"/>
          <w:b/>
          <w:bCs/>
          <w:sz w:val="18"/>
          <w:szCs w:val="18"/>
        </w:rPr>
        <w:t>una amortización inferior debidamente justificada</w:t>
      </w:r>
      <w:r w:rsidRPr="005A05F3">
        <w:rPr>
          <w:rFonts w:ascii="Verdana" w:hAnsi="Verdana" w:cs="Times New Roman"/>
          <w:sz w:val="18"/>
          <w:szCs w:val="18"/>
        </w:rPr>
        <w:t>.</w:t>
      </w:r>
    </w:p>
    <w:p w14:paraId="33AB014C" w14:textId="77777777" w:rsidR="00AC283D" w:rsidRDefault="00AC283D" w:rsidP="00AC283D">
      <w:pPr>
        <w:spacing w:before="100" w:beforeAutospacing="1" w:after="100" w:afterAutospacing="1"/>
        <w:ind w:left="284"/>
        <w:jc w:val="both"/>
        <w:rPr>
          <w:rFonts w:ascii="Verdana" w:hAnsi="Verdana" w:cs="Times New Roman"/>
          <w:b/>
          <w:bCs/>
          <w:sz w:val="18"/>
          <w:szCs w:val="18"/>
        </w:rPr>
      </w:pPr>
      <w:r w:rsidRPr="005A05F3">
        <w:rPr>
          <w:rFonts w:ascii="Verdana" w:hAnsi="Verdana" w:cs="Times New Roman"/>
          <w:b/>
          <w:bCs/>
          <w:sz w:val="18"/>
          <w:szCs w:val="18"/>
        </w:rPr>
        <w:t>Consecuencias prácticas</w:t>
      </w:r>
    </w:p>
    <w:p w14:paraId="425D9AE6" w14:textId="667B391D" w:rsidR="00AC283D" w:rsidRDefault="00AC283D" w:rsidP="003058D7">
      <w:pPr>
        <w:ind w:left="284"/>
        <w:jc w:val="both"/>
        <w:rPr>
          <w:rFonts w:ascii="Verdana" w:hAnsi="Verdana" w:cs="Times New Roman"/>
          <w:sz w:val="18"/>
          <w:szCs w:val="18"/>
        </w:rPr>
      </w:pPr>
      <w:r w:rsidRPr="005A05F3">
        <w:rPr>
          <w:rFonts w:ascii="Verdana" w:hAnsi="Verdana" w:cs="Times New Roman"/>
          <w:sz w:val="18"/>
          <w:szCs w:val="18"/>
        </w:rPr>
        <w:t xml:space="preserve">La </w:t>
      </w:r>
      <w:r w:rsidR="00F14369">
        <w:rPr>
          <w:rFonts w:ascii="Verdana" w:hAnsi="Verdana" w:cs="Times New Roman"/>
          <w:sz w:val="18"/>
          <w:szCs w:val="18"/>
        </w:rPr>
        <w:t>S</w:t>
      </w:r>
      <w:r w:rsidRPr="005A05F3">
        <w:rPr>
          <w:rFonts w:ascii="Verdana" w:hAnsi="Verdana" w:cs="Times New Roman"/>
          <w:sz w:val="18"/>
          <w:szCs w:val="18"/>
        </w:rPr>
        <w:t xml:space="preserve">entencia refuerza la posición del contribuyente frente al criterio administrativo y </w:t>
      </w:r>
      <w:r w:rsidRPr="005A05F3">
        <w:rPr>
          <w:rFonts w:ascii="Verdana" w:hAnsi="Verdana" w:cs="Times New Roman"/>
          <w:b/>
          <w:bCs/>
          <w:sz w:val="18"/>
          <w:szCs w:val="18"/>
        </w:rPr>
        <w:t>reduce el riesgo de regularizaciones</w:t>
      </w:r>
      <w:r w:rsidRPr="005A05F3">
        <w:rPr>
          <w:rFonts w:ascii="Verdana" w:hAnsi="Verdana" w:cs="Times New Roman"/>
          <w:sz w:val="18"/>
          <w:szCs w:val="18"/>
        </w:rPr>
        <w:t xml:space="preserve"> en transmisiones de inmuebles arrendados, al permitir una </w:t>
      </w:r>
      <w:r w:rsidRPr="005A05F3">
        <w:rPr>
          <w:rFonts w:ascii="Verdana" w:hAnsi="Verdana" w:cs="Times New Roman"/>
          <w:b/>
          <w:bCs/>
          <w:sz w:val="18"/>
          <w:szCs w:val="18"/>
        </w:rPr>
        <w:t>mayor coherencia entre la amortización real del bien y la tributación de la ganancia patrimonial</w:t>
      </w:r>
      <w:r>
        <w:rPr>
          <w:rFonts w:ascii="Verdana" w:hAnsi="Verdana" w:cs="Times New Roman"/>
          <w:sz w:val="18"/>
          <w:szCs w:val="18"/>
        </w:rPr>
        <w:t>.</w:t>
      </w:r>
    </w:p>
    <w:p w14:paraId="39ABDE28" w14:textId="77777777" w:rsidR="003058D7" w:rsidRDefault="003058D7" w:rsidP="003058D7">
      <w:pPr>
        <w:ind w:left="284"/>
        <w:jc w:val="both"/>
        <w:rPr>
          <w:rFonts w:ascii="Verdana" w:hAnsi="Verdana" w:cs="Times New Roman"/>
          <w:sz w:val="18"/>
          <w:szCs w:val="18"/>
        </w:rPr>
      </w:pPr>
    </w:p>
    <w:p w14:paraId="72551BF6" w14:textId="77777777" w:rsidR="003058D7" w:rsidRDefault="003058D7" w:rsidP="003058D7">
      <w:pPr>
        <w:ind w:left="284"/>
        <w:jc w:val="both"/>
        <w:rPr>
          <w:rFonts w:ascii="Verdana" w:hAnsi="Verdana" w:cs="Times New Roman"/>
          <w:sz w:val="18"/>
          <w:szCs w:val="18"/>
        </w:rPr>
      </w:pPr>
    </w:p>
    <w:p w14:paraId="1E1A9977" w14:textId="77777777" w:rsidR="003058D7" w:rsidRDefault="003058D7" w:rsidP="003058D7">
      <w:pPr>
        <w:ind w:left="284"/>
        <w:jc w:val="both"/>
        <w:rPr>
          <w:rFonts w:ascii="Verdana" w:hAnsi="Verdana" w:cs="Times New Roman"/>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AC283D" w:rsidRPr="00AC283D" w14:paraId="6D4D4129" w14:textId="77777777" w:rsidTr="00C65B71">
        <w:tc>
          <w:tcPr>
            <w:tcW w:w="180" w:type="dxa"/>
            <w:shd w:val="clear" w:color="auto" w:fill="FF6600"/>
          </w:tcPr>
          <w:p w14:paraId="1C0C4C50" w14:textId="77777777" w:rsidR="00AC283D" w:rsidRPr="00AC283D" w:rsidRDefault="00AC283D" w:rsidP="00C65B71">
            <w:pPr>
              <w:ind w:left="360"/>
              <w:rPr>
                <w:rFonts w:ascii="Verdana" w:hAnsi="Verdana"/>
                <w:b/>
                <w:bCs/>
                <w:color w:val="800000"/>
                <w:sz w:val="18"/>
                <w:szCs w:val="18"/>
              </w:rPr>
            </w:pPr>
          </w:p>
        </w:tc>
        <w:tc>
          <w:tcPr>
            <w:tcW w:w="8460" w:type="dxa"/>
          </w:tcPr>
          <w:p w14:paraId="1ED85BFA" w14:textId="6A01283F" w:rsidR="00AC283D" w:rsidRPr="00AC283D" w:rsidRDefault="00AC283D">
            <w:pPr>
              <w:numPr>
                <w:ilvl w:val="1"/>
                <w:numId w:val="3"/>
              </w:numPr>
              <w:ind w:left="389" w:hanging="283"/>
              <w:jc w:val="both"/>
              <w:rPr>
                <w:rFonts w:ascii="Verdana" w:hAnsi="Verdana"/>
                <w:b/>
                <w:bCs/>
                <w:color w:val="800000"/>
                <w:sz w:val="18"/>
                <w:szCs w:val="18"/>
              </w:rPr>
            </w:pPr>
            <w:r w:rsidRPr="00AC283D">
              <w:rPr>
                <w:rFonts w:ascii="Verdana" w:hAnsi="Verdana" w:cs="Verdana"/>
                <w:b/>
                <w:bCs/>
                <w:color w:val="800000"/>
                <w:sz w:val="18"/>
                <w:szCs w:val="18"/>
              </w:rPr>
              <w:t xml:space="preserve">IRPF </w:t>
            </w:r>
            <w:r w:rsidR="003058D7">
              <w:rPr>
                <w:rFonts w:ascii="Verdana" w:hAnsi="Verdana" w:cs="Verdana"/>
                <w:b/>
                <w:bCs/>
                <w:color w:val="800000"/>
                <w:sz w:val="18"/>
                <w:szCs w:val="18"/>
              </w:rPr>
              <w:t>–</w:t>
            </w:r>
            <w:r w:rsidRPr="00AC283D">
              <w:rPr>
                <w:rFonts w:ascii="Verdana" w:hAnsi="Verdana" w:cs="Verdana"/>
                <w:b/>
                <w:bCs/>
                <w:color w:val="800000"/>
                <w:sz w:val="18"/>
                <w:szCs w:val="18"/>
              </w:rPr>
              <w:t xml:space="preserve"> REGLA DE AMORTIZACIÓN DE BIENES INMUEBLES ARRENDADOS EN LOS RENDIMIENTOS DEL CAPITAL INMOBILIARIO</w:t>
            </w:r>
          </w:p>
        </w:tc>
      </w:tr>
    </w:tbl>
    <w:p w14:paraId="47C9BCB4" w14:textId="77777777" w:rsidR="00AC283D" w:rsidRPr="00AC283D" w:rsidRDefault="00AC283D" w:rsidP="00AC283D">
      <w:pPr>
        <w:spacing w:before="100" w:beforeAutospacing="1" w:after="100" w:afterAutospacing="1"/>
        <w:ind w:left="284"/>
        <w:jc w:val="both"/>
        <w:rPr>
          <w:rFonts w:ascii="Verdana" w:hAnsi="Verdana" w:cs="Times New Roman"/>
          <w:sz w:val="18"/>
          <w:szCs w:val="18"/>
        </w:rPr>
      </w:pPr>
      <w:r w:rsidRPr="00AC283D">
        <w:rPr>
          <w:rFonts w:ascii="Verdana" w:hAnsi="Verdana" w:cs="Times New Roman"/>
          <w:sz w:val="18"/>
          <w:szCs w:val="18"/>
        </w:rPr>
        <w:t>El Tribunal Económico-Administrativo Central (TEAC) en su Resolución</w:t>
      </w:r>
      <w:r w:rsidRPr="00AC283D">
        <w:rPr>
          <w:rFonts w:ascii="Verdana" w:hAnsi="Verdana" w:cs="Times New Roman"/>
          <w:b/>
          <w:bCs/>
          <w:sz w:val="18"/>
          <w:szCs w:val="18"/>
        </w:rPr>
        <w:t xml:space="preserve"> de 18 de diciembre de 2025 (unificación de criterio), </w:t>
      </w:r>
      <w:r w:rsidRPr="00AC283D">
        <w:rPr>
          <w:rFonts w:ascii="Verdana" w:hAnsi="Verdana" w:cs="Times New Roman"/>
          <w:sz w:val="18"/>
          <w:szCs w:val="18"/>
        </w:rPr>
        <w:t xml:space="preserve">fija criterio sobre el </w:t>
      </w:r>
      <w:r w:rsidRPr="00AC283D">
        <w:rPr>
          <w:rFonts w:ascii="Verdana" w:hAnsi="Verdana" w:cs="Times New Roman"/>
          <w:b/>
          <w:bCs/>
          <w:sz w:val="18"/>
          <w:szCs w:val="18"/>
        </w:rPr>
        <w:t>límite de la amortización fiscalmente deducible</w:t>
      </w:r>
      <w:r w:rsidRPr="00AC283D">
        <w:rPr>
          <w:rFonts w:ascii="Verdana" w:hAnsi="Verdana" w:cs="Times New Roman"/>
          <w:sz w:val="18"/>
          <w:szCs w:val="18"/>
        </w:rPr>
        <w:t xml:space="preserve"> en el IRPF para inmuebles arrendados.</w:t>
      </w:r>
    </w:p>
    <w:p w14:paraId="21591424" w14:textId="77777777" w:rsidR="00AC283D" w:rsidRPr="00AC283D" w:rsidRDefault="00AC283D" w:rsidP="00AC283D">
      <w:pPr>
        <w:spacing w:before="100" w:beforeAutospacing="1" w:after="100" w:afterAutospacing="1"/>
        <w:ind w:left="284"/>
        <w:jc w:val="both"/>
        <w:rPr>
          <w:rFonts w:ascii="Verdana" w:hAnsi="Verdana" w:cs="Times New Roman"/>
          <w:sz w:val="18"/>
          <w:szCs w:val="18"/>
        </w:rPr>
      </w:pPr>
      <w:r w:rsidRPr="00AC283D">
        <w:rPr>
          <w:rFonts w:ascii="Verdana" w:hAnsi="Verdana" w:cs="Times New Roman"/>
          <w:sz w:val="18"/>
          <w:szCs w:val="18"/>
        </w:rPr>
        <w:t xml:space="preserve">El TEAC establece que, aunque la normativa permite deducir anualmente como gasto de amortización el </w:t>
      </w:r>
      <w:r w:rsidRPr="00AC283D">
        <w:rPr>
          <w:rFonts w:ascii="Verdana" w:hAnsi="Verdana" w:cs="Times New Roman"/>
          <w:b/>
          <w:bCs/>
          <w:sz w:val="18"/>
          <w:szCs w:val="18"/>
        </w:rPr>
        <w:t>3 % del mayor entre el valor catastral o el coste de adquisición</w:t>
      </w:r>
      <w:r w:rsidRPr="00AC283D">
        <w:rPr>
          <w:rFonts w:ascii="Verdana" w:hAnsi="Verdana" w:cs="Times New Roman"/>
          <w:sz w:val="18"/>
          <w:szCs w:val="18"/>
        </w:rPr>
        <w:t xml:space="preserve"> (excluido el valor del suelo), </w:t>
      </w:r>
      <w:r w:rsidRPr="00AC283D">
        <w:rPr>
          <w:rFonts w:ascii="Verdana" w:hAnsi="Verdana" w:cs="Times New Roman"/>
          <w:b/>
          <w:bCs/>
          <w:sz w:val="18"/>
          <w:szCs w:val="18"/>
        </w:rPr>
        <w:t>la amortización acumulada no puede superar, en ningún caso, el valor de adquisición del inmueble</w:t>
      </w:r>
      <w:r w:rsidRPr="00AC283D">
        <w:rPr>
          <w:rFonts w:ascii="Verdana" w:hAnsi="Verdana" w:cs="Times New Roman"/>
          <w:sz w:val="18"/>
          <w:szCs w:val="18"/>
        </w:rPr>
        <w:t>, igualmente excluido el valor del suelo.</w:t>
      </w:r>
    </w:p>
    <w:p w14:paraId="71667F3E" w14:textId="77777777" w:rsidR="00AC283D" w:rsidRPr="00AC283D" w:rsidRDefault="00AC283D" w:rsidP="00AC283D">
      <w:pPr>
        <w:spacing w:before="100" w:beforeAutospacing="1" w:after="100" w:afterAutospacing="1"/>
        <w:ind w:left="284"/>
        <w:jc w:val="both"/>
        <w:rPr>
          <w:rFonts w:ascii="Verdana" w:hAnsi="Verdana" w:cs="Times New Roman"/>
          <w:sz w:val="18"/>
          <w:szCs w:val="18"/>
        </w:rPr>
      </w:pPr>
      <w:r w:rsidRPr="00AC283D">
        <w:rPr>
          <w:rFonts w:ascii="Verdana" w:hAnsi="Verdana" w:cs="Times New Roman"/>
          <w:sz w:val="18"/>
          <w:szCs w:val="18"/>
        </w:rPr>
        <w:t xml:space="preserve">Este límite global se aplica </w:t>
      </w:r>
      <w:r w:rsidRPr="00AC283D">
        <w:rPr>
          <w:rFonts w:ascii="Verdana" w:hAnsi="Verdana" w:cs="Times New Roman"/>
          <w:b/>
          <w:bCs/>
          <w:sz w:val="18"/>
          <w:szCs w:val="18"/>
        </w:rPr>
        <w:t>con independencia del límite anual reglamentario</w:t>
      </w:r>
      <w:r w:rsidRPr="00AC283D">
        <w:rPr>
          <w:rFonts w:ascii="Verdana" w:hAnsi="Verdana" w:cs="Times New Roman"/>
          <w:sz w:val="18"/>
          <w:szCs w:val="18"/>
        </w:rPr>
        <w:t xml:space="preserve">, ya que la amortización debe responder a una </w:t>
      </w:r>
      <w:r w:rsidRPr="00AC283D">
        <w:rPr>
          <w:rFonts w:ascii="Verdana" w:hAnsi="Verdana" w:cs="Times New Roman"/>
          <w:b/>
          <w:bCs/>
          <w:sz w:val="18"/>
          <w:szCs w:val="18"/>
        </w:rPr>
        <w:t>depreciación efectiva</w:t>
      </w:r>
      <w:r w:rsidRPr="00AC283D">
        <w:rPr>
          <w:rFonts w:ascii="Verdana" w:hAnsi="Verdana" w:cs="Times New Roman"/>
          <w:sz w:val="18"/>
          <w:szCs w:val="18"/>
        </w:rPr>
        <w:t>, y no es posible amortizar un bien por encima de su valor de adquisición, pues ello supondría un valor fiscal negativo.</w:t>
      </w:r>
    </w:p>
    <w:p w14:paraId="042C6962" w14:textId="77777777" w:rsidR="00AC283D" w:rsidRDefault="00AC283D" w:rsidP="003058D7">
      <w:pPr>
        <w:ind w:left="284"/>
        <w:jc w:val="both"/>
        <w:rPr>
          <w:rFonts w:ascii="Verdana" w:hAnsi="Verdana" w:cs="Times New Roman"/>
          <w:sz w:val="18"/>
          <w:szCs w:val="18"/>
        </w:rPr>
      </w:pPr>
      <w:r w:rsidRPr="00AC283D">
        <w:rPr>
          <w:rFonts w:ascii="Verdana" w:hAnsi="Verdana" w:cs="Times New Roman"/>
          <w:sz w:val="18"/>
          <w:szCs w:val="18"/>
        </w:rPr>
        <w:t xml:space="preserve">El criterio resulta aplicable tanto a inmuebles adquiridos a título oneroso como lucrativo y </w:t>
      </w:r>
      <w:r w:rsidRPr="00AC283D">
        <w:rPr>
          <w:rFonts w:ascii="Verdana" w:hAnsi="Verdana" w:cs="Times New Roman"/>
          <w:b/>
          <w:bCs/>
          <w:sz w:val="18"/>
          <w:szCs w:val="18"/>
        </w:rPr>
        <w:t>unifica doctrina</w:t>
      </w:r>
      <w:r w:rsidRPr="00AC283D">
        <w:rPr>
          <w:rFonts w:ascii="Verdana" w:hAnsi="Verdana" w:cs="Times New Roman"/>
          <w:sz w:val="18"/>
          <w:szCs w:val="18"/>
        </w:rPr>
        <w:t>, corrigiendo resoluciones de tribunales económico-administrativos regionales que negaban la existencia de un límite global a la amortización acumulada.</w:t>
      </w:r>
    </w:p>
    <w:p w14:paraId="29CA536E" w14:textId="77777777" w:rsidR="003058D7" w:rsidRDefault="003058D7" w:rsidP="003058D7">
      <w:pPr>
        <w:ind w:left="284"/>
        <w:jc w:val="both"/>
        <w:rPr>
          <w:rFonts w:ascii="Verdana" w:hAnsi="Verdana" w:cs="Times New Roman"/>
          <w:sz w:val="18"/>
          <w:szCs w:val="18"/>
        </w:rPr>
      </w:pPr>
    </w:p>
    <w:p w14:paraId="3495F738" w14:textId="77777777" w:rsidR="003058D7" w:rsidRDefault="003058D7" w:rsidP="003058D7">
      <w:pPr>
        <w:ind w:left="284"/>
        <w:jc w:val="both"/>
        <w:rPr>
          <w:rFonts w:ascii="Verdana" w:hAnsi="Verdana" w:cs="Times New Roman"/>
          <w:sz w:val="18"/>
          <w:szCs w:val="18"/>
        </w:rPr>
      </w:pPr>
    </w:p>
    <w:p w14:paraId="602273E3" w14:textId="77777777" w:rsidR="003058D7" w:rsidRDefault="003058D7" w:rsidP="003058D7">
      <w:pPr>
        <w:ind w:left="284"/>
        <w:jc w:val="both"/>
        <w:rPr>
          <w:rFonts w:ascii="Verdana" w:hAnsi="Verdana" w:cs="Times New Roman"/>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AC283D" w:rsidRPr="00410565" w14:paraId="13690612" w14:textId="77777777" w:rsidTr="00C65B71">
        <w:tc>
          <w:tcPr>
            <w:tcW w:w="180" w:type="dxa"/>
            <w:shd w:val="clear" w:color="auto" w:fill="FF6600"/>
          </w:tcPr>
          <w:p w14:paraId="5618D05F" w14:textId="77777777" w:rsidR="00AC283D" w:rsidRPr="00410565" w:rsidRDefault="00AC283D" w:rsidP="00C65B71">
            <w:pPr>
              <w:ind w:left="360"/>
              <w:rPr>
                <w:rFonts w:ascii="Verdana" w:hAnsi="Verdana"/>
                <w:b/>
                <w:bCs/>
                <w:color w:val="800000"/>
                <w:sz w:val="18"/>
                <w:szCs w:val="18"/>
              </w:rPr>
            </w:pPr>
          </w:p>
        </w:tc>
        <w:tc>
          <w:tcPr>
            <w:tcW w:w="8460" w:type="dxa"/>
          </w:tcPr>
          <w:p w14:paraId="10FEA0BC" w14:textId="204AFEAE" w:rsidR="00AC283D" w:rsidRPr="00410565" w:rsidRDefault="00AC283D">
            <w:pPr>
              <w:numPr>
                <w:ilvl w:val="1"/>
                <w:numId w:val="3"/>
              </w:numPr>
              <w:tabs>
                <w:tab w:val="clear" w:pos="786"/>
                <w:tab w:val="num" w:pos="384"/>
              </w:tabs>
              <w:ind w:left="384" w:hanging="283"/>
              <w:jc w:val="both"/>
              <w:rPr>
                <w:rFonts w:ascii="Verdana" w:hAnsi="Verdana"/>
                <w:b/>
                <w:bCs/>
                <w:color w:val="800000"/>
                <w:sz w:val="18"/>
                <w:szCs w:val="18"/>
              </w:rPr>
            </w:pPr>
            <w:r w:rsidRPr="00410565">
              <w:rPr>
                <w:rFonts w:ascii="Verdana" w:hAnsi="Verdana" w:cs="Verdana"/>
                <w:b/>
                <w:bCs/>
                <w:color w:val="800000"/>
                <w:sz w:val="18"/>
                <w:szCs w:val="18"/>
              </w:rPr>
              <w:t>ITP Y AJD. LA ADMINISTRACIÓN NO PUEDE ASIGNAR DOS VALORES A UN MISMO INMUEBLE ADQUIRIDO EN UN MISMO ACTO POR VARIOS COPROPIETARIOS</w:t>
            </w:r>
            <w:r w:rsidRPr="00410565">
              <w:rPr>
                <w:rFonts w:ascii="Verdana" w:hAnsi="Verdana"/>
                <w:b/>
                <w:bCs/>
                <w:color w:val="800000"/>
                <w:sz w:val="18"/>
                <w:szCs w:val="18"/>
              </w:rPr>
              <w:t xml:space="preserve"> </w:t>
            </w:r>
          </w:p>
        </w:tc>
      </w:tr>
    </w:tbl>
    <w:p w14:paraId="3F1A95BD" w14:textId="49F877E8" w:rsidR="00AC283D" w:rsidRPr="00410565" w:rsidRDefault="00AC283D" w:rsidP="00AC283D">
      <w:pPr>
        <w:spacing w:before="100" w:beforeAutospacing="1" w:after="100" w:afterAutospacing="1"/>
        <w:ind w:left="284"/>
        <w:jc w:val="both"/>
        <w:rPr>
          <w:rFonts w:ascii="Verdana" w:hAnsi="Verdana" w:cs="Times New Roman"/>
          <w:sz w:val="18"/>
          <w:szCs w:val="18"/>
        </w:rPr>
      </w:pPr>
      <w:r w:rsidRPr="00410565">
        <w:rPr>
          <w:rFonts w:ascii="Verdana" w:hAnsi="Verdana" w:cs="Times New Roman"/>
          <w:sz w:val="18"/>
          <w:szCs w:val="18"/>
        </w:rPr>
        <w:t xml:space="preserve">El Tribunal Supremo, en </w:t>
      </w:r>
      <w:r w:rsidR="00F14369">
        <w:rPr>
          <w:rFonts w:ascii="Verdana" w:hAnsi="Verdana" w:cs="Times New Roman"/>
          <w:sz w:val="18"/>
          <w:szCs w:val="18"/>
        </w:rPr>
        <w:t>S</w:t>
      </w:r>
      <w:r w:rsidRPr="00410565">
        <w:rPr>
          <w:rFonts w:ascii="Verdana" w:hAnsi="Verdana" w:cs="Times New Roman"/>
          <w:sz w:val="18"/>
          <w:szCs w:val="18"/>
        </w:rPr>
        <w:t xml:space="preserve">entencia de </w:t>
      </w:r>
      <w:r w:rsidRPr="00410565">
        <w:rPr>
          <w:rFonts w:ascii="Verdana" w:hAnsi="Verdana" w:cs="Times New Roman"/>
          <w:b/>
          <w:bCs/>
          <w:sz w:val="18"/>
          <w:szCs w:val="18"/>
        </w:rPr>
        <w:t>9 de diciembre de 2025</w:t>
      </w:r>
      <w:r w:rsidRPr="00410565">
        <w:rPr>
          <w:rFonts w:ascii="Verdana" w:hAnsi="Verdana" w:cs="Times New Roman"/>
          <w:sz w:val="18"/>
          <w:szCs w:val="18"/>
        </w:rPr>
        <w:t xml:space="preserve">, concluye que la Administración tributaria </w:t>
      </w:r>
      <w:r w:rsidRPr="00410565">
        <w:rPr>
          <w:rFonts w:ascii="Verdana" w:hAnsi="Verdana" w:cs="Times New Roman"/>
          <w:b/>
          <w:bCs/>
          <w:sz w:val="18"/>
          <w:szCs w:val="18"/>
        </w:rPr>
        <w:t>no puede asignar valores diferentes a un mismo inmueble</w:t>
      </w:r>
      <w:r w:rsidRPr="00410565">
        <w:rPr>
          <w:rFonts w:ascii="Verdana" w:hAnsi="Verdana" w:cs="Times New Roman"/>
          <w:sz w:val="18"/>
          <w:szCs w:val="18"/>
        </w:rPr>
        <w:t xml:space="preserve"> cuando este ha sido adquirido en un único acto por varios copropietarios.</w:t>
      </w:r>
    </w:p>
    <w:p w14:paraId="79EF4C26" w14:textId="77777777" w:rsidR="00AC283D" w:rsidRPr="00410565" w:rsidRDefault="00AC283D" w:rsidP="00AC283D">
      <w:pPr>
        <w:spacing w:before="100" w:beforeAutospacing="1" w:after="100" w:afterAutospacing="1"/>
        <w:ind w:left="284"/>
        <w:jc w:val="both"/>
        <w:rPr>
          <w:rFonts w:ascii="Verdana" w:hAnsi="Verdana" w:cs="Times New Roman"/>
          <w:sz w:val="18"/>
          <w:szCs w:val="18"/>
        </w:rPr>
      </w:pPr>
      <w:r w:rsidRPr="00410565">
        <w:rPr>
          <w:rFonts w:ascii="Verdana" w:hAnsi="Verdana" w:cs="Times New Roman"/>
          <w:sz w:val="18"/>
          <w:szCs w:val="18"/>
        </w:rPr>
        <w:t xml:space="preserve">En el supuesto analizado, dos contribuyentes adquirieron un inmueble al 50 % por un precio declarado de 36.000 €, presentando cada uno su autoliquidación del ITP y AJD. Posteriormente, la Administración inició un procedimiento de comprobación limitada que elevó el valor del inmueble a 47.910,79 € y aplicó el tipo general del impuesto. No obstante, la liquidación resultante </w:t>
      </w:r>
      <w:r w:rsidRPr="00410565">
        <w:rPr>
          <w:rFonts w:ascii="Verdana" w:hAnsi="Verdana" w:cs="Times New Roman"/>
          <w:b/>
          <w:bCs/>
          <w:sz w:val="18"/>
          <w:szCs w:val="18"/>
        </w:rPr>
        <w:t>solo fue notificada a uno de los copropietarios</w:t>
      </w:r>
      <w:r w:rsidRPr="00410565">
        <w:rPr>
          <w:rFonts w:ascii="Verdana" w:hAnsi="Verdana" w:cs="Times New Roman"/>
          <w:sz w:val="18"/>
          <w:szCs w:val="18"/>
        </w:rPr>
        <w:t>, quedando firme para este, mientras que la otra copropietaria, al no haber sido notificada, pudo formular alegaciones que fueron estimadas, manteniéndose el valor inicialmente declarado.</w:t>
      </w:r>
    </w:p>
    <w:p w14:paraId="6C493B7F" w14:textId="77777777" w:rsidR="00AC283D" w:rsidRPr="00410565" w:rsidRDefault="00AC283D" w:rsidP="00AC283D">
      <w:pPr>
        <w:spacing w:before="100" w:beforeAutospacing="1" w:after="100" w:afterAutospacing="1"/>
        <w:ind w:left="284"/>
        <w:jc w:val="both"/>
        <w:rPr>
          <w:rFonts w:ascii="Verdana" w:hAnsi="Verdana" w:cs="Times New Roman"/>
          <w:sz w:val="18"/>
          <w:szCs w:val="18"/>
        </w:rPr>
      </w:pPr>
      <w:r w:rsidRPr="00410565">
        <w:rPr>
          <w:rFonts w:ascii="Verdana" w:hAnsi="Verdana" w:cs="Times New Roman"/>
          <w:sz w:val="18"/>
          <w:szCs w:val="18"/>
        </w:rPr>
        <w:t xml:space="preserve">El Tribunal Supremo considera que esta situación genera una </w:t>
      </w:r>
      <w:r w:rsidRPr="00410565">
        <w:rPr>
          <w:rFonts w:ascii="Verdana" w:hAnsi="Verdana" w:cs="Times New Roman"/>
          <w:b/>
          <w:bCs/>
          <w:sz w:val="18"/>
          <w:szCs w:val="18"/>
        </w:rPr>
        <w:t>desigualdad de trato injustificada</w:t>
      </w:r>
      <w:r w:rsidRPr="00410565">
        <w:rPr>
          <w:rFonts w:ascii="Verdana" w:hAnsi="Verdana" w:cs="Times New Roman"/>
          <w:sz w:val="18"/>
          <w:szCs w:val="18"/>
        </w:rPr>
        <w:t xml:space="preserve">, incompatible con el ordenamiento tributario, al asignarse </w:t>
      </w:r>
      <w:r w:rsidRPr="00410565">
        <w:rPr>
          <w:rFonts w:ascii="Verdana" w:hAnsi="Verdana" w:cs="Times New Roman"/>
          <w:b/>
          <w:bCs/>
          <w:sz w:val="18"/>
          <w:szCs w:val="18"/>
        </w:rPr>
        <w:t>bases imponibles distintas sobre un mismo bien adquirido en unidad de acto</w:t>
      </w:r>
      <w:r w:rsidRPr="00410565">
        <w:rPr>
          <w:rFonts w:ascii="Verdana" w:hAnsi="Verdana" w:cs="Times New Roman"/>
          <w:sz w:val="18"/>
          <w:szCs w:val="18"/>
        </w:rPr>
        <w:t xml:space="preserve">. Tal práctica vulnera los principios de </w:t>
      </w:r>
      <w:r w:rsidRPr="00410565">
        <w:rPr>
          <w:rFonts w:ascii="Verdana" w:hAnsi="Verdana" w:cs="Times New Roman"/>
          <w:b/>
          <w:bCs/>
          <w:sz w:val="18"/>
          <w:szCs w:val="18"/>
        </w:rPr>
        <w:t>capacidad económica y justicia tributaria</w:t>
      </w:r>
      <w:r w:rsidRPr="00410565">
        <w:rPr>
          <w:rFonts w:ascii="Verdana" w:hAnsi="Verdana" w:cs="Times New Roman"/>
          <w:sz w:val="18"/>
          <w:szCs w:val="18"/>
        </w:rPr>
        <w:t>.</w:t>
      </w:r>
    </w:p>
    <w:p w14:paraId="507C7457" w14:textId="77777777" w:rsidR="00AC283D" w:rsidRPr="00410565" w:rsidRDefault="00AC283D" w:rsidP="00AC283D">
      <w:pPr>
        <w:spacing w:before="100" w:beforeAutospacing="1" w:after="100" w:afterAutospacing="1"/>
        <w:ind w:left="284"/>
        <w:jc w:val="both"/>
        <w:rPr>
          <w:rFonts w:ascii="Verdana" w:hAnsi="Verdana" w:cs="Times New Roman"/>
          <w:sz w:val="18"/>
          <w:szCs w:val="18"/>
        </w:rPr>
      </w:pPr>
      <w:r w:rsidRPr="00410565">
        <w:rPr>
          <w:rFonts w:ascii="Verdana" w:hAnsi="Verdana" w:cs="Times New Roman"/>
          <w:sz w:val="18"/>
          <w:szCs w:val="18"/>
        </w:rPr>
        <w:lastRenderedPageBreak/>
        <w:t xml:space="preserve">Asimismo, el Alto Tribunal señala que no puede llevarse al extremo la consideración de acto firme y consentido cuando la disparidad de valores trae causa de una </w:t>
      </w:r>
      <w:r w:rsidRPr="00410565">
        <w:rPr>
          <w:rFonts w:ascii="Verdana" w:hAnsi="Verdana" w:cs="Times New Roman"/>
          <w:b/>
          <w:bCs/>
          <w:sz w:val="18"/>
          <w:szCs w:val="18"/>
        </w:rPr>
        <w:t>omisión imputable a la propia Administración</w:t>
      </w:r>
      <w:r w:rsidRPr="00410565">
        <w:rPr>
          <w:rFonts w:ascii="Verdana" w:hAnsi="Verdana" w:cs="Times New Roman"/>
          <w:sz w:val="18"/>
          <w:szCs w:val="18"/>
        </w:rPr>
        <w:t>, concretamente la falta de notificación a uno de los copropietarios.</w:t>
      </w:r>
    </w:p>
    <w:p w14:paraId="51881B86" w14:textId="77777777" w:rsidR="00AC283D" w:rsidRDefault="00AC283D" w:rsidP="003058D7">
      <w:pPr>
        <w:ind w:left="284"/>
        <w:jc w:val="both"/>
        <w:rPr>
          <w:rFonts w:ascii="Verdana" w:hAnsi="Verdana" w:cs="Times New Roman"/>
          <w:sz w:val="18"/>
          <w:szCs w:val="18"/>
        </w:rPr>
      </w:pPr>
      <w:r w:rsidRPr="00410565">
        <w:rPr>
          <w:rFonts w:ascii="Verdana" w:hAnsi="Verdana" w:cs="Times New Roman"/>
          <w:b/>
          <w:bCs/>
          <w:sz w:val="18"/>
          <w:szCs w:val="18"/>
        </w:rPr>
        <w:t>Conclusión</w:t>
      </w:r>
      <w:r w:rsidRPr="00410565">
        <w:rPr>
          <w:rFonts w:ascii="Verdana" w:hAnsi="Verdana" w:cs="Times New Roman"/>
          <w:sz w:val="18"/>
          <w:szCs w:val="18"/>
        </w:rPr>
        <w:t>: se desestima el recurso de casación y se confirma la anulación de la liquidación practicada, reafirmando que el valor comprobado debe ser único para todos los obligados tributarios afectados.</w:t>
      </w:r>
    </w:p>
    <w:p w14:paraId="0137031C" w14:textId="77777777" w:rsidR="003058D7" w:rsidRDefault="003058D7" w:rsidP="003058D7">
      <w:pPr>
        <w:ind w:left="284"/>
        <w:jc w:val="both"/>
        <w:rPr>
          <w:rFonts w:ascii="Verdana" w:hAnsi="Verdana" w:cs="Times New Roman"/>
          <w:sz w:val="18"/>
          <w:szCs w:val="18"/>
        </w:rPr>
      </w:pPr>
    </w:p>
    <w:p w14:paraId="708026AD" w14:textId="77777777" w:rsidR="003058D7" w:rsidRDefault="003058D7" w:rsidP="003058D7">
      <w:pPr>
        <w:ind w:left="284"/>
        <w:jc w:val="both"/>
        <w:rPr>
          <w:rFonts w:ascii="Verdana" w:hAnsi="Verdana" w:cs="Times New Roman"/>
          <w:sz w:val="18"/>
          <w:szCs w:val="18"/>
        </w:rPr>
      </w:pPr>
    </w:p>
    <w:p w14:paraId="383483B0" w14:textId="77777777" w:rsidR="003058D7" w:rsidRPr="00410565" w:rsidRDefault="003058D7" w:rsidP="003058D7">
      <w:pPr>
        <w:ind w:left="284"/>
        <w:jc w:val="both"/>
        <w:rPr>
          <w:rFonts w:ascii="Verdana" w:hAnsi="Verdana" w:cs="Times New Roman"/>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AC283D" w:rsidRPr="00014BE4" w14:paraId="6F0DFFAA" w14:textId="77777777" w:rsidTr="00C65B71">
        <w:tc>
          <w:tcPr>
            <w:tcW w:w="180" w:type="dxa"/>
            <w:shd w:val="clear" w:color="auto" w:fill="FF6600"/>
          </w:tcPr>
          <w:p w14:paraId="4089AE14" w14:textId="77777777" w:rsidR="00AC283D" w:rsidRPr="00014BE4" w:rsidRDefault="00AC283D" w:rsidP="00C65B71">
            <w:pPr>
              <w:ind w:left="360"/>
              <w:rPr>
                <w:rFonts w:ascii="Verdana" w:hAnsi="Verdana"/>
                <w:b/>
                <w:bCs/>
                <w:color w:val="800000"/>
                <w:sz w:val="18"/>
                <w:szCs w:val="18"/>
              </w:rPr>
            </w:pPr>
            <w:bookmarkStart w:id="5" w:name="_Hlk220405218"/>
          </w:p>
        </w:tc>
        <w:tc>
          <w:tcPr>
            <w:tcW w:w="8460" w:type="dxa"/>
          </w:tcPr>
          <w:p w14:paraId="7CE818D8" w14:textId="77777777" w:rsidR="00AC283D" w:rsidRPr="00014BE4" w:rsidRDefault="00AC283D">
            <w:pPr>
              <w:numPr>
                <w:ilvl w:val="1"/>
                <w:numId w:val="3"/>
              </w:numPr>
              <w:ind w:left="389" w:hanging="283"/>
              <w:jc w:val="both"/>
              <w:rPr>
                <w:rFonts w:ascii="Verdana" w:hAnsi="Verdana"/>
                <w:b/>
                <w:bCs/>
                <w:color w:val="800000"/>
                <w:sz w:val="18"/>
                <w:szCs w:val="18"/>
              </w:rPr>
            </w:pPr>
            <w:r w:rsidRPr="00014BE4">
              <w:rPr>
                <w:rFonts w:ascii="Verdana" w:hAnsi="Verdana" w:cs="Verdana"/>
                <w:b/>
                <w:bCs/>
                <w:color w:val="800000"/>
                <w:sz w:val="18"/>
                <w:szCs w:val="18"/>
              </w:rPr>
              <w:t>IP. DEDUCIBILIDAD DE LAS DEUDAS DERIVADAS DEL IRPF</w:t>
            </w:r>
          </w:p>
        </w:tc>
      </w:tr>
    </w:tbl>
    <w:bookmarkEnd w:id="5"/>
    <w:p w14:paraId="07161DDD" w14:textId="77777777" w:rsidR="00AC283D" w:rsidRPr="00014BE4" w:rsidRDefault="00AC283D" w:rsidP="00AC283D">
      <w:pPr>
        <w:spacing w:before="100" w:beforeAutospacing="1" w:after="100" w:afterAutospacing="1"/>
        <w:ind w:left="284"/>
        <w:jc w:val="both"/>
        <w:rPr>
          <w:rFonts w:ascii="Verdana" w:hAnsi="Verdana" w:cs="Times New Roman"/>
          <w:sz w:val="18"/>
          <w:szCs w:val="18"/>
        </w:rPr>
      </w:pPr>
      <w:r w:rsidRPr="00014BE4">
        <w:rPr>
          <w:rFonts w:ascii="Verdana" w:hAnsi="Verdana" w:cs="Times New Roman"/>
          <w:sz w:val="18"/>
          <w:szCs w:val="18"/>
        </w:rPr>
        <w:t xml:space="preserve">El Tribunal Supremo, en su </w:t>
      </w:r>
      <w:r w:rsidRPr="00014BE4">
        <w:rPr>
          <w:rFonts w:ascii="Verdana" w:hAnsi="Verdana" w:cs="Times New Roman"/>
          <w:b/>
          <w:bCs/>
          <w:sz w:val="18"/>
          <w:szCs w:val="18"/>
        </w:rPr>
        <w:t>Sentencia 1584/2025, de 5 de diciembre</w:t>
      </w:r>
      <w:r w:rsidRPr="00014BE4">
        <w:rPr>
          <w:rFonts w:ascii="Verdana" w:hAnsi="Verdana" w:cs="Times New Roman"/>
          <w:sz w:val="18"/>
          <w:szCs w:val="18"/>
        </w:rPr>
        <w:t xml:space="preserve">, fija doctrina sobre el momento relevante para la </w:t>
      </w:r>
      <w:r w:rsidRPr="00014BE4">
        <w:rPr>
          <w:rFonts w:ascii="Verdana" w:hAnsi="Verdana" w:cs="Times New Roman"/>
          <w:b/>
          <w:bCs/>
          <w:sz w:val="18"/>
          <w:szCs w:val="18"/>
        </w:rPr>
        <w:t>deducibilidad de las deudas del IRPF en la base imponible del Impuesto sobre el Patrimonio (IP)</w:t>
      </w:r>
      <w:r w:rsidRPr="00014BE4">
        <w:rPr>
          <w:rFonts w:ascii="Verdana" w:hAnsi="Verdana" w:cs="Times New Roman"/>
          <w:sz w:val="18"/>
          <w:szCs w:val="18"/>
        </w:rPr>
        <w:t>.</w:t>
      </w:r>
    </w:p>
    <w:p w14:paraId="7684598F" w14:textId="77777777" w:rsidR="00AC283D" w:rsidRPr="00014BE4" w:rsidRDefault="00AC283D" w:rsidP="00AC283D">
      <w:pPr>
        <w:spacing w:before="100" w:beforeAutospacing="1" w:after="100" w:afterAutospacing="1"/>
        <w:ind w:left="284"/>
        <w:jc w:val="both"/>
        <w:rPr>
          <w:rFonts w:ascii="Verdana" w:hAnsi="Verdana" w:cs="Times New Roman"/>
          <w:sz w:val="18"/>
          <w:szCs w:val="18"/>
        </w:rPr>
      </w:pPr>
      <w:r w:rsidRPr="00014BE4">
        <w:rPr>
          <w:rFonts w:ascii="Verdana" w:hAnsi="Verdana" w:cs="Times New Roman"/>
          <w:sz w:val="18"/>
          <w:szCs w:val="18"/>
        </w:rPr>
        <w:t xml:space="preserve">La Sala aclara que </w:t>
      </w:r>
      <w:r w:rsidRPr="00014BE4">
        <w:rPr>
          <w:rFonts w:ascii="Verdana" w:hAnsi="Verdana" w:cs="Times New Roman"/>
          <w:b/>
          <w:bCs/>
          <w:sz w:val="18"/>
          <w:szCs w:val="18"/>
        </w:rPr>
        <w:t>solo son deducibles en el IP las deudas del IRPF que existan y sean exigibles a la fecha de devengo del IP (31 de diciembre)</w:t>
      </w:r>
      <w:r w:rsidRPr="00014BE4">
        <w:rPr>
          <w:rFonts w:ascii="Verdana" w:hAnsi="Verdana" w:cs="Times New Roman"/>
          <w:sz w:val="18"/>
          <w:szCs w:val="18"/>
        </w:rPr>
        <w:t xml:space="preserve">. En consecuencia, </w:t>
      </w:r>
      <w:r w:rsidRPr="00014BE4">
        <w:rPr>
          <w:rFonts w:ascii="Verdana" w:hAnsi="Verdana" w:cs="Times New Roman"/>
          <w:b/>
          <w:bCs/>
          <w:sz w:val="18"/>
          <w:szCs w:val="18"/>
        </w:rPr>
        <w:t>no resulta correcto atender a la fecha en que se practica la liquidación del IRPF</w:t>
      </w:r>
      <w:r w:rsidRPr="00014BE4">
        <w:rPr>
          <w:rFonts w:ascii="Verdana" w:hAnsi="Verdana" w:cs="Times New Roman"/>
          <w:sz w:val="18"/>
          <w:szCs w:val="18"/>
        </w:rPr>
        <w:t>, ya que dicha liquidación no constituye una nueva deuda, sino la concreción de una obligación ya existente.</w:t>
      </w:r>
    </w:p>
    <w:p w14:paraId="4E6CBE95" w14:textId="77777777" w:rsidR="00AC283D" w:rsidRPr="00014BE4" w:rsidRDefault="00AC283D" w:rsidP="00AC283D">
      <w:pPr>
        <w:spacing w:before="100" w:beforeAutospacing="1" w:after="100" w:afterAutospacing="1"/>
        <w:ind w:left="284"/>
        <w:jc w:val="both"/>
        <w:rPr>
          <w:rFonts w:ascii="Verdana" w:hAnsi="Verdana" w:cs="Times New Roman"/>
          <w:sz w:val="18"/>
          <w:szCs w:val="18"/>
        </w:rPr>
      </w:pPr>
      <w:r w:rsidRPr="00014BE4">
        <w:rPr>
          <w:rFonts w:ascii="Verdana" w:hAnsi="Verdana" w:cs="Times New Roman"/>
          <w:sz w:val="18"/>
          <w:szCs w:val="18"/>
        </w:rPr>
        <w:t>Asimismo, el Tribunal distingue entre:</w:t>
      </w:r>
    </w:p>
    <w:p w14:paraId="3CD828E1" w14:textId="77777777" w:rsidR="00AC283D" w:rsidRPr="00014BE4" w:rsidRDefault="00AC283D">
      <w:pPr>
        <w:numPr>
          <w:ilvl w:val="0"/>
          <w:numId w:val="8"/>
        </w:numPr>
        <w:spacing w:before="100" w:beforeAutospacing="1" w:after="100" w:afterAutospacing="1"/>
        <w:ind w:left="567" w:hanging="283"/>
        <w:jc w:val="both"/>
        <w:rPr>
          <w:rFonts w:ascii="Verdana" w:hAnsi="Verdana" w:cs="Times New Roman"/>
          <w:sz w:val="18"/>
          <w:szCs w:val="18"/>
        </w:rPr>
      </w:pPr>
      <w:r w:rsidRPr="00014BE4">
        <w:rPr>
          <w:rFonts w:ascii="Verdana" w:hAnsi="Verdana" w:cs="Times New Roman"/>
          <w:b/>
          <w:bCs/>
          <w:sz w:val="18"/>
          <w:szCs w:val="18"/>
        </w:rPr>
        <w:t>Deudas del IRPF correspondientes a ejercicios anteriores o coincidentes con el ejercicio del IP</w:t>
      </w:r>
      <w:r w:rsidRPr="00014BE4">
        <w:rPr>
          <w:rFonts w:ascii="Verdana" w:hAnsi="Verdana" w:cs="Times New Roman"/>
          <w:sz w:val="18"/>
          <w:szCs w:val="18"/>
        </w:rPr>
        <w:t xml:space="preserve">, que </w:t>
      </w:r>
      <w:r w:rsidRPr="00014BE4">
        <w:rPr>
          <w:rFonts w:ascii="Verdana" w:hAnsi="Verdana" w:cs="Times New Roman"/>
          <w:b/>
          <w:bCs/>
          <w:sz w:val="18"/>
          <w:szCs w:val="18"/>
        </w:rPr>
        <w:t>sí pueden ser deducibles</w:t>
      </w:r>
      <w:r w:rsidRPr="00014BE4">
        <w:rPr>
          <w:rFonts w:ascii="Verdana" w:hAnsi="Verdana" w:cs="Times New Roman"/>
          <w:sz w:val="18"/>
          <w:szCs w:val="18"/>
        </w:rPr>
        <w:t>, siempre que sean exigibles, aunque la liquidación esté recurrida o no sea firme.</w:t>
      </w:r>
    </w:p>
    <w:p w14:paraId="4BA515E8" w14:textId="77777777" w:rsidR="00AC283D" w:rsidRPr="00014BE4" w:rsidRDefault="00AC283D">
      <w:pPr>
        <w:numPr>
          <w:ilvl w:val="0"/>
          <w:numId w:val="8"/>
        </w:numPr>
        <w:spacing w:before="100" w:beforeAutospacing="1" w:after="100" w:afterAutospacing="1"/>
        <w:ind w:left="567" w:hanging="283"/>
        <w:jc w:val="both"/>
        <w:rPr>
          <w:rFonts w:ascii="Verdana" w:hAnsi="Verdana" w:cs="Times New Roman"/>
          <w:sz w:val="18"/>
          <w:szCs w:val="18"/>
        </w:rPr>
      </w:pPr>
      <w:r w:rsidRPr="00014BE4">
        <w:rPr>
          <w:rFonts w:ascii="Verdana" w:hAnsi="Verdana" w:cs="Times New Roman"/>
          <w:b/>
          <w:bCs/>
          <w:sz w:val="18"/>
          <w:szCs w:val="18"/>
        </w:rPr>
        <w:t>Deudas del IRPF nacidas con posterioridad al devengo del IP</w:t>
      </w:r>
      <w:r w:rsidRPr="00014BE4">
        <w:rPr>
          <w:rFonts w:ascii="Verdana" w:hAnsi="Verdana" w:cs="Times New Roman"/>
          <w:sz w:val="18"/>
          <w:szCs w:val="18"/>
        </w:rPr>
        <w:t xml:space="preserve">, que </w:t>
      </w:r>
      <w:r w:rsidRPr="00014BE4">
        <w:rPr>
          <w:rFonts w:ascii="Verdana" w:hAnsi="Verdana" w:cs="Times New Roman"/>
          <w:b/>
          <w:bCs/>
          <w:sz w:val="18"/>
          <w:szCs w:val="18"/>
        </w:rPr>
        <w:t>no son deducibles</w:t>
      </w:r>
      <w:r w:rsidRPr="00014BE4">
        <w:rPr>
          <w:rFonts w:ascii="Verdana" w:hAnsi="Verdana" w:cs="Times New Roman"/>
          <w:sz w:val="18"/>
          <w:szCs w:val="18"/>
        </w:rPr>
        <w:t>, por inexistentes en ese momento.</w:t>
      </w:r>
    </w:p>
    <w:p w14:paraId="17463AC7" w14:textId="77777777" w:rsidR="00AC283D" w:rsidRDefault="00AC283D" w:rsidP="00AC283D">
      <w:pPr>
        <w:spacing w:before="100" w:beforeAutospacing="1" w:after="100" w:afterAutospacing="1"/>
        <w:ind w:left="284"/>
        <w:jc w:val="both"/>
        <w:rPr>
          <w:rFonts w:ascii="Verdana" w:hAnsi="Verdana" w:cs="Times New Roman"/>
          <w:sz w:val="18"/>
          <w:szCs w:val="18"/>
        </w:rPr>
      </w:pPr>
      <w:r w:rsidRPr="00014BE4">
        <w:rPr>
          <w:rFonts w:ascii="Verdana" w:hAnsi="Verdana" w:cs="Times New Roman"/>
          <w:sz w:val="18"/>
          <w:szCs w:val="18"/>
        </w:rPr>
        <w:t xml:space="preserve">Con esta sentencia, el Tribunal Supremo </w:t>
      </w:r>
      <w:r w:rsidRPr="00014BE4">
        <w:rPr>
          <w:rFonts w:ascii="Verdana" w:hAnsi="Verdana" w:cs="Times New Roman"/>
          <w:b/>
          <w:bCs/>
          <w:sz w:val="18"/>
          <w:szCs w:val="18"/>
        </w:rPr>
        <w:t>reitera y consolida la jurisprudencia previa</w:t>
      </w:r>
      <w:r w:rsidRPr="00014BE4">
        <w:rPr>
          <w:rFonts w:ascii="Verdana" w:hAnsi="Verdana" w:cs="Times New Roman"/>
          <w:sz w:val="18"/>
          <w:szCs w:val="18"/>
        </w:rPr>
        <w:t xml:space="preserve">, confirmando que el criterio determinante es la </w:t>
      </w:r>
      <w:r w:rsidRPr="00014BE4">
        <w:rPr>
          <w:rFonts w:ascii="Verdana" w:hAnsi="Verdana" w:cs="Times New Roman"/>
          <w:b/>
          <w:bCs/>
          <w:sz w:val="18"/>
          <w:szCs w:val="18"/>
        </w:rPr>
        <w:t>existencia y exigibilidad de la deuda a la fecha de devengo del Impuesto sobre el Patrimonio</w:t>
      </w:r>
      <w:r w:rsidRPr="00014BE4">
        <w:rPr>
          <w:rFonts w:ascii="Verdana" w:hAnsi="Verdana" w:cs="Times New Roman"/>
          <w:sz w:val="18"/>
          <w:szCs w:val="18"/>
        </w:rPr>
        <w:t>, y no la fecha de su posterior comprobación o liquidación administrativa</w:t>
      </w:r>
      <w:r>
        <w:rPr>
          <w:rFonts w:ascii="Verdana" w:hAnsi="Verdana" w:cs="Times New Roman"/>
          <w:sz w:val="18"/>
          <w:szCs w:val="18"/>
        </w:rPr>
        <w:t>.</w:t>
      </w:r>
    </w:p>
    <w:p w14:paraId="7C49A16E" w14:textId="77777777" w:rsidR="00AC283D" w:rsidRPr="00014BE4" w:rsidRDefault="00AC283D" w:rsidP="00AC283D">
      <w:pPr>
        <w:spacing w:before="100" w:beforeAutospacing="1" w:after="100" w:afterAutospacing="1"/>
        <w:ind w:left="284"/>
        <w:jc w:val="both"/>
        <w:rPr>
          <w:rFonts w:ascii="Verdana" w:hAnsi="Verdana" w:cs="Times New Roman"/>
          <w:b/>
          <w:bCs/>
          <w:sz w:val="18"/>
          <w:szCs w:val="18"/>
        </w:rPr>
      </w:pPr>
      <w:r w:rsidRPr="00014BE4">
        <w:rPr>
          <w:rFonts w:ascii="Verdana" w:hAnsi="Verdana" w:cs="Times New Roman"/>
          <w:b/>
          <w:bCs/>
          <w:sz w:val="18"/>
          <w:szCs w:val="18"/>
        </w:rPr>
        <w:t>Comentario práctico</w:t>
      </w:r>
    </w:p>
    <w:p w14:paraId="2FC3018E" w14:textId="77777777" w:rsidR="00AC283D" w:rsidRPr="00014BE4" w:rsidRDefault="00AC283D" w:rsidP="00AC283D">
      <w:pPr>
        <w:spacing w:before="100" w:beforeAutospacing="1" w:after="100" w:afterAutospacing="1"/>
        <w:ind w:left="284"/>
        <w:jc w:val="both"/>
        <w:rPr>
          <w:rFonts w:ascii="Verdana" w:hAnsi="Verdana" w:cs="Times New Roman"/>
          <w:sz w:val="18"/>
          <w:szCs w:val="18"/>
        </w:rPr>
      </w:pPr>
      <w:r w:rsidRPr="00014BE4">
        <w:rPr>
          <w:rFonts w:ascii="Verdana" w:hAnsi="Verdana" w:cs="Times New Roman"/>
          <w:sz w:val="18"/>
          <w:szCs w:val="18"/>
        </w:rPr>
        <w:t xml:space="preserve">A la luz de esta doctrina, resulta especialmente relevante </w:t>
      </w:r>
      <w:r w:rsidRPr="00014BE4">
        <w:rPr>
          <w:rFonts w:ascii="Verdana" w:hAnsi="Verdana" w:cs="Times New Roman"/>
          <w:b/>
          <w:bCs/>
          <w:sz w:val="18"/>
          <w:szCs w:val="18"/>
        </w:rPr>
        <w:t>revisar la situación de las deudas del IRPF existentes a 31 de diciembre</w:t>
      </w:r>
      <w:r w:rsidRPr="00014BE4">
        <w:rPr>
          <w:rFonts w:ascii="Verdana" w:hAnsi="Verdana" w:cs="Times New Roman"/>
          <w:sz w:val="18"/>
          <w:szCs w:val="18"/>
        </w:rPr>
        <w:t xml:space="preserve"> en la planificación y revisión del Impuesto sobre el Patrimonio. En particular, podrán </w:t>
      </w:r>
      <w:r w:rsidRPr="00014BE4">
        <w:rPr>
          <w:rFonts w:ascii="Verdana" w:hAnsi="Verdana" w:cs="Times New Roman"/>
          <w:b/>
          <w:bCs/>
          <w:sz w:val="18"/>
          <w:szCs w:val="18"/>
        </w:rPr>
        <w:t>incluirse como deudas deducibles</w:t>
      </w:r>
      <w:r w:rsidRPr="00014BE4">
        <w:rPr>
          <w:rFonts w:ascii="Verdana" w:hAnsi="Verdana" w:cs="Times New Roman"/>
          <w:sz w:val="18"/>
          <w:szCs w:val="18"/>
        </w:rPr>
        <w:t xml:space="preserve"> aquellas correspondientes a ejercicios anteriores o al propio ejercicio, </w:t>
      </w:r>
      <w:r w:rsidRPr="00014BE4">
        <w:rPr>
          <w:rFonts w:ascii="Verdana" w:hAnsi="Verdana" w:cs="Times New Roman"/>
          <w:b/>
          <w:bCs/>
          <w:sz w:val="18"/>
          <w:szCs w:val="18"/>
        </w:rPr>
        <w:t>aunque se encuentren recurridas o no sean firmes</w:t>
      </w:r>
      <w:r w:rsidRPr="00014BE4">
        <w:rPr>
          <w:rFonts w:ascii="Verdana" w:hAnsi="Verdana" w:cs="Times New Roman"/>
          <w:sz w:val="18"/>
          <w:szCs w:val="18"/>
        </w:rPr>
        <w:t xml:space="preserve">, siempre que la deuda sea </w:t>
      </w:r>
      <w:r w:rsidRPr="00014BE4">
        <w:rPr>
          <w:rFonts w:ascii="Verdana" w:hAnsi="Verdana" w:cs="Times New Roman"/>
          <w:b/>
          <w:bCs/>
          <w:sz w:val="18"/>
          <w:szCs w:val="18"/>
        </w:rPr>
        <w:t>exigible en la fecha de devengo del IP</w:t>
      </w:r>
      <w:r w:rsidRPr="00014BE4">
        <w:rPr>
          <w:rFonts w:ascii="Verdana" w:hAnsi="Verdana" w:cs="Times New Roman"/>
          <w:sz w:val="18"/>
          <w:szCs w:val="18"/>
        </w:rPr>
        <w:t>.</w:t>
      </w:r>
    </w:p>
    <w:p w14:paraId="671F8385" w14:textId="77777777" w:rsidR="00AC283D" w:rsidRPr="00014BE4" w:rsidRDefault="00AC283D" w:rsidP="00AC283D">
      <w:pPr>
        <w:spacing w:before="100" w:beforeAutospacing="1" w:after="100" w:afterAutospacing="1"/>
        <w:ind w:left="284"/>
        <w:jc w:val="both"/>
        <w:rPr>
          <w:rFonts w:ascii="Verdana" w:hAnsi="Verdana" w:cs="Times New Roman"/>
          <w:sz w:val="18"/>
          <w:szCs w:val="18"/>
        </w:rPr>
      </w:pPr>
      <w:r w:rsidRPr="00014BE4">
        <w:rPr>
          <w:rFonts w:ascii="Verdana" w:hAnsi="Verdana" w:cs="Times New Roman"/>
          <w:sz w:val="18"/>
          <w:szCs w:val="18"/>
        </w:rPr>
        <w:t xml:space="preserve">Por el contrario, </w:t>
      </w:r>
      <w:r w:rsidRPr="00014BE4">
        <w:rPr>
          <w:rFonts w:ascii="Verdana" w:hAnsi="Verdana" w:cs="Times New Roman"/>
          <w:b/>
          <w:bCs/>
          <w:sz w:val="18"/>
          <w:szCs w:val="18"/>
        </w:rPr>
        <w:t>no serán deducibles</w:t>
      </w:r>
      <w:r w:rsidRPr="00014BE4">
        <w:rPr>
          <w:rFonts w:ascii="Verdana" w:hAnsi="Verdana" w:cs="Times New Roman"/>
          <w:sz w:val="18"/>
          <w:szCs w:val="18"/>
        </w:rPr>
        <w:t xml:space="preserve"> las deudas del IRPF que </w:t>
      </w:r>
      <w:r w:rsidRPr="00014BE4">
        <w:rPr>
          <w:rFonts w:ascii="Verdana" w:hAnsi="Verdana" w:cs="Times New Roman"/>
          <w:b/>
          <w:bCs/>
          <w:sz w:val="18"/>
          <w:szCs w:val="18"/>
        </w:rPr>
        <w:t>nazcan con posterioridad al 31 de diciembre</w:t>
      </w:r>
      <w:r w:rsidRPr="00014BE4">
        <w:rPr>
          <w:rFonts w:ascii="Verdana" w:hAnsi="Verdana" w:cs="Times New Roman"/>
          <w:sz w:val="18"/>
          <w:szCs w:val="18"/>
        </w:rPr>
        <w:t>, incluso cuando deriven de regularizaciones o liquidaciones practicadas con posterioridad por la Administración.</w:t>
      </w:r>
    </w:p>
    <w:p w14:paraId="3F05647A" w14:textId="77777777" w:rsidR="00AC283D" w:rsidRDefault="00AC283D" w:rsidP="00AC283D">
      <w:pPr>
        <w:spacing w:before="100" w:beforeAutospacing="1" w:after="100" w:afterAutospacing="1"/>
        <w:ind w:left="284"/>
        <w:jc w:val="both"/>
        <w:rPr>
          <w:rFonts w:ascii="Verdana" w:hAnsi="Verdana" w:cs="Times New Roman"/>
          <w:sz w:val="18"/>
          <w:szCs w:val="18"/>
        </w:rPr>
      </w:pPr>
      <w:r w:rsidRPr="00014BE4">
        <w:rPr>
          <w:rFonts w:ascii="Verdana" w:hAnsi="Verdana" w:cs="Times New Roman"/>
          <w:sz w:val="18"/>
          <w:szCs w:val="18"/>
        </w:rPr>
        <w:t xml:space="preserve">Este criterio refuerza la importancia de </w:t>
      </w:r>
      <w:r w:rsidRPr="00014BE4">
        <w:rPr>
          <w:rFonts w:ascii="Verdana" w:hAnsi="Verdana" w:cs="Times New Roman"/>
          <w:b/>
          <w:bCs/>
          <w:sz w:val="18"/>
          <w:szCs w:val="18"/>
        </w:rPr>
        <w:t>documentar adecuadamente las deudas tributarias existentes a la fecha de devengo</w:t>
      </w:r>
      <w:r w:rsidRPr="00014BE4">
        <w:rPr>
          <w:rFonts w:ascii="Verdana" w:hAnsi="Verdana" w:cs="Times New Roman"/>
          <w:sz w:val="18"/>
          <w:szCs w:val="18"/>
        </w:rPr>
        <w:t xml:space="preserve">, así como de analizar su exigibilidad, a fin de </w:t>
      </w:r>
      <w:r w:rsidRPr="00014BE4">
        <w:rPr>
          <w:rFonts w:ascii="Verdana" w:hAnsi="Verdana" w:cs="Times New Roman"/>
          <w:b/>
          <w:bCs/>
          <w:sz w:val="18"/>
          <w:szCs w:val="18"/>
        </w:rPr>
        <w:t>evitar ajustes y contingencias en comprobaciones del Impuesto sobre el Patrimonio</w:t>
      </w:r>
      <w:r w:rsidRPr="00014BE4">
        <w:rPr>
          <w:rFonts w:ascii="Verdana" w:hAnsi="Verdana" w:cs="Times New Roman"/>
          <w:sz w:val="18"/>
          <w:szCs w:val="18"/>
        </w:rPr>
        <w:t>.</w:t>
      </w:r>
    </w:p>
    <w:p w14:paraId="329696B7" w14:textId="77777777" w:rsidR="003058D7" w:rsidRDefault="003058D7" w:rsidP="00AC283D">
      <w:pPr>
        <w:spacing w:before="100" w:beforeAutospacing="1" w:after="100" w:afterAutospacing="1"/>
        <w:ind w:left="284"/>
        <w:jc w:val="both"/>
        <w:rPr>
          <w:rFonts w:ascii="Verdana" w:hAnsi="Verdana" w:cs="Times New Roman"/>
          <w:sz w:val="18"/>
          <w:szCs w:val="18"/>
        </w:rPr>
      </w:pPr>
    </w:p>
    <w:p w14:paraId="189DBA70" w14:textId="77777777" w:rsidR="003058D7" w:rsidRDefault="003058D7" w:rsidP="00AC283D">
      <w:pPr>
        <w:spacing w:before="100" w:beforeAutospacing="1" w:after="100" w:afterAutospacing="1"/>
        <w:ind w:left="284"/>
        <w:jc w:val="both"/>
        <w:rPr>
          <w:rFonts w:ascii="Verdana" w:hAnsi="Verdana" w:cs="Times New Roman"/>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AC283D" w:rsidRPr="001B6507" w14:paraId="4BCE3B1A" w14:textId="77777777" w:rsidTr="00C65B71">
        <w:tc>
          <w:tcPr>
            <w:tcW w:w="180" w:type="dxa"/>
            <w:shd w:val="clear" w:color="auto" w:fill="FF6600"/>
          </w:tcPr>
          <w:p w14:paraId="3375D51D" w14:textId="77777777" w:rsidR="00AC283D" w:rsidRPr="001B6507" w:rsidRDefault="00AC283D" w:rsidP="00C65B71">
            <w:pPr>
              <w:ind w:left="360"/>
              <w:rPr>
                <w:rFonts w:ascii="Verdana" w:hAnsi="Verdana"/>
                <w:b/>
                <w:bCs/>
                <w:color w:val="800000"/>
                <w:sz w:val="18"/>
                <w:szCs w:val="18"/>
              </w:rPr>
            </w:pPr>
            <w:bookmarkStart w:id="6" w:name="_Hlk220320542"/>
          </w:p>
        </w:tc>
        <w:tc>
          <w:tcPr>
            <w:tcW w:w="8460" w:type="dxa"/>
          </w:tcPr>
          <w:p w14:paraId="4A7D8117" w14:textId="60D32B91" w:rsidR="00AC283D" w:rsidRPr="002F2D58" w:rsidRDefault="00AC283D">
            <w:pPr>
              <w:numPr>
                <w:ilvl w:val="1"/>
                <w:numId w:val="3"/>
              </w:numPr>
              <w:tabs>
                <w:tab w:val="clear" w:pos="786"/>
                <w:tab w:val="num" w:pos="384"/>
              </w:tabs>
              <w:ind w:left="384" w:hanging="283"/>
              <w:jc w:val="both"/>
              <w:rPr>
                <w:rFonts w:ascii="Verdana" w:hAnsi="Verdana"/>
                <w:b/>
                <w:bCs/>
                <w:color w:val="800000"/>
                <w:sz w:val="18"/>
                <w:szCs w:val="18"/>
              </w:rPr>
            </w:pPr>
            <w:bookmarkStart w:id="7" w:name="_Hlk220319217"/>
            <w:r>
              <w:rPr>
                <w:rFonts w:ascii="Verdana" w:hAnsi="Verdana"/>
                <w:b/>
                <w:bCs/>
                <w:color w:val="800000"/>
                <w:sz w:val="18"/>
                <w:szCs w:val="18"/>
              </w:rPr>
              <w:t xml:space="preserve">IMPUESTO SOBRE DONACIONES.  </w:t>
            </w:r>
            <w:r w:rsidRPr="002F2D58">
              <w:rPr>
                <w:rFonts w:ascii="Verdana" w:hAnsi="Verdana"/>
                <w:b/>
                <w:bCs/>
                <w:color w:val="800000"/>
                <w:sz w:val="18"/>
                <w:szCs w:val="18"/>
              </w:rPr>
              <w:t xml:space="preserve">NO PUEDE APLICARSE LA BONIFICACIÓN POR PARENTSCO </w:t>
            </w:r>
            <w:r w:rsidR="00F14369">
              <w:rPr>
                <w:rFonts w:ascii="Verdana" w:hAnsi="Verdana"/>
                <w:b/>
                <w:bCs/>
                <w:color w:val="800000"/>
                <w:sz w:val="18"/>
                <w:szCs w:val="18"/>
              </w:rPr>
              <w:t>EN</w:t>
            </w:r>
            <w:r w:rsidRPr="002F2D58">
              <w:rPr>
                <w:rFonts w:ascii="Verdana" w:hAnsi="Verdana"/>
                <w:b/>
                <w:bCs/>
                <w:color w:val="800000"/>
                <w:sz w:val="18"/>
                <w:szCs w:val="18"/>
              </w:rPr>
              <w:t xml:space="preserve"> LA CESIÓN GRATUITA DE DERECHOS DE CRÉDITO MEDIANTE DOCUMENTO PRIVADO</w:t>
            </w:r>
            <w:bookmarkEnd w:id="7"/>
            <w:r w:rsidRPr="002F2D58">
              <w:rPr>
                <w:rFonts w:ascii="Verdana" w:hAnsi="Verdana"/>
                <w:b/>
                <w:bCs/>
                <w:color w:val="800000"/>
                <w:sz w:val="18"/>
                <w:szCs w:val="18"/>
              </w:rPr>
              <w:t xml:space="preserve"> </w:t>
            </w:r>
          </w:p>
        </w:tc>
      </w:tr>
    </w:tbl>
    <w:bookmarkEnd w:id="6"/>
    <w:p w14:paraId="41BE35ED" w14:textId="77777777" w:rsidR="00AC283D" w:rsidRPr="003F5739" w:rsidRDefault="00AC283D" w:rsidP="00AC283D">
      <w:pPr>
        <w:spacing w:before="100" w:beforeAutospacing="1" w:after="100" w:afterAutospacing="1"/>
        <w:ind w:left="284"/>
        <w:jc w:val="both"/>
        <w:rPr>
          <w:rFonts w:ascii="Verdana" w:hAnsi="Verdana" w:cs="Times New Roman"/>
          <w:sz w:val="18"/>
          <w:szCs w:val="18"/>
        </w:rPr>
      </w:pPr>
      <w:r w:rsidRPr="003F5739">
        <w:rPr>
          <w:rFonts w:ascii="Verdana" w:hAnsi="Verdana" w:cs="Times New Roman"/>
          <w:sz w:val="18"/>
          <w:szCs w:val="18"/>
        </w:rPr>
        <w:t xml:space="preserve">El </w:t>
      </w:r>
      <w:r w:rsidRPr="003F5739">
        <w:rPr>
          <w:rFonts w:ascii="Verdana" w:hAnsi="Verdana" w:cs="Times New Roman"/>
          <w:b/>
          <w:bCs/>
          <w:sz w:val="18"/>
          <w:szCs w:val="18"/>
        </w:rPr>
        <w:t>TSJ de Madrid</w:t>
      </w:r>
      <w:r w:rsidRPr="003F5739">
        <w:rPr>
          <w:rFonts w:ascii="Verdana" w:hAnsi="Verdana" w:cs="Times New Roman"/>
          <w:sz w:val="18"/>
          <w:szCs w:val="18"/>
        </w:rPr>
        <w:t xml:space="preserve"> </w:t>
      </w:r>
      <w:r>
        <w:rPr>
          <w:rFonts w:ascii="Verdana" w:hAnsi="Verdana" w:cs="Times New Roman"/>
          <w:sz w:val="18"/>
          <w:szCs w:val="18"/>
        </w:rPr>
        <w:t xml:space="preserve">en su sentencia </w:t>
      </w:r>
      <w:r w:rsidRPr="003F5739">
        <w:rPr>
          <w:rFonts w:ascii="Verdana" w:hAnsi="Verdana" w:cs="Times New Roman"/>
          <w:b/>
          <w:bCs/>
          <w:i/>
          <w:iCs/>
          <w:sz w:val="18"/>
          <w:szCs w:val="18"/>
        </w:rPr>
        <w:t>núm. 660/2025, de 3 de octubre de 2025, rec. núm. 1072/2023,</w:t>
      </w:r>
      <w:r w:rsidRPr="003F5739">
        <w:rPr>
          <w:rFonts w:ascii="Verdana" w:hAnsi="Verdana" w:cs="Times New Roman"/>
          <w:sz w:val="18"/>
          <w:szCs w:val="18"/>
        </w:rPr>
        <w:t xml:space="preserve"> desestima el recurso interpuesto contra la liquidación del </w:t>
      </w:r>
      <w:r w:rsidRPr="003F5739">
        <w:rPr>
          <w:rFonts w:ascii="Verdana" w:hAnsi="Verdana" w:cs="Times New Roman"/>
          <w:b/>
          <w:bCs/>
          <w:sz w:val="18"/>
          <w:szCs w:val="18"/>
        </w:rPr>
        <w:t>Impuesto sobre Sucesiones y Donaciones</w:t>
      </w:r>
      <w:r w:rsidRPr="003F5739">
        <w:rPr>
          <w:rFonts w:ascii="Verdana" w:hAnsi="Verdana" w:cs="Times New Roman"/>
          <w:sz w:val="18"/>
          <w:szCs w:val="18"/>
        </w:rPr>
        <w:t xml:space="preserve"> derivada de una </w:t>
      </w:r>
      <w:r w:rsidRPr="003F5739">
        <w:rPr>
          <w:rFonts w:ascii="Verdana" w:hAnsi="Verdana" w:cs="Times New Roman"/>
          <w:b/>
          <w:bCs/>
          <w:sz w:val="18"/>
          <w:szCs w:val="18"/>
        </w:rPr>
        <w:t>cesión gratuita de créditos</w:t>
      </w:r>
      <w:r w:rsidRPr="003F5739">
        <w:rPr>
          <w:rFonts w:ascii="Verdana" w:hAnsi="Verdana" w:cs="Times New Roman"/>
          <w:sz w:val="18"/>
          <w:szCs w:val="18"/>
        </w:rPr>
        <w:t xml:space="preserve"> realizada por unos padres a favor de sus hijos mediante </w:t>
      </w:r>
      <w:r w:rsidRPr="003F5739">
        <w:rPr>
          <w:rFonts w:ascii="Verdana" w:hAnsi="Verdana" w:cs="Times New Roman"/>
          <w:b/>
          <w:bCs/>
          <w:sz w:val="18"/>
          <w:szCs w:val="18"/>
        </w:rPr>
        <w:t>documento privado</w:t>
      </w:r>
      <w:r w:rsidRPr="003F5739">
        <w:rPr>
          <w:rFonts w:ascii="Verdana" w:hAnsi="Verdana" w:cs="Times New Roman"/>
          <w:sz w:val="18"/>
          <w:szCs w:val="18"/>
        </w:rPr>
        <w:t>.</w:t>
      </w:r>
    </w:p>
    <w:p w14:paraId="3927AB00" w14:textId="2F2709C4" w:rsidR="00AC283D" w:rsidRPr="003F5739" w:rsidRDefault="00AC283D" w:rsidP="00AC283D">
      <w:pPr>
        <w:spacing w:before="100" w:beforeAutospacing="1" w:after="100" w:afterAutospacing="1"/>
        <w:ind w:left="284"/>
        <w:jc w:val="both"/>
        <w:rPr>
          <w:rFonts w:ascii="Verdana" w:hAnsi="Verdana" w:cs="Times New Roman"/>
          <w:sz w:val="18"/>
          <w:szCs w:val="18"/>
        </w:rPr>
      </w:pPr>
      <w:r w:rsidRPr="003F5739">
        <w:rPr>
          <w:rFonts w:ascii="Verdana" w:hAnsi="Verdana" w:cs="Times New Roman"/>
          <w:sz w:val="18"/>
          <w:szCs w:val="18"/>
        </w:rPr>
        <w:t xml:space="preserve">El Tribunal concluye que la operación constituye </w:t>
      </w:r>
      <w:r w:rsidRPr="003F5739">
        <w:rPr>
          <w:rFonts w:ascii="Verdana" w:hAnsi="Verdana" w:cs="Times New Roman"/>
          <w:b/>
          <w:bCs/>
          <w:sz w:val="18"/>
          <w:szCs w:val="18"/>
        </w:rPr>
        <w:t xml:space="preserve">una verdadera donación </w:t>
      </w:r>
      <w:r w:rsidR="00F14369">
        <w:rPr>
          <w:rFonts w:ascii="Verdana" w:hAnsi="Verdana" w:cs="Times New Roman"/>
          <w:b/>
          <w:bCs/>
          <w:sz w:val="18"/>
          <w:szCs w:val="18"/>
        </w:rPr>
        <w:t>“</w:t>
      </w:r>
      <w:r w:rsidRPr="003F5739">
        <w:rPr>
          <w:rFonts w:ascii="Verdana" w:hAnsi="Verdana" w:cs="Times New Roman"/>
          <w:b/>
          <w:bCs/>
          <w:sz w:val="18"/>
          <w:szCs w:val="18"/>
        </w:rPr>
        <w:t>inter vivos</w:t>
      </w:r>
      <w:r w:rsidR="00F14369">
        <w:rPr>
          <w:rFonts w:ascii="Verdana" w:hAnsi="Verdana" w:cs="Times New Roman"/>
          <w:b/>
          <w:bCs/>
          <w:sz w:val="18"/>
          <w:szCs w:val="18"/>
        </w:rPr>
        <w:t>”</w:t>
      </w:r>
      <w:r w:rsidRPr="003F5739">
        <w:rPr>
          <w:rFonts w:ascii="Verdana" w:hAnsi="Verdana" w:cs="Times New Roman"/>
          <w:sz w:val="18"/>
          <w:szCs w:val="18"/>
        </w:rPr>
        <w:t xml:space="preserve">, al transmitirse derechos de crédito </w:t>
      </w:r>
      <w:r w:rsidRPr="003F5739">
        <w:rPr>
          <w:rFonts w:ascii="Verdana" w:hAnsi="Verdana" w:cs="Times New Roman"/>
          <w:b/>
          <w:bCs/>
          <w:sz w:val="18"/>
          <w:szCs w:val="18"/>
        </w:rPr>
        <w:t>sin contraprestación</w:t>
      </w:r>
      <w:r w:rsidRPr="003F5739">
        <w:rPr>
          <w:rFonts w:ascii="Verdana" w:hAnsi="Verdana" w:cs="Times New Roman"/>
          <w:sz w:val="18"/>
          <w:szCs w:val="18"/>
        </w:rPr>
        <w:t xml:space="preserve">, extremo que además se reconoce expresamente en el propio contrato. En consecuencia, se integra plenamente el </w:t>
      </w:r>
      <w:r w:rsidRPr="003F5739">
        <w:rPr>
          <w:rFonts w:ascii="Verdana" w:hAnsi="Verdana" w:cs="Times New Roman"/>
          <w:b/>
          <w:bCs/>
          <w:sz w:val="18"/>
          <w:szCs w:val="18"/>
        </w:rPr>
        <w:t>hecho imponible del ISD</w:t>
      </w:r>
      <w:r w:rsidRPr="003F5739">
        <w:rPr>
          <w:rFonts w:ascii="Verdana" w:hAnsi="Verdana" w:cs="Times New Roman"/>
          <w:sz w:val="18"/>
          <w:szCs w:val="18"/>
        </w:rPr>
        <w:t>.</w:t>
      </w:r>
    </w:p>
    <w:p w14:paraId="41D7FA0A" w14:textId="77777777" w:rsidR="00AC283D" w:rsidRPr="003F5739" w:rsidRDefault="00AC283D" w:rsidP="00AC283D">
      <w:pPr>
        <w:spacing w:before="100" w:beforeAutospacing="1" w:after="100" w:afterAutospacing="1"/>
        <w:ind w:left="284"/>
        <w:jc w:val="both"/>
        <w:rPr>
          <w:rFonts w:ascii="Verdana" w:hAnsi="Verdana" w:cs="Times New Roman"/>
          <w:sz w:val="18"/>
          <w:szCs w:val="18"/>
        </w:rPr>
      </w:pPr>
      <w:r w:rsidRPr="003F5739">
        <w:rPr>
          <w:rFonts w:ascii="Verdana" w:hAnsi="Verdana" w:cs="Times New Roman"/>
          <w:sz w:val="18"/>
          <w:szCs w:val="18"/>
        </w:rPr>
        <w:t xml:space="preserve">Asimismo, se rechaza la aplicación de la </w:t>
      </w:r>
      <w:r w:rsidRPr="003F5739">
        <w:rPr>
          <w:rFonts w:ascii="Verdana" w:hAnsi="Verdana" w:cs="Times New Roman"/>
          <w:b/>
          <w:bCs/>
          <w:sz w:val="18"/>
          <w:szCs w:val="18"/>
        </w:rPr>
        <w:t>bonificación del 99 % prevista en la normativa autonómica de la Comunidad de Madrid</w:t>
      </w:r>
      <w:r w:rsidRPr="003F5739">
        <w:rPr>
          <w:rFonts w:ascii="Verdana" w:hAnsi="Verdana" w:cs="Times New Roman"/>
          <w:sz w:val="18"/>
          <w:szCs w:val="18"/>
        </w:rPr>
        <w:t xml:space="preserve">, al no cumplirse el requisito formal de que la donación se documente en </w:t>
      </w:r>
      <w:r w:rsidRPr="003F5739">
        <w:rPr>
          <w:rFonts w:ascii="Verdana" w:hAnsi="Verdana" w:cs="Times New Roman"/>
          <w:b/>
          <w:bCs/>
          <w:sz w:val="18"/>
          <w:szCs w:val="18"/>
        </w:rPr>
        <w:t>escritura pública</w:t>
      </w:r>
      <w:r w:rsidRPr="003F5739">
        <w:rPr>
          <w:rFonts w:ascii="Verdana" w:hAnsi="Verdana" w:cs="Times New Roman"/>
          <w:sz w:val="18"/>
          <w:szCs w:val="18"/>
        </w:rPr>
        <w:t xml:space="preserve">. El Tribunal aclara que la mera presentación del documento privado ante la Administración tributaria </w:t>
      </w:r>
      <w:r w:rsidRPr="003F5739">
        <w:rPr>
          <w:rFonts w:ascii="Verdana" w:hAnsi="Verdana" w:cs="Times New Roman"/>
          <w:b/>
          <w:bCs/>
          <w:sz w:val="18"/>
          <w:szCs w:val="18"/>
        </w:rPr>
        <w:t>no lo convierte en documento público</w:t>
      </w:r>
      <w:r w:rsidRPr="003F5739">
        <w:rPr>
          <w:rFonts w:ascii="Verdana" w:hAnsi="Verdana" w:cs="Times New Roman"/>
          <w:sz w:val="18"/>
          <w:szCs w:val="18"/>
        </w:rPr>
        <w:t>, ni suple la intervención notarial exigida por la norma.</w:t>
      </w:r>
    </w:p>
    <w:p w14:paraId="15A01FB6" w14:textId="77777777" w:rsidR="00AC283D" w:rsidRPr="003F5739" w:rsidRDefault="00AC283D" w:rsidP="00AC283D">
      <w:pPr>
        <w:spacing w:before="100" w:beforeAutospacing="1" w:after="100" w:afterAutospacing="1"/>
        <w:ind w:left="284"/>
        <w:jc w:val="both"/>
        <w:rPr>
          <w:rFonts w:ascii="Verdana" w:hAnsi="Verdana" w:cs="Times New Roman"/>
          <w:sz w:val="18"/>
          <w:szCs w:val="18"/>
        </w:rPr>
      </w:pPr>
      <w:r w:rsidRPr="003F5739">
        <w:rPr>
          <w:rFonts w:ascii="Verdana" w:hAnsi="Verdana" w:cs="Times New Roman"/>
          <w:sz w:val="18"/>
          <w:szCs w:val="18"/>
        </w:rPr>
        <w:t>La sentencia reitera doctrina previa de la propia Sala y confirma que la bonificación solo resulta aplicable cuando la donación se formaliza en documento notarial, ya sea en el momento del devengo o con posterioridad mediante elevación a público, circunstancia que no concurre en el caso analizado.</w:t>
      </w:r>
    </w:p>
    <w:p w14:paraId="002CEFB4" w14:textId="77777777" w:rsidR="00AC283D" w:rsidRDefault="00AC283D" w:rsidP="00AC283D">
      <w:pPr>
        <w:spacing w:before="100" w:beforeAutospacing="1" w:after="100" w:afterAutospacing="1"/>
        <w:ind w:left="284"/>
        <w:jc w:val="both"/>
        <w:rPr>
          <w:rFonts w:ascii="Verdana" w:hAnsi="Verdana" w:cs="Times New Roman"/>
          <w:sz w:val="18"/>
          <w:szCs w:val="18"/>
        </w:rPr>
      </w:pPr>
    </w:p>
    <w:p w14:paraId="7CCBD9F7" w14:textId="77777777" w:rsidR="00AC283D" w:rsidRPr="00014BE4" w:rsidRDefault="00AC283D" w:rsidP="00AC283D">
      <w:pPr>
        <w:spacing w:before="100" w:beforeAutospacing="1" w:after="100" w:afterAutospacing="1"/>
        <w:ind w:left="284"/>
        <w:jc w:val="both"/>
        <w:rPr>
          <w:rFonts w:ascii="Verdana" w:hAnsi="Verdana" w:cs="Times New Roman"/>
          <w:sz w:val="18"/>
          <w:szCs w:val="18"/>
        </w:rPr>
      </w:pPr>
    </w:p>
    <w:p w14:paraId="37CC0107" w14:textId="77777777" w:rsidR="00AC283D" w:rsidRDefault="00AC283D" w:rsidP="004C5A95">
      <w:pPr>
        <w:pStyle w:val="Prrafodelista"/>
        <w:tabs>
          <w:tab w:val="left" w:pos="284"/>
        </w:tabs>
        <w:ind w:left="284"/>
        <w:jc w:val="both"/>
        <w:rPr>
          <w:rFonts w:ascii="Verdana" w:hAnsi="Verdana" w:cs="Verdana"/>
          <w:b/>
          <w:bCs/>
          <w:i/>
          <w:iCs/>
          <w:color w:val="800000"/>
          <w:sz w:val="18"/>
          <w:szCs w:val="18"/>
        </w:rPr>
      </w:pPr>
    </w:p>
    <w:p w14:paraId="28F9A680" w14:textId="77777777" w:rsidR="00AC283D" w:rsidRDefault="00AC283D" w:rsidP="004C5A95">
      <w:pPr>
        <w:pStyle w:val="Prrafodelista"/>
        <w:tabs>
          <w:tab w:val="left" w:pos="284"/>
        </w:tabs>
        <w:ind w:left="284"/>
        <w:jc w:val="both"/>
        <w:rPr>
          <w:rFonts w:ascii="Verdana" w:hAnsi="Verdana" w:cs="Verdana"/>
          <w:b/>
          <w:bCs/>
          <w:i/>
          <w:iCs/>
          <w:color w:val="800000"/>
          <w:sz w:val="18"/>
          <w:szCs w:val="18"/>
        </w:rPr>
      </w:pPr>
    </w:p>
    <w:p w14:paraId="0B5EA637" w14:textId="77777777" w:rsidR="00AC283D" w:rsidRDefault="00AC283D" w:rsidP="004C5A95">
      <w:pPr>
        <w:pStyle w:val="Prrafodelista"/>
        <w:tabs>
          <w:tab w:val="left" w:pos="284"/>
        </w:tabs>
        <w:ind w:left="284"/>
        <w:jc w:val="both"/>
        <w:rPr>
          <w:rFonts w:ascii="Verdana" w:hAnsi="Verdana" w:cs="Verdana"/>
          <w:b/>
          <w:bCs/>
          <w:i/>
          <w:iCs/>
          <w:color w:val="800000"/>
          <w:sz w:val="18"/>
          <w:szCs w:val="18"/>
        </w:rPr>
      </w:pPr>
    </w:p>
    <w:p w14:paraId="11ABA351" w14:textId="77777777" w:rsidR="002A340C" w:rsidRDefault="002A340C" w:rsidP="004C5A95">
      <w:pPr>
        <w:pStyle w:val="Prrafodelista"/>
        <w:tabs>
          <w:tab w:val="left" w:pos="284"/>
        </w:tabs>
        <w:ind w:left="284"/>
        <w:jc w:val="both"/>
        <w:rPr>
          <w:rFonts w:ascii="Verdana" w:hAnsi="Verdana" w:cs="Verdana"/>
          <w:b/>
          <w:bCs/>
          <w:i/>
          <w:iCs/>
          <w:color w:val="800000"/>
          <w:sz w:val="18"/>
          <w:szCs w:val="18"/>
        </w:rPr>
      </w:pPr>
    </w:p>
    <w:p w14:paraId="4AA7A1E5" w14:textId="77777777" w:rsidR="000120FB" w:rsidRDefault="000120FB" w:rsidP="004C5A95">
      <w:pPr>
        <w:pStyle w:val="Prrafodelista"/>
        <w:tabs>
          <w:tab w:val="left" w:pos="284"/>
        </w:tabs>
        <w:ind w:left="284"/>
        <w:jc w:val="both"/>
        <w:rPr>
          <w:rFonts w:ascii="Verdana" w:hAnsi="Verdana" w:cs="Verdana"/>
          <w:b/>
          <w:bCs/>
          <w:i/>
          <w:iCs/>
          <w:color w:val="800000"/>
          <w:sz w:val="18"/>
          <w:szCs w:val="18"/>
        </w:rPr>
      </w:pPr>
    </w:p>
    <w:p w14:paraId="495F075C" w14:textId="5DAA2DBC" w:rsidR="004102A3" w:rsidRPr="004A79AC" w:rsidRDefault="004102A3" w:rsidP="002730BA">
      <w:pPr>
        <w:tabs>
          <w:tab w:val="left" w:pos="0"/>
        </w:tabs>
        <w:ind w:left="284"/>
        <w:jc w:val="both"/>
        <w:rPr>
          <w:rFonts w:ascii="Verdana" w:hAnsi="Verdana" w:cs="Verdana"/>
          <w:b/>
          <w:bCs/>
          <w:color w:val="800000"/>
          <w:sz w:val="18"/>
          <w:szCs w:val="18"/>
        </w:rPr>
      </w:pPr>
    </w:p>
    <w:p w14:paraId="6187FD76" w14:textId="7A8D0DE7" w:rsidR="00D93B1C" w:rsidRPr="00D93B1C" w:rsidRDefault="00D93B1C" w:rsidP="00D93B1C">
      <w:pPr>
        <w:spacing w:before="100" w:beforeAutospacing="1" w:after="100" w:afterAutospacing="1"/>
        <w:ind w:left="284"/>
        <w:jc w:val="both"/>
        <w:rPr>
          <w:rFonts w:ascii="Verdana" w:hAnsi="Verdana" w:cs="Times New Roman"/>
          <w:sz w:val="18"/>
          <w:szCs w:val="18"/>
        </w:rPr>
      </w:pPr>
    </w:p>
    <w:p w14:paraId="365F45D9" w14:textId="77777777" w:rsidR="00014BE4" w:rsidRDefault="00014BE4" w:rsidP="00014BE4">
      <w:pPr>
        <w:spacing w:before="100" w:beforeAutospacing="1" w:after="100" w:afterAutospacing="1"/>
        <w:ind w:left="284"/>
        <w:rPr>
          <w:rFonts w:ascii="Verdana" w:hAnsi="Verdana" w:cs="Times New Roman"/>
          <w:sz w:val="18"/>
          <w:szCs w:val="18"/>
        </w:rPr>
      </w:pPr>
    </w:p>
    <w:p w14:paraId="355FED2B" w14:textId="77777777" w:rsidR="00014BE4" w:rsidRPr="00014BE4" w:rsidRDefault="00014BE4" w:rsidP="00014BE4">
      <w:pPr>
        <w:spacing w:before="100" w:beforeAutospacing="1" w:after="100" w:afterAutospacing="1"/>
        <w:ind w:left="284"/>
        <w:rPr>
          <w:rFonts w:ascii="Verdana" w:hAnsi="Verdana" w:cs="Times New Roman"/>
          <w:sz w:val="18"/>
          <w:szCs w:val="18"/>
        </w:rPr>
      </w:pPr>
    </w:p>
    <w:p w14:paraId="22EB3C40" w14:textId="6DDF09BA" w:rsidR="006F361F" w:rsidRDefault="006F361F" w:rsidP="00D93B1C">
      <w:pPr>
        <w:ind w:left="284"/>
        <w:jc w:val="both"/>
        <w:rPr>
          <w:rFonts w:ascii="Verdana" w:hAnsi="Verdana" w:cs="Verdana"/>
          <w:b/>
          <w:bCs/>
          <w:color w:val="800000"/>
          <w:sz w:val="22"/>
          <w:szCs w:val="22"/>
        </w:rPr>
      </w:pPr>
      <w:r>
        <w:rPr>
          <w:rFonts w:ascii="Verdana" w:hAnsi="Verdana" w:cs="Verdana"/>
          <w:b/>
          <w:bCs/>
          <w:color w:val="800000"/>
          <w:sz w:val="22"/>
          <w:szCs w:val="22"/>
        </w:rPr>
        <w:br w:type="page"/>
      </w:r>
    </w:p>
    <w:p w14:paraId="1980E9A1" w14:textId="763A9AAF" w:rsidR="004D4CE9" w:rsidRPr="00681831" w:rsidRDefault="004D4CE9" w:rsidP="00C33F52">
      <w:pPr>
        <w:pStyle w:val="Textoindependiente21"/>
        <w:tabs>
          <w:tab w:val="left" w:pos="0"/>
        </w:tabs>
        <w:rPr>
          <w:rFonts w:ascii="Verdana" w:hAnsi="Verdana" w:cs="Verdana"/>
          <w:b/>
          <w:bCs/>
          <w:color w:val="800000"/>
          <w:sz w:val="22"/>
          <w:szCs w:val="22"/>
          <w:lang w:val="es-ES"/>
        </w:rPr>
      </w:pPr>
      <w:r w:rsidRPr="00C95621">
        <w:rPr>
          <w:rFonts w:ascii="Verdana" w:hAnsi="Verdana" w:cs="Verdana"/>
          <w:b/>
          <w:bCs/>
          <w:color w:val="800000"/>
          <w:lang w:val="es-ES"/>
        </w:rPr>
        <w:lastRenderedPageBreak/>
        <w:t>DISPOSICIONES</w:t>
      </w:r>
      <w:r w:rsidRPr="00681831">
        <w:rPr>
          <w:rFonts w:ascii="Verdana" w:hAnsi="Verdana" w:cs="Verdana"/>
          <w:b/>
          <w:bCs/>
          <w:color w:val="800000"/>
          <w:sz w:val="22"/>
          <w:szCs w:val="22"/>
          <w:lang w:val="es-ES"/>
        </w:rPr>
        <w:t xml:space="preserve"> PUBLICADAS DURANTE EL MES DE</w:t>
      </w:r>
      <w:r w:rsidR="00BB5C3E">
        <w:rPr>
          <w:rFonts w:ascii="Verdana" w:hAnsi="Verdana" w:cs="Verdana"/>
          <w:b/>
          <w:bCs/>
          <w:color w:val="800000"/>
          <w:sz w:val="22"/>
          <w:szCs w:val="22"/>
          <w:lang w:val="es-ES"/>
        </w:rPr>
        <w:t xml:space="preserve"> </w:t>
      </w:r>
      <w:r w:rsidRPr="00681831">
        <w:rPr>
          <w:rFonts w:ascii="Verdana" w:hAnsi="Verdana" w:cs="Verdana"/>
          <w:b/>
          <w:bCs/>
          <w:color w:val="800000"/>
          <w:sz w:val="22"/>
          <w:szCs w:val="22"/>
          <w:lang w:val="es-ES"/>
        </w:rPr>
        <w:t xml:space="preserve">ENERO DE </w:t>
      </w:r>
      <w:r w:rsidR="00E93F1D">
        <w:rPr>
          <w:rFonts w:ascii="Verdana" w:hAnsi="Verdana" w:cs="Verdana"/>
          <w:b/>
          <w:bCs/>
          <w:color w:val="800000"/>
          <w:sz w:val="22"/>
          <w:szCs w:val="22"/>
          <w:lang w:val="es-ES"/>
        </w:rPr>
        <w:t>202</w:t>
      </w:r>
      <w:r w:rsidR="00CF4C5C">
        <w:rPr>
          <w:rFonts w:ascii="Verdana" w:hAnsi="Verdana" w:cs="Verdana"/>
          <w:b/>
          <w:bCs/>
          <w:color w:val="800000"/>
          <w:sz w:val="22"/>
          <w:szCs w:val="22"/>
          <w:lang w:val="es-ES"/>
        </w:rPr>
        <w:t>6</w:t>
      </w:r>
    </w:p>
    <w:p w14:paraId="018F8721" w14:textId="2570BACE" w:rsidR="004D4CE9" w:rsidRDefault="004D4CE9" w:rsidP="00626D21">
      <w:pPr>
        <w:pStyle w:val="NormalWeb"/>
        <w:pBdr>
          <w:bottom w:val="single" w:sz="6" w:space="12" w:color="F4F4F4"/>
        </w:pBdr>
        <w:shd w:val="clear" w:color="auto" w:fill="FFFFFF"/>
        <w:spacing w:before="0" w:beforeAutospacing="0" w:after="0" w:afterAutospacing="0"/>
        <w:jc w:val="both"/>
        <w:rPr>
          <w:rFonts w:ascii="Verdana" w:hAnsi="Verdana" w:cs="Verdana"/>
          <w:b/>
          <w:bCs/>
          <w:color w:val="800000"/>
          <w:sz w:val="18"/>
          <w:szCs w:val="18"/>
        </w:rPr>
      </w:pPr>
    </w:p>
    <w:p w14:paraId="0D76439C" w14:textId="77777777" w:rsidR="00E93F1D" w:rsidRPr="00E93F1D" w:rsidRDefault="00E93F1D" w:rsidP="00E93F1D">
      <w:pPr>
        <w:pStyle w:val="NormalWeb"/>
        <w:pBdr>
          <w:bottom w:val="single" w:sz="6" w:space="12" w:color="F4F4F4"/>
        </w:pBdr>
        <w:shd w:val="clear" w:color="auto" w:fill="FFFFFF"/>
        <w:contextualSpacing/>
        <w:jc w:val="both"/>
        <w:rPr>
          <w:rFonts w:ascii="Verdana" w:hAnsi="Verdana" w:cs="Verdana"/>
          <w:b/>
          <w:bCs/>
          <w:color w:val="800000"/>
          <w:sz w:val="18"/>
          <w:szCs w:val="18"/>
        </w:rPr>
      </w:pPr>
      <w:bookmarkStart w:id="8" w:name="_Toc315020048"/>
      <w:r w:rsidRPr="00E93F1D">
        <w:rPr>
          <w:rFonts w:ascii="Verdana" w:hAnsi="Verdana" w:cs="Verdana"/>
          <w:b/>
          <w:bCs/>
          <w:color w:val="800000"/>
          <w:sz w:val="18"/>
          <w:szCs w:val="18"/>
        </w:rPr>
        <w:t>Impuestos</w:t>
      </w:r>
    </w:p>
    <w:p w14:paraId="1E52DA38" w14:textId="414D319F" w:rsidR="00AF1C49" w:rsidRPr="00E93F1D" w:rsidRDefault="00E93F1D" w:rsidP="00D570C3">
      <w:pPr>
        <w:pStyle w:val="NormalWeb"/>
        <w:pBdr>
          <w:bottom w:val="single" w:sz="6" w:space="12" w:color="F4F4F4"/>
        </w:pBdr>
        <w:shd w:val="clear" w:color="auto" w:fill="FFFFFF"/>
        <w:contextualSpacing/>
        <w:jc w:val="both"/>
        <w:rPr>
          <w:rFonts w:ascii="Verdana" w:hAnsi="Verdana" w:cs="Verdana"/>
          <w:color w:val="333333"/>
          <w:sz w:val="18"/>
          <w:szCs w:val="18"/>
        </w:rPr>
      </w:pPr>
      <w:r w:rsidRPr="00E93F1D">
        <w:rPr>
          <w:rFonts w:ascii="Verdana" w:hAnsi="Verdana" w:cs="Verdana"/>
          <w:color w:val="333333"/>
          <w:sz w:val="18"/>
          <w:szCs w:val="18"/>
        </w:rPr>
        <w:t xml:space="preserve">Orden HAC/1526/2024, de 11 de diciembre, por la que se modifican la Orden EHA/1274/2007, de 26 de abril, por la que se aprueban los modelos 036 de Declaración censal de alta, </w:t>
      </w:r>
    </w:p>
    <w:p w14:paraId="10C5C2B2" w14:textId="160B02AE" w:rsidR="00E81C91" w:rsidRDefault="00E93F1D" w:rsidP="00D570C3">
      <w:pPr>
        <w:pStyle w:val="NormalWeb"/>
        <w:pBdr>
          <w:bottom w:val="single" w:sz="6" w:space="12" w:color="F4F4F4"/>
        </w:pBdr>
        <w:shd w:val="clear" w:color="auto" w:fill="FFFFFF"/>
        <w:contextualSpacing/>
        <w:jc w:val="both"/>
        <w:rPr>
          <w:rFonts w:ascii="Verdana" w:hAnsi="Verdana" w:cs="Verdana"/>
          <w:i/>
          <w:iCs/>
          <w:color w:val="333333"/>
          <w:sz w:val="18"/>
          <w:szCs w:val="18"/>
        </w:rPr>
      </w:pPr>
      <w:bookmarkStart w:id="9" w:name="_Hlk220407336"/>
      <w:r w:rsidRPr="003246BE">
        <w:rPr>
          <w:rFonts w:ascii="Verdana" w:hAnsi="Verdana" w:cs="Verdana"/>
          <w:i/>
          <w:iCs/>
          <w:color w:val="333333"/>
          <w:sz w:val="18"/>
          <w:szCs w:val="18"/>
        </w:rPr>
        <w:t>Ministerio de Hacienda</w:t>
      </w:r>
      <w:bookmarkStart w:id="10" w:name="_Hlk187512447"/>
      <w:r w:rsidRPr="003246BE">
        <w:rPr>
          <w:rFonts w:ascii="Verdana" w:hAnsi="Verdana" w:cs="Verdana"/>
          <w:i/>
          <w:iCs/>
          <w:color w:val="333333"/>
          <w:sz w:val="18"/>
          <w:szCs w:val="18"/>
        </w:rPr>
        <w:t xml:space="preserve">. </w:t>
      </w:r>
      <w:bookmarkStart w:id="11" w:name="_Hlk219480390"/>
      <w:bookmarkStart w:id="12" w:name="_Hlk188037211"/>
      <w:r w:rsidRPr="003246BE">
        <w:rPr>
          <w:rFonts w:ascii="Verdana" w:hAnsi="Verdana" w:cs="Verdana"/>
          <w:i/>
          <w:iCs/>
          <w:color w:val="333333"/>
          <w:sz w:val="18"/>
          <w:szCs w:val="18"/>
        </w:rPr>
        <w:t>B.O.E. núm.</w:t>
      </w:r>
      <w:r w:rsidR="00D570C3">
        <w:rPr>
          <w:rFonts w:ascii="Verdana" w:hAnsi="Verdana" w:cs="Verdana"/>
          <w:i/>
          <w:iCs/>
          <w:color w:val="333333"/>
          <w:sz w:val="18"/>
          <w:szCs w:val="18"/>
        </w:rPr>
        <w:t>8</w:t>
      </w:r>
      <w:r w:rsidRPr="003246BE">
        <w:rPr>
          <w:rFonts w:ascii="Verdana" w:hAnsi="Verdana" w:cs="Verdana"/>
          <w:i/>
          <w:iCs/>
          <w:color w:val="333333"/>
          <w:sz w:val="18"/>
          <w:szCs w:val="18"/>
        </w:rPr>
        <w:t xml:space="preserve"> de </w:t>
      </w:r>
      <w:r w:rsidR="00D570C3">
        <w:rPr>
          <w:rFonts w:ascii="Verdana" w:hAnsi="Verdana" w:cs="Verdana"/>
          <w:i/>
          <w:iCs/>
          <w:color w:val="333333"/>
          <w:sz w:val="18"/>
          <w:szCs w:val="18"/>
        </w:rPr>
        <w:t>9</w:t>
      </w:r>
      <w:r w:rsidRPr="003246BE">
        <w:rPr>
          <w:rFonts w:ascii="Verdana" w:hAnsi="Verdana" w:cs="Verdana"/>
          <w:i/>
          <w:iCs/>
          <w:color w:val="333333"/>
          <w:sz w:val="18"/>
          <w:szCs w:val="18"/>
        </w:rPr>
        <w:t xml:space="preserve"> de enero de </w:t>
      </w:r>
      <w:r>
        <w:rPr>
          <w:rFonts w:ascii="Verdana" w:hAnsi="Verdana" w:cs="Verdana"/>
          <w:i/>
          <w:iCs/>
          <w:color w:val="333333"/>
          <w:sz w:val="18"/>
          <w:szCs w:val="18"/>
        </w:rPr>
        <w:t>2025</w:t>
      </w:r>
      <w:bookmarkEnd w:id="10"/>
      <w:bookmarkEnd w:id="11"/>
      <w:r w:rsidR="00D570C3">
        <w:rPr>
          <w:rFonts w:ascii="Verdana" w:hAnsi="Verdana" w:cs="Verdana"/>
          <w:i/>
          <w:iCs/>
          <w:color w:val="333333"/>
          <w:sz w:val="18"/>
          <w:szCs w:val="18"/>
        </w:rPr>
        <w:t>.</w:t>
      </w:r>
      <w:bookmarkEnd w:id="12"/>
    </w:p>
    <w:bookmarkEnd w:id="9"/>
    <w:p w14:paraId="1C31B0FF" w14:textId="77777777" w:rsidR="00DC0CDC" w:rsidRDefault="00DC0CDC" w:rsidP="00D570C3">
      <w:pPr>
        <w:pStyle w:val="NormalWeb"/>
        <w:pBdr>
          <w:bottom w:val="single" w:sz="6" w:space="12" w:color="F4F4F4"/>
        </w:pBdr>
        <w:shd w:val="clear" w:color="auto" w:fill="FFFFFF"/>
        <w:contextualSpacing/>
        <w:jc w:val="both"/>
        <w:rPr>
          <w:rFonts w:ascii="Verdana" w:hAnsi="Verdana" w:cs="Verdana"/>
          <w:i/>
          <w:iCs/>
          <w:color w:val="333333"/>
          <w:sz w:val="18"/>
          <w:szCs w:val="18"/>
        </w:rPr>
      </w:pPr>
    </w:p>
    <w:p w14:paraId="046047FB" w14:textId="77777777" w:rsidR="00DC0CDC" w:rsidRPr="00DC0CDC" w:rsidRDefault="00DC0CDC" w:rsidP="00DC0CDC">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DC0CDC">
        <w:rPr>
          <w:rFonts w:ascii="Verdana" w:hAnsi="Verdana" w:cs="Verdana"/>
          <w:b/>
          <w:bCs/>
          <w:color w:val="800000"/>
          <w:sz w:val="18"/>
          <w:szCs w:val="18"/>
        </w:rPr>
        <w:t>Impuestos</w:t>
      </w:r>
    </w:p>
    <w:p w14:paraId="3CE2D39B" w14:textId="7CB60E78" w:rsidR="00DC0CDC" w:rsidRDefault="00DC0CDC" w:rsidP="00DC0CDC">
      <w:pPr>
        <w:pStyle w:val="NormalWeb"/>
        <w:pBdr>
          <w:bottom w:val="single" w:sz="6" w:space="12" w:color="F4F4F4"/>
        </w:pBdr>
        <w:shd w:val="clear" w:color="auto" w:fill="FFFFFF"/>
        <w:contextualSpacing/>
        <w:jc w:val="both"/>
        <w:rPr>
          <w:rFonts w:ascii="Verdana" w:hAnsi="Verdana" w:cs="Verdana"/>
          <w:color w:val="333333"/>
          <w:sz w:val="18"/>
          <w:szCs w:val="18"/>
        </w:rPr>
      </w:pPr>
      <w:r w:rsidRPr="00DC0CDC">
        <w:rPr>
          <w:rFonts w:ascii="Verdana" w:hAnsi="Verdana" w:cs="Verdana"/>
          <w:color w:val="333333"/>
          <w:sz w:val="18"/>
          <w:szCs w:val="18"/>
        </w:rPr>
        <w:t>Orden HAC/27/2026, de 22 de enero, por la que se modifican la Orden EHA/3434/2007, de 23 de noviembre, por la que se aprueban los modelos 322 de Autoliquidación mensual, modelo individual, y 353 de Autoliquidación mensual, modelo agregado; la Orden EHA/3786/2008, de 29 de diciembre, por la que se aprueba el modelo 303 Impuesto sobre el Valor Añadido, autoliquidación; la Orden EHA/3111/2009, de 5 de noviembre, por la que se aprueba el modelo 390 de Declaración-resumen anual del Impuesto sobre el Valor Añadido; y la Orden HFP/417/2017, de 12 de mayo, por la que se regulan las especificaciones normativas y técnicas que desarrollan la llevanza de los libros registro del Impuesto sobre el Valor Añadido a través de la Sede electrónica de la Agencia Estatal de Administración Tributaria establecida en el artículo 62.6 del Reglamento del Impuesto sobre el Valor Añadido, aprobado por el Real Decreto 1624/1992, de 29 de diciembre.</w:t>
      </w:r>
    </w:p>
    <w:p w14:paraId="78973A49" w14:textId="5E510B77" w:rsidR="00DC0CDC" w:rsidRDefault="00DC0CDC" w:rsidP="00DC0CDC">
      <w:pPr>
        <w:pStyle w:val="NormalWeb"/>
        <w:pBdr>
          <w:bottom w:val="single" w:sz="6" w:space="12" w:color="F4F4F4"/>
        </w:pBdr>
        <w:shd w:val="clear" w:color="auto" w:fill="FFFFFF"/>
        <w:contextualSpacing/>
        <w:jc w:val="both"/>
        <w:rPr>
          <w:rFonts w:ascii="Verdana" w:hAnsi="Verdana" w:cs="Verdana"/>
          <w:i/>
          <w:iCs/>
          <w:color w:val="333333"/>
          <w:sz w:val="18"/>
          <w:szCs w:val="18"/>
        </w:rPr>
      </w:pPr>
      <w:r w:rsidRPr="003246BE">
        <w:rPr>
          <w:rFonts w:ascii="Verdana" w:hAnsi="Verdana" w:cs="Verdana"/>
          <w:i/>
          <w:iCs/>
          <w:color w:val="333333"/>
          <w:sz w:val="18"/>
          <w:szCs w:val="18"/>
        </w:rPr>
        <w:t>Ministerio de Hacienda. B.O.E. núm.</w:t>
      </w:r>
      <w:r>
        <w:rPr>
          <w:rFonts w:ascii="Verdana" w:hAnsi="Verdana" w:cs="Verdana"/>
          <w:i/>
          <w:iCs/>
          <w:color w:val="333333"/>
          <w:sz w:val="18"/>
          <w:szCs w:val="18"/>
        </w:rPr>
        <w:t>23</w:t>
      </w:r>
      <w:r w:rsidRPr="003246BE">
        <w:rPr>
          <w:rFonts w:ascii="Verdana" w:hAnsi="Verdana" w:cs="Verdana"/>
          <w:i/>
          <w:iCs/>
          <w:color w:val="333333"/>
          <w:sz w:val="18"/>
          <w:szCs w:val="18"/>
        </w:rPr>
        <w:t xml:space="preserve"> de </w:t>
      </w:r>
      <w:r>
        <w:rPr>
          <w:rFonts w:ascii="Verdana" w:hAnsi="Verdana" w:cs="Verdana"/>
          <w:i/>
          <w:iCs/>
          <w:color w:val="333333"/>
          <w:sz w:val="18"/>
          <w:szCs w:val="18"/>
        </w:rPr>
        <w:t>26</w:t>
      </w:r>
      <w:r w:rsidRPr="003246BE">
        <w:rPr>
          <w:rFonts w:ascii="Verdana" w:hAnsi="Verdana" w:cs="Verdana"/>
          <w:i/>
          <w:iCs/>
          <w:color w:val="333333"/>
          <w:sz w:val="18"/>
          <w:szCs w:val="18"/>
        </w:rPr>
        <w:t xml:space="preserve"> de enero de </w:t>
      </w:r>
      <w:r>
        <w:rPr>
          <w:rFonts w:ascii="Verdana" w:hAnsi="Verdana" w:cs="Verdana"/>
          <w:i/>
          <w:iCs/>
          <w:color w:val="333333"/>
          <w:sz w:val="18"/>
          <w:szCs w:val="18"/>
        </w:rPr>
        <w:t>2025.</w:t>
      </w:r>
    </w:p>
    <w:p w14:paraId="7B4192E5" w14:textId="77777777" w:rsidR="00DC0CDC" w:rsidRPr="00DC0CDC" w:rsidRDefault="00DC0CDC" w:rsidP="00DC0CDC">
      <w:pPr>
        <w:pStyle w:val="NormalWeb"/>
        <w:pBdr>
          <w:bottom w:val="single" w:sz="6" w:space="12" w:color="F4F4F4"/>
        </w:pBdr>
        <w:shd w:val="clear" w:color="auto" w:fill="FFFFFF"/>
        <w:contextualSpacing/>
        <w:jc w:val="both"/>
        <w:rPr>
          <w:rFonts w:ascii="Verdana" w:hAnsi="Verdana" w:cs="Verdana"/>
          <w:color w:val="333333"/>
          <w:sz w:val="18"/>
          <w:szCs w:val="18"/>
        </w:rPr>
      </w:pPr>
    </w:p>
    <w:p w14:paraId="30D24257" w14:textId="77777777" w:rsidR="00D8671E" w:rsidRDefault="00D8671E" w:rsidP="00D570C3">
      <w:pPr>
        <w:pStyle w:val="NormalWeb"/>
        <w:pBdr>
          <w:bottom w:val="single" w:sz="6" w:space="12" w:color="F4F4F4"/>
        </w:pBdr>
        <w:shd w:val="clear" w:color="auto" w:fill="FFFFFF"/>
        <w:contextualSpacing/>
        <w:jc w:val="both"/>
        <w:rPr>
          <w:rFonts w:ascii="Verdana" w:hAnsi="Verdana" w:cs="Verdana"/>
          <w:i/>
          <w:iCs/>
          <w:color w:val="333333"/>
          <w:sz w:val="18"/>
          <w:szCs w:val="18"/>
        </w:rPr>
      </w:pPr>
    </w:p>
    <w:p w14:paraId="0E0CE7D3" w14:textId="2708848C" w:rsidR="00FD5863" w:rsidRPr="00D570C3" w:rsidRDefault="00D570C3" w:rsidP="00D6155E">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D570C3">
        <w:rPr>
          <w:rFonts w:ascii="Verdana" w:hAnsi="Verdana" w:cs="Verdana"/>
          <w:b/>
          <w:bCs/>
          <w:color w:val="800000"/>
          <w:sz w:val="18"/>
          <w:szCs w:val="18"/>
        </w:rPr>
        <w:t>COMUNIDADES AUTONÓMICAS Y FORALES</w:t>
      </w:r>
    </w:p>
    <w:p w14:paraId="48DF3FB4" w14:textId="77777777" w:rsidR="00D570C3" w:rsidRPr="00D570C3" w:rsidRDefault="00D570C3" w:rsidP="00D6155E">
      <w:pPr>
        <w:pStyle w:val="NormalWeb"/>
        <w:pBdr>
          <w:bottom w:val="single" w:sz="6" w:space="12" w:color="F4F4F4"/>
        </w:pBdr>
        <w:shd w:val="clear" w:color="auto" w:fill="FFFFFF"/>
        <w:contextualSpacing/>
        <w:jc w:val="both"/>
        <w:rPr>
          <w:rFonts w:ascii="Verdana" w:hAnsi="Verdana" w:cs="Verdana"/>
          <w:b/>
          <w:bCs/>
          <w:color w:val="800000"/>
          <w:sz w:val="18"/>
          <w:szCs w:val="18"/>
        </w:rPr>
      </w:pPr>
    </w:p>
    <w:p w14:paraId="15214BDE" w14:textId="77777777" w:rsidR="00D570C3" w:rsidRPr="00D570C3" w:rsidRDefault="00D570C3" w:rsidP="00D570C3">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D570C3">
        <w:rPr>
          <w:rFonts w:ascii="Verdana" w:hAnsi="Verdana" w:cs="Verdana"/>
          <w:b/>
          <w:bCs/>
          <w:color w:val="800000"/>
          <w:sz w:val="18"/>
          <w:szCs w:val="18"/>
        </w:rPr>
        <w:t>COMUNIDAD AUTÓNOMA DE ANDALUCÍA</w:t>
      </w:r>
    </w:p>
    <w:p w14:paraId="39139795" w14:textId="77777777" w:rsidR="00CF4C5C" w:rsidRPr="00CF4C5C" w:rsidRDefault="00CF4C5C" w:rsidP="00CF4C5C">
      <w:pPr>
        <w:pStyle w:val="NormalWeb"/>
        <w:pBdr>
          <w:bottom w:val="single" w:sz="6" w:space="12" w:color="F4F4F4"/>
        </w:pBdr>
        <w:shd w:val="clear" w:color="auto" w:fill="FFFFFF"/>
        <w:contextualSpacing/>
        <w:jc w:val="both"/>
        <w:rPr>
          <w:rFonts w:ascii="Verdana" w:hAnsi="Verdana" w:cs="Verdana"/>
          <w:b/>
          <w:bCs/>
          <w:color w:val="800000"/>
          <w:sz w:val="18"/>
          <w:szCs w:val="18"/>
        </w:rPr>
      </w:pPr>
      <w:bookmarkStart w:id="13" w:name="_Hlk188377192"/>
      <w:r w:rsidRPr="00CF4C5C">
        <w:rPr>
          <w:rFonts w:ascii="Verdana" w:hAnsi="Verdana" w:cs="Verdana"/>
          <w:b/>
          <w:bCs/>
          <w:color w:val="800000"/>
          <w:sz w:val="18"/>
          <w:szCs w:val="18"/>
        </w:rPr>
        <w:t>Presupuestos</w:t>
      </w:r>
    </w:p>
    <w:p w14:paraId="173A7815" w14:textId="3FAB0020" w:rsidR="00F948C6" w:rsidRDefault="00CF4C5C" w:rsidP="00CF4C5C">
      <w:pPr>
        <w:pStyle w:val="NormalWeb"/>
        <w:pBdr>
          <w:bottom w:val="single" w:sz="6" w:space="12" w:color="F4F4F4"/>
        </w:pBdr>
        <w:shd w:val="clear" w:color="auto" w:fill="FFFFFF"/>
        <w:contextualSpacing/>
        <w:jc w:val="both"/>
        <w:rPr>
          <w:rFonts w:ascii="Verdana" w:hAnsi="Verdana" w:cs="Verdana"/>
          <w:color w:val="333333"/>
          <w:sz w:val="18"/>
          <w:szCs w:val="18"/>
        </w:rPr>
      </w:pPr>
      <w:r w:rsidRPr="00CF4C5C">
        <w:rPr>
          <w:rFonts w:ascii="Verdana" w:hAnsi="Verdana" w:cs="Verdana"/>
          <w:color w:val="333333"/>
          <w:sz w:val="18"/>
          <w:szCs w:val="18"/>
        </w:rPr>
        <w:t>Ley 8/2025, de 22 de diciembre, del Presupuesto de la Comunidad Autónoma de Andalucía para el año 2026.</w:t>
      </w:r>
    </w:p>
    <w:p w14:paraId="36544DFF" w14:textId="38711B65" w:rsidR="00CF4C5C" w:rsidRDefault="00CF4C5C" w:rsidP="00CF4C5C">
      <w:pPr>
        <w:pStyle w:val="NormalWeb"/>
        <w:pBdr>
          <w:bottom w:val="single" w:sz="6" w:space="12" w:color="F4F4F4"/>
        </w:pBdr>
        <w:shd w:val="clear" w:color="auto" w:fill="FFFFFF"/>
        <w:contextualSpacing/>
        <w:jc w:val="both"/>
        <w:rPr>
          <w:rFonts w:ascii="Verdana" w:hAnsi="Verdana" w:cs="Verdana"/>
          <w:i/>
          <w:iCs/>
          <w:color w:val="333333"/>
          <w:sz w:val="18"/>
          <w:szCs w:val="18"/>
        </w:rPr>
      </w:pPr>
      <w:bookmarkStart w:id="14" w:name="_Hlk220407104"/>
      <w:r w:rsidRPr="003246BE">
        <w:rPr>
          <w:rFonts w:ascii="Verdana" w:hAnsi="Verdana" w:cs="Verdana"/>
          <w:i/>
          <w:iCs/>
          <w:color w:val="333333"/>
          <w:sz w:val="18"/>
          <w:szCs w:val="18"/>
        </w:rPr>
        <w:t>B.O.E. núm.</w:t>
      </w:r>
      <w:r>
        <w:rPr>
          <w:rFonts w:ascii="Verdana" w:hAnsi="Verdana" w:cs="Verdana"/>
          <w:i/>
          <w:iCs/>
          <w:color w:val="333333"/>
          <w:sz w:val="18"/>
          <w:szCs w:val="18"/>
        </w:rPr>
        <w:t>14</w:t>
      </w:r>
      <w:r w:rsidRPr="003246BE">
        <w:rPr>
          <w:rFonts w:ascii="Verdana" w:hAnsi="Verdana" w:cs="Verdana"/>
          <w:i/>
          <w:iCs/>
          <w:color w:val="333333"/>
          <w:sz w:val="18"/>
          <w:szCs w:val="18"/>
        </w:rPr>
        <w:t xml:space="preserve"> de </w:t>
      </w:r>
      <w:r>
        <w:rPr>
          <w:rFonts w:ascii="Verdana" w:hAnsi="Verdana" w:cs="Verdana"/>
          <w:i/>
          <w:iCs/>
          <w:color w:val="333333"/>
          <w:sz w:val="18"/>
          <w:szCs w:val="18"/>
        </w:rPr>
        <w:t>16</w:t>
      </w:r>
      <w:r w:rsidRPr="003246BE">
        <w:rPr>
          <w:rFonts w:ascii="Verdana" w:hAnsi="Verdana" w:cs="Verdana"/>
          <w:i/>
          <w:iCs/>
          <w:color w:val="333333"/>
          <w:sz w:val="18"/>
          <w:szCs w:val="18"/>
        </w:rPr>
        <w:t xml:space="preserve"> de enero de </w:t>
      </w:r>
      <w:r>
        <w:rPr>
          <w:rFonts w:ascii="Verdana" w:hAnsi="Verdana" w:cs="Verdana"/>
          <w:i/>
          <w:iCs/>
          <w:color w:val="333333"/>
          <w:sz w:val="18"/>
          <w:szCs w:val="18"/>
        </w:rPr>
        <w:t>2026.</w:t>
      </w:r>
    </w:p>
    <w:bookmarkEnd w:id="14"/>
    <w:p w14:paraId="773F621F" w14:textId="77777777" w:rsidR="00A56191" w:rsidRDefault="00A56191" w:rsidP="00CF4C5C">
      <w:pPr>
        <w:pStyle w:val="NormalWeb"/>
        <w:pBdr>
          <w:bottom w:val="single" w:sz="6" w:space="12" w:color="F4F4F4"/>
        </w:pBdr>
        <w:shd w:val="clear" w:color="auto" w:fill="FFFFFF"/>
        <w:contextualSpacing/>
        <w:jc w:val="both"/>
        <w:rPr>
          <w:rFonts w:ascii="Verdana" w:hAnsi="Verdana" w:cs="Verdana"/>
          <w:i/>
          <w:iCs/>
          <w:color w:val="333333"/>
          <w:sz w:val="18"/>
          <w:szCs w:val="18"/>
        </w:rPr>
      </w:pPr>
    </w:p>
    <w:p w14:paraId="5E1655F0" w14:textId="17A57F16" w:rsidR="00A56191" w:rsidRPr="00A56191" w:rsidRDefault="00A56191" w:rsidP="00CF4C5C">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A56191">
        <w:rPr>
          <w:rFonts w:ascii="Verdana" w:hAnsi="Verdana" w:cs="Verdana"/>
          <w:b/>
          <w:bCs/>
          <w:color w:val="800000"/>
          <w:sz w:val="18"/>
          <w:szCs w:val="18"/>
        </w:rPr>
        <w:t>COMUNIDAD AUTÓNOMA DEL PAÍS VASCO</w:t>
      </w:r>
    </w:p>
    <w:p w14:paraId="2224AFB5" w14:textId="77777777" w:rsidR="00A56191" w:rsidRPr="00A56191" w:rsidRDefault="00A56191" w:rsidP="00A56191">
      <w:pPr>
        <w:pStyle w:val="NormalWeb"/>
        <w:pBdr>
          <w:bottom w:val="single" w:sz="6" w:space="12" w:color="F4F4F4"/>
        </w:pBdr>
        <w:shd w:val="clear" w:color="auto" w:fill="FFFFFF"/>
        <w:contextualSpacing/>
        <w:jc w:val="both"/>
        <w:rPr>
          <w:rFonts w:ascii="Verdana" w:hAnsi="Verdana" w:cs="Verdana"/>
          <w:b/>
          <w:bCs/>
          <w:color w:val="800000"/>
          <w:sz w:val="18"/>
          <w:szCs w:val="18"/>
        </w:rPr>
      </w:pPr>
      <w:r w:rsidRPr="00A56191">
        <w:rPr>
          <w:rFonts w:ascii="Verdana" w:hAnsi="Verdana" w:cs="Verdana"/>
          <w:b/>
          <w:bCs/>
          <w:color w:val="800000"/>
          <w:sz w:val="18"/>
          <w:szCs w:val="18"/>
        </w:rPr>
        <w:t>Presupuestos</w:t>
      </w:r>
    </w:p>
    <w:p w14:paraId="048604C9" w14:textId="77777777" w:rsidR="00A56191" w:rsidRDefault="00A56191" w:rsidP="00A56191">
      <w:pPr>
        <w:pStyle w:val="NormalWeb"/>
        <w:pBdr>
          <w:bottom w:val="single" w:sz="6" w:space="12" w:color="F4F4F4"/>
        </w:pBdr>
        <w:shd w:val="clear" w:color="auto" w:fill="FFFFFF"/>
        <w:contextualSpacing/>
        <w:jc w:val="both"/>
        <w:rPr>
          <w:rFonts w:ascii="Verdana" w:hAnsi="Verdana" w:cs="Verdana"/>
          <w:i/>
          <w:iCs/>
          <w:color w:val="333333"/>
          <w:sz w:val="18"/>
          <w:szCs w:val="18"/>
        </w:rPr>
      </w:pPr>
      <w:r w:rsidRPr="00A56191">
        <w:rPr>
          <w:rFonts w:ascii="Verdana" w:hAnsi="Verdana" w:cs="Verdana"/>
          <w:i/>
          <w:iCs/>
          <w:color w:val="333333"/>
          <w:sz w:val="18"/>
          <w:szCs w:val="18"/>
        </w:rPr>
        <w:t>Ley 7/2025, de 23 de diciembre, por la que se aprueban los Presupuestos Generales de la B.O.E. núm.14 de 16 de enero de 2026. Comunidad Autónoma de Euskadi para el ejercicio 2026.</w:t>
      </w:r>
    </w:p>
    <w:p w14:paraId="2E1A1ADC" w14:textId="4A38EA6C" w:rsidR="00A56191" w:rsidRPr="00A56191" w:rsidRDefault="00A56191" w:rsidP="00A56191">
      <w:pPr>
        <w:pStyle w:val="NormalWeb"/>
        <w:pBdr>
          <w:bottom w:val="single" w:sz="6" w:space="12" w:color="F4F4F4"/>
        </w:pBdr>
        <w:shd w:val="clear" w:color="auto" w:fill="FFFFFF"/>
        <w:contextualSpacing/>
        <w:jc w:val="both"/>
        <w:rPr>
          <w:rFonts w:ascii="Verdana" w:hAnsi="Verdana" w:cs="Verdana"/>
          <w:i/>
          <w:iCs/>
          <w:color w:val="333333"/>
          <w:sz w:val="18"/>
          <w:szCs w:val="18"/>
        </w:rPr>
      </w:pPr>
      <w:r>
        <w:rPr>
          <w:rFonts w:ascii="Verdana" w:hAnsi="Verdana" w:cs="Verdana"/>
          <w:i/>
          <w:iCs/>
          <w:color w:val="333333"/>
          <w:sz w:val="18"/>
          <w:szCs w:val="18"/>
        </w:rPr>
        <w:t>B</w:t>
      </w:r>
      <w:r w:rsidRPr="00A56191">
        <w:rPr>
          <w:rFonts w:ascii="Verdana" w:hAnsi="Verdana" w:cs="Verdana"/>
          <w:i/>
          <w:iCs/>
          <w:color w:val="333333"/>
          <w:sz w:val="18"/>
          <w:szCs w:val="18"/>
        </w:rPr>
        <w:t>.O.E. núm.</w:t>
      </w:r>
      <w:r>
        <w:rPr>
          <w:rFonts w:ascii="Verdana" w:hAnsi="Verdana" w:cs="Verdana"/>
          <w:i/>
          <w:iCs/>
          <w:color w:val="333333"/>
          <w:sz w:val="18"/>
          <w:szCs w:val="18"/>
        </w:rPr>
        <w:t>18</w:t>
      </w:r>
      <w:r w:rsidRPr="00A56191">
        <w:rPr>
          <w:rFonts w:ascii="Verdana" w:hAnsi="Verdana" w:cs="Verdana"/>
          <w:i/>
          <w:iCs/>
          <w:color w:val="333333"/>
          <w:sz w:val="18"/>
          <w:szCs w:val="18"/>
        </w:rPr>
        <w:t xml:space="preserve"> de </w:t>
      </w:r>
      <w:r>
        <w:rPr>
          <w:rFonts w:ascii="Verdana" w:hAnsi="Verdana" w:cs="Verdana"/>
          <w:i/>
          <w:iCs/>
          <w:color w:val="333333"/>
          <w:sz w:val="18"/>
          <w:szCs w:val="18"/>
        </w:rPr>
        <w:t>20</w:t>
      </w:r>
      <w:r w:rsidRPr="00A56191">
        <w:rPr>
          <w:rFonts w:ascii="Verdana" w:hAnsi="Verdana" w:cs="Verdana"/>
          <w:i/>
          <w:iCs/>
          <w:color w:val="333333"/>
          <w:sz w:val="18"/>
          <w:szCs w:val="18"/>
        </w:rPr>
        <w:t xml:space="preserve"> de enero de 2026.</w:t>
      </w:r>
    </w:p>
    <w:bookmarkEnd w:id="13"/>
    <w:p w14:paraId="218FA949" w14:textId="3F6E6832" w:rsidR="000C02D9" w:rsidRPr="009D5D7C" w:rsidRDefault="00553B25" w:rsidP="000C02D9">
      <w:pPr>
        <w:pStyle w:val="NormalWeb"/>
        <w:pBdr>
          <w:bottom w:val="single" w:sz="6" w:space="12" w:color="F4F4F4"/>
        </w:pBdr>
        <w:shd w:val="clear" w:color="auto" w:fill="FFFFFF"/>
        <w:contextualSpacing/>
        <w:jc w:val="both"/>
        <w:rPr>
          <w:rFonts w:ascii="Verdana" w:hAnsi="Verdana" w:cs="Verdana"/>
          <w:b/>
          <w:bCs/>
          <w:color w:val="800000"/>
          <w:sz w:val="22"/>
          <w:szCs w:val="22"/>
        </w:rPr>
      </w:pPr>
      <w:r w:rsidRPr="00D6155E">
        <w:rPr>
          <w:rFonts w:ascii="Verdana" w:hAnsi="Verdana" w:cs="Verdana"/>
          <w:color w:val="333333"/>
          <w:sz w:val="18"/>
          <w:szCs w:val="18"/>
        </w:rPr>
        <w:br w:type="page"/>
      </w:r>
      <w:r w:rsidR="00844C60" w:rsidRPr="009D5D7C">
        <w:rPr>
          <w:rFonts w:ascii="Verdana" w:hAnsi="Verdana" w:cs="Verdana"/>
          <w:b/>
          <w:bCs/>
          <w:color w:val="800000"/>
          <w:sz w:val="22"/>
          <w:szCs w:val="22"/>
        </w:rPr>
        <w:lastRenderedPageBreak/>
        <w:t>C</w:t>
      </w:r>
      <w:r w:rsidR="004D4CE9" w:rsidRPr="009D5D7C">
        <w:rPr>
          <w:rFonts w:ascii="Verdana" w:hAnsi="Verdana" w:cs="Verdana"/>
          <w:b/>
          <w:bCs/>
          <w:color w:val="800000"/>
          <w:sz w:val="22"/>
          <w:szCs w:val="22"/>
        </w:rPr>
        <w:t xml:space="preserve">ALENDARIO FISCAL PARA EL MES DE FEBRERO DE </w:t>
      </w:r>
      <w:bookmarkEnd w:id="8"/>
      <w:r w:rsidR="00E93F1D" w:rsidRPr="009D5D7C">
        <w:rPr>
          <w:rFonts w:ascii="Verdana" w:hAnsi="Verdana" w:cs="Verdana"/>
          <w:b/>
          <w:bCs/>
          <w:color w:val="800000"/>
          <w:sz w:val="22"/>
          <w:szCs w:val="22"/>
        </w:rPr>
        <w:t>202</w:t>
      </w:r>
      <w:r w:rsidR="00CF4C5C" w:rsidRPr="009D5D7C">
        <w:rPr>
          <w:rFonts w:ascii="Verdana" w:hAnsi="Verdana" w:cs="Verdana"/>
          <w:b/>
          <w:bCs/>
          <w:color w:val="800000"/>
          <w:sz w:val="22"/>
          <w:szCs w:val="22"/>
        </w:rPr>
        <w:t>6</w:t>
      </w:r>
    </w:p>
    <w:p w14:paraId="468EB962" w14:textId="77777777" w:rsidR="00343F44" w:rsidRDefault="00343F44" w:rsidP="00343F44">
      <w:pPr>
        <w:pStyle w:val="NormalWeb"/>
        <w:pBdr>
          <w:bottom w:val="single" w:sz="6" w:space="12" w:color="F4F4F4"/>
        </w:pBdr>
        <w:shd w:val="clear" w:color="auto" w:fill="FFFFFF"/>
        <w:contextualSpacing/>
        <w:jc w:val="both"/>
        <w:rPr>
          <w:rFonts w:ascii="Verdana" w:hAnsi="Verdana" w:cs="Verdana"/>
          <w:b/>
          <w:bCs/>
          <w:color w:val="800000"/>
          <w:sz w:val="20"/>
          <w:szCs w:val="20"/>
        </w:rPr>
      </w:pPr>
    </w:p>
    <w:p w14:paraId="7EA82196" w14:textId="5122FE9D" w:rsidR="00343F44" w:rsidRPr="00343F44" w:rsidRDefault="00343F44" w:rsidP="00343F44">
      <w:pPr>
        <w:pStyle w:val="NormalWeb"/>
        <w:pBdr>
          <w:bottom w:val="single" w:sz="6" w:space="12" w:color="F4F4F4"/>
        </w:pBdr>
        <w:shd w:val="clear" w:color="auto" w:fill="FFFFFF"/>
        <w:contextualSpacing/>
        <w:jc w:val="both"/>
        <w:rPr>
          <w:rFonts w:ascii="Verdana" w:hAnsi="Verdana" w:cs="Verdana"/>
          <w:b/>
          <w:bCs/>
          <w:color w:val="800000"/>
          <w:sz w:val="20"/>
          <w:szCs w:val="20"/>
        </w:rPr>
      </w:pPr>
      <w:r w:rsidRPr="00343F44">
        <w:rPr>
          <w:rFonts w:ascii="Verdana" w:hAnsi="Verdana" w:cs="Verdana"/>
          <w:b/>
          <w:bCs/>
          <w:color w:val="800000"/>
          <w:sz w:val="20"/>
          <w:szCs w:val="20"/>
        </w:rPr>
        <w:t>HASTA EL 2 DE FEBRERO</w:t>
      </w:r>
    </w:p>
    <w:p w14:paraId="131D67E3"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Renta</w:t>
      </w:r>
    </w:p>
    <w:p w14:paraId="6A27349F" w14:textId="77777777" w:rsidR="00343F44" w:rsidRPr="00343F44" w:rsidRDefault="00343F44">
      <w:pPr>
        <w:numPr>
          <w:ilvl w:val="0"/>
          <w:numId w:val="11"/>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Renuncia o revocación estimación directa simplificada y estimación objetiva para 2026 y sucesivos: 036</w:t>
      </w:r>
    </w:p>
    <w:p w14:paraId="7D1AAAB3"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Renta y Sociedades</w:t>
      </w:r>
    </w:p>
    <w:p w14:paraId="0313874C" w14:textId="77777777" w:rsidR="00343F44" w:rsidRPr="00343F44" w:rsidRDefault="00343F44" w:rsidP="00343F44">
      <w:p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w:t>
      </w:r>
    </w:p>
    <w:p w14:paraId="1F3A223D" w14:textId="77777777" w:rsidR="00343F44" w:rsidRPr="00343F44" w:rsidRDefault="00343F44">
      <w:pPr>
        <w:numPr>
          <w:ilvl w:val="0"/>
          <w:numId w:val="12"/>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Resumen anual 2025: 180, 188, 190, 193, 193-S, 194, 196, 270</w:t>
      </w:r>
    </w:p>
    <w:p w14:paraId="14403769"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Renta de no residentes sin establecimiento permanente</w:t>
      </w:r>
    </w:p>
    <w:p w14:paraId="7E9A78EE" w14:textId="77777777" w:rsidR="00343F44" w:rsidRPr="00343F44" w:rsidRDefault="00343F44" w:rsidP="00343F44">
      <w:p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Gravamen especial sobre inmuebles de entidades no residentes 2025: 213</w:t>
      </w:r>
    </w:p>
    <w:p w14:paraId="071E2EBC" w14:textId="77777777" w:rsidR="00343F44" w:rsidRPr="00343F44" w:rsidRDefault="00343F44" w:rsidP="00343F44">
      <w:p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Retenciones e ingresos a cuenta del Impuesto sobre la Renta de no Residentes (sin establecimiento permanente).</w:t>
      </w:r>
    </w:p>
    <w:p w14:paraId="2BF3A7E8" w14:textId="77777777" w:rsidR="00343F44" w:rsidRPr="00343F44" w:rsidRDefault="00343F44">
      <w:pPr>
        <w:numPr>
          <w:ilvl w:val="0"/>
          <w:numId w:val="13"/>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Resumen anual 2025: 296</w:t>
      </w:r>
    </w:p>
    <w:p w14:paraId="3D7D3F4E"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Operaciones con activos financieros</w:t>
      </w:r>
    </w:p>
    <w:p w14:paraId="08F26CE1" w14:textId="77777777" w:rsidR="00343F44" w:rsidRPr="00343F44" w:rsidRDefault="00343F44">
      <w:pPr>
        <w:numPr>
          <w:ilvl w:val="0"/>
          <w:numId w:val="14"/>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Declaración anual de operaciones con Letras del Tesoro 2025: 192</w:t>
      </w:r>
    </w:p>
    <w:p w14:paraId="5747A989" w14:textId="77777777" w:rsidR="00343F44" w:rsidRPr="00343F44" w:rsidRDefault="00343F44">
      <w:pPr>
        <w:numPr>
          <w:ilvl w:val="0"/>
          <w:numId w:val="14"/>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Declaración anual de operaciones con activos financieros 2025: 198</w:t>
      </w:r>
    </w:p>
    <w:p w14:paraId="733FD6A4"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IVA</w:t>
      </w:r>
    </w:p>
    <w:p w14:paraId="731A44AA" w14:textId="77777777" w:rsidR="00343F44" w:rsidRPr="00343F44" w:rsidRDefault="00343F44">
      <w:pPr>
        <w:numPr>
          <w:ilvl w:val="0"/>
          <w:numId w:val="15"/>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Renuncia o revocación regímenes simplificado y agricultura, ganadería y pesca para 2026 y sucesivos: 036</w:t>
      </w:r>
    </w:p>
    <w:p w14:paraId="51C92DF6" w14:textId="77777777" w:rsidR="00343F44" w:rsidRPr="00343F44" w:rsidRDefault="00343F44">
      <w:pPr>
        <w:numPr>
          <w:ilvl w:val="0"/>
          <w:numId w:val="15"/>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Plazo extraordinario para la solicitud de baja. Registro de devolución mensual: 036</w:t>
      </w:r>
    </w:p>
    <w:p w14:paraId="2DF5081E" w14:textId="77777777" w:rsidR="00343F44" w:rsidRPr="00343F44" w:rsidRDefault="00343F44">
      <w:pPr>
        <w:numPr>
          <w:ilvl w:val="0"/>
          <w:numId w:val="15"/>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SII. Plazo extraordinario para la renuncia a la llevanza electrónica de los libros registro: 036</w:t>
      </w:r>
    </w:p>
    <w:p w14:paraId="2C4520E5" w14:textId="77777777" w:rsidR="00343F44" w:rsidRPr="00343F44" w:rsidRDefault="00343F44">
      <w:pPr>
        <w:numPr>
          <w:ilvl w:val="0"/>
          <w:numId w:val="15"/>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Solicitud de aplicación del porcentaje provisional de deducción distinto del fijado como definitivo en el año precedente: sin modelo</w:t>
      </w:r>
    </w:p>
    <w:p w14:paraId="730BBB4B"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Impuesto sobre las Primas de Seguros</w:t>
      </w:r>
    </w:p>
    <w:p w14:paraId="241D1EBD" w14:textId="77777777" w:rsidR="00343F44" w:rsidRPr="00343F44" w:rsidRDefault="00343F44">
      <w:pPr>
        <w:numPr>
          <w:ilvl w:val="0"/>
          <w:numId w:val="16"/>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Resumen anual 2025: 480</w:t>
      </w:r>
    </w:p>
    <w:p w14:paraId="0C31011F"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Impuesto sobre Determinados Servicios Digitales</w:t>
      </w:r>
    </w:p>
    <w:p w14:paraId="4F04A82D" w14:textId="77777777" w:rsidR="00343F44" w:rsidRPr="00343F44" w:rsidRDefault="00343F44">
      <w:pPr>
        <w:numPr>
          <w:ilvl w:val="0"/>
          <w:numId w:val="17"/>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Cuarto trimestre 2025: 490</w:t>
      </w:r>
    </w:p>
    <w:p w14:paraId="00B49CBF"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Impuestos medioambientales</w:t>
      </w:r>
    </w:p>
    <w:p w14:paraId="2BEDE90F" w14:textId="77777777" w:rsidR="00343F44" w:rsidRPr="00343F44" w:rsidRDefault="00343F44">
      <w:pPr>
        <w:numPr>
          <w:ilvl w:val="0"/>
          <w:numId w:val="18"/>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Diciembre 2025. Impuesto especial sobre los envases de plástico no reutilizables. Presentación contabilidad y libro registro de existencias</w:t>
      </w:r>
    </w:p>
    <w:p w14:paraId="6112BB97" w14:textId="77777777" w:rsidR="00343F44" w:rsidRPr="00343F44" w:rsidRDefault="00343F44">
      <w:pPr>
        <w:numPr>
          <w:ilvl w:val="0"/>
          <w:numId w:val="18"/>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lastRenderedPageBreak/>
        <w:t>Cuarto trimestre 2025. Impuesto especial sobre los envases de plástico no reutilizables. Presentación contabilidad y libro registro de existencias</w:t>
      </w:r>
    </w:p>
    <w:p w14:paraId="26B37EB7"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Declaración informativa de certificaciones individuales emitidas a los socios o partícipes de entidades de nueva o reciente creación</w:t>
      </w:r>
    </w:p>
    <w:p w14:paraId="4F10EF06" w14:textId="77777777" w:rsidR="00343F44" w:rsidRPr="00343F44" w:rsidRDefault="00343F44">
      <w:pPr>
        <w:numPr>
          <w:ilvl w:val="0"/>
          <w:numId w:val="19"/>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Resumen anual 2025: 165</w:t>
      </w:r>
    </w:p>
    <w:p w14:paraId="57AE8A07"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Declaración informativa anual de imposiciones, disposiciones de fondos y de los cobros de cualquier documento</w:t>
      </w:r>
    </w:p>
    <w:p w14:paraId="5DF20801" w14:textId="77777777" w:rsidR="00343F44" w:rsidRPr="00343F44" w:rsidRDefault="00343F44">
      <w:pPr>
        <w:numPr>
          <w:ilvl w:val="0"/>
          <w:numId w:val="20"/>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Año 2025: 171</w:t>
      </w:r>
    </w:p>
    <w:p w14:paraId="292A09EC"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Declaración informativa sobre saldos en monedas virtuales y sobre operaciones con monedas virtuales</w:t>
      </w:r>
    </w:p>
    <w:p w14:paraId="4CCB6A5E" w14:textId="77777777" w:rsidR="00343F44" w:rsidRPr="00343F44" w:rsidRDefault="00343F44">
      <w:pPr>
        <w:numPr>
          <w:ilvl w:val="0"/>
          <w:numId w:val="21"/>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Año 2025: 172, 173</w:t>
      </w:r>
    </w:p>
    <w:p w14:paraId="32BC6480"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Declaración informativa de préstamos y créditos y otras operaciones financieras relacionadas con bienes inmuebles</w:t>
      </w:r>
    </w:p>
    <w:p w14:paraId="00685FDD" w14:textId="77777777" w:rsidR="00343F44" w:rsidRPr="00343F44" w:rsidRDefault="00343F44">
      <w:pPr>
        <w:numPr>
          <w:ilvl w:val="0"/>
          <w:numId w:val="22"/>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Declaración anual 2025: 181</w:t>
      </w:r>
    </w:p>
    <w:p w14:paraId="3F326133"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Declaración informativa de donativos, donaciones y aportaciones recibidas y disposiciones realizadas</w:t>
      </w:r>
    </w:p>
    <w:p w14:paraId="0AC7B90C" w14:textId="77777777" w:rsidR="00343F44" w:rsidRPr="00343F44" w:rsidRDefault="00343F44">
      <w:pPr>
        <w:numPr>
          <w:ilvl w:val="0"/>
          <w:numId w:val="23"/>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Declaración anual 2025: 182</w:t>
      </w:r>
    </w:p>
    <w:p w14:paraId="2B12C938"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Declaración informativa de entidades en régimen de atribución de rentas</w:t>
      </w:r>
    </w:p>
    <w:p w14:paraId="0ABE243E" w14:textId="77777777" w:rsidR="00343F44" w:rsidRPr="00343F44" w:rsidRDefault="00343F44">
      <w:pPr>
        <w:numPr>
          <w:ilvl w:val="0"/>
          <w:numId w:val="24"/>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Año 2025: 184</w:t>
      </w:r>
    </w:p>
    <w:p w14:paraId="3B810929"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Declaración informativa de adquisiciones y enajenaciones de acciones y participaciones en Instituciones de Inversión Colectiva</w:t>
      </w:r>
    </w:p>
    <w:p w14:paraId="60492AEE" w14:textId="77777777" w:rsidR="00343F44" w:rsidRPr="00343F44" w:rsidRDefault="00343F44">
      <w:pPr>
        <w:numPr>
          <w:ilvl w:val="0"/>
          <w:numId w:val="25"/>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Declaración anual 2025: 187</w:t>
      </w:r>
    </w:p>
    <w:p w14:paraId="7200DFC6"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Declaración informativa por gastos en guarderías o centros de educación infantil autorizados</w:t>
      </w:r>
    </w:p>
    <w:p w14:paraId="26959DAD" w14:textId="77777777" w:rsidR="00343F44" w:rsidRPr="00343F44" w:rsidRDefault="00343F44">
      <w:pPr>
        <w:numPr>
          <w:ilvl w:val="0"/>
          <w:numId w:val="26"/>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Declaración anual 2025: 233</w:t>
      </w:r>
    </w:p>
    <w:p w14:paraId="54CEBB4E"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Declaración informativa de actualización de determinados mecanismos transfronterizos comercializables</w:t>
      </w:r>
    </w:p>
    <w:p w14:paraId="19F487CA" w14:textId="77777777" w:rsidR="00343F44" w:rsidRPr="00343F44" w:rsidRDefault="00343F44">
      <w:pPr>
        <w:numPr>
          <w:ilvl w:val="0"/>
          <w:numId w:val="27"/>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Cuarto trimestre 2025: 235</w:t>
      </w:r>
    </w:p>
    <w:p w14:paraId="550A0BCD"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Declaración informativa para la comunicación de información por parte de operadores de plataformas</w:t>
      </w:r>
    </w:p>
    <w:p w14:paraId="7D7392E2" w14:textId="77777777" w:rsidR="00343F44" w:rsidRPr="00343F44" w:rsidRDefault="00343F44">
      <w:pPr>
        <w:numPr>
          <w:ilvl w:val="0"/>
          <w:numId w:val="28"/>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Año 2025: 238</w:t>
      </w:r>
    </w:p>
    <w:p w14:paraId="55D6D904"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Declaración informativa trimestral de operaciones de comercio de bienes corporales realizadas en la zona especial canaria sin que las mercancías transiten por territorio canario</w:t>
      </w:r>
    </w:p>
    <w:p w14:paraId="2E506477" w14:textId="77777777" w:rsidR="00343F44" w:rsidRPr="00343F44" w:rsidRDefault="00343F44">
      <w:pPr>
        <w:numPr>
          <w:ilvl w:val="0"/>
          <w:numId w:val="29"/>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lastRenderedPageBreak/>
        <w:t>Cuarto trimestre 2025: 281</w:t>
      </w:r>
    </w:p>
    <w:p w14:paraId="5D2B064A"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Declaración informativa de cuentas de no residentes</w:t>
      </w:r>
    </w:p>
    <w:p w14:paraId="569D35A6" w14:textId="77777777" w:rsidR="00343F44" w:rsidRPr="00343F44" w:rsidRDefault="00343F44">
      <w:pPr>
        <w:numPr>
          <w:ilvl w:val="0"/>
          <w:numId w:val="30"/>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Año 2025: 291</w:t>
      </w:r>
    </w:p>
    <w:p w14:paraId="6820094E"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Planes, fondos de pensiones, sistemas alternativos, mutualidades de previsión social, planes de previsión asegurados, planes individuales de ahorro sistemático, planes de previsión social empresarial y Seguros de dependencia</w:t>
      </w:r>
    </w:p>
    <w:p w14:paraId="3011D3AC" w14:textId="77777777" w:rsidR="00343F44" w:rsidRPr="00343F44" w:rsidRDefault="00343F44">
      <w:pPr>
        <w:numPr>
          <w:ilvl w:val="0"/>
          <w:numId w:val="31"/>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Declaración anual 2025: 345</w:t>
      </w:r>
    </w:p>
    <w:p w14:paraId="36F23B43"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Declaración informativa sobre pagos transfronterizos</w:t>
      </w:r>
    </w:p>
    <w:p w14:paraId="05D841A6" w14:textId="77777777" w:rsidR="00343F44" w:rsidRPr="00343F44" w:rsidRDefault="00343F44">
      <w:pPr>
        <w:numPr>
          <w:ilvl w:val="0"/>
          <w:numId w:val="32"/>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Cuarto trimestre 2025: 379</w:t>
      </w:r>
    </w:p>
    <w:p w14:paraId="5ED36E6E" w14:textId="25F888EA" w:rsidR="00343F44" w:rsidRPr="00343F44" w:rsidRDefault="00343F44" w:rsidP="00343F44">
      <w:pPr>
        <w:shd w:val="clear" w:color="auto" w:fill="FFFFFF"/>
        <w:spacing w:after="100" w:afterAutospacing="1"/>
        <w:outlineLvl w:val="0"/>
        <w:rPr>
          <w:rFonts w:ascii="Verdana" w:hAnsi="Verdana"/>
          <w:b/>
          <w:bCs/>
          <w:color w:val="943634" w:themeColor="accent2" w:themeShade="BF"/>
          <w:kern w:val="36"/>
          <w:sz w:val="18"/>
          <w:szCs w:val="18"/>
        </w:rPr>
      </w:pPr>
      <w:r w:rsidRPr="00343F44">
        <w:rPr>
          <w:rFonts w:ascii="Verdana" w:hAnsi="Verdana"/>
          <w:b/>
          <w:bCs/>
          <w:color w:val="943634" w:themeColor="accent2" w:themeShade="BF"/>
          <w:kern w:val="36"/>
          <w:sz w:val="18"/>
          <w:szCs w:val="18"/>
        </w:rPr>
        <w:t>HASTA EL 12 DE FEBRERO</w:t>
      </w:r>
    </w:p>
    <w:p w14:paraId="70404D12" w14:textId="77777777" w:rsidR="00343F44" w:rsidRPr="00343F44" w:rsidRDefault="00343F44" w:rsidP="00343F44">
      <w:pPr>
        <w:pStyle w:val="Ttulo3"/>
        <w:shd w:val="clear" w:color="auto" w:fill="FFFFFF"/>
        <w:jc w:val="left"/>
        <w:rPr>
          <w:rStyle w:val="Fuerte"/>
          <w:rFonts w:ascii="Verdana" w:hAnsi="Verdana" w:cs="Arial"/>
          <w:b/>
          <w:bCs/>
          <w:i w:val="0"/>
          <w:iCs w:val="0"/>
          <w:color w:val="000000"/>
          <w:sz w:val="18"/>
          <w:szCs w:val="18"/>
          <w:u w:val="none"/>
        </w:rPr>
      </w:pPr>
      <w:r w:rsidRPr="00343F44">
        <w:rPr>
          <w:rStyle w:val="Fuerte"/>
          <w:rFonts w:ascii="Verdana" w:hAnsi="Verdana" w:cs="Arial"/>
          <w:b/>
          <w:bCs/>
          <w:i w:val="0"/>
          <w:iCs w:val="0"/>
          <w:color w:val="000000"/>
          <w:sz w:val="18"/>
          <w:szCs w:val="18"/>
          <w:u w:val="none"/>
        </w:rPr>
        <w:t>INTRASTAT - Estadística Comercio Intracomunitario</w:t>
      </w:r>
    </w:p>
    <w:p w14:paraId="6B30630C" w14:textId="77777777" w:rsidR="00343F44" w:rsidRPr="00343F44" w:rsidRDefault="00343F44" w:rsidP="00343F44">
      <w:pPr>
        <w:rPr>
          <w:rFonts w:ascii="Verdana" w:hAnsi="Verdana"/>
          <w:sz w:val="18"/>
          <w:szCs w:val="18"/>
        </w:rPr>
      </w:pPr>
    </w:p>
    <w:p w14:paraId="6DD9A6F2" w14:textId="77777777" w:rsidR="00343F44" w:rsidRPr="00343F44" w:rsidRDefault="00343F44">
      <w:pPr>
        <w:pStyle w:val="NormalWeb"/>
        <w:numPr>
          <w:ilvl w:val="0"/>
          <w:numId w:val="33"/>
        </w:numPr>
        <w:shd w:val="clear" w:color="auto" w:fill="FFFFFF"/>
        <w:spacing w:before="0" w:beforeAutospacing="0"/>
        <w:rPr>
          <w:rFonts w:ascii="Verdana" w:hAnsi="Verdana" w:cs="Arial"/>
          <w:color w:val="000000"/>
          <w:sz w:val="18"/>
          <w:szCs w:val="18"/>
        </w:rPr>
      </w:pPr>
      <w:r w:rsidRPr="00343F44">
        <w:rPr>
          <w:rFonts w:ascii="Verdana" w:hAnsi="Verdana" w:cs="Arial"/>
          <w:color w:val="000000"/>
          <w:sz w:val="18"/>
          <w:szCs w:val="18"/>
        </w:rPr>
        <w:t>Enero 2026. Obligados a suministrar información estadística</w:t>
      </w:r>
    </w:p>
    <w:p w14:paraId="1BC6DCC3" w14:textId="0A4EE8C5" w:rsidR="00343F44" w:rsidRPr="00343F44" w:rsidRDefault="00204C4E" w:rsidP="00343F44">
      <w:pPr>
        <w:shd w:val="clear" w:color="auto" w:fill="FFFFFF"/>
        <w:spacing w:after="100" w:afterAutospacing="1"/>
        <w:outlineLvl w:val="0"/>
        <w:rPr>
          <w:rFonts w:ascii="Verdana" w:hAnsi="Verdana"/>
          <w:b/>
          <w:bCs/>
          <w:color w:val="943634" w:themeColor="accent2" w:themeShade="BF"/>
          <w:kern w:val="36"/>
          <w:sz w:val="18"/>
          <w:szCs w:val="18"/>
        </w:rPr>
      </w:pPr>
      <w:r w:rsidRPr="00343F44">
        <w:rPr>
          <w:rFonts w:ascii="Verdana" w:hAnsi="Verdana"/>
          <w:b/>
          <w:bCs/>
          <w:color w:val="943634" w:themeColor="accent2" w:themeShade="BF"/>
          <w:kern w:val="36"/>
          <w:sz w:val="18"/>
          <w:szCs w:val="18"/>
        </w:rPr>
        <w:t>HASTA EL 20 DE FEBRERO</w:t>
      </w:r>
    </w:p>
    <w:p w14:paraId="370FE44E"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Renta y Sociedades</w:t>
      </w:r>
    </w:p>
    <w:p w14:paraId="77B65867" w14:textId="77777777" w:rsidR="00343F44" w:rsidRPr="00343F44" w:rsidRDefault="00343F44" w:rsidP="00343F44">
      <w:p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 y, de rentas de no residentes obtenidas sin establecimiento permanente.</w:t>
      </w:r>
    </w:p>
    <w:p w14:paraId="296A5FFB" w14:textId="77777777" w:rsidR="00343F44" w:rsidRPr="00343F44" w:rsidRDefault="00343F44">
      <w:pPr>
        <w:numPr>
          <w:ilvl w:val="0"/>
          <w:numId w:val="34"/>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Enero 2026. Grandes empresas: 111, 115, 117, 123, 124, 126, 128, 216, 230</w:t>
      </w:r>
    </w:p>
    <w:p w14:paraId="70F0DDB2"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Número de Identificación Fiscal</w:t>
      </w:r>
    </w:p>
    <w:p w14:paraId="6375FABC" w14:textId="77777777" w:rsidR="00343F44" w:rsidRPr="00343F44" w:rsidRDefault="00343F44">
      <w:pPr>
        <w:numPr>
          <w:ilvl w:val="0"/>
          <w:numId w:val="35"/>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Cuarto trimestre 2025. Declaración trimestral de cuentas y operaciones cuyos titulares no han facilitado el NIF a las entidades de crédito: 195</w:t>
      </w:r>
    </w:p>
    <w:p w14:paraId="4020EEEA" w14:textId="77777777" w:rsidR="00343F44" w:rsidRPr="00343F44" w:rsidRDefault="00343F44">
      <w:pPr>
        <w:numPr>
          <w:ilvl w:val="0"/>
          <w:numId w:val="35"/>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Declaración anual 2025. Identificación de las operaciones con cheques de las entidades de crédito: 199</w:t>
      </w:r>
    </w:p>
    <w:p w14:paraId="4A7A6112"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IVA</w:t>
      </w:r>
    </w:p>
    <w:p w14:paraId="53EAD61D" w14:textId="77777777" w:rsidR="00343F44" w:rsidRPr="00343F44" w:rsidRDefault="00343F44">
      <w:pPr>
        <w:numPr>
          <w:ilvl w:val="0"/>
          <w:numId w:val="36"/>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Enero 2026. Declaración recapitulativa de operaciones intracomunitarias: 349</w:t>
      </w:r>
    </w:p>
    <w:p w14:paraId="732509EC" w14:textId="77777777" w:rsidR="00343F44" w:rsidRPr="00343F44" w:rsidRDefault="00343F44">
      <w:pPr>
        <w:numPr>
          <w:ilvl w:val="0"/>
          <w:numId w:val="36"/>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Solicitud de devolución por sujetos pasivos en el régimen simplificado del IVA y que ejerzan la actividad de transporte de viajeros o de mercancías por carretera, por adquirir determinados medios de transporte: 308</w:t>
      </w:r>
    </w:p>
    <w:p w14:paraId="6EFA9872"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Subvenciones, indemnizaciones o ayudas de actividades agrícolas, ganaderas o forestales</w:t>
      </w:r>
    </w:p>
    <w:p w14:paraId="1EB7350B" w14:textId="77777777" w:rsidR="00343F44" w:rsidRPr="00343F44" w:rsidRDefault="00343F44">
      <w:pPr>
        <w:numPr>
          <w:ilvl w:val="0"/>
          <w:numId w:val="37"/>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Declaración anual 2025: 346</w:t>
      </w:r>
    </w:p>
    <w:p w14:paraId="757AA290"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Impuesto sobre las Primas de Seguro</w:t>
      </w:r>
    </w:p>
    <w:p w14:paraId="7CBB57A9" w14:textId="77777777" w:rsidR="00343F44" w:rsidRPr="00343F44" w:rsidRDefault="00343F44">
      <w:pPr>
        <w:numPr>
          <w:ilvl w:val="0"/>
          <w:numId w:val="38"/>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Enero 2026: 430</w:t>
      </w:r>
    </w:p>
    <w:p w14:paraId="3A1ED738"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lastRenderedPageBreak/>
        <w:t>Impuestos Especiales de Fabricación</w:t>
      </w:r>
    </w:p>
    <w:p w14:paraId="4C335DAE" w14:textId="77777777" w:rsidR="00343F44" w:rsidRPr="00343F44" w:rsidRDefault="00343F44">
      <w:pPr>
        <w:numPr>
          <w:ilvl w:val="0"/>
          <w:numId w:val="39"/>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Noviembre 2025. Grandes empresas: 561, 562, 563</w:t>
      </w:r>
    </w:p>
    <w:p w14:paraId="699DA9FC" w14:textId="77777777" w:rsidR="00343F44" w:rsidRPr="00343F44" w:rsidRDefault="00343F44">
      <w:pPr>
        <w:numPr>
          <w:ilvl w:val="0"/>
          <w:numId w:val="39"/>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Enero 2026: 548, 566, 581</w:t>
      </w:r>
    </w:p>
    <w:p w14:paraId="608F1737" w14:textId="77777777" w:rsidR="00343F44" w:rsidRPr="00343F44" w:rsidRDefault="00343F44">
      <w:pPr>
        <w:numPr>
          <w:ilvl w:val="0"/>
          <w:numId w:val="39"/>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Enero 2026: 573 (Autoliquidación), A24 (Solicitud de devolución)</w:t>
      </w:r>
    </w:p>
    <w:p w14:paraId="6C7A7DAF" w14:textId="77777777" w:rsidR="00343F44" w:rsidRPr="00343F44" w:rsidRDefault="00343F44">
      <w:pPr>
        <w:numPr>
          <w:ilvl w:val="0"/>
          <w:numId w:val="39"/>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Cuarto trimestre 2025. Excepto grandes empresas: 561, 562, 563</w:t>
      </w:r>
    </w:p>
    <w:p w14:paraId="32348136" w14:textId="77777777" w:rsidR="00343F44" w:rsidRPr="00343F44" w:rsidRDefault="00343F44">
      <w:pPr>
        <w:numPr>
          <w:ilvl w:val="0"/>
          <w:numId w:val="39"/>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Declaración de operaciones por los destinatarios registrados y representantes fiscales: 510</w:t>
      </w:r>
    </w:p>
    <w:p w14:paraId="234DB7FB"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Impuesto Especial sobre la Electricidad</w:t>
      </w:r>
    </w:p>
    <w:p w14:paraId="7797D6F8" w14:textId="77777777" w:rsidR="00343F44" w:rsidRPr="00343F44" w:rsidRDefault="00343F44">
      <w:pPr>
        <w:numPr>
          <w:ilvl w:val="0"/>
          <w:numId w:val="40"/>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Enero 2026. Grandes empresas: 560</w:t>
      </w:r>
    </w:p>
    <w:p w14:paraId="171EF08A"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Impuestos Medioambientales</w:t>
      </w:r>
    </w:p>
    <w:p w14:paraId="18FEAF22" w14:textId="77777777" w:rsidR="00343F44" w:rsidRPr="00343F44" w:rsidRDefault="00343F44">
      <w:pPr>
        <w:numPr>
          <w:ilvl w:val="0"/>
          <w:numId w:val="41"/>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Enero 2026. Impuesto especial sobre los envases de plástico no reutilizables. Autoliquidación: 592</w:t>
      </w:r>
    </w:p>
    <w:p w14:paraId="7D916C63" w14:textId="77777777" w:rsidR="00343F44" w:rsidRPr="00343F44" w:rsidRDefault="00343F44">
      <w:pPr>
        <w:numPr>
          <w:ilvl w:val="0"/>
          <w:numId w:val="41"/>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Año 2025. Impuesto sobre el valor de la producción de la energía eléctrica. Cuarto pago fraccionado: 583</w:t>
      </w:r>
    </w:p>
    <w:p w14:paraId="4EF80547"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Impuesto sobre las Transacciones Financieras</w:t>
      </w:r>
    </w:p>
    <w:p w14:paraId="1BEF639D" w14:textId="77777777" w:rsidR="00343F44" w:rsidRPr="00343F44" w:rsidRDefault="00343F44">
      <w:pPr>
        <w:numPr>
          <w:ilvl w:val="0"/>
          <w:numId w:val="42"/>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Enero 2026: 604</w:t>
      </w:r>
    </w:p>
    <w:p w14:paraId="49CD4A50" w14:textId="77777777" w:rsidR="00343F44" w:rsidRPr="00343F44" w:rsidRDefault="00343F44" w:rsidP="00343F44">
      <w:pPr>
        <w:shd w:val="clear" w:color="auto" w:fill="FFFFFF"/>
        <w:spacing w:after="100" w:afterAutospacing="1"/>
        <w:outlineLvl w:val="2"/>
        <w:rPr>
          <w:rFonts w:ascii="Verdana" w:hAnsi="Verdana"/>
          <w:color w:val="000000"/>
          <w:sz w:val="18"/>
          <w:szCs w:val="18"/>
        </w:rPr>
      </w:pPr>
      <w:r w:rsidRPr="00343F44">
        <w:rPr>
          <w:rFonts w:ascii="Verdana" w:hAnsi="Verdana"/>
          <w:b/>
          <w:bCs/>
          <w:color w:val="000000"/>
          <w:sz w:val="18"/>
          <w:szCs w:val="18"/>
        </w:rPr>
        <w:t>Impuesto sobre el margen de intereses y comisiones de determinadas entidades financieras</w:t>
      </w:r>
    </w:p>
    <w:p w14:paraId="63A8B574" w14:textId="77777777" w:rsidR="00343F44" w:rsidRDefault="00343F44">
      <w:pPr>
        <w:numPr>
          <w:ilvl w:val="0"/>
          <w:numId w:val="43"/>
        </w:numPr>
        <w:shd w:val="clear" w:color="auto" w:fill="FFFFFF"/>
        <w:spacing w:after="100" w:afterAutospacing="1"/>
        <w:rPr>
          <w:rFonts w:ascii="Verdana" w:hAnsi="Verdana"/>
          <w:color w:val="000000"/>
          <w:sz w:val="18"/>
          <w:szCs w:val="18"/>
        </w:rPr>
      </w:pPr>
      <w:r w:rsidRPr="00343F44">
        <w:rPr>
          <w:rFonts w:ascii="Verdana" w:hAnsi="Verdana"/>
          <w:color w:val="000000"/>
          <w:sz w:val="18"/>
          <w:szCs w:val="18"/>
        </w:rPr>
        <w:t>Pago fraccionado: 781</w:t>
      </w:r>
    </w:p>
    <w:p w14:paraId="3D7D0FF4" w14:textId="4A0CF57A" w:rsidR="00343F44" w:rsidRPr="00343F44" w:rsidRDefault="008718F8" w:rsidP="00343F44">
      <w:pPr>
        <w:shd w:val="clear" w:color="auto" w:fill="FFFFFF"/>
        <w:spacing w:after="100" w:afterAutospacing="1"/>
        <w:outlineLvl w:val="0"/>
        <w:rPr>
          <w:rFonts w:ascii="Verdana" w:hAnsi="Verdana"/>
          <w:b/>
          <w:bCs/>
          <w:color w:val="943634" w:themeColor="accent2" w:themeShade="BF"/>
          <w:kern w:val="36"/>
          <w:sz w:val="18"/>
          <w:szCs w:val="18"/>
        </w:rPr>
      </w:pPr>
      <w:r w:rsidRPr="00343F44">
        <w:rPr>
          <w:rFonts w:ascii="Verdana" w:hAnsi="Verdana"/>
          <w:b/>
          <w:bCs/>
          <w:color w:val="943634" w:themeColor="accent2" w:themeShade="BF"/>
          <w:kern w:val="36"/>
          <w:sz w:val="18"/>
          <w:szCs w:val="18"/>
        </w:rPr>
        <w:t>HASTA EL 28 DE FEBRERO</w:t>
      </w:r>
    </w:p>
    <w:p w14:paraId="01D9E0B5" w14:textId="77777777" w:rsidR="00343F44" w:rsidRPr="00343F44" w:rsidRDefault="00343F44">
      <w:pPr>
        <w:numPr>
          <w:ilvl w:val="0"/>
          <w:numId w:val="44"/>
        </w:numPr>
        <w:shd w:val="clear" w:color="auto" w:fill="FFFFFF"/>
        <w:spacing w:before="100" w:beforeAutospacing="1" w:after="100" w:afterAutospacing="1"/>
        <w:rPr>
          <w:rFonts w:ascii="Verdana" w:hAnsi="Verdana"/>
          <w:color w:val="000000"/>
          <w:sz w:val="18"/>
          <w:szCs w:val="18"/>
        </w:rPr>
      </w:pPr>
      <w:r w:rsidRPr="00343F44">
        <w:rPr>
          <w:rFonts w:ascii="Verdana" w:hAnsi="Verdana"/>
          <w:color w:val="000000"/>
          <w:sz w:val="18"/>
          <w:szCs w:val="18"/>
        </w:rPr>
        <w:t>Enero 2026. Ventanilla única - Régimen de importación: 369</w:t>
      </w:r>
    </w:p>
    <w:p w14:paraId="1E8CDB24" w14:textId="0EBB16AC" w:rsidR="008718F8" w:rsidRPr="008718F8" w:rsidRDefault="008718F8" w:rsidP="008718F8">
      <w:pPr>
        <w:shd w:val="clear" w:color="auto" w:fill="FFFFFF"/>
        <w:spacing w:after="100" w:afterAutospacing="1"/>
        <w:jc w:val="both"/>
        <w:outlineLvl w:val="0"/>
        <w:rPr>
          <w:rFonts w:ascii="Verdana" w:hAnsi="Verdana"/>
          <w:b/>
          <w:bCs/>
          <w:color w:val="943634" w:themeColor="accent2" w:themeShade="BF"/>
          <w:kern w:val="36"/>
          <w:sz w:val="18"/>
          <w:szCs w:val="18"/>
        </w:rPr>
      </w:pPr>
      <w:r w:rsidRPr="008718F8">
        <w:rPr>
          <w:rFonts w:ascii="Verdana" w:hAnsi="Verdana"/>
          <w:b/>
          <w:bCs/>
          <w:color w:val="943634" w:themeColor="accent2" w:themeShade="BF"/>
          <w:kern w:val="36"/>
          <w:sz w:val="18"/>
          <w:szCs w:val="18"/>
        </w:rPr>
        <w:t>HASTA EL DE 2 DE MARZO</w:t>
      </w:r>
    </w:p>
    <w:p w14:paraId="1CBFAD2D" w14:textId="77777777" w:rsidR="008718F8" w:rsidRPr="008718F8" w:rsidRDefault="008718F8" w:rsidP="008718F8">
      <w:pPr>
        <w:shd w:val="clear" w:color="auto" w:fill="FFFFFF"/>
        <w:spacing w:after="100" w:afterAutospacing="1"/>
        <w:jc w:val="both"/>
        <w:rPr>
          <w:rFonts w:ascii="Verdana" w:hAnsi="Verdana"/>
          <w:color w:val="000000"/>
          <w:sz w:val="18"/>
          <w:szCs w:val="18"/>
        </w:rPr>
      </w:pPr>
      <w:r w:rsidRPr="008718F8">
        <w:rPr>
          <w:rFonts w:ascii="Verdana" w:hAnsi="Verdana"/>
          <w:b/>
          <w:bCs/>
          <w:color w:val="000000"/>
          <w:sz w:val="18"/>
          <w:szCs w:val="18"/>
        </w:rPr>
        <w:t>IVA</w:t>
      </w:r>
    </w:p>
    <w:p w14:paraId="00635A90" w14:textId="77777777" w:rsidR="008718F8" w:rsidRPr="008718F8" w:rsidRDefault="008718F8">
      <w:pPr>
        <w:numPr>
          <w:ilvl w:val="0"/>
          <w:numId w:val="45"/>
        </w:numPr>
        <w:shd w:val="clear" w:color="auto" w:fill="FFFFFF"/>
        <w:spacing w:after="100" w:afterAutospacing="1"/>
        <w:jc w:val="both"/>
        <w:rPr>
          <w:rFonts w:ascii="Verdana" w:hAnsi="Verdana"/>
          <w:color w:val="000000"/>
          <w:sz w:val="18"/>
          <w:szCs w:val="18"/>
        </w:rPr>
      </w:pPr>
      <w:r w:rsidRPr="008718F8">
        <w:rPr>
          <w:rFonts w:ascii="Verdana" w:hAnsi="Verdana"/>
          <w:color w:val="000000"/>
          <w:sz w:val="18"/>
          <w:szCs w:val="18"/>
        </w:rPr>
        <w:t>Enero 2026. Autoliquidación: 303</w:t>
      </w:r>
    </w:p>
    <w:p w14:paraId="7E95F72A" w14:textId="77777777" w:rsidR="008718F8" w:rsidRPr="008718F8" w:rsidRDefault="008718F8">
      <w:pPr>
        <w:numPr>
          <w:ilvl w:val="0"/>
          <w:numId w:val="45"/>
        </w:numPr>
        <w:shd w:val="clear" w:color="auto" w:fill="FFFFFF"/>
        <w:spacing w:after="100" w:afterAutospacing="1"/>
        <w:jc w:val="both"/>
        <w:rPr>
          <w:rFonts w:ascii="Verdana" w:hAnsi="Verdana"/>
          <w:color w:val="000000"/>
          <w:sz w:val="18"/>
          <w:szCs w:val="18"/>
        </w:rPr>
      </w:pPr>
      <w:r w:rsidRPr="008718F8">
        <w:rPr>
          <w:rFonts w:ascii="Verdana" w:hAnsi="Verdana"/>
          <w:color w:val="000000"/>
          <w:sz w:val="18"/>
          <w:szCs w:val="18"/>
        </w:rPr>
        <w:t>Enero 2026. Grupo de entidades, modelo individual: 322</w:t>
      </w:r>
    </w:p>
    <w:p w14:paraId="5A37F095" w14:textId="77777777" w:rsidR="008718F8" w:rsidRPr="008718F8" w:rsidRDefault="008718F8">
      <w:pPr>
        <w:numPr>
          <w:ilvl w:val="0"/>
          <w:numId w:val="45"/>
        </w:numPr>
        <w:shd w:val="clear" w:color="auto" w:fill="FFFFFF"/>
        <w:spacing w:after="100" w:afterAutospacing="1"/>
        <w:jc w:val="both"/>
        <w:rPr>
          <w:rFonts w:ascii="Verdana" w:hAnsi="Verdana"/>
          <w:color w:val="000000"/>
          <w:sz w:val="18"/>
          <w:szCs w:val="18"/>
        </w:rPr>
      </w:pPr>
      <w:r w:rsidRPr="008718F8">
        <w:rPr>
          <w:rFonts w:ascii="Verdana" w:hAnsi="Verdana"/>
          <w:color w:val="000000"/>
          <w:sz w:val="18"/>
          <w:szCs w:val="18"/>
        </w:rPr>
        <w:t>Enero 2026. Grupo de entidades, modelo agregado: 353</w:t>
      </w:r>
    </w:p>
    <w:p w14:paraId="2F1562C4" w14:textId="77777777" w:rsidR="008718F8" w:rsidRPr="008718F8" w:rsidRDefault="008718F8">
      <w:pPr>
        <w:numPr>
          <w:ilvl w:val="0"/>
          <w:numId w:val="45"/>
        </w:numPr>
        <w:shd w:val="clear" w:color="auto" w:fill="FFFFFF"/>
        <w:spacing w:after="100" w:afterAutospacing="1"/>
        <w:jc w:val="both"/>
        <w:rPr>
          <w:rFonts w:ascii="Verdana" w:hAnsi="Verdana"/>
          <w:color w:val="000000"/>
          <w:sz w:val="18"/>
          <w:szCs w:val="18"/>
        </w:rPr>
      </w:pPr>
      <w:r w:rsidRPr="008718F8">
        <w:rPr>
          <w:rFonts w:ascii="Verdana" w:hAnsi="Verdana"/>
          <w:color w:val="000000"/>
          <w:sz w:val="18"/>
          <w:szCs w:val="18"/>
        </w:rPr>
        <w:t>Enero 2026. Operaciones asimiladas a las importaciones: 380</w:t>
      </w:r>
    </w:p>
    <w:p w14:paraId="627ABC7D" w14:textId="77777777" w:rsidR="008718F8" w:rsidRPr="008718F8" w:rsidRDefault="008718F8" w:rsidP="008718F8">
      <w:pPr>
        <w:shd w:val="clear" w:color="auto" w:fill="FFFFFF"/>
        <w:spacing w:after="100" w:afterAutospacing="1"/>
        <w:jc w:val="both"/>
        <w:rPr>
          <w:rFonts w:ascii="Verdana" w:hAnsi="Verdana"/>
          <w:color w:val="000000"/>
          <w:sz w:val="18"/>
          <w:szCs w:val="18"/>
        </w:rPr>
      </w:pPr>
      <w:r w:rsidRPr="008718F8">
        <w:rPr>
          <w:rFonts w:ascii="Verdana" w:hAnsi="Verdana"/>
          <w:b/>
          <w:bCs/>
          <w:color w:val="000000"/>
          <w:sz w:val="18"/>
          <w:szCs w:val="18"/>
        </w:rPr>
        <w:t>Impuesto sobre Sociedades</w:t>
      </w:r>
    </w:p>
    <w:p w14:paraId="199DE599" w14:textId="77777777" w:rsidR="008718F8" w:rsidRPr="008718F8" w:rsidRDefault="008718F8">
      <w:pPr>
        <w:numPr>
          <w:ilvl w:val="0"/>
          <w:numId w:val="46"/>
        </w:numPr>
        <w:shd w:val="clear" w:color="auto" w:fill="FFFFFF"/>
        <w:spacing w:after="100" w:afterAutospacing="1"/>
        <w:jc w:val="both"/>
        <w:rPr>
          <w:rFonts w:ascii="Verdana" w:hAnsi="Verdana"/>
          <w:color w:val="000000"/>
          <w:sz w:val="18"/>
          <w:szCs w:val="18"/>
        </w:rPr>
      </w:pPr>
      <w:r w:rsidRPr="008718F8">
        <w:rPr>
          <w:rFonts w:ascii="Verdana" w:hAnsi="Verdana"/>
          <w:color w:val="000000"/>
          <w:sz w:val="18"/>
          <w:szCs w:val="18"/>
        </w:rPr>
        <w:t>Entidades cuyo ejercicio coincida con el año natural: opción/renuncia a la opción para el cálculo de los pagos fraccionados sobre la parte de base imponible del período de los tres, nueve u once meses de cada año natural: 036</w:t>
      </w:r>
    </w:p>
    <w:p w14:paraId="597DDE6B" w14:textId="77777777" w:rsidR="008718F8" w:rsidRPr="008718F8" w:rsidRDefault="008718F8">
      <w:pPr>
        <w:numPr>
          <w:ilvl w:val="0"/>
          <w:numId w:val="46"/>
        </w:numPr>
        <w:shd w:val="clear" w:color="auto" w:fill="FFFFFF"/>
        <w:spacing w:after="100" w:afterAutospacing="1"/>
        <w:jc w:val="both"/>
        <w:rPr>
          <w:rFonts w:ascii="Verdana" w:hAnsi="Verdana"/>
          <w:color w:val="000000"/>
          <w:sz w:val="18"/>
          <w:szCs w:val="18"/>
        </w:rPr>
      </w:pPr>
      <w:r w:rsidRPr="008718F8">
        <w:rPr>
          <w:rFonts w:ascii="Verdana" w:hAnsi="Verdana"/>
          <w:color w:val="000000"/>
          <w:sz w:val="18"/>
          <w:szCs w:val="18"/>
        </w:rPr>
        <w:t>Si el período impositivo no coincide con el año natural, la opción/renuncia por esta modalidad de pagos fraccionados se ejercerá, en los primeros dos meses de cada periodo impositivo o entre el inicio de dicho periodo impositivo y el fin del plazo para efectuar el primer pago fraccionado, si este plazo es inferior a dos meses: 036</w:t>
      </w:r>
    </w:p>
    <w:p w14:paraId="4CCAA5C8" w14:textId="77777777" w:rsidR="008718F8" w:rsidRPr="008718F8" w:rsidRDefault="008718F8" w:rsidP="008718F8">
      <w:pPr>
        <w:shd w:val="clear" w:color="auto" w:fill="FFFFFF"/>
        <w:spacing w:after="100" w:afterAutospacing="1"/>
        <w:jc w:val="both"/>
        <w:rPr>
          <w:rFonts w:ascii="Verdana" w:hAnsi="Verdana"/>
          <w:color w:val="000000"/>
          <w:sz w:val="18"/>
          <w:szCs w:val="18"/>
        </w:rPr>
      </w:pPr>
      <w:r w:rsidRPr="008718F8">
        <w:rPr>
          <w:rFonts w:ascii="Verdana" w:hAnsi="Verdana"/>
          <w:b/>
          <w:bCs/>
          <w:color w:val="000000"/>
          <w:sz w:val="18"/>
          <w:szCs w:val="18"/>
        </w:rPr>
        <w:t>Impuestos Medioambientales</w:t>
      </w:r>
    </w:p>
    <w:p w14:paraId="1546CD9D" w14:textId="77777777" w:rsidR="008718F8" w:rsidRPr="008718F8" w:rsidRDefault="008718F8">
      <w:pPr>
        <w:numPr>
          <w:ilvl w:val="0"/>
          <w:numId w:val="47"/>
        </w:numPr>
        <w:shd w:val="clear" w:color="auto" w:fill="FFFFFF"/>
        <w:spacing w:after="100" w:afterAutospacing="1"/>
        <w:jc w:val="both"/>
        <w:rPr>
          <w:rFonts w:ascii="Verdana" w:hAnsi="Verdana"/>
          <w:color w:val="000000"/>
          <w:sz w:val="18"/>
          <w:szCs w:val="18"/>
        </w:rPr>
      </w:pPr>
      <w:r w:rsidRPr="008718F8">
        <w:rPr>
          <w:rFonts w:ascii="Verdana" w:hAnsi="Verdana"/>
          <w:color w:val="000000"/>
          <w:sz w:val="18"/>
          <w:szCs w:val="18"/>
        </w:rPr>
        <w:t>Enero 2026. Impuesto especial sobre los envases de plástico no reutilizables. Presentación contabilidad y libro registro de existencias</w:t>
      </w:r>
    </w:p>
    <w:p w14:paraId="584ABF59" w14:textId="77777777" w:rsidR="008718F8" w:rsidRPr="008718F8" w:rsidRDefault="008718F8" w:rsidP="008718F8">
      <w:pPr>
        <w:shd w:val="clear" w:color="auto" w:fill="FFFFFF"/>
        <w:spacing w:after="100" w:afterAutospacing="1"/>
        <w:jc w:val="both"/>
        <w:rPr>
          <w:rFonts w:ascii="Verdana" w:hAnsi="Verdana"/>
          <w:color w:val="000000"/>
          <w:sz w:val="18"/>
          <w:szCs w:val="18"/>
        </w:rPr>
      </w:pPr>
      <w:r w:rsidRPr="008718F8">
        <w:rPr>
          <w:rFonts w:ascii="Verdana" w:hAnsi="Verdana"/>
          <w:b/>
          <w:bCs/>
          <w:color w:val="000000"/>
          <w:sz w:val="18"/>
          <w:szCs w:val="18"/>
        </w:rPr>
        <w:lastRenderedPageBreak/>
        <w:t>Declaración anual de consumo de energía eléctrica</w:t>
      </w:r>
    </w:p>
    <w:p w14:paraId="469BA5D4" w14:textId="77777777" w:rsidR="008718F8" w:rsidRPr="008718F8" w:rsidRDefault="008718F8">
      <w:pPr>
        <w:numPr>
          <w:ilvl w:val="0"/>
          <w:numId w:val="48"/>
        </w:numPr>
        <w:shd w:val="clear" w:color="auto" w:fill="FFFFFF"/>
        <w:spacing w:after="100" w:afterAutospacing="1"/>
        <w:jc w:val="both"/>
        <w:rPr>
          <w:rFonts w:ascii="Verdana" w:hAnsi="Verdana"/>
          <w:color w:val="000000"/>
          <w:sz w:val="18"/>
          <w:szCs w:val="18"/>
        </w:rPr>
      </w:pPr>
      <w:r w:rsidRPr="008718F8">
        <w:rPr>
          <w:rFonts w:ascii="Verdana" w:hAnsi="Verdana"/>
          <w:color w:val="000000"/>
          <w:sz w:val="18"/>
          <w:szCs w:val="18"/>
        </w:rPr>
        <w:t>Año 2025: 159</w:t>
      </w:r>
    </w:p>
    <w:p w14:paraId="5C359074" w14:textId="77777777" w:rsidR="008718F8" w:rsidRPr="008718F8" w:rsidRDefault="008718F8" w:rsidP="008718F8">
      <w:pPr>
        <w:shd w:val="clear" w:color="auto" w:fill="FFFFFF"/>
        <w:spacing w:after="100" w:afterAutospacing="1"/>
        <w:jc w:val="both"/>
        <w:rPr>
          <w:rFonts w:ascii="Verdana" w:hAnsi="Verdana"/>
          <w:color w:val="000000"/>
          <w:sz w:val="18"/>
          <w:szCs w:val="18"/>
        </w:rPr>
      </w:pPr>
      <w:r w:rsidRPr="008718F8">
        <w:rPr>
          <w:rFonts w:ascii="Verdana" w:hAnsi="Verdana"/>
          <w:b/>
          <w:bCs/>
          <w:color w:val="000000"/>
          <w:sz w:val="18"/>
          <w:szCs w:val="18"/>
        </w:rPr>
        <w:t>Declaración informativa anual de operaciones realizadas por empresarios o profesionales adheridos al sistema de gestión de cobros a través de tarjetas de crédito o débito</w:t>
      </w:r>
    </w:p>
    <w:p w14:paraId="0DF39533" w14:textId="77777777" w:rsidR="008718F8" w:rsidRPr="008718F8" w:rsidRDefault="008718F8">
      <w:pPr>
        <w:numPr>
          <w:ilvl w:val="0"/>
          <w:numId w:val="49"/>
        </w:numPr>
        <w:shd w:val="clear" w:color="auto" w:fill="FFFFFF"/>
        <w:spacing w:after="100" w:afterAutospacing="1"/>
        <w:jc w:val="both"/>
        <w:rPr>
          <w:rFonts w:ascii="Verdana" w:hAnsi="Verdana"/>
          <w:color w:val="000000"/>
          <w:sz w:val="18"/>
          <w:szCs w:val="18"/>
        </w:rPr>
      </w:pPr>
      <w:r w:rsidRPr="008718F8">
        <w:rPr>
          <w:rFonts w:ascii="Verdana" w:hAnsi="Verdana"/>
          <w:color w:val="000000"/>
          <w:sz w:val="18"/>
          <w:szCs w:val="18"/>
        </w:rPr>
        <w:t>Año 2025: 170</w:t>
      </w:r>
    </w:p>
    <w:p w14:paraId="54AF7DF3" w14:textId="77777777" w:rsidR="008718F8" w:rsidRPr="008718F8" w:rsidRDefault="008718F8" w:rsidP="008718F8">
      <w:pPr>
        <w:shd w:val="clear" w:color="auto" w:fill="FFFFFF"/>
        <w:spacing w:after="100" w:afterAutospacing="1"/>
        <w:jc w:val="both"/>
        <w:rPr>
          <w:rFonts w:ascii="Verdana" w:hAnsi="Verdana"/>
          <w:color w:val="000000"/>
          <w:sz w:val="18"/>
          <w:szCs w:val="18"/>
        </w:rPr>
      </w:pPr>
      <w:r w:rsidRPr="008718F8">
        <w:rPr>
          <w:rFonts w:ascii="Verdana" w:hAnsi="Verdana"/>
          <w:b/>
          <w:bCs/>
          <w:color w:val="000000"/>
          <w:sz w:val="18"/>
          <w:szCs w:val="18"/>
        </w:rPr>
        <w:t>Declaración informativa mensual de las operaciones realizadas por los empresarios o profesionales adheridos al sistema de gestión de cobros a través de cualquier tipo de tarjetas y mediante pagos asociados a números de teléfono móvil</w:t>
      </w:r>
    </w:p>
    <w:p w14:paraId="6B7FA47F" w14:textId="77777777" w:rsidR="008718F8" w:rsidRPr="008718F8" w:rsidRDefault="008718F8">
      <w:pPr>
        <w:numPr>
          <w:ilvl w:val="0"/>
          <w:numId w:val="50"/>
        </w:numPr>
        <w:shd w:val="clear" w:color="auto" w:fill="FFFFFF"/>
        <w:spacing w:after="100" w:afterAutospacing="1"/>
        <w:jc w:val="both"/>
        <w:rPr>
          <w:rFonts w:ascii="Verdana" w:hAnsi="Verdana"/>
          <w:color w:val="000000"/>
          <w:sz w:val="18"/>
          <w:szCs w:val="18"/>
        </w:rPr>
      </w:pPr>
      <w:r w:rsidRPr="008718F8">
        <w:rPr>
          <w:rFonts w:ascii="Verdana" w:hAnsi="Verdana"/>
          <w:color w:val="000000"/>
          <w:sz w:val="18"/>
          <w:szCs w:val="18"/>
        </w:rPr>
        <w:t>Enero 2026: 170</w:t>
      </w:r>
    </w:p>
    <w:p w14:paraId="1AD69872" w14:textId="77777777" w:rsidR="008718F8" w:rsidRPr="008718F8" w:rsidRDefault="008718F8" w:rsidP="008718F8">
      <w:pPr>
        <w:shd w:val="clear" w:color="auto" w:fill="FFFFFF"/>
        <w:spacing w:after="100" w:afterAutospacing="1"/>
        <w:jc w:val="both"/>
        <w:rPr>
          <w:rFonts w:ascii="Verdana" w:hAnsi="Verdana"/>
          <w:color w:val="000000"/>
          <w:sz w:val="18"/>
          <w:szCs w:val="18"/>
        </w:rPr>
      </w:pPr>
      <w:r w:rsidRPr="008718F8">
        <w:rPr>
          <w:rFonts w:ascii="Verdana" w:hAnsi="Verdana"/>
          <w:b/>
          <w:bCs/>
          <w:color w:val="000000"/>
          <w:sz w:val="18"/>
          <w:szCs w:val="18"/>
        </w:rPr>
        <w:t>Declaración informativa mensual de cuentas en toda clase de instituciones financieras y resumen anual de retenciones e ingresos a cuenta sobre rendimientos del capital mobiliario y rentas obtenidas por la contraprestación derivada de cuentas en toda clase de instituciones financieras</w:t>
      </w:r>
    </w:p>
    <w:p w14:paraId="35A30E14" w14:textId="77777777" w:rsidR="008718F8" w:rsidRPr="008718F8" w:rsidRDefault="008718F8">
      <w:pPr>
        <w:numPr>
          <w:ilvl w:val="0"/>
          <w:numId w:val="51"/>
        </w:numPr>
        <w:shd w:val="clear" w:color="auto" w:fill="FFFFFF"/>
        <w:spacing w:after="100" w:afterAutospacing="1"/>
        <w:jc w:val="both"/>
        <w:rPr>
          <w:rFonts w:ascii="Verdana" w:hAnsi="Verdana"/>
          <w:color w:val="000000"/>
          <w:sz w:val="18"/>
          <w:szCs w:val="18"/>
        </w:rPr>
      </w:pPr>
      <w:r w:rsidRPr="008718F8">
        <w:rPr>
          <w:rFonts w:ascii="Verdana" w:hAnsi="Verdana"/>
          <w:color w:val="000000"/>
          <w:sz w:val="18"/>
          <w:szCs w:val="18"/>
        </w:rPr>
        <w:t>Enero 2026: 196</w:t>
      </w:r>
    </w:p>
    <w:p w14:paraId="4B5FE5BD" w14:textId="77777777" w:rsidR="008718F8" w:rsidRPr="008718F8" w:rsidRDefault="008718F8" w:rsidP="008718F8">
      <w:pPr>
        <w:shd w:val="clear" w:color="auto" w:fill="FFFFFF"/>
        <w:spacing w:after="100" w:afterAutospacing="1"/>
        <w:jc w:val="both"/>
        <w:rPr>
          <w:rFonts w:ascii="Verdana" w:hAnsi="Verdana"/>
          <w:color w:val="000000"/>
          <w:sz w:val="18"/>
          <w:szCs w:val="18"/>
        </w:rPr>
      </w:pPr>
      <w:r w:rsidRPr="008718F8">
        <w:rPr>
          <w:rFonts w:ascii="Verdana" w:hAnsi="Verdana"/>
          <w:b/>
          <w:bCs/>
          <w:color w:val="000000"/>
          <w:sz w:val="18"/>
          <w:szCs w:val="18"/>
        </w:rPr>
        <w:t>Declaración informativa anual de planes de ahorro a largo plazo</w:t>
      </w:r>
    </w:p>
    <w:p w14:paraId="38FD60A6" w14:textId="77777777" w:rsidR="008718F8" w:rsidRPr="008718F8" w:rsidRDefault="008718F8">
      <w:pPr>
        <w:numPr>
          <w:ilvl w:val="0"/>
          <w:numId w:val="52"/>
        </w:numPr>
        <w:shd w:val="clear" w:color="auto" w:fill="FFFFFF"/>
        <w:spacing w:after="100" w:afterAutospacing="1"/>
        <w:jc w:val="both"/>
        <w:rPr>
          <w:rFonts w:ascii="Verdana" w:hAnsi="Verdana"/>
          <w:color w:val="000000"/>
          <w:sz w:val="18"/>
          <w:szCs w:val="18"/>
        </w:rPr>
      </w:pPr>
      <w:r w:rsidRPr="008718F8">
        <w:rPr>
          <w:rFonts w:ascii="Verdana" w:hAnsi="Verdana"/>
          <w:color w:val="000000"/>
          <w:sz w:val="18"/>
          <w:szCs w:val="18"/>
        </w:rPr>
        <w:t>Año 2025: 280</w:t>
      </w:r>
    </w:p>
    <w:p w14:paraId="6B7183BD" w14:textId="77777777" w:rsidR="008718F8" w:rsidRPr="008718F8" w:rsidRDefault="008718F8" w:rsidP="008718F8">
      <w:pPr>
        <w:shd w:val="clear" w:color="auto" w:fill="FFFFFF"/>
        <w:spacing w:after="100" w:afterAutospacing="1"/>
        <w:jc w:val="both"/>
        <w:rPr>
          <w:rFonts w:ascii="Verdana" w:hAnsi="Verdana"/>
          <w:color w:val="000000"/>
          <w:sz w:val="18"/>
          <w:szCs w:val="18"/>
        </w:rPr>
      </w:pPr>
      <w:r w:rsidRPr="008718F8">
        <w:rPr>
          <w:rFonts w:ascii="Verdana" w:hAnsi="Verdana"/>
          <w:b/>
          <w:bCs/>
          <w:color w:val="000000"/>
          <w:sz w:val="18"/>
          <w:szCs w:val="18"/>
        </w:rPr>
        <w:t>Declaración anual de operaciones con terceras personas</w:t>
      </w:r>
    </w:p>
    <w:p w14:paraId="7CD7D5C7" w14:textId="77777777" w:rsidR="008718F8" w:rsidRPr="008718F8" w:rsidRDefault="008718F8">
      <w:pPr>
        <w:numPr>
          <w:ilvl w:val="0"/>
          <w:numId w:val="53"/>
        </w:numPr>
        <w:shd w:val="clear" w:color="auto" w:fill="FFFFFF"/>
        <w:spacing w:after="100" w:afterAutospacing="1"/>
        <w:jc w:val="both"/>
        <w:rPr>
          <w:rFonts w:ascii="Verdana" w:hAnsi="Verdana"/>
          <w:color w:val="000000"/>
          <w:sz w:val="18"/>
          <w:szCs w:val="18"/>
        </w:rPr>
      </w:pPr>
      <w:r w:rsidRPr="008718F8">
        <w:rPr>
          <w:rFonts w:ascii="Verdana" w:hAnsi="Verdana"/>
          <w:color w:val="000000"/>
          <w:sz w:val="18"/>
          <w:szCs w:val="18"/>
        </w:rPr>
        <w:t>Año 2025: 347</w:t>
      </w:r>
    </w:p>
    <w:p w14:paraId="7F3137B0" w14:textId="77777777" w:rsidR="008718F8" w:rsidRPr="008718F8" w:rsidRDefault="008718F8" w:rsidP="008718F8">
      <w:pPr>
        <w:shd w:val="clear" w:color="auto" w:fill="FFFFFF"/>
        <w:spacing w:after="100" w:afterAutospacing="1"/>
        <w:jc w:val="both"/>
        <w:rPr>
          <w:rFonts w:ascii="Verdana" w:hAnsi="Verdana"/>
          <w:color w:val="000000"/>
          <w:sz w:val="18"/>
          <w:szCs w:val="18"/>
        </w:rPr>
      </w:pPr>
      <w:r w:rsidRPr="008718F8">
        <w:rPr>
          <w:rFonts w:ascii="Verdana" w:hAnsi="Verdana"/>
          <w:b/>
          <w:bCs/>
          <w:color w:val="000000"/>
          <w:sz w:val="18"/>
          <w:szCs w:val="18"/>
        </w:rPr>
        <w:t>Autoliquidación de la aportación a realizar por los prestadores del servicio de comunicación audiovisual televisivo y por los prestadores del servicio de intercambio de videos a través de plataforma de ámbito geográfico estatal o superior al de una Comunidad Autónoma</w:t>
      </w:r>
    </w:p>
    <w:p w14:paraId="1E3259A5" w14:textId="77777777" w:rsidR="008718F8" w:rsidRPr="008718F8" w:rsidRDefault="008718F8">
      <w:pPr>
        <w:numPr>
          <w:ilvl w:val="0"/>
          <w:numId w:val="54"/>
        </w:numPr>
        <w:shd w:val="clear" w:color="auto" w:fill="FFFFFF"/>
        <w:spacing w:after="100" w:afterAutospacing="1"/>
        <w:jc w:val="both"/>
        <w:rPr>
          <w:rFonts w:ascii="Verdana" w:hAnsi="Verdana"/>
          <w:color w:val="000000"/>
          <w:sz w:val="18"/>
          <w:szCs w:val="18"/>
        </w:rPr>
      </w:pPr>
      <w:r w:rsidRPr="008718F8">
        <w:rPr>
          <w:rFonts w:ascii="Verdana" w:hAnsi="Verdana"/>
          <w:color w:val="000000"/>
          <w:sz w:val="18"/>
          <w:szCs w:val="18"/>
        </w:rPr>
        <w:t>Año 2025: 792</w:t>
      </w:r>
    </w:p>
    <w:p w14:paraId="435E6EE5" w14:textId="77777777" w:rsidR="00343F44" w:rsidRDefault="00343F44" w:rsidP="008718F8">
      <w:pPr>
        <w:shd w:val="clear" w:color="auto" w:fill="FFFFFF"/>
        <w:spacing w:after="100" w:afterAutospacing="1"/>
        <w:jc w:val="both"/>
        <w:rPr>
          <w:rFonts w:ascii="Verdana" w:hAnsi="Verdana"/>
          <w:color w:val="000000"/>
          <w:sz w:val="18"/>
          <w:szCs w:val="18"/>
        </w:rPr>
      </w:pPr>
    </w:p>
    <w:p w14:paraId="2C59E5A5" w14:textId="77777777" w:rsidR="00343F44" w:rsidRPr="00343F44" w:rsidRDefault="00343F44" w:rsidP="00343F44">
      <w:pPr>
        <w:shd w:val="clear" w:color="auto" w:fill="FFFFFF"/>
        <w:spacing w:after="100" w:afterAutospacing="1"/>
        <w:outlineLvl w:val="0"/>
        <w:rPr>
          <w:rFonts w:ascii="Verdana" w:hAnsi="Verdana"/>
          <w:b/>
          <w:bCs/>
          <w:color w:val="943634" w:themeColor="accent2" w:themeShade="BF"/>
          <w:kern w:val="36"/>
          <w:sz w:val="18"/>
          <w:szCs w:val="18"/>
        </w:rPr>
      </w:pPr>
    </w:p>
    <w:p w14:paraId="130008B9" w14:textId="77777777" w:rsidR="00343F44" w:rsidRDefault="00343F44" w:rsidP="000C02D9">
      <w:pPr>
        <w:pStyle w:val="NormalWeb"/>
        <w:pBdr>
          <w:bottom w:val="single" w:sz="6" w:space="12" w:color="F4F4F4"/>
        </w:pBdr>
        <w:shd w:val="clear" w:color="auto" w:fill="FFFFFF"/>
        <w:contextualSpacing/>
        <w:jc w:val="both"/>
        <w:rPr>
          <w:rFonts w:ascii="Verdana" w:hAnsi="Verdana" w:cs="Verdana"/>
          <w:b/>
          <w:bCs/>
          <w:color w:val="800000"/>
          <w:sz w:val="22"/>
          <w:szCs w:val="22"/>
        </w:rPr>
      </w:pPr>
    </w:p>
    <w:sectPr w:rsidR="00343F44" w:rsidSect="00EE479D">
      <w:type w:val="continuous"/>
      <w:pgSz w:w="11906" w:h="16838" w:code="9"/>
      <w:pgMar w:top="1560" w:right="1558" w:bottom="1276" w:left="1701" w:header="709" w:footer="96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BD2A" w14:textId="77777777" w:rsidR="00853698" w:rsidRDefault="00853698">
      <w:r>
        <w:separator/>
      </w:r>
    </w:p>
  </w:endnote>
  <w:endnote w:type="continuationSeparator" w:id="0">
    <w:p w14:paraId="596B2796" w14:textId="77777777" w:rsidR="00853698" w:rsidRDefault="0085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8E55" w14:textId="77777777" w:rsidR="00853698" w:rsidRDefault="00853698">
      <w:r>
        <w:separator/>
      </w:r>
    </w:p>
  </w:footnote>
  <w:footnote w:type="continuationSeparator" w:id="0">
    <w:p w14:paraId="1C1FDDE0" w14:textId="77777777" w:rsidR="00853698" w:rsidRDefault="00853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D0270DE"/>
    <w:lvl w:ilvl="0">
      <w:start w:val="1"/>
      <w:numFmt w:val="bullet"/>
      <w:pStyle w:val="Listaconvietas2"/>
      <w:lvlText w:val=""/>
      <w:lvlJc w:val="left"/>
      <w:pPr>
        <w:tabs>
          <w:tab w:val="num" w:pos="643"/>
        </w:tabs>
        <w:ind w:left="643" w:hanging="360"/>
      </w:pPr>
      <w:rPr>
        <w:rFonts w:ascii="Symbol" w:hAnsi="Symbol" w:cs="Symbol" w:hint="default"/>
      </w:rPr>
    </w:lvl>
  </w:abstractNum>
  <w:abstractNum w:abstractNumId="1" w15:restartNumberingAfterBreak="0">
    <w:nsid w:val="FFFFFF89"/>
    <w:multiLevelType w:val="singleLevel"/>
    <w:tmpl w:val="7BD881A2"/>
    <w:lvl w:ilvl="0">
      <w:start w:val="1"/>
      <w:numFmt w:val="bullet"/>
      <w:pStyle w:val="Listaconvietas"/>
      <w:lvlText w:val=""/>
      <w:lvlJc w:val="left"/>
      <w:pPr>
        <w:tabs>
          <w:tab w:val="num" w:pos="360"/>
        </w:tabs>
        <w:ind w:left="360" w:hanging="360"/>
      </w:pPr>
      <w:rPr>
        <w:rFonts w:ascii="Symbol" w:hAnsi="Symbol" w:cs="Symbol" w:hint="default"/>
      </w:rPr>
    </w:lvl>
  </w:abstractNum>
  <w:abstractNum w:abstractNumId="2" w15:restartNumberingAfterBreak="0">
    <w:nsid w:val="015D6FA8"/>
    <w:multiLevelType w:val="multilevel"/>
    <w:tmpl w:val="88E2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87AD9"/>
    <w:multiLevelType w:val="multilevel"/>
    <w:tmpl w:val="346E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2320E"/>
    <w:multiLevelType w:val="multilevel"/>
    <w:tmpl w:val="DBB6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7371D"/>
    <w:multiLevelType w:val="multilevel"/>
    <w:tmpl w:val="3764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D44C2D"/>
    <w:multiLevelType w:val="multilevel"/>
    <w:tmpl w:val="522E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906A8"/>
    <w:multiLevelType w:val="multilevel"/>
    <w:tmpl w:val="0E8E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247345"/>
    <w:multiLevelType w:val="multilevel"/>
    <w:tmpl w:val="D35A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B06442"/>
    <w:multiLevelType w:val="multilevel"/>
    <w:tmpl w:val="FB7E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0A0976"/>
    <w:multiLevelType w:val="multilevel"/>
    <w:tmpl w:val="6180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01859"/>
    <w:multiLevelType w:val="multilevel"/>
    <w:tmpl w:val="A71C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C3618"/>
    <w:multiLevelType w:val="multilevel"/>
    <w:tmpl w:val="080C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14772"/>
    <w:multiLevelType w:val="multilevel"/>
    <w:tmpl w:val="5AAC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D6FDD"/>
    <w:multiLevelType w:val="multilevel"/>
    <w:tmpl w:val="8B1A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75D54"/>
    <w:multiLevelType w:val="multilevel"/>
    <w:tmpl w:val="7164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C5DFF"/>
    <w:multiLevelType w:val="multilevel"/>
    <w:tmpl w:val="9F0E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A639A8"/>
    <w:multiLevelType w:val="multilevel"/>
    <w:tmpl w:val="52A6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061853"/>
    <w:multiLevelType w:val="multilevel"/>
    <w:tmpl w:val="CC5E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DE57EE"/>
    <w:multiLevelType w:val="multilevel"/>
    <w:tmpl w:val="1D52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0F35F7"/>
    <w:multiLevelType w:val="multilevel"/>
    <w:tmpl w:val="168C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903536"/>
    <w:multiLevelType w:val="hybridMultilevel"/>
    <w:tmpl w:val="93F47E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22D1EB6"/>
    <w:multiLevelType w:val="multilevel"/>
    <w:tmpl w:val="B648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AC387D"/>
    <w:multiLevelType w:val="multilevel"/>
    <w:tmpl w:val="817E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6A7232"/>
    <w:multiLevelType w:val="multilevel"/>
    <w:tmpl w:val="884C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202F9C"/>
    <w:multiLevelType w:val="multilevel"/>
    <w:tmpl w:val="6FE6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7218D1"/>
    <w:multiLevelType w:val="multilevel"/>
    <w:tmpl w:val="73D2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D62394"/>
    <w:multiLevelType w:val="multilevel"/>
    <w:tmpl w:val="2882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791217"/>
    <w:multiLevelType w:val="hybridMultilevel"/>
    <w:tmpl w:val="81CCFE46"/>
    <w:lvl w:ilvl="0" w:tplc="0C0A000F">
      <w:start w:val="1"/>
      <w:numFmt w:val="decimal"/>
      <w:lvlText w:val="%1."/>
      <w:lvlJc w:val="left"/>
      <w:pPr>
        <w:tabs>
          <w:tab w:val="num" w:pos="360"/>
        </w:tabs>
        <w:ind w:left="360" w:hanging="360"/>
      </w:pPr>
    </w:lvl>
    <w:lvl w:ilvl="1" w:tplc="9CE22D1C">
      <w:start w:val="1"/>
      <w:numFmt w:val="decimal"/>
      <w:lvlText w:val="%2."/>
      <w:lvlJc w:val="left"/>
      <w:pPr>
        <w:tabs>
          <w:tab w:val="num" w:pos="786"/>
        </w:tabs>
        <w:ind w:left="786" w:hanging="360"/>
      </w:pPr>
      <w:rPr>
        <w:rFonts w:hint="default"/>
      </w:r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9" w15:restartNumberingAfterBreak="0">
    <w:nsid w:val="491E4A63"/>
    <w:multiLevelType w:val="multilevel"/>
    <w:tmpl w:val="D646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771EC6"/>
    <w:multiLevelType w:val="multilevel"/>
    <w:tmpl w:val="8B72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5C7BD1"/>
    <w:multiLevelType w:val="multilevel"/>
    <w:tmpl w:val="A4A2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13679D"/>
    <w:multiLevelType w:val="multilevel"/>
    <w:tmpl w:val="9DE0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193D02"/>
    <w:multiLevelType w:val="multilevel"/>
    <w:tmpl w:val="4F94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600DCB"/>
    <w:multiLevelType w:val="multilevel"/>
    <w:tmpl w:val="AC2E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AA2B83"/>
    <w:multiLevelType w:val="multilevel"/>
    <w:tmpl w:val="FE36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9C48DF"/>
    <w:multiLevelType w:val="multilevel"/>
    <w:tmpl w:val="9DF2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DB2ADC"/>
    <w:multiLevelType w:val="multilevel"/>
    <w:tmpl w:val="D3E4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C12396"/>
    <w:multiLevelType w:val="multilevel"/>
    <w:tmpl w:val="C42C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534CC2"/>
    <w:multiLevelType w:val="multilevel"/>
    <w:tmpl w:val="0D3C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ED2DC3"/>
    <w:multiLevelType w:val="multilevel"/>
    <w:tmpl w:val="760C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91252A"/>
    <w:multiLevelType w:val="multilevel"/>
    <w:tmpl w:val="EC68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AA3348"/>
    <w:multiLevelType w:val="multilevel"/>
    <w:tmpl w:val="41CC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1F2BBA"/>
    <w:multiLevelType w:val="multilevel"/>
    <w:tmpl w:val="6C34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444E3C"/>
    <w:multiLevelType w:val="multilevel"/>
    <w:tmpl w:val="3A80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BA057B"/>
    <w:multiLevelType w:val="multilevel"/>
    <w:tmpl w:val="DD34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BD0A0A"/>
    <w:multiLevelType w:val="multilevel"/>
    <w:tmpl w:val="9392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427BBB"/>
    <w:multiLevelType w:val="multilevel"/>
    <w:tmpl w:val="F046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491E2C"/>
    <w:multiLevelType w:val="multilevel"/>
    <w:tmpl w:val="901A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466B4C"/>
    <w:multiLevelType w:val="multilevel"/>
    <w:tmpl w:val="11CE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B17D78"/>
    <w:multiLevelType w:val="multilevel"/>
    <w:tmpl w:val="74A4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34254A"/>
    <w:multiLevelType w:val="multilevel"/>
    <w:tmpl w:val="6570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341070"/>
    <w:multiLevelType w:val="multilevel"/>
    <w:tmpl w:val="77BE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861986"/>
    <w:multiLevelType w:val="multilevel"/>
    <w:tmpl w:val="D15A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267017">
    <w:abstractNumId w:val="1"/>
  </w:num>
  <w:num w:numId="2" w16cid:durableId="531922156">
    <w:abstractNumId w:val="0"/>
  </w:num>
  <w:num w:numId="3" w16cid:durableId="527716530">
    <w:abstractNumId w:val="28"/>
  </w:num>
  <w:num w:numId="4" w16cid:durableId="25065978">
    <w:abstractNumId w:val="21"/>
  </w:num>
  <w:num w:numId="5" w16cid:durableId="1580139579">
    <w:abstractNumId w:val="40"/>
  </w:num>
  <w:num w:numId="6" w16cid:durableId="1645769459">
    <w:abstractNumId w:val="46"/>
  </w:num>
  <w:num w:numId="7" w16cid:durableId="52897087">
    <w:abstractNumId w:val="50"/>
  </w:num>
  <w:num w:numId="8" w16cid:durableId="1730686848">
    <w:abstractNumId w:val="48"/>
  </w:num>
  <w:num w:numId="9" w16cid:durableId="269165462">
    <w:abstractNumId w:val="37"/>
  </w:num>
  <w:num w:numId="10" w16cid:durableId="88430606">
    <w:abstractNumId w:val="43"/>
  </w:num>
  <w:num w:numId="11" w16cid:durableId="1438599861">
    <w:abstractNumId w:val="11"/>
  </w:num>
  <w:num w:numId="12" w16cid:durableId="1493450910">
    <w:abstractNumId w:val="31"/>
  </w:num>
  <w:num w:numId="13" w16cid:durableId="1554461090">
    <w:abstractNumId w:val="16"/>
  </w:num>
  <w:num w:numId="14" w16cid:durableId="819152138">
    <w:abstractNumId w:val="29"/>
  </w:num>
  <w:num w:numId="15" w16cid:durableId="1500464426">
    <w:abstractNumId w:val="34"/>
  </w:num>
  <w:num w:numId="16" w16cid:durableId="1360353671">
    <w:abstractNumId w:val="14"/>
  </w:num>
  <w:num w:numId="17" w16cid:durableId="1164856913">
    <w:abstractNumId w:val="35"/>
  </w:num>
  <w:num w:numId="18" w16cid:durableId="822894021">
    <w:abstractNumId w:val="20"/>
  </w:num>
  <w:num w:numId="19" w16cid:durableId="292911138">
    <w:abstractNumId w:val="8"/>
  </w:num>
  <w:num w:numId="20" w16cid:durableId="1418021851">
    <w:abstractNumId w:val="6"/>
  </w:num>
  <w:num w:numId="21" w16cid:durableId="1555198806">
    <w:abstractNumId w:val="41"/>
  </w:num>
  <w:num w:numId="22" w16cid:durableId="227422364">
    <w:abstractNumId w:val="49"/>
  </w:num>
  <w:num w:numId="23" w16cid:durableId="775633294">
    <w:abstractNumId w:val="52"/>
  </w:num>
  <w:num w:numId="24" w16cid:durableId="1270576849">
    <w:abstractNumId w:val="23"/>
  </w:num>
  <w:num w:numId="25" w16cid:durableId="1468667089">
    <w:abstractNumId w:val="9"/>
  </w:num>
  <w:num w:numId="26" w16cid:durableId="2109424597">
    <w:abstractNumId w:val="33"/>
  </w:num>
  <w:num w:numId="27" w16cid:durableId="1895041438">
    <w:abstractNumId w:val="51"/>
  </w:num>
  <w:num w:numId="28" w16cid:durableId="1996296897">
    <w:abstractNumId w:val="13"/>
  </w:num>
  <w:num w:numId="29" w16cid:durableId="113328046">
    <w:abstractNumId w:val="25"/>
  </w:num>
  <w:num w:numId="30" w16cid:durableId="1964456379">
    <w:abstractNumId w:val="19"/>
  </w:num>
  <w:num w:numId="31" w16cid:durableId="574319713">
    <w:abstractNumId w:val="47"/>
  </w:num>
  <w:num w:numId="32" w16cid:durableId="1336225822">
    <w:abstractNumId w:val="10"/>
  </w:num>
  <w:num w:numId="33" w16cid:durableId="441613164">
    <w:abstractNumId w:val="2"/>
  </w:num>
  <w:num w:numId="34" w16cid:durableId="1358972424">
    <w:abstractNumId w:val="18"/>
  </w:num>
  <w:num w:numId="35" w16cid:durableId="55785323">
    <w:abstractNumId w:val="38"/>
  </w:num>
  <w:num w:numId="36" w16cid:durableId="1866484915">
    <w:abstractNumId w:val="27"/>
  </w:num>
  <w:num w:numId="37" w16cid:durableId="791365745">
    <w:abstractNumId w:val="15"/>
  </w:num>
  <w:num w:numId="38" w16cid:durableId="1446190144">
    <w:abstractNumId w:val="32"/>
  </w:num>
  <w:num w:numId="39" w16cid:durableId="120340580">
    <w:abstractNumId w:val="4"/>
  </w:num>
  <w:num w:numId="40" w16cid:durableId="167794155">
    <w:abstractNumId w:val="7"/>
  </w:num>
  <w:num w:numId="41" w16cid:durableId="299463138">
    <w:abstractNumId w:val="45"/>
  </w:num>
  <w:num w:numId="42" w16cid:durableId="664628639">
    <w:abstractNumId w:val="30"/>
  </w:num>
  <w:num w:numId="43" w16cid:durableId="927233949">
    <w:abstractNumId w:val="26"/>
  </w:num>
  <w:num w:numId="44" w16cid:durableId="559826683">
    <w:abstractNumId w:val="3"/>
  </w:num>
  <w:num w:numId="45" w16cid:durableId="256327547">
    <w:abstractNumId w:val="36"/>
  </w:num>
  <w:num w:numId="46" w16cid:durableId="786655791">
    <w:abstractNumId w:val="12"/>
  </w:num>
  <w:num w:numId="47" w16cid:durableId="1260917593">
    <w:abstractNumId w:val="39"/>
  </w:num>
  <w:num w:numId="48" w16cid:durableId="1877740099">
    <w:abstractNumId w:val="44"/>
  </w:num>
  <w:num w:numId="49" w16cid:durableId="721946523">
    <w:abstractNumId w:val="42"/>
  </w:num>
  <w:num w:numId="50" w16cid:durableId="465394374">
    <w:abstractNumId w:val="53"/>
  </w:num>
  <w:num w:numId="51" w16cid:durableId="981038605">
    <w:abstractNumId w:val="17"/>
  </w:num>
  <w:num w:numId="52" w16cid:durableId="554002956">
    <w:abstractNumId w:val="22"/>
  </w:num>
  <w:num w:numId="53" w16cid:durableId="1464426413">
    <w:abstractNumId w:val="5"/>
  </w:num>
  <w:num w:numId="54" w16cid:durableId="938564466">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33"/>
    <w:rsid w:val="000019B1"/>
    <w:rsid w:val="00001A31"/>
    <w:rsid w:val="000041C3"/>
    <w:rsid w:val="00004B2E"/>
    <w:rsid w:val="00007B99"/>
    <w:rsid w:val="00007CA8"/>
    <w:rsid w:val="000120FB"/>
    <w:rsid w:val="00013AC1"/>
    <w:rsid w:val="00014BE4"/>
    <w:rsid w:val="00015283"/>
    <w:rsid w:val="00015765"/>
    <w:rsid w:val="000158C9"/>
    <w:rsid w:val="00023044"/>
    <w:rsid w:val="00026342"/>
    <w:rsid w:val="000303A5"/>
    <w:rsid w:val="000317CF"/>
    <w:rsid w:val="00034C92"/>
    <w:rsid w:val="00035A56"/>
    <w:rsid w:val="00035AAE"/>
    <w:rsid w:val="00040A53"/>
    <w:rsid w:val="000417C3"/>
    <w:rsid w:val="00041993"/>
    <w:rsid w:val="00042D84"/>
    <w:rsid w:val="000431C4"/>
    <w:rsid w:val="0005085C"/>
    <w:rsid w:val="000527AC"/>
    <w:rsid w:val="00057585"/>
    <w:rsid w:val="00060927"/>
    <w:rsid w:val="00060B64"/>
    <w:rsid w:val="00062B4D"/>
    <w:rsid w:val="00062C33"/>
    <w:rsid w:val="000718B4"/>
    <w:rsid w:val="00074790"/>
    <w:rsid w:val="00075E61"/>
    <w:rsid w:val="00076AC2"/>
    <w:rsid w:val="000803B8"/>
    <w:rsid w:val="000826DD"/>
    <w:rsid w:val="0008460F"/>
    <w:rsid w:val="00086D00"/>
    <w:rsid w:val="00087EDA"/>
    <w:rsid w:val="00090FE4"/>
    <w:rsid w:val="00094AD3"/>
    <w:rsid w:val="00096876"/>
    <w:rsid w:val="000A6204"/>
    <w:rsid w:val="000A6261"/>
    <w:rsid w:val="000A7E9E"/>
    <w:rsid w:val="000B0F02"/>
    <w:rsid w:val="000B0F86"/>
    <w:rsid w:val="000B1DD3"/>
    <w:rsid w:val="000B4944"/>
    <w:rsid w:val="000B738C"/>
    <w:rsid w:val="000C02D9"/>
    <w:rsid w:val="000C0E82"/>
    <w:rsid w:val="000C6E7E"/>
    <w:rsid w:val="000C716C"/>
    <w:rsid w:val="000C73FE"/>
    <w:rsid w:val="000C7403"/>
    <w:rsid w:val="000D0E46"/>
    <w:rsid w:val="000D18F6"/>
    <w:rsid w:val="000D1C40"/>
    <w:rsid w:val="000D25B4"/>
    <w:rsid w:val="000E3928"/>
    <w:rsid w:val="000E58A9"/>
    <w:rsid w:val="000E6BF7"/>
    <w:rsid w:val="000F29FB"/>
    <w:rsid w:val="000F2AB2"/>
    <w:rsid w:val="000F4EE6"/>
    <w:rsid w:val="000F759B"/>
    <w:rsid w:val="0010074F"/>
    <w:rsid w:val="00101477"/>
    <w:rsid w:val="00101D5C"/>
    <w:rsid w:val="001022EC"/>
    <w:rsid w:val="00102F1B"/>
    <w:rsid w:val="001056C5"/>
    <w:rsid w:val="0010635E"/>
    <w:rsid w:val="00106970"/>
    <w:rsid w:val="001120C1"/>
    <w:rsid w:val="001129C3"/>
    <w:rsid w:val="00113947"/>
    <w:rsid w:val="00124109"/>
    <w:rsid w:val="001241BB"/>
    <w:rsid w:val="001261A4"/>
    <w:rsid w:val="0012715B"/>
    <w:rsid w:val="001277BF"/>
    <w:rsid w:val="001300B8"/>
    <w:rsid w:val="00131361"/>
    <w:rsid w:val="001321B6"/>
    <w:rsid w:val="00133774"/>
    <w:rsid w:val="00134B80"/>
    <w:rsid w:val="0013537F"/>
    <w:rsid w:val="0014145A"/>
    <w:rsid w:val="0014359B"/>
    <w:rsid w:val="001457E9"/>
    <w:rsid w:val="00147F04"/>
    <w:rsid w:val="00153C97"/>
    <w:rsid w:val="00157B36"/>
    <w:rsid w:val="00162462"/>
    <w:rsid w:val="00162979"/>
    <w:rsid w:val="00163191"/>
    <w:rsid w:val="00165940"/>
    <w:rsid w:val="00167D3D"/>
    <w:rsid w:val="00172228"/>
    <w:rsid w:val="001727B7"/>
    <w:rsid w:val="00172CC2"/>
    <w:rsid w:val="001735C6"/>
    <w:rsid w:val="00174553"/>
    <w:rsid w:val="0017722D"/>
    <w:rsid w:val="001778AF"/>
    <w:rsid w:val="001847EA"/>
    <w:rsid w:val="00184EFF"/>
    <w:rsid w:val="001858C2"/>
    <w:rsid w:val="00185E75"/>
    <w:rsid w:val="0019299E"/>
    <w:rsid w:val="00195EEF"/>
    <w:rsid w:val="00196859"/>
    <w:rsid w:val="00197037"/>
    <w:rsid w:val="001A1702"/>
    <w:rsid w:val="001A41F0"/>
    <w:rsid w:val="001A684D"/>
    <w:rsid w:val="001A716C"/>
    <w:rsid w:val="001B4843"/>
    <w:rsid w:val="001B6047"/>
    <w:rsid w:val="001B6507"/>
    <w:rsid w:val="001B704C"/>
    <w:rsid w:val="001C1504"/>
    <w:rsid w:val="001C3652"/>
    <w:rsid w:val="001C3AED"/>
    <w:rsid w:val="001C4092"/>
    <w:rsid w:val="001C5EF6"/>
    <w:rsid w:val="001D2160"/>
    <w:rsid w:val="001D38CB"/>
    <w:rsid w:val="001D3C55"/>
    <w:rsid w:val="001D3C88"/>
    <w:rsid w:val="001D4022"/>
    <w:rsid w:val="001D637C"/>
    <w:rsid w:val="001E30DE"/>
    <w:rsid w:val="001E397A"/>
    <w:rsid w:val="001E65C9"/>
    <w:rsid w:val="001E65F2"/>
    <w:rsid w:val="001E72E3"/>
    <w:rsid w:val="001F065F"/>
    <w:rsid w:val="001F12F9"/>
    <w:rsid w:val="001F2C7F"/>
    <w:rsid w:val="001F3A26"/>
    <w:rsid w:val="001F4256"/>
    <w:rsid w:val="001F474E"/>
    <w:rsid w:val="001F67E1"/>
    <w:rsid w:val="002031EB"/>
    <w:rsid w:val="00203DE1"/>
    <w:rsid w:val="00204C4E"/>
    <w:rsid w:val="0020518F"/>
    <w:rsid w:val="002065C8"/>
    <w:rsid w:val="00206E4F"/>
    <w:rsid w:val="00207370"/>
    <w:rsid w:val="0021115A"/>
    <w:rsid w:val="00212472"/>
    <w:rsid w:val="00214CC5"/>
    <w:rsid w:val="00217313"/>
    <w:rsid w:val="002200D1"/>
    <w:rsid w:val="00223827"/>
    <w:rsid w:val="002241AB"/>
    <w:rsid w:val="0022636A"/>
    <w:rsid w:val="00226603"/>
    <w:rsid w:val="002303E3"/>
    <w:rsid w:val="0023070F"/>
    <w:rsid w:val="00230CDB"/>
    <w:rsid w:val="002312F8"/>
    <w:rsid w:val="002349C6"/>
    <w:rsid w:val="00234F72"/>
    <w:rsid w:val="002357D2"/>
    <w:rsid w:val="00240C57"/>
    <w:rsid w:val="00241625"/>
    <w:rsid w:val="00242E23"/>
    <w:rsid w:val="002476CF"/>
    <w:rsid w:val="00250B48"/>
    <w:rsid w:val="00250F43"/>
    <w:rsid w:val="002516AA"/>
    <w:rsid w:val="00252CD3"/>
    <w:rsid w:val="0025334C"/>
    <w:rsid w:val="00253352"/>
    <w:rsid w:val="00253D59"/>
    <w:rsid w:val="00256385"/>
    <w:rsid w:val="00256BF0"/>
    <w:rsid w:val="002633E4"/>
    <w:rsid w:val="00265A48"/>
    <w:rsid w:val="002669F7"/>
    <w:rsid w:val="002673AF"/>
    <w:rsid w:val="002700F7"/>
    <w:rsid w:val="00272212"/>
    <w:rsid w:val="002730BA"/>
    <w:rsid w:val="002742B5"/>
    <w:rsid w:val="00280B89"/>
    <w:rsid w:val="00281521"/>
    <w:rsid w:val="002818BA"/>
    <w:rsid w:val="00285A04"/>
    <w:rsid w:val="00285D53"/>
    <w:rsid w:val="00290005"/>
    <w:rsid w:val="00290451"/>
    <w:rsid w:val="00292D0E"/>
    <w:rsid w:val="00293AFA"/>
    <w:rsid w:val="00293E8B"/>
    <w:rsid w:val="002952C9"/>
    <w:rsid w:val="002A051C"/>
    <w:rsid w:val="002A26AF"/>
    <w:rsid w:val="002A340C"/>
    <w:rsid w:val="002A4245"/>
    <w:rsid w:val="002A7414"/>
    <w:rsid w:val="002B32EF"/>
    <w:rsid w:val="002B3B0D"/>
    <w:rsid w:val="002B3C7D"/>
    <w:rsid w:val="002B47CB"/>
    <w:rsid w:val="002B6501"/>
    <w:rsid w:val="002B66F7"/>
    <w:rsid w:val="002C22F8"/>
    <w:rsid w:val="002C2EBD"/>
    <w:rsid w:val="002C33BF"/>
    <w:rsid w:val="002C5194"/>
    <w:rsid w:val="002C6272"/>
    <w:rsid w:val="002C7CD6"/>
    <w:rsid w:val="002D2DEA"/>
    <w:rsid w:val="002D4797"/>
    <w:rsid w:val="002D6AC2"/>
    <w:rsid w:val="002E22F5"/>
    <w:rsid w:val="002E36F2"/>
    <w:rsid w:val="002E3D3D"/>
    <w:rsid w:val="002E63A9"/>
    <w:rsid w:val="002E7E2D"/>
    <w:rsid w:val="002F0AEE"/>
    <w:rsid w:val="002F2D58"/>
    <w:rsid w:val="003058D7"/>
    <w:rsid w:val="00305EF0"/>
    <w:rsid w:val="003067DA"/>
    <w:rsid w:val="00306826"/>
    <w:rsid w:val="00310952"/>
    <w:rsid w:val="00311798"/>
    <w:rsid w:val="00312BEF"/>
    <w:rsid w:val="00312C64"/>
    <w:rsid w:val="00314EBC"/>
    <w:rsid w:val="003172F4"/>
    <w:rsid w:val="00320672"/>
    <w:rsid w:val="00321815"/>
    <w:rsid w:val="003246BE"/>
    <w:rsid w:val="00324D84"/>
    <w:rsid w:val="0032584E"/>
    <w:rsid w:val="0033058D"/>
    <w:rsid w:val="0033144E"/>
    <w:rsid w:val="00331F16"/>
    <w:rsid w:val="0033296C"/>
    <w:rsid w:val="00334CEE"/>
    <w:rsid w:val="00334DC1"/>
    <w:rsid w:val="003368D3"/>
    <w:rsid w:val="00336AC3"/>
    <w:rsid w:val="00337930"/>
    <w:rsid w:val="00337EFD"/>
    <w:rsid w:val="00340224"/>
    <w:rsid w:val="00340449"/>
    <w:rsid w:val="00342A0A"/>
    <w:rsid w:val="00343F44"/>
    <w:rsid w:val="0034548C"/>
    <w:rsid w:val="003471A0"/>
    <w:rsid w:val="003555B3"/>
    <w:rsid w:val="00356901"/>
    <w:rsid w:val="00356B06"/>
    <w:rsid w:val="00357E38"/>
    <w:rsid w:val="00360F76"/>
    <w:rsid w:val="00361526"/>
    <w:rsid w:val="00372E49"/>
    <w:rsid w:val="0038039B"/>
    <w:rsid w:val="00380AD2"/>
    <w:rsid w:val="003819DA"/>
    <w:rsid w:val="00382ABC"/>
    <w:rsid w:val="0038613B"/>
    <w:rsid w:val="00387E93"/>
    <w:rsid w:val="00391695"/>
    <w:rsid w:val="00391898"/>
    <w:rsid w:val="0039486A"/>
    <w:rsid w:val="003951C5"/>
    <w:rsid w:val="0039655F"/>
    <w:rsid w:val="0039712E"/>
    <w:rsid w:val="003A02C9"/>
    <w:rsid w:val="003A1481"/>
    <w:rsid w:val="003A25A7"/>
    <w:rsid w:val="003A2E53"/>
    <w:rsid w:val="003A4F82"/>
    <w:rsid w:val="003B16D6"/>
    <w:rsid w:val="003B345D"/>
    <w:rsid w:val="003B3E4A"/>
    <w:rsid w:val="003C06B2"/>
    <w:rsid w:val="003C0D3F"/>
    <w:rsid w:val="003C109C"/>
    <w:rsid w:val="003C14FB"/>
    <w:rsid w:val="003C16F3"/>
    <w:rsid w:val="003C2B1E"/>
    <w:rsid w:val="003C336B"/>
    <w:rsid w:val="003C513B"/>
    <w:rsid w:val="003C726D"/>
    <w:rsid w:val="003D30B9"/>
    <w:rsid w:val="003D327D"/>
    <w:rsid w:val="003D3B85"/>
    <w:rsid w:val="003D6348"/>
    <w:rsid w:val="003D7D94"/>
    <w:rsid w:val="003E109B"/>
    <w:rsid w:val="003E12AE"/>
    <w:rsid w:val="003E252B"/>
    <w:rsid w:val="003E29AE"/>
    <w:rsid w:val="003E2DE0"/>
    <w:rsid w:val="003E30D9"/>
    <w:rsid w:val="003E424F"/>
    <w:rsid w:val="003E70CA"/>
    <w:rsid w:val="003F0056"/>
    <w:rsid w:val="003F1259"/>
    <w:rsid w:val="003F2EE7"/>
    <w:rsid w:val="003F46E0"/>
    <w:rsid w:val="003F5739"/>
    <w:rsid w:val="003F5860"/>
    <w:rsid w:val="003F5A6E"/>
    <w:rsid w:val="004004B2"/>
    <w:rsid w:val="00400E29"/>
    <w:rsid w:val="004018B3"/>
    <w:rsid w:val="00401E29"/>
    <w:rsid w:val="00401E32"/>
    <w:rsid w:val="00403B2D"/>
    <w:rsid w:val="0040539B"/>
    <w:rsid w:val="004071B8"/>
    <w:rsid w:val="004102A3"/>
    <w:rsid w:val="00410565"/>
    <w:rsid w:val="00410D6C"/>
    <w:rsid w:val="004111F9"/>
    <w:rsid w:val="00411ECE"/>
    <w:rsid w:val="0041251F"/>
    <w:rsid w:val="00415F1B"/>
    <w:rsid w:val="00420AD7"/>
    <w:rsid w:val="0042271E"/>
    <w:rsid w:val="00423256"/>
    <w:rsid w:val="00425125"/>
    <w:rsid w:val="004258A3"/>
    <w:rsid w:val="0042644D"/>
    <w:rsid w:val="0042686A"/>
    <w:rsid w:val="004373A8"/>
    <w:rsid w:val="0043770F"/>
    <w:rsid w:val="004416BC"/>
    <w:rsid w:val="00451869"/>
    <w:rsid w:val="0045479E"/>
    <w:rsid w:val="00455450"/>
    <w:rsid w:val="004556AE"/>
    <w:rsid w:val="00457593"/>
    <w:rsid w:val="00461A10"/>
    <w:rsid w:val="00462197"/>
    <w:rsid w:val="0046223E"/>
    <w:rsid w:val="0046321C"/>
    <w:rsid w:val="0046354F"/>
    <w:rsid w:val="00463CED"/>
    <w:rsid w:val="00463DBF"/>
    <w:rsid w:val="004655AC"/>
    <w:rsid w:val="00465CE4"/>
    <w:rsid w:val="004676BA"/>
    <w:rsid w:val="00472451"/>
    <w:rsid w:val="00475918"/>
    <w:rsid w:val="004766C1"/>
    <w:rsid w:val="00481EA7"/>
    <w:rsid w:val="0049089A"/>
    <w:rsid w:val="00492E78"/>
    <w:rsid w:val="004935CE"/>
    <w:rsid w:val="00494C8B"/>
    <w:rsid w:val="004961A1"/>
    <w:rsid w:val="004972C1"/>
    <w:rsid w:val="004A257D"/>
    <w:rsid w:val="004A411D"/>
    <w:rsid w:val="004A4EC9"/>
    <w:rsid w:val="004A5C58"/>
    <w:rsid w:val="004A6EA3"/>
    <w:rsid w:val="004A79AC"/>
    <w:rsid w:val="004A7A93"/>
    <w:rsid w:val="004B182B"/>
    <w:rsid w:val="004B30E0"/>
    <w:rsid w:val="004B74C7"/>
    <w:rsid w:val="004C44E1"/>
    <w:rsid w:val="004C56AD"/>
    <w:rsid w:val="004C5A95"/>
    <w:rsid w:val="004D3527"/>
    <w:rsid w:val="004D3D1F"/>
    <w:rsid w:val="004D4CE9"/>
    <w:rsid w:val="004D64C3"/>
    <w:rsid w:val="004E06D2"/>
    <w:rsid w:val="004E2AAE"/>
    <w:rsid w:val="004E2BD9"/>
    <w:rsid w:val="004E4C88"/>
    <w:rsid w:val="004E66F4"/>
    <w:rsid w:val="004E7E4D"/>
    <w:rsid w:val="004F6E06"/>
    <w:rsid w:val="004F713A"/>
    <w:rsid w:val="005032C4"/>
    <w:rsid w:val="005033BB"/>
    <w:rsid w:val="005067F6"/>
    <w:rsid w:val="00506D67"/>
    <w:rsid w:val="005073B6"/>
    <w:rsid w:val="0051034B"/>
    <w:rsid w:val="005135EF"/>
    <w:rsid w:val="005143D8"/>
    <w:rsid w:val="00521714"/>
    <w:rsid w:val="00527A28"/>
    <w:rsid w:val="00530B5F"/>
    <w:rsid w:val="005317DD"/>
    <w:rsid w:val="00533F35"/>
    <w:rsid w:val="0053466C"/>
    <w:rsid w:val="005366C0"/>
    <w:rsid w:val="00536DD2"/>
    <w:rsid w:val="0053777E"/>
    <w:rsid w:val="00537E06"/>
    <w:rsid w:val="00541B89"/>
    <w:rsid w:val="00542344"/>
    <w:rsid w:val="005446F3"/>
    <w:rsid w:val="005449B7"/>
    <w:rsid w:val="00550133"/>
    <w:rsid w:val="00551408"/>
    <w:rsid w:val="00552216"/>
    <w:rsid w:val="00553B25"/>
    <w:rsid w:val="005543AB"/>
    <w:rsid w:val="00555822"/>
    <w:rsid w:val="00561DC3"/>
    <w:rsid w:val="00563FE0"/>
    <w:rsid w:val="00564419"/>
    <w:rsid w:val="005656FE"/>
    <w:rsid w:val="00565FCB"/>
    <w:rsid w:val="005672C7"/>
    <w:rsid w:val="0056764F"/>
    <w:rsid w:val="0057059B"/>
    <w:rsid w:val="0057164C"/>
    <w:rsid w:val="00572431"/>
    <w:rsid w:val="005749CA"/>
    <w:rsid w:val="00575251"/>
    <w:rsid w:val="00575C4E"/>
    <w:rsid w:val="005767B9"/>
    <w:rsid w:val="0058004A"/>
    <w:rsid w:val="0058247A"/>
    <w:rsid w:val="00584859"/>
    <w:rsid w:val="00586667"/>
    <w:rsid w:val="005919C6"/>
    <w:rsid w:val="00591F72"/>
    <w:rsid w:val="0059280F"/>
    <w:rsid w:val="005A05F3"/>
    <w:rsid w:val="005A1A79"/>
    <w:rsid w:val="005A1C5F"/>
    <w:rsid w:val="005A237F"/>
    <w:rsid w:val="005A3638"/>
    <w:rsid w:val="005A3ADD"/>
    <w:rsid w:val="005A44CF"/>
    <w:rsid w:val="005A45B8"/>
    <w:rsid w:val="005A5113"/>
    <w:rsid w:val="005A6611"/>
    <w:rsid w:val="005B1B3A"/>
    <w:rsid w:val="005B403D"/>
    <w:rsid w:val="005B71A1"/>
    <w:rsid w:val="005C0C06"/>
    <w:rsid w:val="005C1CAB"/>
    <w:rsid w:val="005C248F"/>
    <w:rsid w:val="005C2EA4"/>
    <w:rsid w:val="005C5111"/>
    <w:rsid w:val="005C537B"/>
    <w:rsid w:val="005C6C2D"/>
    <w:rsid w:val="005D0122"/>
    <w:rsid w:val="005D2188"/>
    <w:rsid w:val="005D4AE0"/>
    <w:rsid w:val="005D4D47"/>
    <w:rsid w:val="005D7613"/>
    <w:rsid w:val="005E1275"/>
    <w:rsid w:val="005E1431"/>
    <w:rsid w:val="005E4DD3"/>
    <w:rsid w:val="005E6B50"/>
    <w:rsid w:val="005E77AA"/>
    <w:rsid w:val="005F08BE"/>
    <w:rsid w:val="005F2FEB"/>
    <w:rsid w:val="005F3E24"/>
    <w:rsid w:val="005F4D16"/>
    <w:rsid w:val="005F541B"/>
    <w:rsid w:val="005F6263"/>
    <w:rsid w:val="00601A2C"/>
    <w:rsid w:val="00601E1C"/>
    <w:rsid w:val="006060D2"/>
    <w:rsid w:val="00606D9F"/>
    <w:rsid w:val="00607120"/>
    <w:rsid w:val="00607D9F"/>
    <w:rsid w:val="00610020"/>
    <w:rsid w:val="00610780"/>
    <w:rsid w:val="006107F7"/>
    <w:rsid w:val="006127F1"/>
    <w:rsid w:val="0061431A"/>
    <w:rsid w:val="00622141"/>
    <w:rsid w:val="006223B1"/>
    <w:rsid w:val="0062414E"/>
    <w:rsid w:val="00626404"/>
    <w:rsid w:val="00626D21"/>
    <w:rsid w:val="006276FB"/>
    <w:rsid w:val="00630BD8"/>
    <w:rsid w:val="00631404"/>
    <w:rsid w:val="00633969"/>
    <w:rsid w:val="0063644D"/>
    <w:rsid w:val="00636D67"/>
    <w:rsid w:val="006378B2"/>
    <w:rsid w:val="006378EB"/>
    <w:rsid w:val="00640E4B"/>
    <w:rsid w:val="00641D4B"/>
    <w:rsid w:val="0064269A"/>
    <w:rsid w:val="00643306"/>
    <w:rsid w:val="00644725"/>
    <w:rsid w:val="0064632F"/>
    <w:rsid w:val="0064719C"/>
    <w:rsid w:val="00652D19"/>
    <w:rsid w:val="00663505"/>
    <w:rsid w:val="00665990"/>
    <w:rsid w:val="00666151"/>
    <w:rsid w:val="00676F3C"/>
    <w:rsid w:val="006804DA"/>
    <w:rsid w:val="00681831"/>
    <w:rsid w:val="00682B50"/>
    <w:rsid w:val="00684D45"/>
    <w:rsid w:val="0068548D"/>
    <w:rsid w:val="0069524D"/>
    <w:rsid w:val="006A45F2"/>
    <w:rsid w:val="006A75A7"/>
    <w:rsid w:val="006B0E49"/>
    <w:rsid w:val="006B15F7"/>
    <w:rsid w:val="006C185A"/>
    <w:rsid w:val="006C30C3"/>
    <w:rsid w:val="006C3F18"/>
    <w:rsid w:val="006D0035"/>
    <w:rsid w:val="006D7141"/>
    <w:rsid w:val="006E21E0"/>
    <w:rsid w:val="006E4C90"/>
    <w:rsid w:val="006E4EED"/>
    <w:rsid w:val="006E5D68"/>
    <w:rsid w:val="006E5EED"/>
    <w:rsid w:val="006E713C"/>
    <w:rsid w:val="006E7457"/>
    <w:rsid w:val="006E7977"/>
    <w:rsid w:val="006F260F"/>
    <w:rsid w:val="006F2B95"/>
    <w:rsid w:val="006F361F"/>
    <w:rsid w:val="006F3FD5"/>
    <w:rsid w:val="006F57B8"/>
    <w:rsid w:val="006F652A"/>
    <w:rsid w:val="007015D5"/>
    <w:rsid w:val="00702201"/>
    <w:rsid w:val="00702278"/>
    <w:rsid w:val="007035AE"/>
    <w:rsid w:val="00707387"/>
    <w:rsid w:val="00707DD1"/>
    <w:rsid w:val="007147FC"/>
    <w:rsid w:val="007169B7"/>
    <w:rsid w:val="00716BA3"/>
    <w:rsid w:val="00717C06"/>
    <w:rsid w:val="00721596"/>
    <w:rsid w:val="00722631"/>
    <w:rsid w:val="00722E82"/>
    <w:rsid w:val="00724C49"/>
    <w:rsid w:val="007254F0"/>
    <w:rsid w:val="00725D27"/>
    <w:rsid w:val="00727F37"/>
    <w:rsid w:val="00730933"/>
    <w:rsid w:val="00730D68"/>
    <w:rsid w:val="00734511"/>
    <w:rsid w:val="0073544F"/>
    <w:rsid w:val="00737AD5"/>
    <w:rsid w:val="0074151F"/>
    <w:rsid w:val="007417FF"/>
    <w:rsid w:val="00742230"/>
    <w:rsid w:val="00744AD5"/>
    <w:rsid w:val="00745A25"/>
    <w:rsid w:val="00745B8B"/>
    <w:rsid w:val="0075201B"/>
    <w:rsid w:val="00756212"/>
    <w:rsid w:val="0076244F"/>
    <w:rsid w:val="007628B5"/>
    <w:rsid w:val="00762C75"/>
    <w:rsid w:val="00765CBC"/>
    <w:rsid w:val="007664A5"/>
    <w:rsid w:val="007669F0"/>
    <w:rsid w:val="00771BA7"/>
    <w:rsid w:val="00772672"/>
    <w:rsid w:val="00775013"/>
    <w:rsid w:val="00777060"/>
    <w:rsid w:val="00782360"/>
    <w:rsid w:val="0078244D"/>
    <w:rsid w:val="007842EF"/>
    <w:rsid w:val="0078509E"/>
    <w:rsid w:val="00787F7C"/>
    <w:rsid w:val="00790424"/>
    <w:rsid w:val="00790AB8"/>
    <w:rsid w:val="00793C11"/>
    <w:rsid w:val="00795AD1"/>
    <w:rsid w:val="007961BB"/>
    <w:rsid w:val="007A169D"/>
    <w:rsid w:val="007A4405"/>
    <w:rsid w:val="007A5B8A"/>
    <w:rsid w:val="007A75DD"/>
    <w:rsid w:val="007B03AE"/>
    <w:rsid w:val="007B0B1E"/>
    <w:rsid w:val="007B329A"/>
    <w:rsid w:val="007B3853"/>
    <w:rsid w:val="007B3D43"/>
    <w:rsid w:val="007B5F75"/>
    <w:rsid w:val="007B65EA"/>
    <w:rsid w:val="007B664D"/>
    <w:rsid w:val="007B701A"/>
    <w:rsid w:val="007B7CDE"/>
    <w:rsid w:val="007C0FEC"/>
    <w:rsid w:val="007C37B0"/>
    <w:rsid w:val="007C509E"/>
    <w:rsid w:val="007C64CD"/>
    <w:rsid w:val="007C776A"/>
    <w:rsid w:val="007C77A6"/>
    <w:rsid w:val="007C7C59"/>
    <w:rsid w:val="007D0F2A"/>
    <w:rsid w:val="007D1582"/>
    <w:rsid w:val="007D20A2"/>
    <w:rsid w:val="007D2579"/>
    <w:rsid w:val="007D43C4"/>
    <w:rsid w:val="007E4DE0"/>
    <w:rsid w:val="007E5924"/>
    <w:rsid w:val="007E7BD4"/>
    <w:rsid w:val="007F126C"/>
    <w:rsid w:val="007F3F7C"/>
    <w:rsid w:val="007F7595"/>
    <w:rsid w:val="00801272"/>
    <w:rsid w:val="00801DDC"/>
    <w:rsid w:val="00801F1D"/>
    <w:rsid w:val="00801FFB"/>
    <w:rsid w:val="00805D3B"/>
    <w:rsid w:val="008073BE"/>
    <w:rsid w:val="008109AD"/>
    <w:rsid w:val="00810B48"/>
    <w:rsid w:val="00810FAB"/>
    <w:rsid w:val="0081165D"/>
    <w:rsid w:val="00811964"/>
    <w:rsid w:val="008140BA"/>
    <w:rsid w:val="008162EC"/>
    <w:rsid w:val="00817A84"/>
    <w:rsid w:val="00817D9D"/>
    <w:rsid w:val="0082391D"/>
    <w:rsid w:val="00824615"/>
    <w:rsid w:val="00825F85"/>
    <w:rsid w:val="00826D62"/>
    <w:rsid w:val="00832C10"/>
    <w:rsid w:val="008345AA"/>
    <w:rsid w:val="00835059"/>
    <w:rsid w:val="0083676A"/>
    <w:rsid w:val="008367A2"/>
    <w:rsid w:val="00836DC3"/>
    <w:rsid w:val="0083797F"/>
    <w:rsid w:val="008403F9"/>
    <w:rsid w:val="0084110F"/>
    <w:rsid w:val="00842583"/>
    <w:rsid w:val="00842ED2"/>
    <w:rsid w:val="00844C60"/>
    <w:rsid w:val="00852262"/>
    <w:rsid w:val="008529BC"/>
    <w:rsid w:val="00853698"/>
    <w:rsid w:val="00854667"/>
    <w:rsid w:val="0085588D"/>
    <w:rsid w:val="00857E5D"/>
    <w:rsid w:val="008718F8"/>
    <w:rsid w:val="00871A0C"/>
    <w:rsid w:val="00872519"/>
    <w:rsid w:val="00872CC3"/>
    <w:rsid w:val="0087673E"/>
    <w:rsid w:val="008801FC"/>
    <w:rsid w:val="00880207"/>
    <w:rsid w:val="008818A0"/>
    <w:rsid w:val="00883DB6"/>
    <w:rsid w:val="00884700"/>
    <w:rsid w:val="00884B6C"/>
    <w:rsid w:val="008861B7"/>
    <w:rsid w:val="00891C09"/>
    <w:rsid w:val="00891DC9"/>
    <w:rsid w:val="00893012"/>
    <w:rsid w:val="00893C42"/>
    <w:rsid w:val="008A3AA6"/>
    <w:rsid w:val="008A436C"/>
    <w:rsid w:val="008A48FA"/>
    <w:rsid w:val="008B0828"/>
    <w:rsid w:val="008B353A"/>
    <w:rsid w:val="008B5110"/>
    <w:rsid w:val="008B5B1A"/>
    <w:rsid w:val="008B6697"/>
    <w:rsid w:val="008C1F75"/>
    <w:rsid w:val="008C339D"/>
    <w:rsid w:val="008C4267"/>
    <w:rsid w:val="008C4CAE"/>
    <w:rsid w:val="008C5FAA"/>
    <w:rsid w:val="008D0387"/>
    <w:rsid w:val="008D2C03"/>
    <w:rsid w:val="008D4EDB"/>
    <w:rsid w:val="008D7EAC"/>
    <w:rsid w:val="008E0CBB"/>
    <w:rsid w:val="008E4F64"/>
    <w:rsid w:val="008F5565"/>
    <w:rsid w:val="008F5881"/>
    <w:rsid w:val="00902491"/>
    <w:rsid w:val="009025B0"/>
    <w:rsid w:val="00902A93"/>
    <w:rsid w:val="0090614C"/>
    <w:rsid w:val="00907A5B"/>
    <w:rsid w:val="00911E0F"/>
    <w:rsid w:val="00911FF6"/>
    <w:rsid w:val="009148FC"/>
    <w:rsid w:val="009175CD"/>
    <w:rsid w:val="00917671"/>
    <w:rsid w:val="00917B83"/>
    <w:rsid w:val="00923B21"/>
    <w:rsid w:val="00924D5E"/>
    <w:rsid w:val="00926DC1"/>
    <w:rsid w:val="009318F6"/>
    <w:rsid w:val="00932DF8"/>
    <w:rsid w:val="00934E84"/>
    <w:rsid w:val="009408EE"/>
    <w:rsid w:val="00946B9D"/>
    <w:rsid w:val="00950670"/>
    <w:rsid w:val="0095124B"/>
    <w:rsid w:val="009544C6"/>
    <w:rsid w:val="00955EF1"/>
    <w:rsid w:val="0096059D"/>
    <w:rsid w:val="009617A7"/>
    <w:rsid w:val="00964C8A"/>
    <w:rsid w:val="00965830"/>
    <w:rsid w:val="00966D7F"/>
    <w:rsid w:val="00967475"/>
    <w:rsid w:val="009700BA"/>
    <w:rsid w:val="0097176A"/>
    <w:rsid w:val="00973154"/>
    <w:rsid w:val="0097533A"/>
    <w:rsid w:val="009802AA"/>
    <w:rsid w:val="0098394C"/>
    <w:rsid w:val="00985883"/>
    <w:rsid w:val="00986A0E"/>
    <w:rsid w:val="009916FE"/>
    <w:rsid w:val="00995CB4"/>
    <w:rsid w:val="009A017F"/>
    <w:rsid w:val="009A09AD"/>
    <w:rsid w:val="009A1B50"/>
    <w:rsid w:val="009A35EB"/>
    <w:rsid w:val="009A44A0"/>
    <w:rsid w:val="009A4B96"/>
    <w:rsid w:val="009A57D6"/>
    <w:rsid w:val="009A5C9B"/>
    <w:rsid w:val="009A5FE8"/>
    <w:rsid w:val="009B079C"/>
    <w:rsid w:val="009B3D58"/>
    <w:rsid w:val="009B50C4"/>
    <w:rsid w:val="009B5A43"/>
    <w:rsid w:val="009B6198"/>
    <w:rsid w:val="009B68F5"/>
    <w:rsid w:val="009B720F"/>
    <w:rsid w:val="009C1783"/>
    <w:rsid w:val="009C1DDE"/>
    <w:rsid w:val="009C246C"/>
    <w:rsid w:val="009C3171"/>
    <w:rsid w:val="009C3D08"/>
    <w:rsid w:val="009C4519"/>
    <w:rsid w:val="009D1339"/>
    <w:rsid w:val="009D4C00"/>
    <w:rsid w:val="009D4DF9"/>
    <w:rsid w:val="009D5D7C"/>
    <w:rsid w:val="009D7638"/>
    <w:rsid w:val="009E0358"/>
    <w:rsid w:val="009E4467"/>
    <w:rsid w:val="009E4BF5"/>
    <w:rsid w:val="009E4FEA"/>
    <w:rsid w:val="009E533B"/>
    <w:rsid w:val="009E71CE"/>
    <w:rsid w:val="009E7CCC"/>
    <w:rsid w:val="009E7CD0"/>
    <w:rsid w:val="009F00A7"/>
    <w:rsid w:val="00A00FA8"/>
    <w:rsid w:val="00A01739"/>
    <w:rsid w:val="00A01A26"/>
    <w:rsid w:val="00A02505"/>
    <w:rsid w:val="00A048FB"/>
    <w:rsid w:val="00A06986"/>
    <w:rsid w:val="00A069D8"/>
    <w:rsid w:val="00A122B0"/>
    <w:rsid w:val="00A15665"/>
    <w:rsid w:val="00A20FC1"/>
    <w:rsid w:val="00A212AD"/>
    <w:rsid w:val="00A215F9"/>
    <w:rsid w:val="00A26B43"/>
    <w:rsid w:val="00A35745"/>
    <w:rsid w:val="00A36014"/>
    <w:rsid w:val="00A36A7A"/>
    <w:rsid w:val="00A45052"/>
    <w:rsid w:val="00A4524E"/>
    <w:rsid w:val="00A465CC"/>
    <w:rsid w:val="00A47234"/>
    <w:rsid w:val="00A505FE"/>
    <w:rsid w:val="00A50B8E"/>
    <w:rsid w:val="00A5210A"/>
    <w:rsid w:val="00A529F6"/>
    <w:rsid w:val="00A54F76"/>
    <w:rsid w:val="00A56191"/>
    <w:rsid w:val="00A566C2"/>
    <w:rsid w:val="00A62D33"/>
    <w:rsid w:val="00A65517"/>
    <w:rsid w:val="00A700CC"/>
    <w:rsid w:val="00A716A7"/>
    <w:rsid w:val="00A72958"/>
    <w:rsid w:val="00A73148"/>
    <w:rsid w:val="00A74579"/>
    <w:rsid w:val="00A754A3"/>
    <w:rsid w:val="00A82312"/>
    <w:rsid w:val="00A87924"/>
    <w:rsid w:val="00A87B2F"/>
    <w:rsid w:val="00A90D37"/>
    <w:rsid w:val="00A95129"/>
    <w:rsid w:val="00A96E90"/>
    <w:rsid w:val="00A97357"/>
    <w:rsid w:val="00AA0C1A"/>
    <w:rsid w:val="00AA3627"/>
    <w:rsid w:val="00AA3C93"/>
    <w:rsid w:val="00AA4DB4"/>
    <w:rsid w:val="00AA73EF"/>
    <w:rsid w:val="00AA7B76"/>
    <w:rsid w:val="00AB44EE"/>
    <w:rsid w:val="00AB4E6F"/>
    <w:rsid w:val="00AB75A5"/>
    <w:rsid w:val="00AC025A"/>
    <w:rsid w:val="00AC0745"/>
    <w:rsid w:val="00AC283D"/>
    <w:rsid w:val="00AC4329"/>
    <w:rsid w:val="00AC6612"/>
    <w:rsid w:val="00AC7F4F"/>
    <w:rsid w:val="00AD3EF8"/>
    <w:rsid w:val="00AD638F"/>
    <w:rsid w:val="00AE10A5"/>
    <w:rsid w:val="00AE14FB"/>
    <w:rsid w:val="00AE22EE"/>
    <w:rsid w:val="00AE28B1"/>
    <w:rsid w:val="00AE29B5"/>
    <w:rsid w:val="00AE4419"/>
    <w:rsid w:val="00AE691E"/>
    <w:rsid w:val="00AF1337"/>
    <w:rsid w:val="00AF1C49"/>
    <w:rsid w:val="00AF1DF8"/>
    <w:rsid w:val="00AF418A"/>
    <w:rsid w:val="00AF485D"/>
    <w:rsid w:val="00AF48D0"/>
    <w:rsid w:val="00AF494B"/>
    <w:rsid w:val="00AF58A4"/>
    <w:rsid w:val="00AF7A7F"/>
    <w:rsid w:val="00B00C75"/>
    <w:rsid w:val="00B00E67"/>
    <w:rsid w:val="00B02F10"/>
    <w:rsid w:val="00B04680"/>
    <w:rsid w:val="00B106F4"/>
    <w:rsid w:val="00B119C6"/>
    <w:rsid w:val="00B11AE0"/>
    <w:rsid w:val="00B12CA2"/>
    <w:rsid w:val="00B12FC3"/>
    <w:rsid w:val="00B13288"/>
    <w:rsid w:val="00B13301"/>
    <w:rsid w:val="00B213B0"/>
    <w:rsid w:val="00B21997"/>
    <w:rsid w:val="00B22E44"/>
    <w:rsid w:val="00B336CF"/>
    <w:rsid w:val="00B3504A"/>
    <w:rsid w:val="00B43706"/>
    <w:rsid w:val="00B43AE9"/>
    <w:rsid w:val="00B4716D"/>
    <w:rsid w:val="00B47650"/>
    <w:rsid w:val="00B503B3"/>
    <w:rsid w:val="00B52188"/>
    <w:rsid w:val="00B53499"/>
    <w:rsid w:val="00B53CC2"/>
    <w:rsid w:val="00B55FFB"/>
    <w:rsid w:val="00B600AF"/>
    <w:rsid w:val="00B62FC8"/>
    <w:rsid w:val="00B63932"/>
    <w:rsid w:val="00B63A9D"/>
    <w:rsid w:val="00B662A7"/>
    <w:rsid w:val="00B70A37"/>
    <w:rsid w:val="00B70C0E"/>
    <w:rsid w:val="00B71975"/>
    <w:rsid w:val="00B72196"/>
    <w:rsid w:val="00B76E2C"/>
    <w:rsid w:val="00B80CA6"/>
    <w:rsid w:val="00B81CCE"/>
    <w:rsid w:val="00B83D63"/>
    <w:rsid w:val="00B86E15"/>
    <w:rsid w:val="00B87D3A"/>
    <w:rsid w:val="00B910D4"/>
    <w:rsid w:val="00B919D7"/>
    <w:rsid w:val="00B93493"/>
    <w:rsid w:val="00B95A32"/>
    <w:rsid w:val="00BA0E67"/>
    <w:rsid w:val="00BA2C99"/>
    <w:rsid w:val="00BA39B4"/>
    <w:rsid w:val="00BA4425"/>
    <w:rsid w:val="00BA68F1"/>
    <w:rsid w:val="00BB35EA"/>
    <w:rsid w:val="00BB3916"/>
    <w:rsid w:val="00BB4B39"/>
    <w:rsid w:val="00BB5C3E"/>
    <w:rsid w:val="00BB6F80"/>
    <w:rsid w:val="00BC10B0"/>
    <w:rsid w:val="00BC3177"/>
    <w:rsid w:val="00BC5630"/>
    <w:rsid w:val="00BC6216"/>
    <w:rsid w:val="00BC7E04"/>
    <w:rsid w:val="00BD2837"/>
    <w:rsid w:val="00BD3A32"/>
    <w:rsid w:val="00BD5A31"/>
    <w:rsid w:val="00BE0DE9"/>
    <w:rsid w:val="00BE151C"/>
    <w:rsid w:val="00BE1B15"/>
    <w:rsid w:val="00BE29CA"/>
    <w:rsid w:val="00BE383B"/>
    <w:rsid w:val="00BE46BE"/>
    <w:rsid w:val="00BE7B08"/>
    <w:rsid w:val="00BF454B"/>
    <w:rsid w:val="00BF61BE"/>
    <w:rsid w:val="00BF6CC3"/>
    <w:rsid w:val="00C01F2C"/>
    <w:rsid w:val="00C02AB2"/>
    <w:rsid w:val="00C063D8"/>
    <w:rsid w:val="00C10F52"/>
    <w:rsid w:val="00C125FD"/>
    <w:rsid w:val="00C15877"/>
    <w:rsid w:val="00C1614B"/>
    <w:rsid w:val="00C221D8"/>
    <w:rsid w:val="00C23051"/>
    <w:rsid w:val="00C24C8B"/>
    <w:rsid w:val="00C250CC"/>
    <w:rsid w:val="00C25A72"/>
    <w:rsid w:val="00C27610"/>
    <w:rsid w:val="00C27F78"/>
    <w:rsid w:val="00C32C2C"/>
    <w:rsid w:val="00C33F52"/>
    <w:rsid w:val="00C37F3F"/>
    <w:rsid w:val="00C42284"/>
    <w:rsid w:val="00C443B7"/>
    <w:rsid w:val="00C45FB1"/>
    <w:rsid w:val="00C473E3"/>
    <w:rsid w:val="00C50562"/>
    <w:rsid w:val="00C51104"/>
    <w:rsid w:val="00C5172C"/>
    <w:rsid w:val="00C52516"/>
    <w:rsid w:val="00C535F7"/>
    <w:rsid w:val="00C53B1D"/>
    <w:rsid w:val="00C53E59"/>
    <w:rsid w:val="00C60681"/>
    <w:rsid w:val="00C61E3D"/>
    <w:rsid w:val="00C625C5"/>
    <w:rsid w:val="00C62C30"/>
    <w:rsid w:val="00C641E7"/>
    <w:rsid w:val="00C6483D"/>
    <w:rsid w:val="00C66691"/>
    <w:rsid w:val="00C67742"/>
    <w:rsid w:val="00C70195"/>
    <w:rsid w:val="00C71205"/>
    <w:rsid w:val="00C7214C"/>
    <w:rsid w:val="00C7216C"/>
    <w:rsid w:val="00C751E9"/>
    <w:rsid w:val="00C87CF0"/>
    <w:rsid w:val="00C9029C"/>
    <w:rsid w:val="00C907C9"/>
    <w:rsid w:val="00C925F2"/>
    <w:rsid w:val="00C93E4D"/>
    <w:rsid w:val="00C94F71"/>
    <w:rsid w:val="00C95621"/>
    <w:rsid w:val="00C95CFE"/>
    <w:rsid w:val="00C96729"/>
    <w:rsid w:val="00C96B1F"/>
    <w:rsid w:val="00CA431B"/>
    <w:rsid w:val="00CA5B96"/>
    <w:rsid w:val="00CA6FE1"/>
    <w:rsid w:val="00CB08F7"/>
    <w:rsid w:val="00CB09ED"/>
    <w:rsid w:val="00CB126A"/>
    <w:rsid w:val="00CB1BE2"/>
    <w:rsid w:val="00CB41B9"/>
    <w:rsid w:val="00CB665E"/>
    <w:rsid w:val="00CC3E7C"/>
    <w:rsid w:val="00CD1838"/>
    <w:rsid w:val="00CD3041"/>
    <w:rsid w:val="00CD3E91"/>
    <w:rsid w:val="00CD5022"/>
    <w:rsid w:val="00CE2B7C"/>
    <w:rsid w:val="00CE72F8"/>
    <w:rsid w:val="00CE74E2"/>
    <w:rsid w:val="00CF12FF"/>
    <w:rsid w:val="00CF1A84"/>
    <w:rsid w:val="00CF1D63"/>
    <w:rsid w:val="00CF3A6E"/>
    <w:rsid w:val="00CF3E95"/>
    <w:rsid w:val="00CF4C5C"/>
    <w:rsid w:val="00CF5BAB"/>
    <w:rsid w:val="00CF6072"/>
    <w:rsid w:val="00CF7F51"/>
    <w:rsid w:val="00D054B2"/>
    <w:rsid w:val="00D0567D"/>
    <w:rsid w:val="00D057D9"/>
    <w:rsid w:val="00D119F1"/>
    <w:rsid w:val="00D125EA"/>
    <w:rsid w:val="00D12D7A"/>
    <w:rsid w:val="00D12E6E"/>
    <w:rsid w:val="00D137AF"/>
    <w:rsid w:val="00D14A98"/>
    <w:rsid w:val="00D2103C"/>
    <w:rsid w:val="00D21858"/>
    <w:rsid w:val="00D226FC"/>
    <w:rsid w:val="00D26233"/>
    <w:rsid w:val="00D26E33"/>
    <w:rsid w:val="00D31CFD"/>
    <w:rsid w:val="00D32DCE"/>
    <w:rsid w:val="00D34346"/>
    <w:rsid w:val="00D35F18"/>
    <w:rsid w:val="00D40AF1"/>
    <w:rsid w:val="00D41B8F"/>
    <w:rsid w:val="00D41F3C"/>
    <w:rsid w:val="00D44EA7"/>
    <w:rsid w:val="00D469BD"/>
    <w:rsid w:val="00D47C0D"/>
    <w:rsid w:val="00D50FB0"/>
    <w:rsid w:val="00D51299"/>
    <w:rsid w:val="00D513C2"/>
    <w:rsid w:val="00D52E60"/>
    <w:rsid w:val="00D53840"/>
    <w:rsid w:val="00D53B95"/>
    <w:rsid w:val="00D54421"/>
    <w:rsid w:val="00D570C3"/>
    <w:rsid w:val="00D574BE"/>
    <w:rsid w:val="00D6012A"/>
    <w:rsid w:val="00D60B24"/>
    <w:rsid w:val="00D61035"/>
    <w:rsid w:val="00D6155E"/>
    <w:rsid w:val="00D6523D"/>
    <w:rsid w:val="00D654C8"/>
    <w:rsid w:val="00D6566E"/>
    <w:rsid w:val="00D70E45"/>
    <w:rsid w:val="00D72CF9"/>
    <w:rsid w:val="00D74384"/>
    <w:rsid w:val="00D75C36"/>
    <w:rsid w:val="00D771E3"/>
    <w:rsid w:val="00D7780A"/>
    <w:rsid w:val="00D836C3"/>
    <w:rsid w:val="00D84080"/>
    <w:rsid w:val="00D8671E"/>
    <w:rsid w:val="00D87110"/>
    <w:rsid w:val="00D9087E"/>
    <w:rsid w:val="00D90B81"/>
    <w:rsid w:val="00D9143A"/>
    <w:rsid w:val="00D91DF7"/>
    <w:rsid w:val="00D92C73"/>
    <w:rsid w:val="00D93B1C"/>
    <w:rsid w:val="00D94E29"/>
    <w:rsid w:val="00D975CB"/>
    <w:rsid w:val="00DA0D02"/>
    <w:rsid w:val="00DA1A68"/>
    <w:rsid w:val="00DB30C5"/>
    <w:rsid w:val="00DB71E5"/>
    <w:rsid w:val="00DC0A45"/>
    <w:rsid w:val="00DC0CDC"/>
    <w:rsid w:val="00DC143A"/>
    <w:rsid w:val="00DC20EF"/>
    <w:rsid w:val="00DC283C"/>
    <w:rsid w:val="00DC461C"/>
    <w:rsid w:val="00DC7461"/>
    <w:rsid w:val="00DD1768"/>
    <w:rsid w:val="00DD2228"/>
    <w:rsid w:val="00DD2A8A"/>
    <w:rsid w:val="00DD3C83"/>
    <w:rsid w:val="00DD5DD5"/>
    <w:rsid w:val="00DD7120"/>
    <w:rsid w:val="00DE0EA5"/>
    <w:rsid w:val="00DE3EFA"/>
    <w:rsid w:val="00DE43B9"/>
    <w:rsid w:val="00DF0081"/>
    <w:rsid w:val="00DF2A6D"/>
    <w:rsid w:val="00DF3097"/>
    <w:rsid w:val="00DF4A78"/>
    <w:rsid w:val="00DF61B0"/>
    <w:rsid w:val="00E01D49"/>
    <w:rsid w:val="00E0623E"/>
    <w:rsid w:val="00E10DCE"/>
    <w:rsid w:val="00E124EE"/>
    <w:rsid w:val="00E1309B"/>
    <w:rsid w:val="00E1406A"/>
    <w:rsid w:val="00E21BF8"/>
    <w:rsid w:val="00E252B0"/>
    <w:rsid w:val="00E259DE"/>
    <w:rsid w:val="00E30ABB"/>
    <w:rsid w:val="00E32239"/>
    <w:rsid w:val="00E348B9"/>
    <w:rsid w:val="00E35D0E"/>
    <w:rsid w:val="00E36039"/>
    <w:rsid w:val="00E3669F"/>
    <w:rsid w:val="00E4272A"/>
    <w:rsid w:val="00E42FDE"/>
    <w:rsid w:val="00E433FD"/>
    <w:rsid w:val="00E4698C"/>
    <w:rsid w:val="00E47120"/>
    <w:rsid w:val="00E52996"/>
    <w:rsid w:val="00E54428"/>
    <w:rsid w:val="00E54DF0"/>
    <w:rsid w:val="00E55CC6"/>
    <w:rsid w:val="00E56333"/>
    <w:rsid w:val="00E57DAF"/>
    <w:rsid w:val="00E61F7F"/>
    <w:rsid w:val="00E64AFA"/>
    <w:rsid w:val="00E64B41"/>
    <w:rsid w:val="00E64B93"/>
    <w:rsid w:val="00E70B9D"/>
    <w:rsid w:val="00E70F7B"/>
    <w:rsid w:val="00E72239"/>
    <w:rsid w:val="00E72DAC"/>
    <w:rsid w:val="00E72EDA"/>
    <w:rsid w:val="00E7371B"/>
    <w:rsid w:val="00E76B3F"/>
    <w:rsid w:val="00E77B18"/>
    <w:rsid w:val="00E77B52"/>
    <w:rsid w:val="00E77EC5"/>
    <w:rsid w:val="00E8003B"/>
    <w:rsid w:val="00E80280"/>
    <w:rsid w:val="00E81C91"/>
    <w:rsid w:val="00E820E7"/>
    <w:rsid w:val="00E8279D"/>
    <w:rsid w:val="00E82865"/>
    <w:rsid w:val="00E8357A"/>
    <w:rsid w:val="00E90DB2"/>
    <w:rsid w:val="00E924B4"/>
    <w:rsid w:val="00E92628"/>
    <w:rsid w:val="00E92E6E"/>
    <w:rsid w:val="00E93F1D"/>
    <w:rsid w:val="00E954E1"/>
    <w:rsid w:val="00E95C82"/>
    <w:rsid w:val="00EA0961"/>
    <w:rsid w:val="00EA23BB"/>
    <w:rsid w:val="00EA34C9"/>
    <w:rsid w:val="00EA55D6"/>
    <w:rsid w:val="00EA5BBE"/>
    <w:rsid w:val="00EB225F"/>
    <w:rsid w:val="00EB2ADC"/>
    <w:rsid w:val="00EB3F12"/>
    <w:rsid w:val="00EB56CB"/>
    <w:rsid w:val="00EB5CC2"/>
    <w:rsid w:val="00EB78C0"/>
    <w:rsid w:val="00EC0F0A"/>
    <w:rsid w:val="00EC1535"/>
    <w:rsid w:val="00EC1744"/>
    <w:rsid w:val="00EC5269"/>
    <w:rsid w:val="00ED061B"/>
    <w:rsid w:val="00ED06E6"/>
    <w:rsid w:val="00ED2025"/>
    <w:rsid w:val="00ED20CC"/>
    <w:rsid w:val="00ED79C0"/>
    <w:rsid w:val="00EE0DCF"/>
    <w:rsid w:val="00EE0FE2"/>
    <w:rsid w:val="00EE479D"/>
    <w:rsid w:val="00EE5D70"/>
    <w:rsid w:val="00EE6F00"/>
    <w:rsid w:val="00EE70A8"/>
    <w:rsid w:val="00EE77E7"/>
    <w:rsid w:val="00EF0120"/>
    <w:rsid w:val="00EF2E4A"/>
    <w:rsid w:val="00EF4976"/>
    <w:rsid w:val="00EF4CD9"/>
    <w:rsid w:val="00EF6747"/>
    <w:rsid w:val="00EF7159"/>
    <w:rsid w:val="00F03AE9"/>
    <w:rsid w:val="00F03C99"/>
    <w:rsid w:val="00F04D65"/>
    <w:rsid w:val="00F100CD"/>
    <w:rsid w:val="00F136C5"/>
    <w:rsid w:val="00F13AF9"/>
    <w:rsid w:val="00F14369"/>
    <w:rsid w:val="00F14BEE"/>
    <w:rsid w:val="00F17614"/>
    <w:rsid w:val="00F17B9F"/>
    <w:rsid w:val="00F2474A"/>
    <w:rsid w:val="00F248EA"/>
    <w:rsid w:val="00F27E9F"/>
    <w:rsid w:val="00F306F2"/>
    <w:rsid w:val="00F31CB8"/>
    <w:rsid w:val="00F32CAE"/>
    <w:rsid w:val="00F350B9"/>
    <w:rsid w:val="00F36826"/>
    <w:rsid w:val="00F37D55"/>
    <w:rsid w:val="00F4026C"/>
    <w:rsid w:val="00F41952"/>
    <w:rsid w:val="00F4259F"/>
    <w:rsid w:val="00F432B4"/>
    <w:rsid w:val="00F454D5"/>
    <w:rsid w:val="00F4705B"/>
    <w:rsid w:val="00F473F3"/>
    <w:rsid w:val="00F47880"/>
    <w:rsid w:val="00F47FE5"/>
    <w:rsid w:val="00F503BA"/>
    <w:rsid w:val="00F50756"/>
    <w:rsid w:val="00F51123"/>
    <w:rsid w:val="00F52EE2"/>
    <w:rsid w:val="00F53435"/>
    <w:rsid w:val="00F56B67"/>
    <w:rsid w:val="00F57028"/>
    <w:rsid w:val="00F57DCB"/>
    <w:rsid w:val="00F63865"/>
    <w:rsid w:val="00F657CC"/>
    <w:rsid w:val="00F75002"/>
    <w:rsid w:val="00F758F3"/>
    <w:rsid w:val="00F84FAA"/>
    <w:rsid w:val="00F8516F"/>
    <w:rsid w:val="00F86DCA"/>
    <w:rsid w:val="00F90EC1"/>
    <w:rsid w:val="00F923AB"/>
    <w:rsid w:val="00F93484"/>
    <w:rsid w:val="00F9371D"/>
    <w:rsid w:val="00F9462E"/>
    <w:rsid w:val="00F948C6"/>
    <w:rsid w:val="00F961D1"/>
    <w:rsid w:val="00F96A06"/>
    <w:rsid w:val="00F978C9"/>
    <w:rsid w:val="00FA107F"/>
    <w:rsid w:val="00FA1313"/>
    <w:rsid w:val="00FA73B6"/>
    <w:rsid w:val="00FA77BB"/>
    <w:rsid w:val="00FB2462"/>
    <w:rsid w:val="00FB6372"/>
    <w:rsid w:val="00FB76A0"/>
    <w:rsid w:val="00FC069E"/>
    <w:rsid w:val="00FC0E6B"/>
    <w:rsid w:val="00FC3863"/>
    <w:rsid w:val="00FC66C3"/>
    <w:rsid w:val="00FD2389"/>
    <w:rsid w:val="00FD3626"/>
    <w:rsid w:val="00FD5863"/>
    <w:rsid w:val="00FE0B68"/>
    <w:rsid w:val="00FF12D1"/>
    <w:rsid w:val="00FF1959"/>
    <w:rsid w:val="00FF3853"/>
    <w:rsid w:val="00FF4A6D"/>
    <w:rsid w:val="00FF4DA1"/>
    <w:rsid w:val="00FF502E"/>
    <w:rsid w:val="00FF5F36"/>
    <w:rsid w:val="00FF6F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81994"/>
  <w15:docId w15:val="{EBCD0D8A-785F-4C53-BED5-0A5D328E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0CC"/>
    <w:rPr>
      <w:rFonts w:ascii="Arial" w:hAnsi="Arial" w:cs="Arial"/>
    </w:rPr>
  </w:style>
  <w:style w:type="paragraph" w:styleId="Ttulo1">
    <w:name w:val="heading 1"/>
    <w:basedOn w:val="Normal"/>
    <w:next w:val="Normal"/>
    <w:link w:val="Ttulo1Car"/>
    <w:uiPriority w:val="99"/>
    <w:qFormat/>
    <w:rsid w:val="00CF7F51"/>
    <w:pPr>
      <w:keepNext/>
      <w:tabs>
        <w:tab w:val="left" w:pos="5739"/>
      </w:tabs>
      <w:jc w:val="both"/>
      <w:outlineLvl w:val="0"/>
    </w:pPr>
    <w:rPr>
      <w:rFonts w:ascii="Times New Roman" w:hAnsi="Times New Roman" w:cs="Times New Roman"/>
      <w:b/>
      <w:bCs/>
      <w:i/>
      <w:iCs/>
      <w:sz w:val="22"/>
      <w:szCs w:val="22"/>
    </w:rPr>
  </w:style>
  <w:style w:type="paragraph" w:styleId="Ttulo2">
    <w:name w:val="heading 2"/>
    <w:basedOn w:val="Normal"/>
    <w:next w:val="Normal"/>
    <w:link w:val="Ttulo2Car"/>
    <w:uiPriority w:val="99"/>
    <w:qFormat/>
    <w:rsid w:val="00CF7F51"/>
    <w:pPr>
      <w:keepNext/>
      <w:widowControl w:val="0"/>
      <w:autoSpaceDE w:val="0"/>
      <w:autoSpaceDN w:val="0"/>
      <w:adjustRightInd w:val="0"/>
      <w:jc w:val="both"/>
      <w:outlineLvl w:val="1"/>
    </w:pPr>
    <w:rPr>
      <w:rFonts w:ascii="Times New Roman" w:hAnsi="Times New Roman" w:cs="Times New Roman"/>
      <w:b/>
      <w:bCs/>
      <w:sz w:val="22"/>
      <w:szCs w:val="22"/>
      <w:lang w:val="es-ES_tradnl"/>
    </w:rPr>
  </w:style>
  <w:style w:type="paragraph" w:styleId="Ttulo3">
    <w:name w:val="heading 3"/>
    <w:basedOn w:val="Normal"/>
    <w:next w:val="Normal"/>
    <w:link w:val="Ttulo3Car"/>
    <w:uiPriority w:val="99"/>
    <w:qFormat/>
    <w:rsid w:val="00CF7F51"/>
    <w:pPr>
      <w:keepNext/>
      <w:widowControl w:val="0"/>
      <w:autoSpaceDE w:val="0"/>
      <w:autoSpaceDN w:val="0"/>
      <w:adjustRightInd w:val="0"/>
      <w:jc w:val="center"/>
      <w:outlineLvl w:val="2"/>
    </w:pPr>
    <w:rPr>
      <w:rFonts w:ascii="Times New Roman" w:hAnsi="Times New Roman" w:cs="Times New Roman"/>
      <w:b/>
      <w:bCs/>
      <w:i/>
      <w:iCs/>
      <w:u w:val="single"/>
    </w:rPr>
  </w:style>
  <w:style w:type="paragraph" w:styleId="Ttulo4">
    <w:name w:val="heading 4"/>
    <w:basedOn w:val="Normal"/>
    <w:next w:val="Normal"/>
    <w:link w:val="Ttulo4Car"/>
    <w:uiPriority w:val="99"/>
    <w:qFormat/>
    <w:rsid w:val="00CF7F51"/>
    <w:pPr>
      <w:keepNext/>
      <w:widowControl w:val="0"/>
      <w:pBdr>
        <w:top w:val="single" w:sz="6" w:space="1" w:color="auto"/>
        <w:left w:val="single" w:sz="6" w:space="1" w:color="auto"/>
        <w:bottom w:val="single" w:sz="6" w:space="1" w:color="auto"/>
        <w:right w:val="single" w:sz="6" w:space="1" w:color="auto"/>
      </w:pBdr>
      <w:shd w:val="clear" w:color="000000" w:fill="FFFFFF"/>
      <w:autoSpaceDE w:val="0"/>
      <w:autoSpaceDN w:val="0"/>
      <w:adjustRightInd w:val="0"/>
      <w:jc w:val="center"/>
      <w:outlineLvl w:val="3"/>
    </w:pPr>
    <w:rPr>
      <w:rFonts w:ascii="Times New Roman" w:hAnsi="Times New Roman" w:cs="Times New Roman"/>
      <w:b/>
      <w:bCs/>
      <w:sz w:val="28"/>
      <w:szCs w:val="28"/>
    </w:rPr>
  </w:style>
  <w:style w:type="paragraph" w:styleId="Ttulo5">
    <w:name w:val="heading 5"/>
    <w:basedOn w:val="Normal"/>
    <w:next w:val="Normal"/>
    <w:link w:val="Ttulo5Car"/>
    <w:uiPriority w:val="99"/>
    <w:qFormat/>
    <w:rsid w:val="00CF7F51"/>
    <w:pPr>
      <w:keepNext/>
      <w:jc w:val="both"/>
      <w:outlineLvl w:val="4"/>
    </w:pPr>
    <w:rPr>
      <w:rFonts w:ascii="Times New Roman" w:hAnsi="Times New Roman" w:cs="Times New Roman"/>
      <w:sz w:val="24"/>
      <w:szCs w:val="24"/>
    </w:rPr>
  </w:style>
  <w:style w:type="paragraph" w:styleId="Ttulo6">
    <w:name w:val="heading 6"/>
    <w:basedOn w:val="Normal"/>
    <w:next w:val="Normal"/>
    <w:link w:val="Ttulo6Car"/>
    <w:uiPriority w:val="99"/>
    <w:qFormat/>
    <w:rsid w:val="00CF7F51"/>
    <w:pPr>
      <w:keepNext/>
      <w:jc w:val="both"/>
      <w:outlineLvl w:val="5"/>
    </w:pPr>
    <w:rPr>
      <w:rFonts w:ascii="Times New Roman" w:hAnsi="Times New Roman" w:cs="Times New Roman"/>
      <w:sz w:val="24"/>
      <w:szCs w:val="24"/>
      <w:u w:val="single"/>
    </w:rPr>
  </w:style>
  <w:style w:type="paragraph" w:styleId="Ttulo7">
    <w:name w:val="heading 7"/>
    <w:basedOn w:val="Normal"/>
    <w:next w:val="Normal"/>
    <w:link w:val="Ttulo7Car"/>
    <w:uiPriority w:val="99"/>
    <w:qFormat/>
    <w:rsid w:val="00CF7F51"/>
    <w:pPr>
      <w:keepNext/>
      <w:jc w:val="both"/>
      <w:outlineLvl w:val="6"/>
    </w:pPr>
    <w:rPr>
      <w:rFonts w:ascii="Times New Roman" w:hAnsi="Times New Roman" w:cs="Times New Roman"/>
      <w:i/>
      <w:iCs/>
      <w:sz w:val="24"/>
      <w:szCs w:val="24"/>
    </w:rPr>
  </w:style>
  <w:style w:type="paragraph" w:styleId="Ttulo8">
    <w:name w:val="heading 8"/>
    <w:basedOn w:val="Normal"/>
    <w:next w:val="Normal"/>
    <w:link w:val="Ttulo8Car"/>
    <w:uiPriority w:val="99"/>
    <w:qFormat/>
    <w:rsid w:val="00CF7F51"/>
    <w:pPr>
      <w:keepNext/>
      <w:pBdr>
        <w:top w:val="single" w:sz="4" w:space="1" w:color="auto"/>
        <w:left w:val="single" w:sz="4" w:space="4" w:color="auto"/>
        <w:bottom w:val="single" w:sz="4" w:space="1" w:color="auto"/>
        <w:right w:val="single" w:sz="4" w:space="4" w:color="auto"/>
      </w:pBdr>
      <w:tabs>
        <w:tab w:val="left" w:pos="360"/>
      </w:tabs>
      <w:jc w:val="both"/>
      <w:outlineLvl w:val="7"/>
    </w:pPr>
    <w:rPr>
      <w:b/>
      <w:bCs/>
      <w:sz w:val="24"/>
      <w:szCs w:val="24"/>
    </w:rPr>
  </w:style>
  <w:style w:type="paragraph" w:styleId="Ttulo9">
    <w:name w:val="heading 9"/>
    <w:basedOn w:val="Normal"/>
    <w:next w:val="Normal"/>
    <w:link w:val="Ttulo9Car"/>
    <w:uiPriority w:val="99"/>
    <w:qFormat/>
    <w:rsid w:val="00CF7F51"/>
    <w:pPr>
      <w:keepNext/>
      <w:tabs>
        <w:tab w:val="left" w:pos="360"/>
      </w:tabs>
      <w:jc w:val="both"/>
      <w:outlineLvl w:val="8"/>
    </w:pPr>
    <w:rPr>
      <w:rFonts w:ascii="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45445"/>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D45445"/>
    <w:rPr>
      <w:rFonts w:ascii="Cambria" w:eastAsia="Times New Roman" w:hAnsi="Cambria" w:cs="Times New Roman"/>
      <w:b/>
      <w:bCs/>
      <w:i/>
      <w:iCs/>
      <w:sz w:val="28"/>
      <w:szCs w:val="28"/>
    </w:rPr>
  </w:style>
  <w:style w:type="character" w:customStyle="1" w:styleId="Ttulo3Car">
    <w:name w:val="Título 3 Car"/>
    <w:link w:val="Ttulo3"/>
    <w:uiPriority w:val="9"/>
    <w:semiHidden/>
    <w:rsid w:val="00D45445"/>
    <w:rPr>
      <w:rFonts w:ascii="Cambria" w:eastAsia="Times New Roman" w:hAnsi="Cambria" w:cs="Times New Roman"/>
      <w:b/>
      <w:bCs/>
      <w:sz w:val="26"/>
      <w:szCs w:val="26"/>
    </w:rPr>
  </w:style>
  <w:style w:type="character" w:customStyle="1" w:styleId="Ttulo4Car">
    <w:name w:val="Título 4 Car"/>
    <w:link w:val="Ttulo4"/>
    <w:uiPriority w:val="99"/>
    <w:locked/>
    <w:rsid w:val="00B43AE9"/>
    <w:rPr>
      <w:b/>
      <w:bCs/>
      <w:sz w:val="28"/>
      <w:szCs w:val="28"/>
      <w:shd w:val="clear" w:color="000000" w:fill="FFFFFF"/>
    </w:rPr>
  </w:style>
  <w:style w:type="character" w:customStyle="1" w:styleId="Ttulo5Car">
    <w:name w:val="Título 5 Car"/>
    <w:link w:val="Ttulo5"/>
    <w:uiPriority w:val="9"/>
    <w:semiHidden/>
    <w:rsid w:val="00D45445"/>
    <w:rPr>
      <w:rFonts w:ascii="Calibri" w:eastAsia="Times New Roman" w:hAnsi="Calibri" w:cs="Times New Roman"/>
      <w:b/>
      <w:bCs/>
      <w:i/>
      <w:iCs/>
      <w:sz w:val="26"/>
      <w:szCs w:val="26"/>
    </w:rPr>
  </w:style>
  <w:style w:type="character" w:customStyle="1" w:styleId="Ttulo6Car">
    <w:name w:val="Título 6 Car"/>
    <w:link w:val="Ttulo6"/>
    <w:uiPriority w:val="9"/>
    <w:semiHidden/>
    <w:rsid w:val="00D45445"/>
    <w:rPr>
      <w:rFonts w:ascii="Calibri" w:eastAsia="Times New Roman" w:hAnsi="Calibri" w:cs="Times New Roman"/>
      <w:b/>
      <w:bCs/>
    </w:rPr>
  </w:style>
  <w:style w:type="character" w:customStyle="1" w:styleId="Ttulo7Car">
    <w:name w:val="Título 7 Car"/>
    <w:link w:val="Ttulo7"/>
    <w:uiPriority w:val="9"/>
    <w:semiHidden/>
    <w:rsid w:val="00D45445"/>
    <w:rPr>
      <w:rFonts w:ascii="Calibri" w:eastAsia="Times New Roman" w:hAnsi="Calibri" w:cs="Times New Roman"/>
      <w:sz w:val="24"/>
      <w:szCs w:val="24"/>
    </w:rPr>
  </w:style>
  <w:style w:type="character" w:customStyle="1" w:styleId="Ttulo8Car">
    <w:name w:val="Título 8 Car"/>
    <w:link w:val="Ttulo8"/>
    <w:uiPriority w:val="9"/>
    <w:semiHidden/>
    <w:rsid w:val="00D45445"/>
    <w:rPr>
      <w:rFonts w:ascii="Calibri" w:eastAsia="Times New Roman" w:hAnsi="Calibri" w:cs="Times New Roman"/>
      <w:i/>
      <w:iCs/>
      <w:sz w:val="24"/>
      <w:szCs w:val="24"/>
    </w:rPr>
  </w:style>
  <w:style w:type="character" w:customStyle="1" w:styleId="Ttulo9Car">
    <w:name w:val="Título 9 Car"/>
    <w:link w:val="Ttulo9"/>
    <w:uiPriority w:val="9"/>
    <w:semiHidden/>
    <w:rsid w:val="00D45445"/>
    <w:rPr>
      <w:rFonts w:ascii="Cambria" w:eastAsia="Times New Roman" w:hAnsi="Cambria" w:cs="Times New Roman"/>
    </w:rPr>
  </w:style>
  <w:style w:type="paragraph" w:styleId="Encabezado">
    <w:name w:val="header"/>
    <w:basedOn w:val="Normal"/>
    <w:link w:val="EncabezadoCar"/>
    <w:uiPriority w:val="99"/>
    <w:rsid w:val="00CF7F51"/>
    <w:pPr>
      <w:tabs>
        <w:tab w:val="center" w:pos="4252"/>
        <w:tab w:val="right" w:pos="8504"/>
      </w:tabs>
    </w:pPr>
  </w:style>
  <w:style w:type="character" w:customStyle="1" w:styleId="EncabezadoCar">
    <w:name w:val="Encabezado Car"/>
    <w:link w:val="Encabezado"/>
    <w:uiPriority w:val="99"/>
    <w:semiHidden/>
    <w:rsid w:val="00D45445"/>
    <w:rPr>
      <w:rFonts w:ascii="Arial" w:hAnsi="Arial" w:cs="Arial"/>
      <w:sz w:val="20"/>
      <w:szCs w:val="20"/>
    </w:rPr>
  </w:style>
  <w:style w:type="paragraph" w:customStyle="1" w:styleId="Textoindependiente21">
    <w:name w:val="Texto independiente 21"/>
    <w:basedOn w:val="Normal"/>
    <w:uiPriority w:val="99"/>
    <w:rsid w:val="00CF7F51"/>
    <w:pPr>
      <w:overflowPunct w:val="0"/>
      <w:autoSpaceDE w:val="0"/>
      <w:autoSpaceDN w:val="0"/>
      <w:adjustRightInd w:val="0"/>
      <w:jc w:val="both"/>
      <w:textAlignment w:val="baseline"/>
    </w:pPr>
    <w:rPr>
      <w:rFonts w:ascii="Times New Roman" w:hAnsi="Times New Roman" w:cs="Times New Roman"/>
      <w:lang w:val="es-ES_tradnl"/>
    </w:rPr>
  </w:style>
  <w:style w:type="paragraph" w:styleId="Textoindependiente">
    <w:name w:val="Body Text"/>
    <w:basedOn w:val="Normal"/>
    <w:link w:val="TextoindependienteCar"/>
    <w:uiPriority w:val="99"/>
    <w:rsid w:val="00CF7F51"/>
    <w:pPr>
      <w:tabs>
        <w:tab w:val="left" w:pos="360"/>
      </w:tabs>
      <w:jc w:val="both"/>
    </w:pPr>
    <w:rPr>
      <w:rFonts w:ascii="Times New Roman" w:hAnsi="Times New Roman" w:cs="Times New Roman"/>
      <w:b/>
      <w:bCs/>
      <w:sz w:val="22"/>
      <w:szCs w:val="22"/>
    </w:rPr>
  </w:style>
  <w:style w:type="character" w:customStyle="1" w:styleId="TextoindependienteCar">
    <w:name w:val="Texto independiente Car"/>
    <w:link w:val="Textoindependiente"/>
    <w:uiPriority w:val="99"/>
    <w:locked/>
    <w:rsid w:val="004A4EC9"/>
    <w:rPr>
      <w:b/>
      <w:bCs/>
      <w:sz w:val="22"/>
      <w:szCs w:val="22"/>
    </w:rPr>
  </w:style>
  <w:style w:type="paragraph" w:styleId="Ttulo">
    <w:name w:val="Title"/>
    <w:basedOn w:val="Normal"/>
    <w:link w:val="TtuloCar"/>
    <w:uiPriority w:val="99"/>
    <w:qFormat/>
    <w:rsid w:val="00CF7F51"/>
    <w:pPr>
      <w:widowControl w:val="0"/>
      <w:pBdr>
        <w:top w:val="single" w:sz="6" w:space="1" w:color="auto"/>
        <w:left w:val="single" w:sz="6" w:space="1" w:color="auto"/>
        <w:bottom w:val="single" w:sz="6" w:space="1" w:color="auto"/>
        <w:right w:val="single" w:sz="6" w:space="1" w:color="auto"/>
      </w:pBdr>
      <w:shd w:val="pct5" w:color="auto" w:fill="auto"/>
      <w:autoSpaceDE w:val="0"/>
      <w:autoSpaceDN w:val="0"/>
      <w:adjustRightInd w:val="0"/>
      <w:jc w:val="center"/>
    </w:pPr>
    <w:rPr>
      <w:rFonts w:ascii="Times New Roman" w:hAnsi="Times New Roman" w:cs="Times New Roman"/>
      <w:b/>
      <w:bCs/>
      <w:lang w:val="es-ES_tradnl"/>
    </w:rPr>
  </w:style>
  <w:style w:type="character" w:customStyle="1" w:styleId="TtuloCar">
    <w:name w:val="Título Car"/>
    <w:link w:val="Ttulo"/>
    <w:uiPriority w:val="10"/>
    <w:rsid w:val="00D45445"/>
    <w:rPr>
      <w:rFonts w:ascii="Cambria" w:eastAsia="Times New Roman" w:hAnsi="Cambria" w:cs="Times New Roman"/>
      <w:b/>
      <w:bCs/>
      <w:kern w:val="28"/>
      <w:sz w:val="32"/>
      <w:szCs w:val="32"/>
    </w:rPr>
  </w:style>
  <w:style w:type="paragraph" w:styleId="Subttulo">
    <w:name w:val="Subtitle"/>
    <w:basedOn w:val="Normal"/>
    <w:link w:val="SubttuloCar"/>
    <w:uiPriority w:val="99"/>
    <w:qFormat/>
    <w:rsid w:val="00CF7F51"/>
    <w:pPr>
      <w:widowControl w:val="0"/>
      <w:autoSpaceDE w:val="0"/>
      <w:autoSpaceDN w:val="0"/>
      <w:adjustRightInd w:val="0"/>
      <w:jc w:val="both"/>
    </w:pPr>
    <w:rPr>
      <w:rFonts w:ascii="Times New Roman" w:hAnsi="Times New Roman" w:cs="Times New Roman"/>
      <w:b/>
      <w:bCs/>
      <w:sz w:val="28"/>
      <w:szCs w:val="28"/>
      <w:lang w:val="es-ES_tradnl"/>
    </w:rPr>
  </w:style>
  <w:style w:type="character" w:customStyle="1" w:styleId="SubttuloCar">
    <w:name w:val="Subtítulo Car"/>
    <w:link w:val="Subttulo"/>
    <w:uiPriority w:val="11"/>
    <w:rsid w:val="00D45445"/>
    <w:rPr>
      <w:rFonts w:ascii="Cambria" w:eastAsia="Times New Roman" w:hAnsi="Cambria" w:cs="Times New Roman"/>
      <w:sz w:val="24"/>
      <w:szCs w:val="24"/>
    </w:rPr>
  </w:style>
  <w:style w:type="paragraph" w:styleId="Textoindependiente3">
    <w:name w:val="Body Text 3"/>
    <w:basedOn w:val="Normal"/>
    <w:link w:val="Textoindependiente3Car"/>
    <w:uiPriority w:val="99"/>
    <w:rsid w:val="00CF7F51"/>
    <w:pPr>
      <w:widowControl w:val="0"/>
      <w:autoSpaceDE w:val="0"/>
      <w:autoSpaceDN w:val="0"/>
      <w:adjustRightInd w:val="0"/>
      <w:jc w:val="both"/>
    </w:pPr>
    <w:rPr>
      <w:rFonts w:ascii="Times New Roman" w:hAnsi="Times New Roman" w:cs="Times New Roman"/>
      <w:lang w:val="es-ES_tradnl"/>
    </w:rPr>
  </w:style>
  <w:style w:type="character" w:customStyle="1" w:styleId="Textoindependiente3Car">
    <w:name w:val="Texto independiente 3 Car"/>
    <w:link w:val="Textoindependiente3"/>
    <w:uiPriority w:val="99"/>
    <w:semiHidden/>
    <w:rsid w:val="00D45445"/>
    <w:rPr>
      <w:rFonts w:ascii="Arial" w:hAnsi="Arial" w:cs="Arial"/>
      <w:sz w:val="16"/>
      <w:szCs w:val="16"/>
    </w:rPr>
  </w:style>
  <w:style w:type="paragraph" w:styleId="Textoindependiente2">
    <w:name w:val="Body Text 2"/>
    <w:basedOn w:val="Normal"/>
    <w:link w:val="Textoindependiente2Car"/>
    <w:uiPriority w:val="99"/>
    <w:rsid w:val="00CF7F51"/>
    <w:pPr>
      <w:tabs>
        <w:tab w:val="left" w:pos="5739"/>
      </w:tabs>
      <w:jc w:val="both"/>
    </w:pPr>
    <w:rPr>
      <w:rFonts w:ascii="Times New Roman" w:hAnsi="Times New Roman" w:cs="Times New Roman"/>
      <w:i/>
      <w:iCs/>
      <w:sz w:val="22"/>
      <w:szCs w:val="22"/>
    </w:rPr>
  </w:style>
  <w:style w:type="character" w:customStyle="1" w:styleId="Textoindependiente2Car">
    <w:name w:val="Texto independiente 2 Car"/>
    <w:link w:val="Textoindependiente2"/>
    <w:uiPriority w:val="99"/>
    <w:locked/>
    <w:rsid w:val="00F306F2"/>
    <w:rPr>
      <w:i/>
      <w:iCs/>
      <w:sz w:val="22"/>
      <w:szCs w:val="22"/>
    </w:rPr>
  </w:style>
  <w:style w:type="paragraph" w:styleId="Sangradetextonormal">
    <w:name w:val="Body Text Indent"/>
    <w:basedOn w:val="Normal"/>
    <w:link w:val="SangradetextonormalCar"/>
    <w:uiPriority w:val="99"/>
    <w:rsid w:val="00CF7F51"/>
    <w:pPr>
      <w:ind w:left="360"/>
      <w:jc w:val="both"/>
    </w:pPr>
    <w:rPr>
      <w:rFonts w:ascii="Times New Roman" w:hAnsi="Times New Roman" w:cs="Times New Roman"/>
      <w:sz w:val="24"/>
      <w:szCs w:val="24"/>
    </w:rPr>
  </w:style>
  <w:style w:type="character" w:customStyle="1" w:styleId="SangradetextonormalCar">
    <w:name w:val="Sangría de texto normal Car"/>
    <w:link w:val="Sangradetextonormal"/>
    <w:uiPriority w:val="99"/>
    <w:semiHidden/>
    <w:rsid w:val="00D45445"/>
    <w:rPr>
      <w:rFonts w:ascii="Arial" w:hAnsi="Arial" w:cs="Arial"/>
      <w:sz w:val="20"/>
      <w:szCs w:val="20"/>
    </w:rPr>
  </w:style>
  <w:style w:type="paragraph" w:styleId="Sangra2detindependiente">
    <w:name w:val="Body Text Indent 2"/>
    <w:basedOn w:val="Normal"/>
    <w:link w:val="Sangra2detindependienteCar"/>
    <w:uiPriority w:val="99"/>
    <w:rsid w:val="00CF7F51"/>
    <w:pPr>
      <w:tabs>
        <w:tab w:val="left" w:pos="360"/>
      </w:tabs>
      <w:ind w:left="720"/>
      <w:jc w:val="both"/>
    </w:pPr>
    <w:rPr>
      <w:rFonts w:ascii="Times New Roman" w:hAnsi="Times New Roman" w:cs="Times New Roman"/>
      <w:sz w:val="24"/>
      <w:szCs w:val="24"/>
    </w:rPr>
  </w:style>
  <w:style w:type="character" w:customStyle="1" w:styleId="Sangra2detindependienteCar">
    <w:name w:val="Sangría 2 de t. independiente Car"/>
    <w:link w:val="Sangra2detindependiente"/>
    <w:uiPriority w:val="99"/>
    <w:semiHidden/>
    <w:rsid w:val="00D45445"/>
    <w:rPr>
      <w:rFonts w:ascii="Arial" w:hAnsi="Arial" w:cs="Arial"/>
      <w:sz w:val="20"/>
      <w:szCs w:val="20"/>
    </w:rPr>
  </w:style>
  <w:style w:type="paragraph" w:styleId="Sangra3detindependiente">
    <w:name w:val="Body Text Indent 3"/>
    <w:basedOn w:val="Normal"/>
    <w:link w:val="Sangra3detindependienteCar"/>
    <w:uiPriority w:val="99"/>
    <w:rsid w:val="00CF7F51"/>
    <w:pPr>
      <w:tabs>
        <w:tab w:val="left" w:pos="540"/>
      </w:tabs>
      <w:ind w:left="540" w:hanging="180"/>
      <w:jc w:val="both"/>
    </w:pPr>
    <w:rPr>
      <w:rFonts w:ascii="Times New Roman" w:hAnsi="Times New Roman" w:cs="Times New Roman"/>
      <w:b/>
      <w:bCs/>
      <w:i/>
      <w:iCs/>
      <w:sz w:val="24"/>
      <w:szCs w:val="24"/>
    </w:rPr>
  </w:style>
  <w:style w:type="character" w:customStyle="1" w:styleId="Sangra3detindependienteCar">
    <w:name w:val="Sangría 3 de t. independiente Car"/>
    <w:link w:val="Sangra3detindependiente"/>
    <w:uiPriority w:val="99"/>
    <w:semiHidden/>
    <w:rsid w:val="00D45445"/>
    <w:rPr>
      <w:rFonts w:ascii="Arial" w:hAnsi="Arial" w:cs="Arial"/>
      <w:sz w:val="16"/>
      <w:szCs w:val="16"/>
    </w:rPr>
  </w:style>
  <w:style w:type="paragraph" w:styleId="Piedepgina">
    <w:name w:val="footer"/>
    <w:basedOn w:val="Normal"/>
    <w:link w:val="PiedepginaCar"/>
    <w:uiPriority w:val="99"/>
    <w:rsid w:val="00CF7F51"/>
    <w:pPr>
      <w:tabs>
        <w:tab w:val="center" w:pos="4252"/>
        <w:tab w:val="right" w:pos="8504"/>
      </w:tabs>
    </w:pPr>
  </w:style>
  <w:style w:type="character" w:customStyle="1" w:styleId="PiedepginaCar">
    <w:name w:val="Pie de página Car"/>
    <w:link w:val="Piedepgina"/>
    <w:uiPriority w:val="99"/>
    <w:locked/>
    <w:rsid w:val="00F93484"/>
    <w:rPr>
      <w:rFonts w:ascii="Arial" w:hAnsi="Arial" w:cs="Arial"/>
      <w:sz w:val="24"/>
      <w:szCs w:val="24"/>
    </w:rPr>
  </w:style>
  <w:style w:type="character" w:styleId="Nmerodepgina">
    <w:name w:val="page number"/>
    <w:basedOn w:val="Fuentedeprrafopredeter"/>
    <w:uiPriority w:val="99"/>
    <w:rsid w:val="00CF7F51"/>
  </w:style>
  <w:style w:type="character" w:styleId="Refdecomentario">
    <w:name w:val="annotation reference"/>
    <w:uiPriority w:val="99"/>
    <w:semiHidden/>
    <w:rsid w:val="00CF7F51"/>
    <w:rPr>
      <w:sz w:val="16"/>
      <w:szCs w:val="16"/>
    </w:rPr>
  </w:style>
  <w:style w:type="paragraph" w:styleId="Textocomentario">
    <w:name w:val="annotation text"/>
    <w:basedOn w:val="Normal"/>
    <w:link w:val="TextocomentarioCar"/>
    <w:uiPriority w:val="99"/>
    <w:semiHidden/>
    <w:rsid w:val="00CF7F51"/>
  </w:style>
  <w:style w:type="character" w:customStyle="1" w:styleId="TextocomentarioCar">
    <w:name w:val="Texto comentario Car"/>
    <w:link w:val="Textocomentario"/>
    <w:uiPriority w:val="99"/>
    <w:semiHidden/>
    <w:rsid w:val="00D45445"/>
    <w:rPr>
      <w:rFonts w:ascii="Arial" w:hAnsi="Arial" w:cs="Arial"/>
      <w:sz w:val="20"/>
      <w:szCs w:val="20"/>
    </w:rPr>
  </w:style>
  <w:style w:type="paragraph" w:styleId="Listaconvietas">
    <w:name w:val="List Bullet"/>
    <w:basedOn w:val="Normal"/>
    <w:autoRedefine/>
    <w:uiPriority w:val="99"/>
    <w:rsid w:val="00CF7F51"/>
    <w:pPr>
      <w:numPr>
        <w:numId w:val="1"/>
      </w:numPr>
    </w:pPr>
  </w:style>
  <w:style w:type="paragraph" w:styleId="Listaconvietas2">
    <w:name w:val="List Bullet 2"/>
    <w:basedOn w:val="Normal"/>
    <w:autoRedefine/>
    <w:uiPriority w:val="99"/>
    <w:rsid w:val="00CF7F51"/>
    <w:pPr>
      <w:numPr>
        <w:numId w:val="2"/>
      </w:numPr>
    </w:pPr>
  </w:style>
  <w:style w:type="paragraph" w:styleId="Continuarlista">
    <w:name w:val="List Continue"/>
    <w:basedOn w:val="Normal"/>
    <w:uiPriority w:val="99"/>
    <w:rsid w:val="00CF7F51"/>
    <w:pPr>
      <w:spacing w:after="120"/>
      <w:ind w:left="283"/>
    </w:pPr>
  </w:style>
  <w:style w:type="paragraph" w:customStyle="1" w:styleId="Textoindependiente31">
    <w:name w:val="Texto independiente 31"/>
    <w:basedOn w:val="Normal"/>
    <w:uiPriority w:val="99"/>
    <w:rsid w:val="00CF7F51"/>
    <w:pPr>
      <w:pBdr>
        <w:top w:val="single" w:sz="6" w:space="1" w:color="auto"/>
        <w:left w:val="single" w:sz="6" w:space="0" w:color="auto"/>
        <w:bottom w:val="single" w:sz="6" w:space="1" w:color="auto"/>
        <w:right w:val="single" w:sz="6" w:space="1" w:color="auto"/>
      </w:pBdr>
      <w:overflowPunct w:val="0"/>
      <w:autoSpaceDE w:val="0"/>
      <w:autoSpaceDN w:val="0"/>
      <w:adjustRightInd w:val="0"/>
      <w:jc w:val="both"/>
      <w:textAlignment w:val="baseline"/>
    </w:pPr>
    <w:rPr>
      <w:rFonts w:ascii="Times New Roman" w:hAnsi="Times New Roman" w:cs="Times New Roman"/>
      <w:b/>
      <w:bCs/>
      <w:sz w:val="28"/>
      <w:szCs w:val="28"/>
    </w:rPr>
  </w:style>
  <w:style w:type="paragraph" w:customStyle="1" w:styleId="Sangra2detindependiente1">
    <w:name w:val="Sangría 2 de t. independiente1"/>
    <w:basedOn w:val="Normal"/>
    <w:uiPriority w:val="99"/>
    <w:rsid w:val="00CF7F51"/>
    <w:pPr>
      <w:overflowPunct w:val="0"/>
      <w:autoSpaceDE w:val="0"/>
      <w:autoSpaceDN w:val="0"/>
      <w:adjustRightInd w:val="0"/>
      <w:ind w:left="283"/>
      <w:jc w:val="both"/>
      <w:textAlignment w:val="baseline"/>
    </w:pPr>
    <w:rPr>
      <w:rFonts w:ascii="Times New Roman" w:hAnsi="Times New Roman" w:cs="Times New Roman"/>
      <w:sz w:val="22"/>
      <w:szCs w:val="22"/>
    </w:rPr>
  </w:style>
  <w:style w:type="character" w:customStyle="1" w:styleId="verde11b1">
    <w:name w:val="verde_11b1"/>
    <w:uiPriority w:val="99"/>
    <w:rsid w:val="00CF7F51"/>
    <w:rPr>
      <w:rFonts w:ascii="Arial" w:hAnsi="Arial" w:cs="Arial"/>
      <w:b/>
      <w:bCs/>
      <w:color w:val="auto"/>
      <w:sz w:val="17"/>
      <w:szCs w:val="17"/>
      <w:u w:val="none"/>
      <w:effect w:val="none"/>
    </w:rPr>
  </w:style>
  <w:style w:type="paragraph" w:styleId="NormalWeb">
    <w:name w:val="Normal (Web)"/>
    <w:basedOn w:val="Normal"/>
    <w:uiPriority w:val="99"/>
    <w:rsid w:val="00CF7F51"/>
    <w:pPr>
      <w:spacing w:before="100" w:beforeAutospacing="1" w:after="100" w:afterAutospacing="1"/>
    </w:pPr>
    <w:rPr>
      <w:rFonts w:ascii="Arial Unicode MS" w:eastAsia="Arial Unicode MS" w:hAnsi="Arial Unicode MS" w:cs="Arial Unicode MS"/>
      <w:sz w:val="24"/>
      <w:szCs w:val="24"/>
    </w:rPr>
  </w:style>
  <w:style w:type="character" w:styleId="Hipervnculo">
    <w:name w:val="Hyperlink"/>
    <w:uiPriority w:val="99"/>
    <w:rsid w:val="00CF7F51"/>
    <w:rPr>
      <w:color w:val="0000FF"/>
      <w:u w:val="single"/>
    </w:rPr>
  </w:style>
  <w:style w:type="paragraph" w:customStyle="1" w:styleId="texto">
    <w:name w:val="texto"/>
    <w:basedOn w:val="Normal"/>
    <w:uiPriority w:val="99"/>
    <w:rsid w:val="00CF7F51"/>
    <w:pPr>
      <w:spacing w:before="100" w:beforeAutospacing="1" w:after="100" w:afterAutospacing="1"/>
    </w:pPr>
    <w:rPr>
      <w:color w:val="000000"/>
    </w:rPr>
  </w:style>
  <w:style w:type="paragraph" w:customStyle="1" w:styleId="titulo2">
    <w:name w:val="titulo2"/>
    <w:basedOn w:val="Normal"/>
    <w:uiPriority w:val="99"/>
    <w:rsid w:val="00CF7F51"/>
    <w:pPr>
      <w:shd w:val="clear" w:color="auto" w:fill="336699"/>
      <w:spacing w:before="100" w:beforeAutospacing="1" w:after="100" w:afterAutospacing="1"/>
    </w:pPr>
    <w:rPr>
      <w:b/>
      <w:bCs/>
      <w:color w:val="FFFFFF"/>
      <w:sz w:val="15"/>
      <w:szCs w:val="15"/>
    </w:rPr>
  </w:style>
  <w:style w:type="character" w:customStyle="1" w:styleId="texto1">
    <w:name w:val="texto1"/>
    <w:uiPriority w:val="99"/>
    <w:rsid w:val="00CF7F51"/>
    <w:rPr>
      <w:rFonts w:ascii="Arial" w:hAnsi="Arial" w:cs="Arial"/>
      <w:color w:val="000000"/>
      <w:sz w:val="20"/>
      <w:szCs w:val="20"/>
      <w:u w:val="none"/>
      <w:effect w:val="none"/>
    </w:rPr>
  </w:style>
  <w:style w:type="character" w:styleId="Hipervnculovisitado">
    <w:name w:val="FollowedHyperlink"/>
    <w:uiPriority w:val="99"/>
    <w:rsid w:val="00CF7F51"/>
    <w:rPr>
      <w:color w:val="800080"/>
      <w:u w:val="single"/>
    </w:rPr>
  </w:style>
  <w:style w:type="paragraph" w:customStyle="1" w:styleId="NormalWeb8">
    <w:name w:val="Normal (Web)8"/>
    <w:basedOn w:val="Normal"/>
    <w:uiPriority w:val="99"/>
    <w:rsid w:val="00CF7F51"/>
    <w:pPr>
      <w:spacing w:before="150" w:after="150"/>
    </w:pPr>
    <w:rPr>
      <w:rFonts w:ascii="Verdana" w:hAnsi="Verdana" w:cs="Verdana"/>
      <w:color w:val="000000"/>
      <w:sz w:val="18"/>
      <w:szCs w:val="18"/>
    </w:rPr>
  </w:style>
  <w:style w:type="character" w:styleId="Fuerte">
    <w:name w:val="Strong"/>
    <w:uiPriority w:val="22"/>
    <w:qFormat/>
    <w:rsid w:val="00CF7F51"/>
    <w:rPr>
      <w:b/>
      <w:bCs/>
    </w:rPr>
  </w:style>
  <w:style w:type="paragraph" w:styleId="Mapadeldocumento">
    <w:name w:val="Document Map"/>
    <w:basedOn w:val="Normal"/>
    <w:link w:val="MapadeldocumentoCar"/>
    <w:uiPriority w:val="99"/>
    <w:semiHidden/>
    <w:rsid w:val="00CF7F51"/>
    <w:pPr>
      <w:shd w:val="clear" w:color="auto" w:fill="000080"/>
    </w:pPr>
    <w:rPr>
      <w:rFonts w:ascii="Tahoma" w:hAnsi="Tahoma" w:cs="Tahoma"/>
    </w:rPr>
  </w:style>
  <w:style w:type="character" w:customStyle="1" w:styleId="MapadeldocumentoCar">
    <w:name w:val="Mapa del documento Car"/>
    <w:link w:val="Mapadeldocumento"/>
    <w:uiPriority w:val="99"/>
    <w:semiHidden/>
    <w:rsid w:val="00D45445"/>
    <w:rPr>
      <w:sz w:val="0"/>
      <w:szCs w:val="0"/>
    </w:rPr>
  </w:style>
  <w:style w:type="paragraph" w:styleId="Textodeglobo">
    <w:name w:val="Balloon Text"/>
    <w:basedOn w:val="Normal"/>
    <w:link w:val="TextodegloboCar"/>
    <w:uiPriority w:val="99"/>
    <w:semiHidden/>
    <w:rsid w:val="00CF7F51"/>
    <w:rPr>
      <w:rFonts w:ascii="Tahoma" w:hAnsi="Tahoma" w:cs="Tahoma"/>
      <w:sz w:val="16"/>
      <w:szCs w:val="16"/>
    </w:rPr>
  </w:style>
  <w:style w:type="character" w:customStyle="1" w:styleId="TextodegloboCar">
    <w:name w:val="Texto de globo Car"/>
    <w:link w:val="Textodeglobo"/>
    <w:uiPriority w:val="99"/>
    <w:semiHidden/>
    <w:rsid w:val="00D45445"/>
    <w:rPr>
      <w:sz w:val="0"/>
      <w:szCs w:val="0"/>
    </w:rPr>
  </w:style>
  <w:style w:type="paragraph" w:styleId="Asuntodelcomentario">
    <w:name w:val="annotation subject"/>
    <w:basedOn w:val="Textocomentario"/>
    <w:next w:val="Textocomentario"/>
    <w:link w:val="AsuntodelcomentarioCar"/>
    <w:uiPriority w:val="99"/>
    <w:semiHidden/>
    <w:rsid w:val="00CF7F51"/>
    <w:rPr>
      <w:b/>
      <w:bCs/>
    </w:rPr>
  </w:style>
  <w:style w:type="character" w:customStyle="1" w:styleId="AsuntodelcomentarioCar">
    <w:name w:val="Asunto del comentario Car"/>
    <w:link w:val="Asuntodelcomentario"/>
    <w:uiPriority w:val="99"/>
    <w:semiHidden/>
    <w:rsid w:val="00D45445"/>
    <w:rPr>
      <w:rFonts w:ascii="Arial" w:hAnsi="Arial" w:cs="Arial"/>
      <w:b/>
      <w:bCs/>
      <w:sz w:val="20"/>
      <w:szCs w:val="20"/>
    </w:rPr>
  </w:style>
  <w:style w:type="paragraph" w:customStyle="1" w:styleId="documento-tit">
    <w:name w:val="documento-tit"/>
    <w:basedOn w:val="Normal"/>
    <w:uiPriority w:val="99"/>
    <w:rsid w:val="00CF7F51"/>
    <w:pPr>
      <w:spacing w:before="100" w:beforeAutospacing="1" w:after="100" w:afterAutospacing="1"/>
    </w:pPr>
    <w:rPr>
      <w:rFonts w:ascii="Arial Unicode MS" w:eastAsia="Arial Unicode MS" w:hAnsi="Arial Unicode MS" w:cs="Arial Unicode MS"/>
      <w:sz w:val="24"/>
      <w:szCs w:val="24"/>
    </w:rPr>
  </w:style>
  <w:style w:type="paragraph" w:customStyle="1" w:styleId="Pa8">
    <w:name w:val="Pa8"/>
    <w:basedOn w:val="Normal"/>
    <w:next w:val="Normal"/>
    <w:uiPriority w:val="99"/>
    <w:rsid w:val="00CF7F51"/>
    <w:pPr>
      <w:autoSpaceDE w:val="0"/>
      <w:autoSpaceDN w:val="0"/>
      <w:adjustRightInd w:val="0"/>
      <w:spacing w:line="201" w:lineRule="atLeast"/>
    </w:pPr>
    <w:rPr>
      <w:sz w:val="24"/>
      <w:szCs w:val="24"/>
    </w:rPr>
  </w:style>
  <w:style w:type="paragraph" w:customStyle="1" w:styleId="Pa7">
    <w:name w:val="Pa7"/>
    <w:basedOn w:val="Normal"/>
    <w:next w:val="Normal"/>
    <w:uiPriority w:val="99"/>
    <w:rsid w:val="00CF7F51"/>
    <w:pPr>
      <w:autoSpaceDE w:val="0"/>
      <w:autoSpaceDN w:val="0"/>
      <w:adjustRightInd w:val="0"/>
      <w:spacing w:line="201" w:lineRule="atLeast"/>
    </w:pPr>
    <w:rPr>
      <w:sz w:val="24"/>
      <w:szCs w:val="24"/>
    </w:rPr>
  </w:style>
  <w:style w:type="table" w:styleId="Tablaconcuadrcula">
    <w:name w:val="Table Grid"/>
    <w:basedOn w:val="Tablanormal"/>
    <w:uiPriority w:val="99"/>
    <w:rsid w:val="00DA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uiPriority w:val="99"/>
    <w:rsid w:val="004258A3"/>
  </w:style>
  <w:style w:type="character" w:styleId="nfasis">
    <w:name w:val="Emphasis"/>
    <w:uiPriority w:val="20"/>
    <w:qFormat/>
    <w:rsid w:val="00790424"/>
    <w:rPr>
      <w:i/>
      <w:iCs/>
    </w:rPr>
  </w:style>
  <w:style w:type="paragraph" w:styleId="Prrafodelista">
    <w:name w:val="List Paragraph"/>
    <w:basedOn w:val="Normal"/>
    <w:uiPriority w:val="99"/>
    <w:qFormat/>
    <w:rsid w:val="007B5F75"/>
    <w:pPr>
      <w:ind w:left="708"/>
    </w:pPr>
  </w:style>
  <w:style w:type="character" w:styleId="Mencinsinresolver">
    <w:name w:val="Unresolved Mention"/>
    <w:basedOn w:val="Fuentedeprrafopredeter"/>
    <w:uiPriority w:val="99"/>
    <w:semiHidden/>
    <w:unhideWhenUsed/>
    <w:rsid w:val="00324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8802">
      <w:bodyDiv w:val="1"/>
      <w:marLeft w:val="0"/>
      <w:marRight w:val="0"/>
      <w:marTop w:val="0"/>
      <w:marBottom w:val="0"/>
      <w:divBdr>
        <w:top w:val="none" w:sz="0" w:space="0" w:color="auto"/>
        <w:left w:val="none" w:sz="0" w:space="0" w:color="auto"/>
        <w:bottom w:val="none" w:sz="0" w:space="0" w:color="auto"/>
        <w:right w:val="none" w:sz="0" w:space="0" w:color="auto"/>
      </w:divBdr>
    </w:div>
    <w:div w:id="100344750">
      <w:bodyDiv w:val="1"/>
      <w:marLeft w:val="0"/>
      <w:marRight w:val="0"/>
      <w:marTop w:val="0"/>
      <w:marBottom w:val="0"/>
      <w:divBdr>
        <w:top w:val="none" w:sz="0" w:space="0" w:color="auto"/>
        <w:left w:val="none" w:sz="0" w:space="0" w:color="auto"/>
        <w:bottom w:val="none" w:sz="0" w:space="0" w:color="auto"/>
        <w:right w:val="none" w:sz="0" w:space="0" w:color="auto"/>
      </w:divBdr>
    </w:div>
    <w:div w:id="364403403">
      <w:bodyDiv w:val="1"/>
      <w:marLeft w:val="0"/>
      <w:marRight w:val="0"/>
      <w:marTop w:val="0"/>
      <w:marBottom w:val="0"/>
      <w:divBdr>
        <w:top w:val="none" w:sz="0" w:space="0" w:color="auto"/>
        <w:left w:val="none" w:sz="0" w:space="0" w:color="auto"/>
        <w:bottom w:val="none" w:sz="0" w:space="0" w:color="auto"/>
        <w:right w:val="none" w:sz="0" w:space="0" w:color="auto"/>
      </w:divBdr>
    </w:div>
    <w:div w:id="421493181">
      <w:bodyDiv w:val="1"/>
      <w:marLeft w:val="0"/>
      <w:marRight w:val="0"/>
      <w:marTop w:val="0"/>
      <w:marBottom w:val="0"/>
      <w:divBdr>
        <w:top w:val="none" w:sz="0" w:space="0" w:color="auto"/>
        <w:left w:val="none" w:sz="0" w:space="0" w:color="auto"/>
        <w:bottom w:val="none" w:sz="0" w:space="0" w:color="auto"/>
        <w:right w:val="none" w:sz="0" w:space="0" w:color="auto"/>
      </w:divBdr>
    </w:div>
    <w:div w:id="510029145">
      <w:bodyDiv w:val="1"/>
      <w:marLeft w:val="0"/>
      <w:marRight w:val="0"/>
      <w:marTop w:val="0"/>
      <w:marBottom w:val="0"/>
      <w:divBdr>
        <w:top w:val="none" w:sz="0" w:space="0" w:color="auto"/>
        <w:left w:val="none" w:sz="0" w:space="0" w:color="auto"/>
        <w:bottom w:val="none" w:sz="0" w:space="0" w:color="auto"/>
        <w:right w:val="none" w:sz="0" w:space="0" w:color="auto"/>
      </w:divBdr>
    </w:div>
    <w:div w:id="725376897">
      <w:marLeft w:val="0"/>
      <w:marRight w:val="0"/>
      <w:marTop w:val="0"/>
      <w:marBottom w:val="0"/>
      <w:divBdr>
        <w:top w:val="none" w:sz="0" w:space="0" w:color="auto"/>
        <w:left w:val="none" w:sz="0" w:space="0" w:color="auto"/>
        <w:bottom w:val="none" w:sz="0" w:space="0" w:color="auto"/>
        <w:right w:val="none" w:sz="0" w:space="0" w:color="auto"/>
      </w:divBdr>
    </w:div>
    <w:div w:id="725376903">
      <w:marLeft w:val="0"/>
      <w:marRight w:val="0"/>
      <w:marTop w:val="0"/>
      <w:marBottom w:val="0"/>
      <w:divBdr>
        <w:top w:val="single" w:sz="2" w:space="0" w:color="CC3640"/>
        <w:left w:val="none" w:sz="0" w:space="0" w:color="auto"/>
        <w:bottom w:val="none" w:sz="0" w:space="0" w:color="auto"/>
        <w:right w:val="none" w:sz="0" w:space="0" w:color="auto"/>
      </w:divBdr>
      <w:divsChild>
        <w:div w:id="725377032">
          <w:marLeft w:val="0"/>
          <w:marRight w:val="0"/>
          <w:marTop w:val="0"/>
          <w:marBottom w:val="0"/>
          <w:divBdr>
            <w:top w:val="single" w:sz="2" w:space="0" w:color="FF0000"/>
            <w:left w:val="single" w:sz="2" w:space="0" w:color="FF0000"/>
            <w:bottom w:val="single" w:sz="2" w:space="0" w:color="FF0000"/>
            <w:right w:val="single" w:sz="2" w:space="0" w:color="FF0000"/>
          </w:divBdr>
          <w:divsChild>
            <w:div w:id="725376963">
              <w:marLeft w:val="0"/>
              <w:marRight w:val="0"/>
              <w:marTop w:val="0"/>
              <w:marBottom w:val="0"/>
              <w:divBdr>
                <w:top w:val="none" w:sz="0" w:space="0" w:color="auto"/>
                <w:left w:val="single" w:sz="6" w:space="0" w:color="DDDDDD"/>
                <w:bottom w:val="none" w:sz="0" w:space="0" w:color="auto"/>
                <w:right w:val="none" w:sz="0" w:space="0" w:color="auto"/>
              </w:divBdr>
              <w:divsChild>
                <w:div w:id="725376930">
                  <w:marLeft w:val="0"/>
                  <w:marRight w:val="0"/>
                  <w:marTop w:val="0"/>
                  <w:marBottom w:val="0"/>
                  <w:divBdr>
                    <w:top w:val="single" w:sz="2" w:space="0" w:color="008000"/>
                    <w:left w:val="single" w:sz="2" w:space="0" w:color="008000"/>
                    <w:bottom w:val="single" w:sz="2" w:space="0" w:color="008000"/>
                    <w:right w:val="single" w:sz="2" w:space="0" w:color="008000"/>
                  </w:divBdr>
                  <w:divsChild>
                    <w:div w:id="725377026">
                      <w:marLeft w:val="0"/>
                      <w:marRight w:val="0"/>
                      <w:marTop w:val="0"/>
                      <w:marBottom w:val="0"/>
                      <w:divBdr>
                        <w:top w:val="none" w:sz="0" w:space="0" w:color="auto"/>
                        <w:left w:val="none" w:sz="0" w:space="0" w:color="auto"/>
                        <w:bottom w:val="none" w:sz="0" w:space="0" w:color="auto"/>
                        <w:right w:val="none" w:sz="0" w:space="0" w:color="auto"/>
                      </w:divBdr>
                      <w:divsChild>
                        <w:div w:id="725377020">
                          <w:marLeft w:val="0"/>
                          <w:marRight w:val="0"/>
                          <w:marTop w:val="0"/>
                          <w:marBottom w:val="0"/>
                          <w:divBdr>
                            <w:top w:val="none" w:sz="0" w:space="0" w:color="auto"/>
                            <w:left w:val="none" w:sz="0" w:space="0" w:color="auto"/>
                            <w:bottom w:val="none" w:sz="0" w:space="0" w:color="auto"/>
                            <w:right w:val="none" w:sz="0" w:space="0" w:color="auto"/>
                          </w:divBdr>
                          <w:divsChild>
                            <w:div w:id="72537698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6910">
      <w:marLeft w:val="0"/>
      <w:marRight w:val="0"/>
      <w:marTop w:val="0"/>
      <w:marBottom w:val="0"/>
      <w:divBdr>
        <w:top w:val="single" w:sz="2" w:space="0" w:color="CC3640"/>
        <w:left w:val="none" w:sz="0" w:space="0" w:color="auto"/>
        <w:bottom w:val="none" w:sz="0" w:space="0" w:color="auto"/>
        <w:right w:val="none" w:sz="0" w:space="0" w:color="auto"/>
      </w:divBdr>
      <w:divsChild>
        <w:div w:id="725376944">
          <w:marLeft w:val="0"/>
          <w:marRight w:val="0"/>
          <w:marTop w:val="0"/>
          <w:marBottom w:val="0"/>
          <w:divBdr>
            <w:top w:val="single" w:sz="2" w:space="0" w:color="FF0000"/>
            <w:left w:val="single" w:sz="2" w:space="0" w:color="FF0000"/>
            <w:bottom w:val="single" w:sz="2" w:space="0" w:color="FF0000"/>
            <w:right w:val="single" w:sz="2" w:space="0" w:color="FF0000"/>
          </w:divBdr>
          <w:divsChild>
            <w:div w:id="725376900">
              <w:marLeft w:val="0"/>
              <w:marRight w:val="0"/>
              <w:marTop w:val="0"/>
              <w:marBottom w:val="0"/>
              <w:divBdr>
                <w:top w:val="none" w:sz="0" w:space="0" w:color="auto"/>
                <w:left w:val="single" w:sz="6" w:space="0" w:color="DDDDDD"/>
                <w:bottom w:val="none" w:sz="0" w:space="0" w:color="auto"/>
                <w:right w:val="none" w:sz="0" w:space="0" w:color="auto"/>
              </w:divBdr>
              <w:divsChild>
                <w:div w:id="725377081">
                  <w:marLeft w:val="0"/>
                  <w:marRight w:val="0"/>
                  <w:marTop w:val="0"/>
                  <w:marBottom w:val="0"/>
                  <w:divBdr>
                    <w:top w:val="single" w:sz="2" w:space="0" w:color="008000"/>
                    <w:left w:val="single" w:sz="2" w:space="0" w:color="008000"/>
                    <w:bottom w:val="single" w:sz="2" w:space="0" w:color="008000"/>
                    <w:right w:val="single" w:sz="2" w:space="0" w:color="008000"/>
                  </w:divBdr>
                  <w:divsChild>
                    <w:div w:id="725376939">
                      <w:marLeft w:val="0"/>
                      <w:marRight w:val="0"/>
                      <w:marTop w:val="0"/>
                      <w:marBottom w:val="0"/>
                      <w:divBdr>
                        <w:top w:val="none" w:sz="0" w:space="0" w:color="auto"/>
                        <w:left w:val="none" w:sz="0" w:space="0" w:color="auto"/>
                        <w:bottom w:val="none" w:sz="0" w:space="0" w:color="auto"/>
                        <w:right w:val="none" w:sz="0" w:space="0" w:color="auto"/>
                      </w:divBdr>
                      <w:divsChild>
                        <w:div w:id="725376965">
                          <w:marLeft w:val="0"/>
                          <w:marRight w:val="0"/>
                          <w:marTop w:val="0"/>
                          <w:marBottom w:val="0"/>
                          <w:divBdr>
                            <w:top w:val="none" w:sz="0" w:space="0" w:color="auto"/>
                            <w:left w:val="none" w:sz="0" w:space="0" w:color="auto"/>
                            <w:bottom w:val="none" w:sz="0" w:space="0" w:color="auto"/>
                            <w:right w:val="none" w:sz="0" w:space="0" w:color="auto"/>
                          </w:divBdr>
                          <w:divsChild>
                            <w:div w:id="72537692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6916">
      <w:marLeft w:val="0"/>
      <w:marRight w:val="0"/>
      <w:marTop w:val="0"/>
      <w:marBottom w:val="0"/>
      <w:divBdr>
        <w:top w:val="single" w:sz="2" w:space="0" w:color="CC3640"/>
        <w:left w:val="none" w:sz="0" w:space="0" w:color="auto"/>
        <w:bottom w:val="none" w:sz="0" w:space="0" w:color="auto"/>
        <w:right w:val="none" w:sz="0" w:space="0" w:color="auto"/>
      </w:divBdr>
      <w:divsChild>
        <w:div w:id="725377096">
          <w:marLeft w:val="0"/>
          <w:marRight w:val="0"/>
          <w:marTop w:val="0"/>
          <w:marBottom w:val="0"/>
          <w:divBdr>
            <w:top w:val="single" w:sz="2" w:space="0" w:color="FF0000"/>
            <w:left w:val="single" w:sz="2" w:space="0" w:color="FF0000"/>
            <w:bottom w:val="single" w:sz="2" w:space="0" w:color="FF0000"/>
            <w:right w:val="single" w:sz="2" w:space="0" w:color="FF0000"/>
          </w:divBdr>
          <w:divsChild>
            <w:div w:id="725377143">
              <w:marLeft w:val="0"/>
              <w:marRight w:val="0"/>
              <w:marTop w:val="0"/>
              <w:marBottom w:val="0"/>
              <w:divBdr>
                <w:top w:val="none" w:sz="0" w:space="0" w:color="auto"/>
                <w:left w:val="single" w:sz="6" w:space="0" w:color="DDDDDD"/>
                <w:bottom w:val="none" w:sz="0" w:space="0" w:color="auto"/>
                <w:right w:val="none" w:sz="0" w:space="0" w:color="auto"/>
              </w:divBdr>
              <w:divsChild>
                <w:div w:id="725377080">
                  <w:marLeft w:val="0"/>
                  <w:marRight w:val="0"/>
                  <w:marTop w:val="0"/>
                  <w:marBottom w:val="0"/>
                  <w:divBdr>
                    <w:top w:val="single" w:sz="2" w:space="0" w:color="008000"/>
                    <w:left w:val="single" w:sz="2" w:space="0" w:color="008000"/>
                    <w:bottom w:val="single" w:sz="2" w:space="0" w:color="008000"/>
                    <w:right w:val="single" w:sz="2" w:space="0" w:color="008000"/>
                  </w:divBdr>
                  <w:divsChild>
                    <w:div w:id="725376973">
                      <w:marLeft w:val="0"/>
                      <w:marRight w:val="0"/>
                      <w:marTop w:val="0"/>
                      <w:marBottom w:val="0"/>
                      <w:divBdr>
                        <w:top w:val="none" w:sz="0" w:space="0" w:color="auto"/>
                        <w:left w:val="none" w:sz="0" w:space="0" w:color="auto"/>
                        <w:bottom w:val="none" w:sz="0" w:space="0" w:color="auto"/>
                        <w:right w:val="none" w:sz="0" w:space="0" w:color="auto"/>
                      </w:divBdr>
                      <w:divsChild>
                        <w:div w:id="725376978">
                          <w:marLeft w:val="0"/>
                          <w:marRight w:val="0"/>
                          <w:marTop w:val="0"/>
                          <w:marBottom w:val="0"/>
                          <w:divBdr>
                            <w:top w:val="none" w:sz="0" w:space="0" w:color="auto"/>
                            <w:left w:val="none" w:sz="0" w:space="0" w:color="auto"/>
                            <w:bottom w:val="none" w:sz="0" w:space="0" w:color="auto"/>
                            <w:right w:val="none" w:sz="0" w:space="0" w:color="auto"/>
                          </w:divBdr>
                          <w:divsChild>
                            <w:div w:id="72537689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6917">
      <w:marLeft w:val="0"/>
      <w:marRight w:val="0"/>
      <w:marTop w:val="0"/>
      <w:marBottom w:val="0"/>
      <w:divBdr>
        <w:top w:val="none" w:sz="0" w:space="0" w:color="auto"/>
        <w:left w:val="none" w:sz="0" w:space="0" w:color="auto"/>
        <w:bottom w:val="none" w:sz="0" w:space="0" w:color="auto"/>
        <w:right w:val="none" w:sz="0" w:space="0" w:color="auto"/>
      </w:divBdr>
    </w:div>
    <w:div w:id="725376919">
      <w:marLeft w:val="0"/>
      <w:marRight w:val="0"/>
      <w:marTop w:val="0"/>
      <w:marBottom w:val="0"/>
      <w:divBdr>
        <w:top w:val="none" w:sz="0" w:space="0" w:color="auto"/>
        <w:left w:val="none" w:sz="0" w:space="0" w:color="auto"/>
        <w:bottom w:val="none" w:sz="0" w:space="0" w:color="auto"/>
        <w:right w:val="none" w:sz="0" w:space="0" w:color="auto"/>
      </w:divBdr>
    </w:div>
    <w:div w:id="725376921">
      <w:marLeft w:val="0"/>
      <w:marRight w:val="0"/>
      <w:marTop w:val="0"/>
      <w:marBottom w:val="0"/>
      <w:divBdr>
        <w:top w:val="none" w:sz="0" w:space="0" w:color="auto"/>
        <w:left w:val="none" w:sz="0" w:space="0" w:color="auto"/>
        <w:bottom w:val="none" w:sz="0" w:space="0" w:color="auto"/>
        <w:right w:val="none" w:sz="0" w:space="0" w:color="auto"/>
      </w:divBdr>
    </w:div>
    <w:div w:id="725376925">
      <w:marLeft w:val="0"/>
      <w:marRight w:val="0"/>
      <w:marTop w:val="0"/>
      <w:marBottom w:val="0"/>
      <w:divBdr>
        <w:top w:val="none" w:sz="0" w:space="0" w:color="auto"/>
        <w:left w:val="none" w:sz="0" w:space="0" w:color="auto"/>
        <w:bottom w:val="none" w:sz="0" w:space="0" w:color="auto"/>
        <w:right w:val="none" w:sz="0" w:space="0" w:color="auto"/>
      </w:divBdr>
    </w:div>
    <w:div w:id="725376927">
      <w:marLeft w:val="0"/>
      <w:marRight w:val="0"/>
      <w:marTop w:val="0"/>
      <w:marBottom w:val="0"/>
      <w:divBdr>
        <w:top w:val="none" w:sz="0" w:space="0" w:color="auto"/>
        <w:left w:val="none" w:sz="0" w:space="0" w:color="auto"/>
        <w:bottom w:val="none" w:sz="0" w:space="0" w:color="auto"/>
        <w:right w:val="none" w:sz="0" w:space="0" w:color="auto"/>
      </w:divBdr>
    </w:div>
    <w:div w:id="725376928">
      <w:marLeft w:val="0"/>
      <w:marRight w:val="0"/>
      <w:marTop w:val="0"/>
      <w:marBottom w:val="0"/>
      <w:divBdr>
        <w:top w:val="none" w:sz="0" w:space="0" w:color="auto"/>
        <w:left w:val="none" w:sz="0" w:space="0" w:color="auto"/>
        <w:bottom w:val="none" w:sz="0" w:space="0" w:color="auto"/>
        <w:right w:val="none" w:sz="0" w:space="0" w:color="auto"/>
      </w:divBdr>
    </w:div>
    <w:div w:id="725376933">
      <w:marLeft w:val="0"/>
      <w:marRight w:val="0"/>
      <w:marTop w:val="0"/>
      <w:marBottom w:val="0"/>
      <w:divBdr>
        <w:top w:val="none" w:sz="0" w:space="0" w:color="auto"/>
        <w:left w:val="none" w:sz="0" w:space="0" w:color="auto"/>
        <w:bottom w:val="none" w:sz="0" w:space="0" w:color="auto"/>
        <w:right w:val="none" w:sz="0" w:space="0" w:color="auto"/>
      </w:divBdr>
    </w:div>
    <w:div w:id="725376936">
      <w:marLeft w:val="0"/>
      <w:marRight w:val="0"/>
      <w:marTop w:val="0"/>
      <w:marBottom w:val="0"/>
      <w:divBdr>
        <w:top w:val="none" w:sz="0" w:space="0" w:color="auto"/>
        <w:left w:val="none" w:sz="0" w:space="0" w:color="auto"/>
        <w:bottom w:val="none" w:sz="0" w:space="0" w:color="auto"/>
        <w:right w:val="none" w:sz="0" w:space="0" w:color="auto"/>
      </w:divBdr>
      <w:divsChild>
        <w:div w:id="725376920">
          <w:marLeft w:val="0"/>
          <w:marRight w:val="0"/>
          <w:marTop w:val="0"/>
          <w:marBottom w:val="0"/>
          <w:divBdr>
            <w:top w:val="none" w:sz="0" w:space="0" w:color="auto"/>
            <w:left w:val="none" w:sz="0" w:space="0" w:color="auto"/>
            <w:bottom w:val="none" w:sz="0" w:space="0" w:color="auto"/>
            <w:right w:val="none" w:sz="0" w:space="0" w:color="auto"/>
          </w:divBdr>
        </w:div>
        <w:div w:id="725376967">
          <w:marLeft w:val="0"/>
          <w:marRight w:val="0"/>
          <w:marTop w:val="0"/>
          <w:marBottom w:val="0"/>
          <w:divBdr>
            <w:top w:val="none" w:sz="0" w:space="0" w:color="auto"/>
            <w:left w:val="none" w:sz="0" w:space="0" w:color="auto"/>
            <w:bottom w:val="none" w:sz="0" w:space="0" w:color="auto"/>
            <w:right w:val="none" w:sz="0" w:space="0" w:color="auto"/>
          </w:divBdr>
        </w:div>
        <w:div w:id="725376995">
          <w:marLeft w:val="0"/>
          <w:marRight w:val="0"/>
          <w:marTop w:val="0"/>
          <w:marBottom w:val="0"/>
          <w:divBdr>
            <w:top w:val="none" w:sz="0" w:space="0" w:color="auto"/>
            <w:left w:val="none" w:sz="0" w:space="0" w:color="auto"/>
            <w:bottom w:val="none" w:sz="0" w:space="0" w:color="auto"/>
            <w:right w:val="none" w:sz="0" w:space="0" w:color="auto"/>
          </w:divBdr>
        </w:div>
        <w:div w:id="725377011">
          <w:marLeft w:val="0"/>
          <w:marRight w:val="0"/>
          <w:marTop w:val="0"/>
          <w:marBottom w:val="0"/>
          <w:divBdr>
            <w:top w:val="none" w:sz="0" w:space="0" w:color="auto"/>
            <w:left w:val="none" w:sz="0" w:space="0" w:color="auto"/>
            <w:bottom w:val="none" w:sz="0" w:space="0" w:color="auto"/>
            <w:right w:val="none" w:sz="0" w:space="0" w:color="auto"/>
          </w:divBdr>
        </w:div>
        <w:div w:id="725377029">
          <w:marLeft w:val="0"/>
          <w:marRight w:val="0"/>
          <w:marTop w:val="0"/>
          <w:marBottom w:val="0"/>
          <w:divBdr>
            <w:top w:val="none" w:sz="0" w:space="0" w:color="auto"/>
            <w:left w:val="none" w:sz="0" w:space="0" w:color="auto"/>
            <w:bottom w:val="none" w:sz="0" w:space="0" w:color="auto"/>
            <w:right w:val="none" w:sz="0" w:space="0" w:color="auto"/>
          </w:divBdr>
        </w:div>
        <w:div w:id="725377142">
          <w:marLeft w:val="0"/>
          <w:marRight w:val="0"/>
          <w:marTop w:val="0"/>
          <w:marBottom w:val="170"/>
          <w:divBdr>
            <w:top w:val="none" w:sz="0" w:space="0" w:color="auto"/>
            <w:left w:val="none" w:sz="0" w:space="0" w:color="auto"/>
            <w:bottom w:val="none" w:sz="0" w:space="0" w:color="auto"/>
            <w:right w:val="none" w:sz="0" w:space="0" w:color="auto"/>
          </w:divBdr>
          <w:divsChild>
            <w:div w:id="725376935">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725376943">
      <w:marLeft w:val="0"/>
      <w:marRight w:val="0"/>
      <w:marTop w:val="0"/>
      <w:marBottom w:val="0"/>
      <w:divBdr>
        <w:top w:val="single" w:sz="2" w:space="0" w:color="CC3640"/>
        <w:left w:val="none" w:sz="0" w:space="0" w:color="auto"/>
        <w:bottom w:val="none" w:sz="0" w:space="0" w:color="auto"/>
        <w:right w:val="none" w:sz="0" w:space="0" w:color="auto"/>
      </w:divBdr>
      <w:divsChild>
        <w:div w:id="725376924">
          <w:marLeft w:val="0"/>
          <w:marRight w:val="0"/>
          <w:marTop w:val="0"/>
          <w:marBottom w:val="0"/>
          <w:divBdr>
            <w:top w:val="single" w:sz="2" w:space="0" w:color="FF0000"/>
            <w:left w:val="single" w:sz="2" w:space="0" w:color="FF0000"/>
            <w:bottom w:val="single" w:sz="2" w:space="0" w:color="FF0000"/>
            <w:right w:val="single" w:sz="2" w:space="0" w:color="FF0000"/>
          </w:divBdr>
          <w:divsChild>
            <w:div w:id="725377087">
              <w:marLeft w:val="0"/>
              <w:marRight w:val="0"/>
              <w:marTop w:val="0"/>
              <w:marBottom w:val="0"/>
              <w:divBdr>
                <w:top w:val="none" w:sz="0" w:space="0" w:color="auto"/>
                <w:left w:val="single" w:sz="6" w:space="0" w:color="DDDDDD"/>
                <w:bottom w:val="none" w:sz="0" w:space="0" w:color="auto"/>
                <w:right w:val="none" w:sz="0" w:space="0" w:color="auto"/>
              </w:divBdr>
              <w:divsChild>
                <w:div w:id="725376923">
                  <w:marLeft w:val="0"/>
                  <w:marRight w:val="0"/>
                  <w:marTop w:val="0"/>
                  <w:marBottom w:val="0"/>
                  <w:divBdr>
                    <w:top w:val="single" w:sz="2" w:space="0" w:color="008000"/>
                    <w:left w:val="single" w:sz="2" w:space="0" w:color="008000"/>
                    <w:bottom w:val="single" w:sz="2" w:space="0" w:color="008000"/>
                    <w:right w:val="single" w:sz="2" w:space="0" w:color="008000"/>
                  </w:divBdr>
                  <w:divsChild>
                    <w:div w:id="725377070">
                      <w:marLeft w:val="0"/>
                      <w:marRight w:val="0"/>
                      <w:marTop w:val="0"/>
                      <w:marBottom w:val="0"/>
                      <w:divBdr>
                        <w:top w:val="none" w:sz="0" w:space="0" w:color="auto"/>
                        <w:left w:val="none" w:sz="0" w:space="0" w:color="auto"/>
                        <w:bottom w:val="none" w:sz="0" w:space="0" w:color="auto"/>
                        <w:right w:val="none" w:sz="0" w:space="0" w:color="auto"/>
                      </w:divBdr>
                      <w:divsChild>
                        <w:div w:id="725376914">
                          <w:marLeft w:val="0"/>
                          <w:marRight w:val="0"/>
                          <w:marTop w:val="0"/>
                          <w:marBottom w:val="0"/>
                          <w:divBdr>
                            <w:top w:val="none" w:sz="0" w:space="0" w:color="auto"/>
                            <w:left w:val="none" w:sz="0" w:space="0" w:color="auto"/>
                            <w:bottom w:val="none" w:sz="0" w:space="0" w:color="auto"/>
                            <w:right w:val="none" w:sz="0" w:space="0" w:color="auto"/>
                          </w:divBdr>
                          <w:divsChild>
                            <w:div w:id="72537699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6946">
      <w:marLeft w:val="0"/>
      <w:marRight w:val="0"/>
      <w:marTop w:val="0"/>
      <w:marBottom w:val="0"/>
      <w:divBdr>
        <w:top w:val="none" w:sz="0" w:space="0" w:color="auto"/>
        <w:left w:val="none" w:sz="0" w:space="0" w:color="auto"/>
        <w:bottom w:val="none" w:sz="0" w:space="0" w:color="auto"/>
        <w:right w:val="none" w:sz="0" w:space="0" w:color="auto"/>
      </w:divBdr>
    </w:div>
    <w:div w:id="725376950">
      <w:marLeft w:val="0"/>
      <w:marRight w:val="0"/>
      <w:marTop w:val="0"/>
      <w:marBottom w:val="0"/>
      <w:divBdr>
        <w:top w:val="none" w:sz="0" w:space="0" w:color="auto"/>
        <w:left w:val="none" w:sz="0" w:space="0" w:color="auto"/>
        <w:bottom w:val="none" w:sz="0" w:space="0" w:color="auto"/>
        <w:right w:val="none" w:sz="0" w:space="0" w:color="auto"/>
      </w:divBdr>
    </w:div>
    <w:div w:id="725376951">
      <w:marLeft w:val="0"/>
      <w:marRight w:val="0"/>
      <w:marTop w:val="0"/>
      <w:marBottom w:val="0"/>
      <w:divBdr>
        <w:top w:val="none" w:sz="0" w:space="0" w:color="auto"/>
        <w:left w:val="none" w:sz="0" w:space="0" w:color="auto"/>
        <w:bottom w:val="none" w:sz="0" w:space="0" w:color="auto"/>
        <w:right w:val="none" w:sz="0" w:space="0" w:color="auto"/>
      </w:divBdr>
    </w:div>
    <w:div w:id="725376958">
      <w:marLeft w:val="0"/>
      <w:marRight w:val="0"/>
      <w:marTop w:val="0"/>
      <w:marBottom w:val="0"/>
      <w:divBdr>
        <w:top w:val="none" w:sz="0" w:space="0" w:color="auto"/>
        <w:left w:val="none" w:sz="0" w:space="0" w:color="auto"/>
        <w:bottom w:val="none" w:sz="0" w:space="0" w:color="auto"/>
        <w:right w:val="none" w:sz="0" w:space="0" w:color="auto"/>
      </w:divBdr>
    </w:div>
    <w:div w:id="725376960">
      <w:marLeft w:val="0"/>
      <w:marRight w:val="0"/>
      <w:marTop w:val="0"/>
      <w:marBottom w:val="0"/>
      <w:divBdr>
        <w:top w:val="single" w:sz="2" w:space="0" w:color="CC3640"/>
        <w:left w:val="none" w:sz="0" w:space="0" w:color="auto"/>
        <w:bottom w:val="none" w:sz="0" w:space="0" w:color="auto"/>
        <w:right w:val="none" w:sz="0" w:space="0" w:color="auto"/>
      </w:divBdr>
      <w:divsChild>
        <w:div w:id="725377043">
          <w:marLeft w:val="0"/>
          <w:marRight w:val="0"/>
          <w:marTop w:val="0"/>
          <w:marBottom w:val="0"/>
          <w:divBdr>
            <w:top w:val="single" w:sz="2" w:space="0" w:color="FF0000"/>
            <w:left w:val="single" w:sz="2" w:space="0" w:color="FF0000"/>
            <w:bottom w:val="single" w:sz="2" w:space="0" w:color="FF0000"/>
            <w:right w:val="single" w:sz="2" w:space="0" w:color="FF0000"/>
          </w:divBdr>
          <w:divsChild>
            <w:div w:id="725377015">
              <w:marLeft w:val="0"/>
              <w:marRight w:val="0"/>
              <w:marTop w:val="0"/>
              <w:marBottom w:val="0"/>
              <w:divBdr>
                <w:top w:val="none" w:sz="0" w:space="0" w:color="auto"/>
                <w:left w:val="single" w:sz="6" w:space="0" w:color="DDDDDD"/>
                <w:bottom w:val="none" w:sz="0" w:space="0" w:color="auto"/>
                <w:right w:val="none" w:sz="0" w:space="0" w:color="auto"/>
              </w:divBdr>
              <w:divsChild>
                <w:div w:id="725377095">
                  <w:marLeft w:val="0"/>
                  <w:marRight w:val="0"/>
                  <w:marTop w:val="0"/>
                  <w:marBottom w:val="0"/>
                  <w:divBdr>
                    <w:top w:val="single" w:sz="2" w:space="0" w:color="008000"/>
                    <w:left w:val="single" w:sz="2" w:space="0" w:color="008000"/>
                    <w:bottom w:val="single" w:sz="2" w:space="0" w:color="008000"/>
                    <w:right w:val="single" w:sz="2" w:space="0" w:color="008000"/>
                  </w:divBdr>
                  <w:divsChild>
                    <w:div w:id="725377117">
                      <w:marLeft w:val="0"/>
                      <w:marRight w:val="0"/>
                      <w:marTop w:val="0"/>
                      <w:marBottom w:val="0"/>
                      <w:divBdr>
                        <w:top w:val="none" w:sz="0" w:space="0" w:color="auto"/>
                        <w:left w:val="none" w:sz="0" w:space="0" w:color="auto"/>
                        <w:bottom w:val="none" w:sz="0" w:space="0" w:color="auto"/>
                        <w:right w:val="none" w:sz="0" w:space="0" w:color="auto"/>
                      </w:divBdr>
                      <w:divsChild>
                        <w:div w:id="725377091">
                          <w:marLeft w:val="0"/>
                          <w:marRight w:val="0"/>
                          <w:marTop w:val="0"/>
                          <w:marBottom w:val="0"/>
                          <w:divBdr>
                            <w:top w:val="none" w:sz="0" w:space="0" w:color="auto"/>
                            <w:left w:val="none" w:sz="0" w:space="0" w:color="auto"/>
                            <w:bottom w:val="none" w:sz="0" w:space="0" w:color="auto"/>
                            <w:right w:val="none" w:sz="0" w:space="0" w:color="auto"/>
                          </w:divBdr>
                          <w:divsChild>
                            <w:div w:id="72537710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6964">
      <w:marLeft w:val="0"/>
      <w:marRight w:val="0"/>
      <w:marTop w:val="0"/>
      <w:marBottom w:val="0"/>
      <w:divBdr>
        <w:top w:val="single" w:sz="2" w:space="0" w:color="CC3640"/>
        <w:left w:val="none" w:sz="0" w:space="0" w:color="auto"/>
        <w:bottom w:val="none" w:sz="0" w:space="0" w:color="auto"/>
        <w:right w:val="none" w:sz="0" w:space="0" w:color="auto"/>
      </w:divBdr>
      <w:divsChild>
        <w:div w:id="725377140">
          <w:marLeft w:val="0"/>
          <w:marRight w:val="0"/>
          <w:marTop w:val="0"/>
          <w:marBottom w:val="0"/>
          <w:divBdr>
            <w:top w:val="single" w:sz="2" w:space="0" w:color="FF0000"/>
            <w:left w:val="single" w:sz="2" w:space="0" w:color="FF0000"/>
            <w:bottom w:val="single" w:sz="2" w:space="0" w:color="FF0000"/>
            <w:right w:val="single" w:sz="2" w:space="0" w:color="FF0000"/>
          </w:divBdr>
          <w:divsChild>
            <w:div w:id="725377008">
              <w:marLeft w:val="0"/>
              <w:marRight w:val="0"/>
              <w:marTop w:val="0"/>
              <w:marBottom w:val="0"/>
              <w:divBdr>
                <w:top w:val="none" w:sz="0" w:space="0" w:color="auto"/>
                <w:left w:val="single" w:sz="6" w:space="0" w:color="DDDDDD"/>
                <w:bottom w:val="none" w:sz="0" w:space="0" w:color="auto"/>
                <w:right w:val="none" w:sz="0" w:space="0" w:color="auto"/>
              </w:divBdr>
              <w:divsChild>
                <w:div w:id="725377128">
                  <w:marLeft w:val="0"/>
                  <w:marRight w:val="0"/>
                  <w:marTop w:val="0"/>
                  <w:marBottom w:val="0"/>
                  <w:divBdr>
                    <w:top w:val="single" w:sz="2" w:space="0" w:color="008000"/>
                    <w:left w:val="single" w:sz="2" w:space="0" w:color="008000"/>
                    <w:bottom w:val="single" w:sz="2" w:space="0" w:color="008000"/>
                    <w:right w:val="single" w:sz="2" w:space="0" w:color="008000"/>
                  </w:divBdr>
                  <w:divsChild>
                    <w:div w:id="725377108">
                      <w:marLeft w:val="0"/>
                      <w:marRight w:val="0"/>
                      <w:marTop w:val="0"/>
                      <w:marBottom w:val="0"/>
                      <w:divBdr>
                        <w:top w:val="none" w:sz="0" w:space="0" w:color="auto"/>
                        <w:left w:val="none" w:sz="0" w:space="0" w:color="auto"/>
                        <w:bottom w:val="none" w:sz="0" w:space="0" w:color="auto"/>
                        <w:right w:val="none" w:sz="0" w:space="0" w:color="auto"/>
                      </w:divBdr>
                      <w:divsChild>
                        <w:div w:id="725377079">
                          <w:marLeft w:val="0"/>
                          <w:marRight w:val="0"/>
                          <w:marTop w:val="0"/>
                          <w:marBottom w:val="0"/>
                          <w:divBdr>
                            <w:top w:val="none" w:sz="0" w:space="0" w:color="auto"/>
                            <w:left w:val="none" w:sz="0" w:space="0" w:color="auto"/>
                            <w:bottom w:val="none" w:sz="0" w:space="0" w:color="auto"/>
                            <w:right w:val="none" w:sz="0" w:space="0" w:color="auto"/>
                          </w:divBdr>
                          <w:divsChild>
                            <w:div w:id="72537713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6976">
      <w:marLeft w:val="0"/>
      <w:marRight w:val="0"/>
      <w:marTop w:val="0"/>
      <w:marBottom w:val="0"/>
      <w:divBdr>
        <w:top w:val="none" w:sz="0" w:space="0" w:color="auto"/>
        <w:left w:val="none" w:sz="0" w:space="0" w:color="auto"/>
        <w:bottom w:val="none" w:sz="0" w:space="0" w:color="auto"/>
        <w:right w:val="none" w:sz="0" w:space="0" w:color="auto"/>
      </w:divBdr>
      <w:divsChild>
        <w:div w:id="725376938">
          <w:marLeft w:val="0"/>
          <w:marRight w:val="0"/>
          <w:marTop w:val="120"/>
          <w:marBottom w:val="120"/>
          <w:divBdr>
            <w:top w:val="none" w:sz="0" w:space="0" w:color="auto"/>
            <w:left w:val="none" w:sz="0" w:space="0" w:color="auto"/>
            <w:bottom w:val="none" w:sz="0" w:space="0" w:color="auto"/>
            <w:right w:val="none" w:sz="0" w:space="0" w:color="auto"/>
          </w:divBdr>
        </w:div>
        <w:div w:id="725377030">
          <w:marLeft w:val="0"/>
          <w:marRight w:val="0"/>
          <w:marTop w:val="120"/>
          <w:marBottom w:val="120"/>
          <w:divBdr>
            <w:top w:val="none" w:sz="0" w:space="0" w:color="auto"/>
            <w:left w:val="none" w:sz="0" w:space="0" w:color="auto"/>
            <w:bottom w:val="none" w:sz="0" w:space="0" w:color="auto"/>
            <w:right w:val="none" w:sz="0" w:space="0" w:color="auto"/>
          </w:divBdr>
        </w:div>
      </w:divsChild>
    </w:div>
    <w:div w:id="725376977">
      <w:marLeft w:val="0"/>
      <w:marRight w:val="0"/>
      <w:marTop w:val="0"/>
      <w:marBottom w:val="0"/>
      <w:divBdr>
        <w:top w:val="single" w:sz="2" w:space="0" w:color="CC3640"/>
        <w:left w:val="none" w:sz="0" w:space="0" w:color="auto"/>
        <w:bottom w:val="none" w:sz="0" w:space="0" w:color="auto"/>
        <w:right w:val="none" w:sz="0" w:space="0" w:color="auto"/>
      </w:divBdr>
      <w:divsChild>
        <w:div w:id="725376991">
          <w:marLeft w:val="0"/>
          <w:marRight w:val="0"/>
          <w:marTop w:val="0"/>
          <w:marBottom w:val="0"/>
          <w:divBdr>
            <w:top w:val="single" w:sz="2" w:space="0" w:color="FF0000"/>
            <w:left w:val="single" w:sz="2" w:space="0" w:color="FF0000"/>
            <w:bottom w:val="single" w:sz="2" w:space="0" w:color="FF0000"/>
            <w:right w:val="single" w:sz="2" w:space="0" w:color="FF0000"/>
          </w:divBdr>
          <w:divsChild>
            <w:div w:id="725376907">
              <w:marLeft w:val="0"/>
              <w:marRight w:val="0"/>
              <w:marTop w:val="0"/>
              <w:marBottom w:val="0"/>
              <w:divBdr>
                <w:top w:val="none" w:sz="0" w:space="0" w:color="auto"/>
                <w:left w:val="single" w:sz="6" w:space="0" w:color="DDDDDD"/>
                <w:bottom w:val="none" w:sz="0" w:space="0" w:color="auto"/>
                <w:right w:val="none" w:sz="0" w:space="0" w:color="auto"/>
              </w:divBdr>
              <w:divsChild>
                <w:div w:id="725377141">
                  <w:marLeft w:val="0"/>
                  <w:marRight w:val="0"/>
                  <w:marTop w:val="0"/>
                  <w:marBottom w:val="0"/>
                  <w:divBdr>
                    <w:top w:val="single" w:sz="2" w:space="0" w:color="008000"/>
                    <w:left w:val="single" w:sz="2" w:space="0" w:color="008000"/>
                    <w:bottom w:val="single" w:sz="2" w:space="0" w:color="008000"/>
                    <w:right w:val="single" w:sz="2" w:space="0" w:color="008000"/>
                  </w:divBdr>
                  <w:divsChild>
                    <w:div w:id="725377024">
                      <w:marLeft w:val="0"/>
                      <w:marRight w:val="0"/>
                      <w:marTop w:val="0"/>
                      <w:marBottom w:val="0"/>
                      <w:divBdr>
                        <w:top w:val="none" w:sz="0" w:space="0" w:color="auto"/>
                        <w:left w:val="none" w:sz="0" w:space="0" w:color="auto"/>
                        <w:bottom w:val="none" w:sz="0" w:space="0" w:color="auto"/>
                        <w:right w:val="none" w:sz="0" w:space="0" w:color="auto"/>
                      </w:divBdr>
                      <w:divsChild>
                        <w:div w:id="725377023">
                          <w:marLeft w:val="0"/>
                          <w:marRight w:val="0"/>
                          <w:marTop w:val="0"/>
                          <w:marBottom w:val="0"/>
                          <w:divBdr>
                            <w:top w:val="none" w:sz="0" w:space="0" w:color="auto"/>
                            <w:left w:val="none" w:sz="0" w:space="0" w:color="auto"/>
                            <w:bottom w:val="none" w:sz="0" w:space="0" w:color="auto"/>
                            <w:right w:val="none" w:sz="0" w:space="0" w:color="auto"/>
                          </w:divBdr>
                          <w:divsChild>
                            <w:div w:id="72537696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6979">
      <w:marLeft w:val="0"/>
      <w:marRight w:val="0"/>
      <w:marTop w:val="0"/>
      <w:marBottom w:val="0"/>
      <w:divBdr>
        <w:top w:val="none" w:sz="0" w:space="0" w:color="auto"/>
        <w:left w:val="none" w:sz="0" w:space="0" w:color="auto"/>
        <w:bottom w:val="none" w:sz="0" w:space="0" w:color="auto"/>
        <w:right w:val="none" w:sz="0" w:space="0" w:color="auto"/>
      </w:divBdr>
    </w:div>
    <w:div w:id="725376985">
      <w:marLeft w:val="0"/>
      <w:marRight w:val="0"/>
      <w:marTop w:val="0"/>
      <w:marBottom w:val="0"/>
      <w:divBdr>
        <w:top w:val="none" w:sz="0" w:space="0" w:color="auto"/>
        <w:left w:val="none" w:sz="0" w:space="0" w:color="auto"/>
        <w:bottom w:val="none" w:sz="0" w:space="0" w:color="auto"/>
        <w:right w:val="none" w:sz="0" w:space="0" w:color="auto"/>
      </w:divBdr>
    </w:div>
    <w:div w:id="725376989">
      <w:marLeft w:val="0"/>
      <w:marRight w:val="0"/>
      <w:marTop w:val="0"/>
      <w:marBottom w:val="0"/>
      <w:divBdr>
        <w:top w:val="none" w:sz="0" w:space="0" w:color="auto"/>
        <w:left w:val="none" w:sz="0" w:space="0" w:color="auto"/>
        <w:bottom w:val="none" w:sz="0" w:space="0" w:color="auto"/>
        <w:right w:val="none" w:sz="0" w:space="0" w:color="auto"/>
      </w:divBdr>
      <w:divsChild>
        <w:div w:id="725377131">
          <w:marLeft w:val="0"/>
          <w:marRight w:val="0"/>
          <w:marTop w:val="0"/>
          <w:marBottom w:val="0"/>
          <w:divBdr>
            <w:top w:val="none" w:sz="0" w:space="0" w:color="auto"/>
            <w:left w:val="none" w:sz="0" w:space="0" w:color="auto"/>
            <w:bottom w:val="none" w:sz="0" w:space="0" w:color="auto"/>
            <w:right w:val="none" w:sz="0" w:space="0" w:color="auto"/>
          </w:divBdr>
        </w:div>
      </w:divsChild>
    </w:div>
    <w:div w:id="725376994">
      <w:marLeft w:val="0"/>
      <w:marRight w:val="0"/>
      <w:marTop w:val="0"/>
      <w:marBottom w:val="0"/>
      <w:divBdr>
        <w:top w:val="single" w:sz="2" w:space="0" w:color="CC3640"/>
        <w:left w:val="none" w:sz="0" w:space="0" w:color="auto"/>
        <w:bottom w:val="none" w:sz="0" w:space="0" w:color="auto"/>
        <w:right w:val="none" w:sz="0" w:space="0" w:color="auto"/>
      </w:divBdr>
      <w:divsChild>
        <w:div w:id="725377006">
          <w:marLeft w:val="0"/>
          <w:marRight w:val="0"/>
          <w:marTop w:val="0"/>
          <w:marBottom w:val="0"/>
          <w:divBdr>
            <w:top w:val="single" w:sz="2" w:space="0" w:color="FF0000"/>
            <w:left w:val="single" w:sz="2" w:space="0" w:color="FF0000"/>
            <w:bottom w:val="single" w:sz="2" w:space="0" w:color="FF0000"/>
            <w:right w:val="single" w:sz="2" w:space="0" w:color="FF0000"/>
          </w:divBdr>
          <w:divsChild>
            <w:div w:id="725377121">
              <w:marLeft w:val="0"/>
              <w:marRight w:val="0"/>
              <w:marTop w:val="0"/>
              <w:marBottom w:val="0"/>
              <w:divBdr>
                <w:top w:val="none" w:sz="0" w:space="0" w:color="auto"/>
                <w:left w:val="single" w:sz="6" w:space="0" w:color="DDDDDD"/>
                <w:bottom w:val="none" w:sz="0" w:space="0" w:color="auto"/>
                <w:right w:val="none" w:sz="0" w:space="0" w:color="auto"/>
              </w:divBdr>
              <w:divsChild>
                <w:div w:id="725377058">
                  <w:marLeft w:val="0"/>
                  <w:marRight w:val="0"/>
                  <w:marTop w:val="0"/>
                  <w:marBottom w:val="0"/>
                  <w:divBdr>
                    <w:top w:val="single" w:sz="2" w:space="0" w:color="008000"/>
                    <w:left w:val="single" w:sz="2" w:space="0" w:color="008000"/>
                    <w:bottom w:val="single" w:sz="2" w:space="0" w:color="008000"/>
                    <w:right w:val="single" w:sz="2" w:space="0" w:color="008000"/>
                  </w:divBdr>
                  <w:divsChild>
                    <w:div w:id="725376962">
                      <w:marLeft w:val="0"/>
                      <w:marRight w:val="0"/>
                      <w:marTop w:val="0"/>
                      <w:marBottom w:val="0"/>
                      <w:divBdr>
                        <w:top w:val="none" w:sz="0" w:space="0" w:color="auto"/>
                        <w:left w:val="none" w:sz="0" w:space="0" w:color="auto"/>
                        <w:bottom w:val="none" w:sz="0" w:space="0" w:color="auto"/>
                        <w:right w:val="none" w:sz="0" w:space="0" w:color="auto"/>
                      </w:divBdr>
                      <w:divsChild>
                        <w:div w:id="725377063">
                          <w:marLeft w:val="0"/>
                          <w:marRight w:val="0"/>
                          <w:marTop w:val="0"/>
                          <w:marBottom w:val="0"/>
                          <w:divBdr>
                            <w:top w:val="none" w:sz="0" w:space="0" w:color="auto"/>
                            <w:left w:val="none" w:sz="0" w:space="0" w:color="auto"/>
                            <w:bottom w:val="none" w:sz="0" w:space="0" w:color="auto"/>
                            <w:right w:val="none" w:sz="0" w:space="0" w:color="auto"/>
                          </w:divBdr>
                          <w:divsChild>
                            <w:div w:id="72537690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6997">
      <w:marLeft w:val="0"/>
      <w:marRight w:val="0"/>
      <w:marTop w:val="0"/>
      <w:marBottom w:val="0"/>
      <w:divBdr>
        <w:top w:val="none" w:sz="0" w:space="0" w:color="auto"/>
        <w:left w:val="none" w:sz="0" w:space="0" w:color="auto"/>
        <w:bottom w:val="none" w:sz="0" w:space="0" w:color="auto"/>
        <w:right w:val="none" w:sz="0" w:space="0" w:color="auto"/>
      </w:divBdr>
      <w:divsChild>
        <w:div w:id="725377025">
          <w:marLeft w:val="0"/>
          <w:marRight w:val="0"/>
          <w:marTop w:val="0"/>
          <w:marBottom w:val="0"/>
          <w:divBdr>
            <w:top w:val="none" w:sz="0" w:space="0" w:color="auto"/>
            <w:left w:val="none" w:sz="0" w:space="0" w:color="auto"/>
            <w:bottom w:val="none" w:sz="0" w:space="0" w:color="auto"/>
            <w:right w:val="none" w:sz="0" w:space="0" w:color="auto"/>
          </w:divBdr>
        </w:div>
      </w:divsChild>
    </w:div>
    <w:div w:id="725377001">
      <w:marLeft w:val="0"/>
      <w:marRight w:val="0"/>
      <w:marTop w:val="0"/>
      <w:marBottom w:val="0"/>
      <w:divBdr>
        <w:top w:val="none" w:sz="0" w:space="0" w:color="auto"/>
        <w:left w:val="none" w:sz="0" w:space="0" w:color="auto"/>
        <w:bottom w:val="none" w:sz="0" w:space="0" w:color="auto"/>
        <w:right w:val="none" w:sz="0" w:space="0" w:color="auto"/>
      </w:divBdr>
    </w:div>
    <w:div w:id="725377004">
      <w:marLeft w:val="0"/>
      <w:marRight w:val="0"/>
      <w:marTop w:val="0"/>
      <w:marBottom w:val="0"/>
      <w:divBdr>
        <w:top w:val="none" w:sz="0" w:space="0" w:color="auto"/>
        <w:left w:val="none" w:sz="0" w:space="0" w:color="auto"/>
        <w:bottom w:val="none" w:sz="0" w:space="0" w:color="auto"/>
        <w:right w:val="none" w:sz="0" w:space="0" w:color="auto"/>
      </w:divBdr>
    </w:div>
    <w:div w:id="725377017">
      <w:marLeft w:val="0"/>
      <w:marRight w:val="0"/>
      <w:marTop w:val="0"/>
      <w:marBottom w:val="0"/>
      <w:divBdr>
        <w:top w:val="none" w:sz="0" w:space="0" w:color="auto"/>
        <w:left w:val="none" w:sz="0" w:space="0" w:color="auto"/>
        <w:bottom w:val="none" w:sz="0" w:space="0" w:color="auto"/>
        <w:right w:val="none" w:sz="0" w:space="0" w:color="auto"/>
      </w:divBdr>
    </w:div>
    <w:div w:id="725377018">
      <w:marLeft w:val="0"/>
      <w:marRight w:val="0"/>
      <w:marTop w:val="0"/>
      <w:marBottom w:val="0"/>
      <w:divBdr>
        <w:top w:val="none" w:sz="0" w:space="0" w:color="auto"/>
        <w:left w:val="none" w:sz="0" w:space="0" w:color="auto"/>
        <w:bottom w:val="none" w:sz="0" w:space="0" w:color="auto"/>
        <w:right w:val="none" w:sz="0" w:space="0" w:color="auto"/>
      </w:divBdr>
    </w:div>
    <w:div w:id="725377019">
      <w:marLeft w:val="0"/>
      <w:marRight w:val="0"/>
      <w:marTop w:val="0"/>
      <w:marBottom w:val="0"/>
      <w:divBdr>
        <w:top w:val="single" w:sz="2" w:space="0" w:color="CC3640"/>
        <w:left w:val="none" w:sz="0" w:space="0" w:color="auto"/>
        <w:bottom w:val="none" w:sz="0" w:space="0" w:color="auto"/>
        <w:right w:val="none" w:sz="0" w:space="0" w:color="auto"/>
      </w:divBdr>
      <w:divsChild>
        <w:div w:id="725376918">
          <w:marLeft w:val="0"/>
          <w:marRight w:val="0"/>
          <w:marTop w:val="0"/>
          <w:marBottom w:val="0"/>
          <w:divBdr>
            <w:top w:val="single" w:sz="2" w:space="0" w:color="FF0000"/>
            <w:left w:val="single" w:sz="2" w:space="0" w:color="FF0000"/>
            <w:bottom w:val="single" w:sz="2" w:space="0" w:color="FF0000"/>
            <w:right w:val="single" w:sz="2" w:space="0" w:color="FF0000"/>
          </w:divBdr>
          <w:divsChild>
            <w:div w:id="725377102">
              <w:marLeft w:val="0"/>
              <w:marRight w:val="0"/>
              <w:marTop w:val="0"/>
              <w:marBottom w:val="0"/>
              <w:divBdr>
                <w:top w:val="none" w:sz="0" w:space="0" w:color="auto"/>
                <w:left w:val="single" w:sz="6" w:space="0" w:color="DDDDDD"/>
                <w:bottom w:val="none" w:sz="0" w:space="0" w:color="auto"/>
                <w:right w:val="none" w:sz="0" w:space="0" w:color="auto"/>
              </w:divBdr>
              <w:divsChild>
                <w:div w:id="725376969">
                  <w:marLeft w:val="0"/>
                  <w:marRight w:val="0"/>
                  <w:marTop w:val="0"/>
                  <w:marBottom w:val="0"/>
                  <w:divBdr>
                    <w:top w:val="single" w:sz="2" w:space="0" w:color="008000"/>
                    <w:left w:val="single" w:sz="2" w:space="0" w:color="008000"/>
                    <w:bottom w:val="single" w:sz="2" w:space="0" w:color="008000"/>
                    <w:right w:val="single" w:sz="2" w:space="0" w:color="008000"/>
                  </w:divBdr>
                  <w:divsChild>
                    <w:div w:id="725376941">
                      <w:marLeft w:val="0"/>
                      <w:marRight w:val="0"/>
                      <w:marTop w:val="0"/>
                      <w:marBottom w:val="0"/>
                      <w:divBdr>
                        <w:top w:val="none" w:sz="0" w:space="0" w:color="auto"/>
                        <w:left w:val="none" w:sz="0" w:space="0" w:color="auto"/>
                        <w:bottom w:val="none" w:sz="0" w:space="0" w:color="auto"/>
                        <w:right w:val="none" w:sz="0" w:space="0" w:color="auto"/>
                      </w:divBdr>
                      <w:divsChild>
                        <w:div w:id="725377073">
                          <w:marLeft w:val="0"/>
                          <w:marRight w:val="0"/>
                          <w:marTop w:val="0"/>
                          <w:marBottom w:val="0"/>
                          <w:divBdr>
                            <w:top w:val="none" w:sz="0" w:space="0" w:color="auto"/>
                            <w:left w:val="none" w:sz="0" w:space="0" w:color="auto"/>
                            <w:bottom w:val="none" w:sz="0" w:space="0" w:color="auto"/>
                            <w:right w:val="none" w:sz="0" w:space="0" w:color="auto"/>
                          </w:divBdr>
                          <w:divsChild>
                            <w:div w:id="72537708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28">
      <w:marLeft w:val="0"/>
      <w:marRight w:val="0"/>
      <w:marTop w:val="0"/>
      <w:marBottom w:val="0"/>
      <w:divBdr>
        <w:top w:val="single" w:sz="2" w:space="0" w:color="CC3640"/>
        <w:left w:val="none" w:sz="0" w:space="0" w:color="auto"/>
        <w:bottom w:val="none" w:sz="0" w:space="0" w:color="auto"/>
        <w:right w:val="none" w:sz="0" w:space="0" w:color="auto"/>
      </w:divBdr>
      <w:divsChild>
        <w:div w:id="725377074">
          <w:marLeft w:val="0"/>
          <w:marRight w:val="0"/>
          <w:marTop w:val="0"/>
          <w:marBottom w:val="0"/>
          <w:divBdr>
            <w:top w:val="single" w:sz="2" w:space="0" w:color="FF0000"/>
            <w:left w:val="single" w:sz="2" w:space="0" w:color="FF0000"/>
            <w:bottom w:val="single" w:sz="2" w:space="0" w:color="FF0000"/>
            <w:right w:val="single" w:sz="2" w:space="0" w:color="FF0000"/>
          </w:divBdr>
          <w:divsChild>
            <w:div w:id="725376990">
              <w:marLeft w:val="0"/>
              <w:marRight w:val="0"/>
              <w:marTop w:val="0"/>
              <w:marBottom w:val="0"/>
              <w:divBdr>
                <w:top w:val="none" w:sz="0" w:space="0" w:color="auto"/>
                <w:left w:val="single" w:sz="6" w:space="0" w:color="DDDDDD"/>
                <w:bottom w:val="none" w:sz="0" w:space="0" w:color="auto"/>
                <w:right w:val="none" w:sz="0" w:space="0" w:color="auto"/>
              </w:divBdr>
              <w:divsChild>
                <w:div w:id="725376992">
                  <w:marLeft w:val="0"/>
                  <w:marRight w:val="0"/>
                  <w:marTop w:val="0"/>
                  <w:marBottom w:val="0"/>
                  <w:divBdr>
                    <w:top w:val="single" w:sz="2" w:space="0" w:color="008000"/>
                    <w:left w:val="single" w:sz="2" w:space="0" w:color="008000"/>
                    <w:bottom w:val="single" w:sz="2" w:space="0" w:color="008000"/>
                    <w:right w:val="single" w:sz="2" w:space="0" w:color="008000"/>
                  </w:divBdr>
                  <w:divsChild>
                    <w:div w:id="725376986">
                      <w:marLeft w:val="0"/>
                      <w:marRight w:val="0"/>
                      <w:marTop w:val="0"/>
                      <w:marBottom w:val="0"/>
                      <w:divBdr>
                        <w:top w:val="none" w:sz="0" w:space="0" w:color="auto"/>
                        <w:left w:val="none" w:sz="0" w:space="0" w:color="auto"/>
                        <w:bottom w:val="none" w:sz="0" w:space="0" w:color="auto"/>
                        <w:right w:val="none" w:sz="0" w:space="0" w:color="auto"/>
                      </w:divBdr>
                      <w:divsChild>
                        <w:div w:id="725376980">
                          <w:marLeft w:val="0"/>
                          <w:marRight w:val="0"/>
                          <w:marTop w:val="0"/>
                          <w:marBottom w:val="0"/>
                          <w:divBdr>
                            <w:top w:val="none" w:sz="0" w:space="0" w:color="auto"/>
                            <w:left w:val="none" w:sz="0" w:space="0" w:color="auto"/>
                            <w:bottom w:val="none" w:sz="0" w:space="0" w:color="auto"/>
                            <w:right w:val="none" w:sz="0" w:space="0" w:color="auto"/>
                          </w:divBdr>
                          <w:divsChild>
                            <w:div w:id="72537695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31">
      <w:marLeft w:val="0"/>
      <w:marRight w:val="0"/>
      <w:marTop w:val="0"/>
      <w:marBottom w:val="0"/>
      <w:divBdr>
        <w:top w:val="none" w:sz="0" w:space="0" w:color="auto"/>
        <w:left w:val="none" w:sz="0" w:space="0" w:color="auto"/>
        <w:bottom w:val="none" w:sz="0" w:space="0" w:color="auto"/>
        <w:right w:val="none" w:sz="0" w:space="0" w:color="auto"/>
      </w:divBdr>
    </w:div>
    <w:div w:id="725377033">
      <w:marLeft w:val="0"/>
      <w:marRight w:val="0"/>
      <w:marTop w:val="0"/>
      <w:marBottom w:val="0"/>
      <w:divBdr>
        <w:top w:val="none" w:sz="0" w:space="0" w:color="auto"/>
        <w:left w:val="none" w:sz="0" w:space="0" w:color="auto"/>
        <w:bottom w:val="none" w:sz="0" w:space="0" w:color="auto"/>
        <w:right w:val="none" w:sz="0" w:space="0" w:color="auto"/>
      </w:divBdr>
    </w:div>
    <w:div w:id="725377035">
      <w:marLeft w:val="0"/>
      <w:marRight w:val="0"/>
      <w:marTop w:val="0"/>
      <w:marBottom w:val="0"/>
      <w:divBdr>
        <w:top w:val="single" w:sz="2" w:space="0" w:color="CC3640"/>
        <w:left w:val="none" w:sz="0" w:space="0" w:color="auto"/>
        <w:bottom w:val="none" w:sz="0" w:space="0" w:color="auto"/>
        <w:right w:val="none" w:sz="0" w:space="0" w:color="auto"/>
      </w:divBdr>
      <w:divsChild>
        <w:div w:id="725377002">
          <w:marLeft w:val="0"/>
          <w:marRight w:val="0"/>
          <w:marTop w:val="0"/>
          <w:marBottom w:val="0"/>
          <w:divBdr>
            <w:top w:val="single" w:sz="2" w:space="0" w:color="FF0000"/>
            <w:left w:val="single" w:sz="2" w:space="0" w:color="FF0000"/>
            <w:bottom w:val="single" w:sz="2" w:space="0" w:color="FF0000"/>
            <w:right w:val="single" w:sz="2" w:space="0" w:color="FF0000"/>
          </w:divBdr>
          <w:divsChild>
            <w:div w:id="725377124">
              <w:marLeft w:val="0"/>
              <w:marRight w:val="0"/>
              <w:marTop w:val="0"/>
              <w:marBottom w:val="0"/>
              <w:divBdr>
                <w:top w:val="none" w:sz="0" w:space="0" w:color="auto"/>
                <w:left w:val="single" w:sz="6" w:space="0" w:color="DDDDDD"/>
                <w:bottom w:val="none" w:sz="0" w:space="0" w:color="auto"/>
                <w:right w:val="none" w:sz="0" w:space="0" w:color="auto"/>
              </w:divBdr>
              <w:divsChild>
                <w:div w:id="725376899">
                  <w:marLeft w:val="0"/>
                  <w:marRight w:val="0"/>
                  <w:marTop w:val="0"/>
                  <w:marBottom w:val="0"/>
                  <w:divBdr>
                    <w:top w:val="single" w:sz="2" w:space="0" w:color="008000"/>
                    <w:left w:val="single" w:sz="2" w:space="0" w:color="008000"/>
                    <w:bottom w:val="single" w:sz="2" w:space="0" w:color="008000"/>
                    <w:right w:val="single" w:sz="2" w:space="0" w:color="008000"/>
                  </w:divBdr>
                  <w:divsChild>
                    <w:div w:id="725377084">
                      <w:marLeft w:val="0"/>
                      <w:marRight w:val="0"/>
                      <w:marTop w:val="0"/>
                      <w:marBottom w:val="0"/>
                      <w:divBdr>
                        <w:top w:val="none" w:sz="0" w:space="0" w:color="auto"/>
                        <w:left w:val="none" w:sz="0" w:space="0" w:color="auto"/>
                        <w:bottom w:val="none" w:sz="0" w:space="0" w:color="auto"/>
                        <w:right w:val="none" w:sz="0" w:space="0" w:color="auto"/>
                      </w:divBdr>
                      <w:divsChild>
                        <w:div w:id="725376947">
                          <w:marLeft w:val="0"/>
                          <w:marRight w:val="0"/>
                          <w:marTop w:val="0"/>
                          <w:marBottom w:val="0"/>
                          <w:divBdr>
                            <w:top w:val="none" w:sz="0" w:space="0" w:color="auto"/>
                            <w:left w:val="none" w:sz="0" w:space="0" w:color="auto"/>
                            <w:bottom w:val="none" w:sz="0" w:space="0" w:color="auto"/>
                            <w:right w:val="none" w:sz="0" w:space="0" w:color="auto"/>
                          </w:divBdr>
                          <w:divsChild>
                            <w:div w:id="72537690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36">
      <w:marLeft w:val="0"/>
      <w:marRight w:val="0"/>
      <w:marTop w:val="0"/>
      <w:marBottom w:val="0"/>
      <w:divBdr>
        <w:top w:val="single" w:sz="2" w:space="0" w:color="CC3640"/>
        <w:left w:val="none" w:sz="0" w:space="0" w:color="auto"/>
        <w:bottom w:val="none" w:sz="0" w:space="0" w:color="auto"/>
        <w:right w:val="none" w:sz="0" w:space="0" w:color="auto"/>
      </w:divBdr>
      <w:divsChild>
        <w:div w:id="725377072">
          <w:marLeft w:val="0"/>
          <w:marRight w:val="0"/>
          <w:marTop w:val="0"/>
          <w:marBottom w:val="0"/>
          <w:divBdr>
            <w:top w:val="single" w:sz="2" w:space="0" w:color="FF0000"/>
            <w:left w:val="single" w:sz="2" w:space="0" w:color="FF0000"/>
            <w:bottom w:val="single" w:sz="2" w:space="0" w:color="FF0000"/>
            <w:right w:val="single" w:sz="2" w:space="0" w:color="FF0000"/>
          </w:divBdr>
          <w:divsChild>
            <w:div w:id="725377094">
              <w:marLeft w:val="0"/>
              <w:marRight w:val="0"/>
              <w:marTop w:val="0"/>
              <w:marBottom w:val="0"/>
              <w:divBdr>
                <w:top w:val="none" w:sz="0" w:space="0" w:color="auto"/>
                <w:left w:val="single" w:sz="6" w:space="0" w:color="DDDDDD"/>
                <w:bottom w:val="none" w:sz="0" w:space="0" w:color="auto"/>
                <w:right w:val="none" w:sz="0" w:space="0" w:color="auto"/>
              </w:divBdr>
              <w:divsChild>
                <w:div w:id="725377126">
                  <w:marLeft w:val="0"/>
                  <w:marRight w:val="0"/>
                  <w:marTop w:val="0"/>
                  <w:marBottom w:val="0"/>
                  <w:divBdr>
                    <w:top w:val="single" w:sz="2" w:space="0" w:color="008000"/>
                    <w:left w:val="single" w:sz="2" w:space="0" w:color="008000"/>
                    <w:bottom w:val="single" w:sz="2" w:space="0" w:color="008000"/>
                    <w:right w:val="single" w:sz="2" w:space="0" w:color="008000"/>
                  </w:divBdr>
                  <w:divsChild>
                    <w:div w:id="725377013">
                      <w:marLeft w:val="0"/>
                      <w:marRight w:val="0"/>
                      <w:marTop w:val="0"/>
                      <w:marBottom w:val="0"/>
                      <w:divBdr>
                        <w:top w:val="none" w:sz="0" w:space="0" w:color="auto"/>
                        <w:left w:val="none" w:sz="0" w:space="0" w:color="auto"/>
                        <w:bottom w:val="none" w:sz="0" w:space="0" w:color="auto"/>
                        <w:right w:val="none" w:sz="0" w:space="0" w:color="auto"/>
                      </w:divBdr>
                      <w:divsChild>
                        <w:div w:id="725376909">
                          <w:marLeft w:val="0"/>
                          <w:marRight w:val="0"/>
                          <w:marTop w:val="0"/>
                          <w:marBottom w:val="0"/>
                          <w:divBdr>
                            <w:top w:val="none" w:sz="0" w:space="0" w:color="auto"/>
                            <w:left w:val="none" w:sz="0" w:space="0" w:color="auto"/>
                            <w:bottom w:val="none" w:sz="0" w:space="0" w:color="auto"/>
                            <w:right w:val="none" w:sz="0" w:space="0" w:color="auto"/>
                          </w:divBdr>
                          <w:divsChild>
                            <w:div w:id="72537692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37">
      <w:marLeft w:val="0"/>
      <w:marRight w:val="0"/>
      <w:marTop w:val="0"/>
      <w:marBottom w:val="0"/>
      <w:divBdr>
        <w:top w:val="single" w:sz="2" w:space="0" w:color="CC3640"/>
        <w:left w:val="none" w:sz="0" w:space="0" w:color="auto"/>
        <w:bottom w:val="none" w:sz="0" w:space="0" w:color="auto"/>
        <w:right w:val="none" w:sz="0" w:space="0" w:color="auto"/>
      </w:divBdr>
      <w:divsChild>
        <w:div w:id="725376998">
          <w:marLeft w:val="0"/>
          <w:marRight w:val="0"/>
          <w:marTop w:val="0"/>
          <w:marBottom w:val="0"/>
          <w:divBdr>
            <w:top w:val="single" w:sz="2" w:space="0" w:color="FF0000"/>
            <w:left w:val="single" w:sz="2" w:space="0" w:color="FF0000"/>
            <w:bottom w:val="single" w:sz="2" w:space="0" w:color="FF0000"/>
            <w:right w:val="single" w:sz="2" w:space="0" w:color="FF0000"/>
          </w:divBdr>
          <w:divsChild>
            <w:div w:id="725376901">
              <w:marLeft w:val="0"/>
              <w:marRight w:val="0"/>
              <w:marTop w:val="0"/>
              <w:marBottom w:val="0"/>
              <w:divBdr>
                <w:top w:val="none" w:sz="0" w:space="0" w:color="auto"/>
                <w:left w:val="single" w:sz="6" w:space="0" w:color="DDDDDD"/>
                <w:bottom w:val="none" w:sz="0" w:space="0" w:color="auto"/>
                <w:right w:val="none" w:sz="0" w:space="0" w:color="auto"/>
              </w:divBdr>
              <w:divsChild>
                <w:div w:id="725377139">
                  <w:marLeft w:val="0"/>
                  <w:marRight w:val="0"/>
                  <w:marTop w:val="0"/>
                  <w:marBottom w:val="0"/>
                  <w:divBdr>
                    <w:top w:val="single" w:sz="2" w:space="0" w:color="008000"/>
                    <w:left w:val="single" w:sz="2" w:space="0" w:color="008000"/>
                    <w:bottom w:val="single" w:sz="2" w:space="0" w:color="008000"/>
                    <w:right w:val="single" w:sz="2" w:space="0" w:color="008000"/>
                  </w:divBdr>
                  <w:divsChild>
                    <w:div w:id="725377112">
                      <w:marLeft w:val="0"/>
                      <w:marRight w:val="0"/>
                      <w:marTop w:val="0"/>
                      <w:marBottom w:val="0"/>
                      <w:divBdr>
                        <w:top w:val="none" w:sz="0" w:space="0" w:color="auto"/>
                        <w:left w:val="none" w:sz="0" w:space="0" w:color="auto"/>
                        <w:bottom w:val="none" w:sz="0" w:space="0" w:color="auto"/>
                        <w:right w:val="none" w:sz="0" w:space="0" w:color="auto"/>
                      </w:divBdr>
                      <w:divsChild>
                        <w:div w:id="725376945">
                          <w:marLeft w:val="0"/>
                          <w:marRight w:val="0"/>
                          <w:marTop w:val="0"/>
                          <w:marBottom w:val="0"/>
                          <w:divBdr>
                            <w:top w:val="none" w:sz="0" w:space="0" w:color="auto"/>
                            <w:left w:val="none" w:sz="0" w:space="0" w:color="auto"/>
                            <w:bottom w:val="none" w:sz="0" w:space="0" w:color="auto"/>
                            <w:right w:val="none" w:sz="0" w:space="0" w:color="auto"/>
                          </w:divBdr>
                          <w:divsChild>
                            <w:div w:id="72537714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38">
      <w:marLeft w:val="0"/>
      <w:marRight w:val="0"/>
      <w:marTop w:val="0"/>
      <w:marBottom w:val="0"/>
      <w:divBdr>
        <w:top w:val="none" w:sz="0" w:space="0" w:color="auto"/>
        <w:left w:val="none" w:sz="0" w:space="0" w:color="auto"/>
        <w:bottom w:val="none" w:sz="0" w:space="0" w:color="auto"/>
        <w:right w:val="none" w:sz="0" w:space="0" w:color="auto"/>
      </w:divBdr>
    </w:div>
    <w:div w:id="725377040">
      <w:marLeft w:val="0"/>
      <w:marRight w:val="0"/>
      <w:marTop w:val="0"/>
      <w:marBottom w:val="0"/>
      <w:divBdr>
        <w:top w:val="none" w:sz="0" w:space="0" w:color="auto"/>
        <w:left w:val="none" w:sz="0" w:space="0" w:color="auto"/>
        <w:bottom w:val="none" w:sz="0" w:space="0" w:color="auto"/>
        <w:right w:val="none" w:sz="0" w:space="0" w:color="auto"/>
      </w:divBdr>
      <w:divsChild>
        <w:div w:id="725376929">
          <w:marLeft w:val="0"/>
          <w:marRight w:val="0"/>
          <w:marTop w:val="120"/>
          <w:marBottom w:val="120"/>
          <w:divBdr>
            <w:top w:val="none" w:sz="0" w:space="0" w:color="auto"/>
            <w:left w:val="none" w:sz="0" w:space="0" w:color="auto"/>
            <w:bottom w:val="none" w:sz="0" w:space="0" w:color="auto"/>
            <w:right w:val="none" w:sz="0" w:space="0" w:color="auto"/>
          </w:divBdr>
        </w:div>
      </w:divsChild>
    </w:div>
    <w:div w:id="725377041">
      <w:marLeft w:val="0"/>
      <w:marRight w:val="0"/>
      <w:marTop w:val="0"/>
      <w:marBottom w:val="0"/>
      <w:divBdr>
        <w:top w:val="none" w:sz="0" w:space="0" w:color="auto"/>
        <w:left w:val="none" w:sz="0" w:space="0" w:color="auto"/>
        <w:bottom w:val="none" w:sz="0" w:space="0" w:color="auto"/>
        <w:right w:val="none" w:sz="0" w:space="0" w:color="auto"/>
      </w:divBdr>
    </w:div>
    <w:div w:id="725377042">
      <w:marLeft w:val="0"/>
      <w:marRight w:val="0"/>
      <w:marTop w:val="0"/>
      <w:marBottom w:val="0"/>
      <w:divBdr>
        <w:top w:val="none" w:sz="0" w:space="0" w:color="auto"/>
        <w:left w:val="none" w:sz="0" w:space="0" w:color="auto"/>
        <w:bottom w:val="none" w:sz="0" w:space="0" w:color="auto"/>
        <w:right w:val="none" w:sz="0" w:space="0" w:color="auto"/>
      </w:divBdr>
    </w:div>
    <w:div w:id="725377044">
      <w:marLeft w:val="0"/>
      <w:marRight w:val="0"/>
      <w:marTop w:val="0"/>
      <w:marBottom w:val="0"/>
      <w:divBdr>
        <w:top w:val="none" w:sz="0" w:space="0" w:color="auto"/>
        <w:left w:val="none" w:sz="0" w:space="0" w:color="auto"/>
        <w:bottom w:val="none" w:sz="0" w:space="0" w:color="auto"/>
        <w:right w:val="none" w:sz="0" w:space="0" w:color="auto"/>
      </w:divBdr>
      <w:divsChild>
        <w:div w:id="725376970">
          <w:marLeft w:val="0"/>
          <w:marRight w:val="0"/>
          <w:marTop w:val="120"/>
          <w:marBottom w:val="120"/>
          <w:divBdr>
            <w:top w:val="none" w:sz="0" w:space="0" w:color="auto"/>
            <w:left w:val="none" w:sz="0" w:space="0" w:color="auto"/>
            <w:bottom w:val="none" w:sz="0" w:space="0" w:color="auto"/>
            <w:right w:val="none" w:sz="0" w:space="0" w:color="auto"/>
          </w:divBdr>
        </w:div>
      </w:divsChild>
    </w:div>
    <w:div w:id="725377046">
      <w:marLeft w:val="0"/>
      <w:marRight w:val="0"/>
      <w:marTop w:val="0"/>
      <w:marBottom w:val="0"/>
      <w:divBdr>
        <w:top w:val="none" w:sz="0" w:space="0" w:color="auto"/>
        <w:left w:val="none" w:sz="0" w:space="0" w:color="auto"/>
        <w:bottom w:val="none" w:sz="0" w:space="0" w:color="auto"/>
        <w:right w:val="none" w:sz="0" w:space="0" w:color="auto"/>
      </w:divBdr>
    </w:div>
    <w:div w:id="725377047">
      <w:marLeft w:val="0"/>
      <w:marRight w:val="0"/>
      <w:marTop w:val="0"/>
      <w:marBottom w:val="0"/>
      <w:divBdr>
        <w:top w:val="none" w:sz="0" w:space="0" w:color="auto"/>
        <w:left w:val="none" w:sz="0" w:space="0" w:color="auto"/>
        <w:bottom w:val="none" w:sz="0" w:space="0" w:color="auto"/>
        <w:right w:val="none" w:sz="0" w:space="0" w:color="auto"/>
      </w:divBdr>
    </w:div>
    <w:div w:id="725377049">
      <w:marLeft w:val="0"/>
      <w:marRight w:val="0"/>
      <w:marTop w:val="0"/>
      <w:marBottom w:val="0"/>
      <w:divBdr>
        <w:top w:val="single" w:sz="2" w:space="0" w:color="CC3640"/>
        <w:left w:val="none" w:sz="0" w:space="0" w:color="auto"/>
        <w:bottom w:val="none" w:sz="0" w:space="0" w:color="auto"/>
        <w:right w:val="none" w:sz="0" w:space="0" w:color="auto"/>
      </w:divBdr>
      <w:divsChild>
        <w:div w:id="725377105">
          <w:marLeft w:val="0"/>
          <w:marRight w:val="0"/>
          <w:marTop w:val="0"/>
          <w:marBottom w:val="0"/>
          <w:divBdr>
            <w:top w:val="single" w:sz="2" w:space="0" w:color="FF0000"/>
            <w:left w:val="single" w:sz="2" w:space="0" w:color="FF0000"/>
            <w:bottom w:val="single" w:sz="2" w:space="0" w:color="FF0000"/>
            <w:right w:val="single" w:sz="2" w:space="0" w:color="FF0000"/>
          </w:divBdr>
          <w:divsChild>
            <w:div w:id="725377003">
              <w:marLeft w:val="0"/>
              <w:marRight w:val="0"/>
              <w:marTop w:val="0"/>
              <w:marBottom w:val="0"/>
              <w:divBdr>
                <w:top w:val="none" w:sz="0" w:space="0" w:color="auto"/>
                <w:left w:val="single" w:sz="6" w:space="0" w:color="DDDDDD"/>
                <w:bottom w:val="none" w:sz="0" w:space="0" w:color="auto"/>
                <w:right w:val="none" w:sz="0" w:space="0" w:color="auto"/>
              </w:divBdr>
              <w:divsChild>
                <w:div w:id="725377130">
                  <w:marLeft w:val="0"/>
                  <w:marRight w:val="0"/>
                  <w:marTop w:val="0"/>
                  <w:marBottom w:val="0"/>
                  <w:divBdr>
                    <w:top w:val="single" w:sz="2" w:space="0" w:color="008000"/>
                    <w:left w:val="single" w:sz="2" w:space="0" w:color="008000"/>
                    <w:bottom w:val="single" w:sz="2" w:space="0" w:color="008000"/>
                    <w:right w:val="single" w:sz="2" w:space="0" w:color="008000"/>
                  </w:divBdr>
                  <w:divsChild>
                    <w:div w:id="725377012">
                      <w:marLeft w:val="0"/>
                      <w:marRight w:val="0"/>
                      <w:marTop w:val="0"/>
                      <w:marBottom w:val="0"/>
                      <w:divBdr>
                        <w:top w:val="none" w:sz="0" w:space="0" w:color="auto"/>
                        <w:left w:val="none" w:sz="0" w:space="0" w:color="auto"/>
                        <w:bottom w:val="none" w:sz="0" w:space="0" w:color="auto"/>
                        <w:right w:val="none" w:sz="0" w:space="0" w:color="auto"/>
                      </w:divBdr>
                      <w:divsChild>
                        <w:div w:id="725376932">
                          <w:marLeft w:val="0"/>
                          <w:marRight w:val="0"/>
                          <w:marTop w:val="0"/>
                          <w:marBottom w:val="0"/>
                          <w:divBdr>
                            <w:top w:val="none" w:sz="0" w:space="0" w:color="auto"/>
                            <w:left w:val="none" w:sz="0" w:space="0" w:color="auto"/>
                            <w:bottom w:val="none" w:sz="0" w:space="0" w:color="auto"/>
                            <w:right w:val="none" w:sz="0" w:space="0" w:color="auto"/>
                          </w:divBdr>
                          <w:divsChild>
                            <w:div w:id="72537697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51">
      <w:marLeft w:val="0"/>
      <w:marRight w:val="0"/>
      <w:marTop w:val="0"/>
      <w:marBottom w:val="0"/>
      <w:divBdr>
        <w:top w:val="single" w:sz="2" w:space="0" w:color="CC3640"/>
        <w:left w:val="none" w:sz="0" w:space="0" w:color="auto"/>
        <w:bottom w:val="none" w:sz="0" w:space="0" w:color="auto"/>
        <w:right w:val="none" w:sz="0" w:space="0" w:color="auto"/>
      </w:divBdr>
      <w:divsChild>
        <w:div w:id="725376915">
          <w:marLeft w:val="0"/>
          <w:marRight w:val="0"/>
          <w:marTop w:val="0"/>
          <w:marBottom w:val="0"/>
          <w:divBdr>
            <w:top w:val="single" w:sz="2" w:space="0" w:color="FF0000"/>
            <w:left w:val="single" w:sz="2" w:space="0" w:color="FF0000"/>
            <w:bottom w:val="single" w:sz="2" w:space="0" w:color="FF0000"/>
            <w:right w:val="single" w:sz="2" w:space="0" w:color="FF0000"/>
          </w:divBdr>
          <w:divsChild>
            <w:div w:id="725377062">
              <w:marLeft w:val="0"/>
              <w:marRight w:val="0"/>
              <w:marTop w:val="0"/>
              <w:marBottom w:val="0"/>
              <w:divBdr>
                <w:top w:val="none" w:sz="0" w:space="0" w:color="auto"/>
                <w:left w:val="single" w:sz="6" w:space="0" w:color="DDDDDD"/>
                <w:bottom w:val="none" w:sz="0" w:space="0" w:color="auto"/>
                <w:right w:val="none" w:sz="0" w:space="0" w:color="auto"/>
              </w:divBdr>
              <w:divsChild>
                <w:div w:id="725376953">
                  <w:marLeft w:val="0"/>
                  <w:marRight w:val="0"/>
                  <w:marTop w:val="0"/>
                  <w:marBottom w:val="0"/>
                  <w:divBdr>
                    <w:top w:val="single" w:sz="2" w:space="0" w:color="008000"/>
                    <w:left w:val="single" w:sz="2" w:space="0" w:color="008000"/>
                    <w:bottom w:val="single" w:sz="2" w:space="0" w:color="008000"/>
                    <w:right w:val="single" w:sz="2" w:space="0" w:color="008000"/>
                  </w:divBdr>
                  <w:divsChild>
                    <w:div w:id="725377089">
                      <w:marLeft w:val="0"/>
                      <w:marRight w:val="0"/>
                      <w:marTop w:val="0"/>
                      <w:marBottom w:val="0"/>
                      <w:divBdr>
                        <w:top w:val="none" w:sz="0" w:space="0" w:color="auto"/>
                        <w:left w:val="none" w:sz="0" w:space="0" w:color="auto"/>
                        <w:bottom w:val="none" w:sz="0" w:space="0" w:color="auto"/>
                        <w:right w:val="none" w:sz="0" w:space="0" w:color="auto"/>
                      </w:divBdr>
                      <w:divsChild>
                        <w:div w:id="725377067">
                          <w:marLeft w:val="0"/>
                          <w:marRight w:val="0"/>
                          <w:marTop w:val="0"/>
                          <w:marBottom w:val="0"/>
                          <w:divBdr>
                            <w:top w:val="none" w:sz="0" w:space="0" w:color="auto"/>
                            <w:left w:val="none" w:sz="0" w:space="0" w:color="auto"/>
                            <w:bottom w:val="none" w:sz="0" w:space="0" w:color="auto"/>
                            <w:right w:val="none" w:sz="0" w:space="0" w:color="auto"/>
                          </w:divBdr>
                          <w:divsChild>
                            <w:div w:id="72537693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55">
      <w:marLeft w:val="0"/>
      <w:marRight w:val="0"/>
      <w:marTop w:val="0"/>
      <w:marBottom w:val="0"/>
      <w:divBdr>
        <w:top w:val="none" w:sz="0" w:space="0" w:color="auto"/>
        <w:left w:val="none" w:sz="0" w:space="0" w:color="auto"/>
        <w:bottom w:val="none" w:sz="0" w:space="0" w:color="auto"/>
        <w:right w:val="none" w:sz="0" w:space="0" w:color="auto"/>
      </w:divBdr>
    </w:div>
    <w:div w:id="725377059">
      <w:marLeft w:val="0"/>
      <w:marRight w:val="0"/>
      <w:marTop w:val="0"/>
      <w:marBottom w:val="0"/>
      <w:divBdr>
        <w:top w:val="none" w:sz="0" w:space="0" w:color="auto"/>
        <w:left w:val="none" w:sz="0" w:space="0" w:color="auto"/>
        <w:bottom w:val="none" w:sz="0" w:space="0" w:color="auto"/>
        <w:right w:val="none" w:sz="0" w:space="0" w:color="auto"/>
      </w:divBdr>
    </w:div>
    <w:div w:id="725377061">
      <w:marLeft w:val="0"/>
      <w:marRight w:val="0"/>
      <w:marTop w:val="0"/>
      <w:marBottom w:val="0"/>
      <w:divBdr>
        <w:top w:val="none" w:sz="0" w:space="0" w:color="auto"/>
        <w:left w:val="none" w:sz="0" w:space="0" w:color="auto"/>
        <w:bottom w:val="none" w:sz="0" w:space="0" w:color="auto"/>
        <w:right w:val="none" w:sz="0" w:space="0" w:color="auto"/>
      </w:divBdr>
    </w:div>
    <w:div w:id="725377066">
      <w:marLeft w:val="0"/>
      <w:marRight w:val="0"/>
      <w:marTop w:val="0"/>
      <w:marBottom w:val="0"/>
      <w:divBdr>
        <w:top w:val="single" w:sz="2" w:space="0" w:color="CC3640"/>
        <w:left w:val="none" w:sz="0" w:space="0" w:color="auto"/>
        <w:bottom w:val="none" w:sz="0" w:space="0" w:color="auto"/>
        <w:right w:val="none" w:sz="0" w:space="0" w:color="auto"/>
      </w:divBdr>
      <w:divsChild>
        <w:div w:id="725377064">
          <w:marLeft w:val="0"/>
          <w:marRight w:val="0"/>
          <w:marTop w:val="0"/>
          <w:marBottom w:val="0"/>
          <w:divBdr>
            <w:top w:val="single" w:sz="2" w:space="0" w:color="FF0000"/>
            <w:left w:val="single" w:sz="2" w:space="0" w:color="FF0000"/>
            <w:bottom w:val="single" w:sz="2" w:space="0" w:color="FF0000"/>
            <w:right w:val="single" w:sz="2" w:space="0" w:color="FF0000"/>
          </w:divBdr>
          <w:divsChild>
            <w:div w:id="725377123">
              <w:marLeft w:val="0"/>
              <w:marRight w:val="0"/>
              <w:marTop w:val="0"/>
              <w:marBottom w:val="0"/>
              <w:divBdr>
                <w:top w:val="none" w:sz="0" w:space="0" w:color="auto"/>
                <w:left w:val="single" w:sz="6" w:space="0" w:color="DDDDDD"/>
                <w:bottom w:val="none" w:sz="0" w:space="0" w:color="auto"/>
                <w:right w:val="none" w:sz="0" w:space="0" w:color="auto"/>
              </w:divBdr>
              <w:divsChild>
                <w:div w:id="725376904">
                  <w:marLeft w:val="0"/>
                  <w:marRight w:val="0"/>
                  <w:marTop w:val="0"/>
                  <w:marBottom w:val="0"/>
                  <w:divBdr>
                    <w:top w:val="single" w:sz="2" w:space="0" w:color="008000"/>
                    <w:left w:val="single" w:sz="2" w:space="0" w:color="008000"/>
                    <w:bottom w:val="single" w:sz="2" w:space="0" w:color="008000"/>
                    <w:right w:val="single" w:sz="2" w:space="0" w:color="008000"/>
                  </w:divBdr>
                  <w:divsChild>
                    <w:div w:id="725377113">
                      <w:marLeft w:val="0"/>
                      <w:marRight w:val="0"/>
                      <w:marTop w:val="0"/>
                      <w:marBottom w:val="0"/>
                      <w:divBdr>
                        <w:top w:val="none" w:sz="0" w:space="0" w:color="auto"/>
                        <w:left w:val="none" w:sz="0" w:space="0" w:color="auto"/>
                        <w:bottom w:val="none" w:sz="0" w:space="0" w:color="auto"/>
                        <w:right w:val="none" w:sz="0" w:space="0" w:color="auto"/>
                      </w:divBdr>
                      <w:divsChild>
                        <w:div w:id="725377007">
                          <w:marLeft w:val="0"/>
                          <w:marRight w:val="0"/>
                          <w:marTop w:val="0"/>
                          <w:marBottom w:val="0"/>
                          <w:divBdr>
                            <w:top w:val="none" w:sz="0" w:space="0" w:color="auto"/>
                            <w:left w:val="none" w:sz="0" w:space="0" w:color="auto"/>
                            <w:bottom w:val="none" w:sz="0" w:space="0" w:color="auto"/>
                            <w:right w:val="none" w:sz="0" w:space="0" w:color="auto"/>
                          </w:divBdr>
                          <w:divsChild>
                            <w:div w:id="72537705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68">
      <w:marLeft w:val="0"/>
      <w:marRight w:val="0"/>
      <w:marTop w:val="0"/>
      <w:marBottom w:val="0"/>
      <w:divBdr>
        <w:top w:val="none" w:sz="0" w:space="0" w:color="auto"/>
        <w:left w:val="none" w:sz="0" w:space="0" w:color="auto"/>
        <w:bottom w:val="none" w:sz="0" w:space="0" w:color="auto"/>
        <w:right w:val="none" w:sz="0" w:space="0" w:color="auto"/>
      </w:divBdr>
    </w:div>
    <w:div w:id="725377077">
      <w:marLeft w:val="0"/>
      <w:marRight w:val="0"/>
      <w:marTop w:val="0"/>
      <w:marBottom w:val="0"/>
      <w:divBdr>
        <w:top w:val="none" w:sz="0" w:space="0" w:color="auto"/>
        <w:left w:val="none" w:sz="0" w:space="0" w:color="auto"/>
        <w:bottom w:val="none" w:sz="0" w:space="0" w:color="auto"/>
        <w:right w:val="none" w:sz="0" w:space="0" w:color="auto"/>
      </w:divBdr>
    </w:div>
    <w:div w:id="725377078">
      <w:marLeft w:val="0"/>
      <w:marRight w:val="0"/>
      <w:marTop w:val="0"/>
      <w:marBottom w:val="0"/>
      <w:divBdr>
        <w:top w:val="single" w:sz="2" w:space="0" w:color="CC3640"/>
        <w:left w:val="none" w:sz="0" w:space="0" w:color="auto"/>
        <w:bottom w:val="none" w:sz="0" w:space="0" w:color="auto"/>
        <w:right w:val="none" w:sz="0" w:space="0" w:color="auto"/>
      </w:divBdr>
      <w:divsChild>
        <w:div w:id="725377027">
          <w:marLeft w:val="0"/>
          <w:marRight w:val="0"/>
          <w:marTop w:val="0"/>
          <w:marBottom w:val="0"/>
          <w:divBdr>
            <w:top w:val="single" w:sz="2" w:space="0" w:color="FF0000"/>
            <w:left w:val="single" w:sz="2" w:space="0" w:color="FF0000"/>
            <w:bottom w:val="single" w:sz="2" w:space="0" w:color="FF0000"/>
            <w:right w:val="single" w:sz="2" w:space="0" w:color="FF0000"/>
          </w:divBdr>
          <w:divsChild>
            <w:div w:id="725377009">
              <w:marLeft w:val="0"/>
              <w:marRight w:val="0"/>
              <w:marTop w:val="0"/>
              <w:marBottom w:val="0"/>
              <w:divBdr>
                <w:top w:val="none" w:sz="0" w:space="0" w:color="auto"/>
                <w:left w:val="single" w:sz="6" w:space="0" w:color="DDDDDD"/>
                <w:bottom w:val="none" w:sz="0" w:space="0" w:color="auto"/>
                <w:right w:val="none" w:sz="0" w:space="0" w:color="auto"/>
              </w:divBdr>
              <w:divsChild>
                <w:div w:id="725377034">
                  <w:marLeft w:val="0"/>
                  <w:marRight w:val="0"/>
                  <w:marTop w:val="0"/>
                  <w:marBottom w:val="0"/>
                  <w:divBdr>
                    <w:top w:val="single" w:sz="2" w:space="0" w:color="008000"/>
                    <w:left w:val="single" w:sz="2" w:space="0" w:color="008000"/>
                    <w:bottom w:val="single" w:sz="2" w:space="0" w:color="008000"/>
                    <w:right w:val="single" w:sz="2" w:space="0" w:color="008000"/>
                  </w:divBdr>
                  <w:divsChild>
                    <w:div w:id="725377014">
                      <w:marLeft w:val="0"/>
                      <w:marRight w:val="0"/>
                      <w:marTop w:val="0"/>
                      <w:marBottom w:val="0"/>
                      <w:divBdr>
                        <w:top w:val="none" w:sz="0" w:space="0" w:color="auto"/>
                        <w:left w:val="none" w:sz="0" w:space="0" w:color="auto"/>
                        <w:bottom w:val="none" w:sz="0" w:space="0" w:color="auto"/>
                        <w:right w:val="none" w:sz="0" w:space="0" w:color="auto"/>
                      </w:divBdr>
                      <w:divsChild>
                        <w:div w:id="725376940">
                          <w:marLeft w:val="0"/>
                          <w:marRight w:val="0"/>
                          <w:marTop w:val="0"/>
                          <w:marBottom w:val="0"/>
                          <w:divBdr>
                            <w:top w:val="none" w:sz="0" w:space="0" w:color="auto"/>
                            <w:left w:val="none" w:sz="0" w:space="0" w:color="auto"/>
                            <w:bottom w:val="none" w:sz="0" w:space="0" w:color="auto"/>
                            <w:right w:val="none" w:sz="0" w:space="0" w:color="auto"/>
                          </w:divBdr>
                          <w:divsChild>
                            <w:div w:id="72537700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82">
      <w:marLeft w:val="0"/>
      <w:marRight w:val="0"/>
      <w:marTop w:val="0"/>
      <w:marBottom w:val="0"/>
      <w:divBdr>
        <w:top w:val="none" w:sz="0" w:space="0" w:color="auto"/>
        <w:left w:val="none" w:sz="0" w:space="0" w:color="auto"/>
        <w:bottom w:val="none" w:sz="0" w:space="0" w:color="auto"/>
        <w:right w:val="none" w:sz="0" w:space="0" w:color="auto"/>
      </w:divBdr>
      <w:divsChild>
        <w:div w:id="725376966">
          <w:marLeft w:val="0"/>
          <w:marRight w:val="0"/>
          <w:marTop w:val="170"/>
          <w:marBottom w:val="170"/>
          <w:divBdr>
            <w:top w:val="none" w:sz="0" w:space="0" w:color="auto"/>
            <w:left w:val="none" w:sz="0" w:space="0" w:color="auto"/>
            <w:bottom w:val="none" w:sz="0" w:space="0" w:color="auto"/>
            <w:right w:val="none" w:sz="0" w:space="0" w:color="auto"/>
          </w:divBdr>
        </w:div>
      </w:divsChild>
    </w:div>
    <w:div w:id="725377085">
      <w:marLeft w:val="0"/>
      <w:marRight w:val="0"/>
      <w:marTop w:val="0"/>
      <w:marBottom w:val="0"/>
      <w:divBdr>
        <w:top w:val="single" w:sz="2" w:space="0" w:color="CC3640"/>
        <w:left w:val="none" w:sz="0" w:space="0" w:color="auto"/>
        <w:bottom w:val="none" w:sz="0" w:space="0" w:color="auto"/>
        <w:right w:val="none" w:sz="0" w:space="0" w:color="auto"/>
      </w:divBdr>
      <w:divsChild>
        <w:div w:id="725377016">
          <w:marLeft w:val="0"/>
          <w:marRight w:val="0"/>
          <w:marTop w:val="0"/>
          <w:marBottom w:val="0"/>
          <w:divBdr>
            <w:top w:val="single" w:sz="2" w:space="0" w:color="FF0000"/>
            <w:left w:val="single" w:sz="2" w:space="0" w:color="FF0000"/>
            <w:bottom w:val="single" w:sz="2" w:space="0" w:color="FF0000"/>
            <w:right w:val="single" w:sz="2" w:space="0" w:color="FF0000"/>
          </w:divBdr>
          <w:divsChild>
            <w:div w:id="725376961">
              <w:marLeft w:val="0"/>
              <w:marRight w:val="0"/>
              <w:marTop w:val="0"/>
              <w:marBottom w:val="0"/>
              <w:divBdr>
                <w:top w:val="none" w:sz="0" w:space="0" w:color="auto"/>
                <w:left w:val="single" w:sz="6" w:space="0" w:color="DDDDDD"/>
                <w:bottom w:val="none" w:sz="0" w:space="0" w:color="auto"/>
                <w:right w:val="none" w:sz="0" w:space="0" w:color="auto"/>
              </w:divBdr>
              <w:divsChild>
                <w:div w:id="725377138">
                  <w:marLeft w:val="0"/>
                  <w:marRight w:val="0"/>
                  <w:marTop w:val="0"/>
                  <w:marBottom w:val="0"/>
                  <w:divBdr>
                    <w:top w:val="single" w:sz="2" w:space="0" w:color="008000"/>
                    <w:left w:val="single" w:sz="2" w:space="0" w:color="008000"/>
                    <w:bottom w:val="single" w:sz="2" w:space="0" w:color="008000"/>
                    <w:right w:val="single" w:sz="2" w:space="0" w:color="008000"/>
                  </w:divBdr>
                  <w:divsChild>
                    <w:div w:id="725377118">
                      <w:marLeft w:val="0"/>
                      <w:marRight w:val="0"/>
                      <w:marTop w:val="0"/>
                      <w:marBottom w:val="0"/>
                      <w:divBdr>
                        <w:top w:val="none" w:sz="0" w:space="0" w:color="auto"/>
                        <w:left w:val="none" w:sz="0" w:space="0" w:color="auto"/>
                        <w:bottom w:val="none" w:sz="0" w:space="0" w:color="auto"/>
                        <w:right w:val="none" w:sz="0" w:space="0" w:color="auto"/>
                      </w:divBdr>
                      <w:divsChild>
                        <w:div w:id="725376954">
                          <w:marLeft w:val="0"/>
                          <w:marRight w:val="0"/>
                          <w:marTop w:val="0"/>
                          <w:marBottom w:val="0"/>
                          <w:divBdr>
                            <w:top w:val="none" w:sz="0" w:space="0" w:color="auto"/>
                            <w:left w:val="none" w:sz="0" w:space="0" w:color="auto"/>
                            <w:bottom w:val="none" w:sz="0" w:space="0" w:color="auto"/>
                            <w:right w:val="none" w:sz="0" w:space="0" w:color="auto"/>
                          </w:divBdr>
                          <w:divsChild>
                            <w:div w:id="72537695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86">
      <w:marLeft w:val="0"/>
      <w:marRight w:val="0"/>
      <w:marTop w:val="0"/>
      <w:marBottom w:val="0"/>
      <w:divBdr>
        <w:top w:val="none" w:sz="0" w:space="0" w:color="auto"/>
        <w:left w:val="none" w:sz="0" w:space="0" w:color="auto"/>
        <w:bottom w:val="none" w:sz="0" w:space="0" w:color="auto"/>
        <w:right w:val="none" w:sz="0" w:space="0" w:color="auto"/>
      </w:divBdr>
    </w:div>
    <w:div w:id="725377090">
      <w:marLeft w:val="0"/>
      <w:marRight w:val="0"/>
      <w:marTop w:val="0"/>
      <w:marBottom w:val="0"/>
      <w:divBdr>
        <w:top w:val="single" w:sz="2" w:space="0" w:color="CC3640"/>
        <w:left w:val="none" w:sz="0" w:space="0" w:color="auto"/>
        <w:bottom w:val="none" w:sz="0" w:space="0" w:color="auto"/>
        <w:right w:val="none" w:sz="0" w:space="0" w:color="auto"/>
      </w:divBdr>
      <w:divsChild>
        <w:div w:id="725376999">
          <w:marLeft w:val="0"/>
          <w:marRight w:val="0"/>
          <w:marTop w:val="0"/>
          <w:marBottom w:val="0"/>
          <w:divBdr>
            <w:top w:val="single" w:sz="2" w:space="0" w:color="FF0000"/>
            <w:left w:val="single" w:sz="2" w:space="0" w:color="FF0000"/>
            <w:bottom w:val="single" w:sz="2" w:space="0" w:color="FF0000"/>
            <w:right w:val="single" w:sz="2" w:space="0" w:color="FF0000"/>
          </w:divBdr>
          <w:divsChild>
            <w:div w:id="725376988">
              <w:marLeft w:val="0"/>
              <w:marRight w:val="0"/>
              <w:marTop w:val="0"/>
              <w:marBottom w:val="0"/>
              <w:divBdr>
                <w:top w:val="none" w:sz="0" w:space="0" w:color="auto"/>
                <w:left w:val="single" w:sz="6" w:space="0" w:color="DDDDDD"/>
                <w:bottom w:val="none" w:sz="0" w:space="0" w:color="auto"/>
                <w:right w:val="none" w:sz="0" w:space="0" w:color="auto"/>
              </w:divBdr>
              <w:divsChild>
                <w:div w:id="725376971">
                  <w:marLeft w:val="0"/>
                  <w:marRight w:val="0"/>
                  <w:marTop w:val="0"/>
                  <w:marBottom w:val="0"/>
                  <w:divBdr>
                    <w:top w:val="single" w:sz="2" w:space="0" w:color="008000"/>
                    <w:left w:val="single" w:sz="2" w:space="0" w:color="008000"/>
                    <w:bottom w:val="single" w:sz="2" w:space="0" w:color="008000"/>
                    <w:right w:val="single" w:sz="2" w:space="0" w:color="008000"/>
                  </w:divBdr>
                  <w:divsChild>
                    <w:div w:id="725376974">
                      <w:marLeft w:val="0"/>
                      <w:marRight w:val="0"/>
                      <w:marTop w:val="0"/>
                      <w:marBottom w:val="0"/>
                      <w:divBdr>
                        <w:top w:val="none" w:sz="0" w:space="0" w:color="auto"/>
                        <w:left w:val="none" w:sz="0" w:space="0" w:color="auto"/>
                        <w:bottom w:val="none" w:sz="0" w:space="0" w:color="auto"/>
                        <w:right w:val="none" w:sz="0" w:space="0" w:color="auto"/>
                      </w:divBdr>
                      <w:divsChild>
                        <w:div w:id="725377053">
                          <w:marLeft w:val="0"/>
                          <w:marRight w:val="0"/>
                          <w:marTop w:val="0"/>
                          <w:marBottom w:val="0"/>
                          <w:divBdr>
                            <w:top w:val="none" w:sz="0" w:space="0" w:color="auto"/>
                            <w:left w:val="none" w:sz="0" w:space="0" w:color="auto"/>
                            <w:bottom w:val="none" w:sz="0" w:space="0" w:color="auto"/>
                            <w:right w:val="none" w:sz="0" w:space="0" w:color="auto"/>
                          </w:divBdr>
                          <w:divsChild>
                            <w:div w:id="72537693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92">
      <w:marLeft w:val="0"/>
      <w:marRight w:val="0"/>
      <w:marTop w:val="0"/>
      <w:marBottom w:val="0"/>
      <w:divBdr>
        <w:top w:val="single" w:sz="2" w:space="0" w:color="CC3640"/>
        <w:left w:val="none" w:sz="0" w:space="0" w:color="auto"/>
        <w:bottom w:val="none" w:sz="0" w:space="0" w:color="auto"/>
        <w:right w:val="none" w:sz="0" w:space="0" w:color="auto"/>
      </w:divBdr>
      <w:divsChild>
        <w:div w:id="725377045">
          <w:marLeft w:val="0"/>
          <w:marRight w:val="0"/>
          <w:marTop w:val="0"/>
          <w:marBottom w:val="0"/>
          <w:divBdr>
            <w:top w:val="single" w:sz="2" w:space="0" w:color="FF0000"/>
            <w:left w:val="single" w:sz="2" w:space="0" w:color="FF0000"/>
            <w:bottom w:val="single" w:sz="2" w:space="0" w:color="FF0000"/>
            <w:right w:val="single" w:sz="2" w:space="0" w:color="FF0000"/>
          </w:divBdr>
          <w:divsChild>
            <w:div w:id="725377099">
              <w:marLeft w:val="0"/>
              <w:marRight w:val="0"/>
              <w:marTop w:val="0"/>
              <w:marBottom w:val="0"/>
              <w:divBdr>
                <w:top w:val="none" w:sz="0" w:space="0" w:color="auto"/>
                <w:left w:val="single" w:sz="6" w:space="0" w:color="DDDDDD"/>
                <w:bottom w:val="none" w:sz="0" w:space="0" w:color="auto"/>
                <w:right w:val="none" w:sz="0" w:space="0" w:color="auto"/>
              </w:divBdr>
              <w:divsChild>
                <w:div w:id="725376949">
                  <w:marLeft w:val="0"/>
                  <w:marRight w:val="0"/>
                  <w:marTop w:val="0"/>
                  <w:marBottom w:val="0"/>
                  <w:divBdr>
                    <w:top w:val="single" w:sz="2" w:space="0" w:color="008000"/>
                    <w:left w:val="single" w:sz="2" w:space="0" w:color="008000"/>
                    <w:bottom w:val="single" w:sz="2" w:space="0" w:color="008000"/>
                    <w:right w:val="single" w:sz="2" w:space="0" w:color="008000"/>
                  </w:divBdr>
                  <w:divsChild>
                    <w:div w:id="725377039">
                      <w:marLeft w:val="0"/>
                      <w:marRight w:val="0"/>
                      <w:marTop w:val="0"/>
                      <w:marBottom w:val="0"/>
                      <w:divBdr>
                        <w:top w:val="none" w:sz="0" w:space="0" w:color="auto"/>
                        <w:left w:val="none" w:sz="0" w:space="0" w:color="auto"/>
                        <w:bottom w:val="none" w:sz="0" w:space="0" w:color="auto"/>
                        <w:right w:val="none" w:sz="0" w:space="0" w:color="auto"/>
                      </w:divBdr>
                      <w:divsChild>
                        <w:div w:id="725376982">
                          <w:marLeft w:val="0"/>
                          <w:marRight w:val="0"/>
                          <w:marTop w:val="0"/>
                          <w:marBottom w:val="0"/>
                          <w:divBdr>
                            <w:top w:val="none" w:sz="0" w:space="0" w:color="auto"/>
                            <w:left w:val="none" w:sz="0" w:space="0" w:color="auto"/>
                            <w:bottom w:val="none" w:sz="0" w:space="0" w:color="auto"/>
                            <w:right w:val="none" w:sz="0" w:space="0" w:color="auto"/>
                          </w:divBdr>
                          <w:divsChild>
                            <w:div w:id="72537690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093">
      <w:marLeft w:val="0"/>
      <w:marRight w:val="0"/>
      <w:marTop w:val="0"/>
      <w:marBottom w:val="0"/>
      <w:divBdr>
        <w:top w:val="none" w:sz="0" w:space="0" w:color="auto"/>
        <w:left w:val="none" w:sz="0" w:space="0" w:color="auto"/>
        <w:bottom w:val="none" w:sz="0" w:space="0" w:color="auto"/>
        <w:right w:val="none" w:sz="0" w:space="0" w:color="auto"/>
      </w:divBdr>
      <w:divsChild>
        <w:div w:id="725377129">
          <w:marLeft w:val="0"/>
          <w:marRight w:val="0"/>
          <w:marTop w:val="120"/>
          <w:marBottom w:val="120"/>
          <w:divBdr>
            <w:top w:val="none" w:sz="0" w:space="0" w:color="auto"/>
            <w:left w:val="none" w:sz="0" w:space="0" w:color="auto"/>
            <w:bottom w:val="none" w:sz="0" w:space="0" w:color="auto"/>
            <w:right w:val="none" w:sz="0" w:space="0" w:color="auto"/>
          </w:divBdr>
        </w:div>
      </w:divsChild>
    </w:div>
    <w:div w:id="725377098">
      <w:marLeft w:val="0"/>
      <w:marRight w:val="0"/>
      <w:marTop w:val="0"/>
      <w:marBottom w:val="0"/>
      <w:divBdr>
        <w:top w:val="none" w:sz="0" w:space="0" w:color="auto"/>
        <w:left w:val="none" w:sz="0" w:space="0" w:color="auto"/>
        <w:bottom w:val="none" w:sz="0" w:space="0" w:color="auto"/>
        <w:right w:val="none" w:sz="0" w:space="0" w:color="auto"/>
      </w:divBdr>
    </w:div>
    <w:div w:id="725377100">
      <w:marLeft w:val="0"/>
      <w:marRight w:val="0"/>
      <w:marTop w:val="0"/>
      <w:marBottom w:val="0"/>
      <w:divBdr>
        <w:top w:val="single" w:sz="2" w:space="0" w:color="CC3640"/>
        <w:left w:val="none" w:sz="0" w:space="0" w:color="auto"/>
        <w:bottom w:val="none" w:sz="0" w:space="0" w:color="auto"/>
        <w:right w:val="none" w:sz="0" w:space="0" w:color="auto"/>
      </w:divBdr>
      <w:divsChild>
        <w:div w:id="725377022">
          <w:marLeft w:val="0"/>
          <w:marRight w:val="0"/>
          <w:marTop w:val="0"/>
          <w:marBottom w:val="0"/>
          <w:divBdr>
            <w:top w:val="single" w:sz="2" w:space="0" w:color="FF0000"/>
            <w:left w:val="single" w:sz="2" w:space="0" w:color="FF0000"/>
            <w:bottom w:val="single" w:sz="2" w:space="0" w:color="FF0000"/>
            <w:right w:val="single" w:sz="2" w:space="0" w:color="FF0000"/>
          </w:divBdr>
          <w:divsChild>
            <w:div w:id="725376934">
              <w:marLeft w:val="0"/>
              <w:marRight w:val="0"/>
              <w:marTop w:val="0"/>
              <w:marBottom w:val="0"/>
              <w:divBdr>
                <w:top w:val="none" w:sz="0" w:space="0" w:color="auto"/>
                <w:left w:val="single" w:sz="6" w:space="0" w:color="DDDDDD"/>
                <w:bottom w:val="none" w:sz="0" w:space="0" w:color="auto"/>
                <w:right w:val="none" w:sz="0" w:space="0" w:color="auto"/>
              </w:divBdr>
              <w:divsChild>
                <w:div w:id="725377071">
                  <w:marLeft w:val="0"/>
                  <w:marRight w:val="0"/>
                  <w:marTop w:val="0"/>
                  <w:marBottom w:val="0"/>
                  <w:divBdr>
                    <w:top w:val="single" w:sz="2" w:space="0" w:color="008000"/>
                    <w:left w:val="single" w:sz="2" w:space="0" w:color="008000"/>
                    <w:bottom w:val="single" w:sz="2" w:space="0" w:color="008000"/>
                    <w:right w:val="single" w:sz="2" w:space="0" w:color="008000"/>
                  </w:divBdr>
                  <w:divsChild>
                    <w:div w:id="725377088">
                      <w:marLeft w:val="0"/>
                      <w:marRight w:val="0"/>
                      <w:marTop w:val="0"/>
                      <w:marBottom w:val="0"/>
                      <w:divBdr>
                        <w:top w:val="none" w:sz="0" w:space="0" w:color="auto"/>
                        <w:left w:val="none" w:sz="0" w:space="0" w:color="auto"/>
                        <w:bottom w:val="none" w:sz="0" w:space="0" w:color="auto"/>
                        <w:right w:val="none" w:sz="0" w:space="0" w:color="auto"/>
                      </w:divBdr>
                      <w:divsChild>
                        <w:div w:id="725376996">
                          <w:marLeft w:val="0"/>
                          <w:marRight w:val="0"/>
                          <w:marTop w:val="0"/>
                          <w:marBottom w:val="0"/>
                          <w:divBdr>
                            <w:top w:val="none" w:sz="0" w:space="0" w:color="auto"/>
                            <w:left w:val="none" w:sz="0" w:space="0" w:color="auto"/>
                            <w:bottom w:val="none" w:sz="0" w:space="0" w:color="auto"/>
                            <w:right w:val="none" w:sz="0" w:space="0" w:color="auto"/>
                          </w:divBdr>
                          <w:divsChild>
                            <w:div w:id="72537706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101">
      <w:marLeft w:val="0"/>
      <w:marRight w:val="0"/>
      <w:marTop w:val="0"/>
      <w:marBottom w:val="0"/>
      <w:divBdr>
        <w:top w:val="none" w:sz="0" w:space="0" w:color="auto"/>
        <w:left w:val="none" w:sz="0" w:space="0" w:color="auto"/>
        <w:bottom w:val="none" w:sz="0" w:space="0" w:color="auto"/>
        <w:right w:val="none" w:sz="0" w:space="0" w:color="auto"/>
      </w:divBdr>
    </w:div>
    <w:div w:id="725377103">
      <w:marLeft w:val="0"/>
      <w:marRight w:val="0"/>
      <w:marTop w:val="0"/>
      <w:marBottom w:val="0"/>
      <w:divBdr>
        <w:top w:val="single" w:sz="2" w:space="0" w:color="CC3640"/>
        <w:left w:val="none" w:sz="0" w:space="0" w:color="auto"/>
        <w:bottom w:val="none" w:sz="0" w:space="0" w:color="auto"/>
        <w:right w:val="none" w:sz="0" w:space="0" w:color="auto"/>
      </w:divBdr>
      <w:divsChild>
        <w:div w:id="725377111">
          <w:marLeft w:val="0"/>
          <w:marRight w:val="0"/>
          <w:marTop w:val="0"/>
          <w:marBottom w:val="0"/>
          <w:divBdr>
            <w:top w:val="single" w:sz="2" w:space="0" w:color="FF0000"/>
            <w:left w:val="single" w:sz="2" w:space="0" w:color="FF0000"/>
            <w:bottom w:val="single" w:sz="2" w:space="0" w:color="FF0000"/>
            <w:right w:val="single" w:sz="2" w:space="0" w:color="FF0000"/>
          </w:divBdr>
          <w:divsChild>
            <w:div w:id="725377133">
              <w:marLeft w:val="0"/>
              <w:marRight w:val="0"/>
              <w:marTop w:val="0"/>
              <w:marBottom w:val="0"/>
              <w:divBdr>
                <w:top w:val="none" w:sz="0" w:space="0" w:color="auto"/>
                <w:left w:val="single" w:sz="6" w:space="0" w:color="DDDDDD"/>
                <w:bottom w:val="none" w:sz="0" w:space="0" w:color="auto"/>
                <w:right w:val="none" w:sz="0" w:space="0" w:color="auto"/>
              </w:divBdr>
              <w:divsChild>
                <w:div w:id="725377048">
                  <w:marLeft w:val="0"/>
                  <w:marRight w:val="0"/>
                  <w:marTop w:val="0"/>
                  <w:marBottom w:val="0"/>
                  <w:divBdr>
                    <w:top w:val="single" w:sz="2" w:space="0" w:color="008000"/>
                    <w:left w:val="single" w:sz="2" w:space="0" w:color="008000"/>
                    <w:bottom w:val="single" w:sz="2" w:space="0" w:color="008000"/>
                    <w:right w:val="single" w:sz="2" w:space="0" w:color="008000"/>
                  </w:divBdr>
                  <w:divsChild>
                    <w:div w:id="725377114">
                      <w:marLeft w:val="0"/>
                      <w:marRight w:val="0"/>
                      <w:marTop w:val="0"/>
                      <w:marBottom w:val="0"/>
                      <w:divBdr>
                        <w:top w:val="none" w:sz="0" w:space="0" w:color="auto"/>
                        <w:left w:val="none" w:sz="0" w:space="0" w:color="auto"/>
                        <w:bottom w:val="none" w:sz="0" w:space="0" w:color="auto"/>
                        <w:right w:val="none" w:sz="0" w:space="0" w:color="auto"/>
                      </w:divBdr>
                      <w:divsChild>
                        <w:div w:id="725376942">
                          <w:marLeft w:val="0"/>
                          <w:marRight w:val="0"/>
                          <w:marTop w:val="0"/>
                          <w:marBottom w:val="0"/>
                          <w:divBdr>
                            <w:top w:val="none" w:sz="0" w:space="0" w:color="auto"/>
                            <w:left w:val="none" w:sz="0" w:space="0" w:color="auto"/>
                            <w:bottom w:val="none" w:sz="0" w:space="0" w:color="auto"/>
                            <w:right w:val="none" w:sz="0" w:space="0" w:color="auto"/>
                          </w:divBdr>
                          <w:divsChild>
                            <w:div w:id="72537697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104">
      <w:marLeft w:val="0"/>
      <w:marRight w:val="0"/>
      <w:marTop w:val="0"/>
      <w:marBottom w:val="0"/>
      <w:divBdr>
        <w:top w:val="none" w:sz="0" w:space="0" w:color="auto"/>
        <w:left w:val="none" w:sz="0" w:space="0" w:color="auto"/>
        <w:bottom w:val="none" w:sz="0" w:space="0" w:color="auto"/>
        <w:right w:val="none" w:sz="0" w:space="0" w:color="auto"/>
      </w:divBdr>
    </w:div>
    <w:div w:id="725377107">
      <w:marLeft w:val="0"/>
      <w:marRight w:val="0"/>
      <w:marTop w:val="0"/>
      <w:marBottom w:val="0"/>
      <w:divBdr>
        <w:top w:val="none" w:sz="0" w:space="0" w:color="auto"/>
        <w:left w:val="none" w:sz="0" w:space="0" w:color="auto"/>
        <w:bottom w:val="none" w:sz="0" w:space="0" w:color="auto"/>
        <w:right w:val="none" w:sz="0" w:space="0" w:color="auto"/>
      </w:divBdr>
    </w:div>
    <w:div w:id="725377115">
      <w:marLeft w:val="0"/>
      <w:marRight w:val="0"/>
      <w:marTop w:val="0"/>
      <w:marBottom w:val="0"/>
      <w:divBdr>
        <w:top w:val="none" w:sz="0" w:space="0" w:color="auto"/>
        <w:left w:val="none" w:sz="0" w:space="0" w:color="auto"/>
        <w:bottom w:val="none" w:sz="0" w:space="0" w:color="auto"/>
        <w:right w:val="none" w:sz="0" w:space="0" w:color="auto"/>
      </w:divBdr>
    </w:div>
    <w:div w:id="725377116">
      <w:marLeft w:val="0"/>
      <w:marRight w:val="0"/>
      <w:marTop w:val="0"/>
      <w:marBottom w:val="0"/>
      <w:divBdr>
        <w:top w:val="none" w:sz="0" w:space="0" w:color="auto"/>
        <w:left w:val="none" w:sz="0" w:space="0" w:color="auto"/>
        <w:bottom w:val="none" w:sz="0" w:space="0" w:color="auto"/>
        <w:right w:val="none" w:sz="0" w:space="0" w:color="auto"/>
      </w:divBdr>
    </w:div>
    <w:div w:id="725377119">
      <w:marLeft w:val="0"/>
      <w:marRight w:val="0"/>
      <w:marTop w:val="0"/>
      <w:marBottom w:val="0"/>
      <w:divBdr>
        <w:top w:val="single" w:sz="2" w:space="0" w:color="CC3640"/>
        <w:left w:val="none" w:sz="0" w:space="0" w:color="auto"/>
        <w:bottom w:val="none" w:sz="0" w:space="0" w:color="auto"/>
        <w:right w:val="none" w:sz="0" w:space="0" w:color="auto"/>
      </w:divBdr>
      <w:divsChild>
        <w:div w:id="725376913">
          <w:marLeft w:val="0"/>
          <w:marRight w:val="0"/>
          <w:marTop w:val="0"/>
          <w:marBottom w:val="0"/>
          <w:divBdr>
            <w:top w:val="single" w:sz="2" w:space="0" w:color="FF0000"/>
            <w:left w:val="single" w:sz="2" w:space="0" w:color="FF0000"/>
            <w:bottom w:val="single" w:sz="2" w:space="0" w:color="FF0000"/>
            <w:right w:val="single" w:sz="2" w:space="0" w:color="FF0000"/>
          </w:divBdr>
          <w:divsChild>
            <w:div w:id="725377132">
              <w:marLeft w:val="0"/>
              <w:marRight w:val="0"/>
              <w:marTop w:val="0"/>
              <w:marBottom w:val="0"/>
              <w:divBdr>
                <w:top w:val="none" w:sz="0" w:space="0" w:color="auto"/>
                <w:left w:val="single" w:sz="6" w:space="0" w:color="DDDDDD"/>
                <w:bottom w:val="none" w:sz="0" w:space="0" w:color="auto"/>
                <w:right w:val="none" w:sz="0" w:space="0" w:color="auto"/>
              </w:divBdr>
              <w:divsChild>
                <w:div w:id="725377005">
                  <w:marLeft w:val="0"/>
                  <w:marRight w:val="0"/>
                  <w:marTop w:val="0"/>
                  <w:marBottom w:val="0"/>
                  <w:divBdr>
                    <w:top w:val="single" w:sz="2" w:space="0" w:color="008000"/>
                    <w:left w:val="single" w:sz="2" w:space="0" w:color="008000"/>
                    <w:bottom w:val="single" w:sz="2" w:space="0" w:color="008000"/>
                    <w:right w:val="single" w:sz="2" w:space="0" w:color="008000"/>
                  </w:divBdr>
                  <w:divsChild>
                    <w:div w:id="725377050">
                      <w:marLeft w:val="0"/>
                      <w:marRight w:val="0"/>
                      <w:marTop w:val="0"/>
                      <w:marBottom w:val="0"/>
                      <w:divBdr>
                        <w:top w:val="none" w:sz="0" w:space="0" w:color="auto"/>
                        <w:left w:val="none" w:sz="0" w:space="0" w:color="auto"/>
                        <w:bottom w:val="none" w:sz="0" w:space="0" w:color="auto"/>
                        <w:right w:val="none" w:sz="0" w:space="0" w:color="auto"/>
                      </w:divBdr>
                      <w:divsChild>
                        <w:div w:id="725377076">
                          <w:marLeft w:val="0"/>
                          <w:marRight w:val="0"/>
                          <w:marTop w:val="0"/>
                          <w:marBottom w:val="0"/>
                          <w:divBdr>
                            <w:top w:val="none" w:sz="0" w:space="0" w:color="auto"/>
                            <w:left w:val="none" w:sz="0" w:space="0" w:color="auto"/>
                            <w:bottom w:val="none" w:sz="0" w:space="0" w:color="auto"/>
                            <w:right w:val="none" w:sz="0" w:space="0" w:color="auto"/>
                          </w:divBdr>
                          <w:divsChild>
                            <w:div w:id="72537690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120">
      <w:marLeft w:val="0"/>
      <w:marRight w:val="0"/>
      <w:marTop w:val="0"/>
      <w:marBottom w:val="0"/>
      <w:divBdr>
        <w:top w:val="none" w:sz="0" w:space="0" w:color="auto"/>
        <w:left w:val="none" w:sz="0" w:space="0" w:color="auto"/>
        <w:bottom w:val="none" w:sz="0" w:space="0" w:color="auto"/>
        <w:right w:val="none" w:sz="0" w:space="0" w:color="auto"/>
      </w:divBdr>
    </w:div>
    <w:div w:id="725377122">
      <w:marLeft w:val="0"/>
      <w:marRight w:val="0"/>
      <w:marTop w:val="0"/>
      <w:marBottom w:val="0"/>
      <w:divBdr>
        <w:top w:val="none" w:sz="0" w:space="0" w:color="auto"/>
        <w:left w:val="none" w:sz="0" w:space="0" w:color="auto"/>
        <w:bottom w:val="none" w:sz="0" w:space="0" w:color="auto"/>
        <w:right w:val="none" w:sz="0" w:space="0" w:color="auto"/>
      </w:divBdr>
    </w:div>
    <w:div w:id="725377125">
      <w:marLeft w:val="0"/>
      <w:marRight w:val="0"/>
      <w:marTop w:val="0"/>
      <w:marBottom w:val="0"/>
      <w:divBdr>
        <w:top w:val="single" w:sz="2" w:space="0" w:color="CC3640"/>
        <w:left w:val="none" w:sz="0" w:space="0" w:color="auto"/>
        <w:bottom w:val="none" w:sz="0" w:space="0" w:color="auto"/>
        <w:right w:val="none" w:sz="0" w:space="0" w:color="auto"/>
      </w:divBdr>
      <w:divsChild>
        <w:div w:id="725377075">
          <w:marLeft w:val="0"/>
          <w:marRight w:val="0"/>
          <w:marTop w:val="0"/>
          <w:marBottom w:val="0"/>
          <w:divBdr>
            <w:top w:val="single" w:sz="2" w:space="0" w:color="FF0000"/>
            <w:left w:val="single" w:sz="2" w:space="0" w:color="FF0000"/>
            <w:bottom w:val="single" w:sz="2" w:space="0" w:color="FF0000"/>
            <w:right w:val="single" w:sz="2" w:space="0" w:color="FF0000"/>
          </w:divBdr>
          <w:divsChild>
            <w:div w:id="725377056">
              <w:marLeft w:val="0"/>
              <w:marRight w:val="0"/>
              <w:marTop w:val="0"/>
              <w:marBottom w:val="0"/>
              <w:divBdr>
                <w:top w:val="none" w:sz="0" w:space="0" w:color="auto"/>
                <w:left w:val="single" w:sz="6" w:space="0" w:color="DDDDDD"/>
                <w:bottom w:val="none" w:sz="0" w:space="0" w:color="auto"/>
                <w:right w:val="none" w:sz="0" w:space="0" w:color="auto"/>
              </w:divBdr>
              <w:divsChild>
                <w:div w:id="725376981">
                  <w:marLeft w:val="0"/>
                  <w:marRight w:val="0"/>
                  <w:marTop w:val="0"/>
                  <w:marBottom w:val="0"/>
                  <w:divBdr>
                    <w:top w:val="single" w:sz="2" w:space="0" w:color="008000"/>
                    <w:left w:val="single" w:sz="2" w:space="0" w:color="008000"/>
                    <w:bottom w:val="single" w:sz="2" w:space="0" w:color="008000"/>
                    <w:right w:val="single" w:sz="2" w:space="0" w:color="008000"/>
                  </w:divBdr>
                  <w:divsChild>
                    <w:div w:id="725377057">
                      <w:marLeft w:val="0"/>
                      <w:marRight w:val="0"/>
                      <w:marTop w:val="0"/>
                      <w:marBottom w:val="0"/>
                      <w:divBdr>
                        <w:top w:val="none" w:sz="0" w:space="0" w:color="auto"/>
                        <w:left w:val="none" w:sz="0" w:space="0" w:color="auto"/>
                        <w:bottom w:val="none" w:sz="0" w:space="0" w:color="auto"/>
                        <w:right w:val="none" w:sz="0" w:space="0" w:color="auto"/>
                      </w:divBdr>
                      <w:divsChild>
                        <w:div w:id="725377106">
                          <w:marLeft w:val="0"/>
                          <w:marRight w:val="0"/>
                          <w:marTop w:val="0"/>
                          <w:marBottom w:val="0"/>
                          <w:divBdr>
                            <w:top w:val="none" w:sz="0" w:space="0" w:color="auto"/>
                            <w:left w:val="none" w:sz="0" w:space="0" w:color="auto"/>
                            <w:bottom w:val="none" w:sz="0" w:space="0" w:color="auto"/>
                            <w:right w:val="none" w:sz="0" w:space="0" w:color="auto"/>
                          </w:divBdr>
                          <w:divsChild>
                            <w:div w:id="72537694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127">
      <w:marLeft w:val="0"/>
      <w:marRight w:val="0"/>
      <w:marTop w:val="0"/>
      <w:marBottom w:val="0"/>
      <w:divBdr>
        <w:top w:val="none" w:sz="0" w:space="0" w:color="auto"/>
        <w:left w:val="none" w:sz="0" w:space="0" w:color="auto"/>
        <w:bottom w:val="none" w:sz="0" w:space="0" w:color="auto"/>
        <w:right w:val="none" w:sz="0" w:space="0" w:color="auto"/>
      </w:divBdr>
      <w:divsChild>
        <w:div w:id="725376952">
          <w:marLeft w:val="0"/>
          <w:marRight w:val="0"/>
          <w:marTop w:val="120"/>
          <w:marBottom w:val="120"/>
          <w:divBdr>
            <w:top w:val="none" w:sz="0" w:space="0" w:color="auto"/>
            <w:left w:val="none" w:sz="0" w:space="0" w:color="auto"/>
            <w:bottom w:val="none" w:sz="0" w:space="0" w:color="auto"/>
            <w:right w:val="none" w:sz="0" w:space="0" w:color="auto"/>
          </w:divBdr>
        </w:div>
      </w:divsChild>
    </w:div>
    <w:div w:id="725377134">
      <w:marLeft w:val="0"/>
      <w:marRight w:val="0"/>
      <w:marTop w:val="0"/>
      <w:marBottom w:val="0"/>
      <w:divBdr>
        <w:top w:val="single" w:sz="2" w:space="0" w:color="CC3640"/>
        <w:left w:val="none" w:sz="0" w:space="0" w:color="auto"/>
        <w:bottom w:val="none" w:sz="0" w:space="0" w:color="auto"/>
        <w:right w:val="none" w:sz="0" w:space="0" w:color="auto"/>
      </w:divBdr>
      <w:divsChild>
        <w:div w:id="725376987">
          <w:marLeft w:val="0"/>
          <w:marRight w:val="0"/>
          <w:marTop w:val="0"/>
          <w:marBottom w:val="0"/>
          <w:divBdr>
            <w:top w:val="single" w:sz="2" w:space="0" w:color="FF0000"/>
            <w:left w:val="single" w:sz="2" w:space="0" w:color="FF0000"/>
            <w:bottom w:val="single" w:sz="2" w:space="0" w:color="FF0000"/>
            <w:right w:val="single" w:sz="2" w:space="0" w:color="FF0000"/>
          </w:divBdr>
          <w:divsChild>
            <w:div w:id="725377097">
              <w:marLeft w:val="0"/>
              <w:marRight w:val="0"/>
              <w:marTop w:val="0"/>
              <w:marBottom w:val="0"/>
              <w:divBdr>
                <w:top w:val="none" w:sz="0" w:space="0" w:color="auto"/>
                <w:left w:val="single" w:sz="6" w:space="0" w:color="DDDDDD"/>
                <w:bottom w:val="none" w:sz="0" w:space="0" w:color="auto"/>
                <w:right w:val="none" w:sz="0" w:space="0" w:color="auto"/>
              </w:divBdr>
              <w:divsChild>
                <w:div w:id="725376957">
                  <w:marLeft w:val="0"/>
                  <w:marRight w:val="0"/>
                  <w:marTop w:val="0"/>
                  <w:marBottom w:val="0"/>
                  <w:divBdr>
                    <w:top w:val="single" w:sz="2" w:space="0" w:color="008000"/>
                    <w:left w:val="single" w:sz="2" w:space="0" w:color="008000"/>
                    <w:bottom w:val="single" w:sz="2" w:space="0" w:color="008000"/>
                    <w:right w:val="single" w:sz="2" w:space="0" w:color="008000"/>
                  </w:divBdr>
                  <w:divsChild>
                    <w:div w:id="725376959">
                      <w:marLeft w:val="0"/>
                      <w:marRight w:val="0"/>
                      <w:marTop w:val="0"/>
                      <w:marBottom w:val="0"/>
                      <w:divBdr>
                        <w:top w:val="none" w:sz="0" w:space="0" w:color="auto"/>
                        <w:left w:val="none" w:sz="0" w:space="0" w:color="auto"/>
                        <w:bottom w:val="none" w:sz="0" w:space="0" w:color="auto"/>
                        <w:right w:val="none" w:sz="0" w:space="0" w:color="auto"/>
                      </w:divBdr>
                      <w:divsChild>
                        <w:div w:id="725376912">
                          <w:marLeft w:val="0"/>
                          <w:marRight w:val="0"/>
                          <w:marTop w:val="0"/>
                          <w:marBottom w:val="0"/>
                          <w:divBdr>
                            <w:top w:val="none" w:sz="0" w:space="0" w:color="auto"/>
                            <w:left w:val="none" w:sz="0" w:space="0" w:color="auto"/>
                            <w:bottom w:val="none" w:sz="0" w:space="0" w:color="auto"/>
                            <w:right w:val="none" w:sz="0" w:space="0" w:color="auto"/>
                          </w:divBdr>
                          <w:divsChild>
                            <w:div w:id="72537711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135">
      <w:marLeft w:val="0"/>
      <w:marRight w:val="0"/>
      <w:marTop w:val="0"/>
      <w:marBottom w:val="0"/>
      <w:divBdr>
        <w:top w:val="none" w:sz="0" w:space="0" w:color="auto"/>
        <w:left w:val="none" w:sz="0" w:space="0" w:color="auto"/>
        <w:bottom w:val="none" w:sz="0" w:space="0" w:color="auto"/>
        <w:right w:val="none" w:sz="0" w:space="0" w:color="auto"/>
      </w:divBdr>
      <w:divsChild>
        <w:div w:id="725376911">
          <w:marLeft w:val="0"/>
          <w:marRight w:val="0"/>
          <w:marTop w:val="120"/>
          <w:marBottom w:val="120"/>
          <w:divBdr>
            <w:top w:val="none" w:sz="0" w:space="0" w:color="auto"/>
            <w:left w:val="none" w:sz="0" w:space="0" w:color="auto"/>
            <w:bottom w:val="none" w:sz="0" w:space="0" w:color="auto"/>
            <w:right w:val="none" w:sz="0" w:space="0" w:color="auto"/>
          </w:divBdr>
        </w:div>
      </w:divsChild>
    </w:div>
    <w:div w:id="725377137">
      <w:marLeft w:val="0"/>
      <w:marRight w:val="0"/>
      <w:marTop w:val="0"/>
      <w:marBottom w:val="0"/>
      <w:divBdr>
        <w:top w:val="single" w:sz="2" w:space="0" w:color="CC3640"/>
        <w:left w:val="none" w:sz="0" w:space="0" w:color="auto"/>
        <w:bottom w:val="none" w:sz="0" w:space="0" w:color="auto"/>
        <w:right w:val="none" w:sz="0" w:space="0" w:color="auto"/>
      </w:divBdr>
      <w:divsChild>
        <w:div w:id="725377060">
          <w:marLeft w:val="0"/>
          <w:marRight w:val="0"/>
          <w:marTop w:val="0"/>
          <w:marBottom w:val="0"/>
          <w:divBdr>
            <w:top w:val="single" w:sz="2" w:space="0" w:color="FF0000"/>
            <w:left w:val="single" w:sz="2" w:space="0" w:color="FF0000"/>
            <w:bottom w:val="single" w:sz="2" w:space="0" w:color="FF0000"/>
            <w:right w:val="single" w:sz="2" w:space="0" w:color="FF0000"/>
          </w:divBdr>
          <w:divsChild>
            <w:div w:id="725377021">
              <w:marLeft w:val="0"/>
              <w:marRight w:val="0"/>
              <w:marTop w:val="0"/>
              <w:marBottom w:val="0"/>
              <w:divBdr>
                <w:top w:val="none" w:sz="0" w:space="0" w:color="auto"/>
                <w:left w:val="single" w:sz="6" w:space="0" w:color="DDDDDD"/>
                <w:bottom w:val="none" w:sz="0" w:space="0" w:color="auto"/>
                <w:right w:val="none" w:sz="0" w:space="0" w:color="auto"/>
              </w:divBdr>
              <w:divsChild>
                <w:div w:id="725377052">
                  <w:marLeft w:val="0"/>
                  <w:marRight w:val="0"/>
                  <w:marTop w:val="0"/>
                  <w:marBottom w:val="0"/>
                  <w:divBdr>
                    <w:top w:val="single" w:sz="2" w:space="0" w:color="008000"/>
                    <w:left w:val="single" w:sz="2" w:space="0" w:color="008000"/>
                    <w:bottom w:val="single" w:sz="2" w:space="0" w:color="008000"/>
                    <w:right w:val="single" w:sz="2" w:space="0" w:color="008000"/>
                  </w:divBdr>
                  <w:divsChild>
                    <w:div w:id="725377010">
                      <w:marLeft w:val="0"/>
                      <w:marRight w:val="0"/>
                      <w:marTop w:val="0"/>
                      <w:marBottom w:val="0"/>
                      <w:divBdr>
                        <w:top w:val="none" w:sz="0" w:space="0" w:color="auto"/>
                        <w:left w:val="none" w:sz="0" w:space="0" w:color="auto"/>
                        <w:bottom w:val="none" w:sz="0" w:space="0" w:color="auto"/>
                        <w:right w:val="none" w:sz="0" w:space="0" w:color="auto"/>
                      </w:divBdr>
                      <w:divsChild>
                        <w:div w:id="725377069">
                          <w:marLeft w:val="0"/>
                          <w:marRight w:val="0"/>
                          <w:marTop w:val="0"/>
                          <w:marBottom w:val="0"/>
                          <w:divBdr>
                            <w:top w:val="none" w:sz="0" w:space="0" w:color="auto"/>
                            <w:left w:val="none" w:sz="0" w:space="0" w:color="auto"/>
                            <w:bottom w:val="none" w:sz="0" w:space="0" w:color="auto"/>
                            <w:right w:val="none" w:sz="0" w:space="0" w:color="auto"/>
                          </w:divBdr>
                          <w:divsChild>
                            <w:div w:id="72537698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25377145">
      <w:marLeft w:val="0"/>
      <w:marRight w:val="0"/>
      <w:marTop w:val="0"/>
      <w:marBottom w:val="0"/>
      <w:divBdr>
        <w:top w:val="none" w:sz="0" w:space="0" w:color="auto"/>
        <w:left w:val="none" w:sz="0" w:space="0" w:color="auto"/>
        <w:bottom w:val="none" w:sz="0" w:space="0" w:color="auto"/>
        <w:right w:val="none" w:sz="0" w:space="0" w:color="auto"/>
      </w:divBdr>
    </w:div>
    <w:div w:id="725377146">
      <w:marLeft w:val="0"/>
      <w:marRight w:val="0"/>
      <w:marTop w:val="0"/>
      <w:marBottom w:val="0"/>
      <w:divBdr>
        <w:top w:val="none" w:sz="0" w:space="0" w:color="auto"/>
        <w:left w:val="none" w:sz="0" w:space="0" w:color="auto"/>
        <w:bottom w:val="none" w:sz="0" w:space="0" w:color="auto"/>
        <w:right w:val="none" w:sz="0" w:space="0" w:color="auto"/>
      </w:divBdr>
    </w:div>
    <w:div w:id="758067440">
      <w:bodyDiv w:val="1"/>
      <w:marLeft w:val="0"/>
      <w:marRight w:val="0"/>
      <w:marTop w:val="0"/>
      <w:marBottom w:val="0"/>
      <w:divBdr>
        <w:top w:val="none" w:sz="0" w:space="0" w:color="auto"/>
        <w:left w:val="none" w:sz="0" w:space="0" w:color="auto"/>
        <w:bottom w:val="none" w:sz="0" w:space="0" w:color="auto"/>
        <w:right w:val="none" w:sz="0" w:space="0" w:color="auto"/>
      </w:divBdr>
    </w:div>
    <w:div w:id="836506258">
      <w:bodyDiv w:val="1"/>
      <w:marLeft w:val="0"/>
      <w:marRight w:val="0"/>
      <w:marTop w:val="0"/>
      <w:marBottom w:val="0"/>
      <w:divBdr>
        <w:top w:val="none" w:sz="0" w:space="0" w:color="auto"/>
        <w:left w:val="none" w:sz="0" w:space="0" w:color="auto"/>
        <w:bottom w:val="none" w:sz="0" w:space="0" w:color="auto"/>
        <w:right w:val="none" w:sz="0" w:space="0" w:color="auto"/>
      </w:divBdr>
    </w:div>
    <w:div w:id="875315625">
      <w:bodyDiv w:val="1"/>
      <w:marLeft w:val="0"/>
      <w:marRight w:val="0"/>
      <w:marTop w:val="0"/>
      <w:marBottom w:val="0"/>
      <w:divBdr>
        <w:top w:val="none" w:sz="0" w:space="0" w:color="auto"/>
        <w:left w:val="none" w:sz="0" w:space="0" w:color="auto"/>
        <w:bottom w:val="none" w:sz="0" w:space="0" w:color="auto"/>
        <w:right w:val="none" w:sz="0" w:space="0" w:color="auto"/>
      </w:divBdr>
    </w:div>
    <w:div w:id="960495987">
      <w:bodyDiv w:val="1"/>
      <w:marLeft w:val="0"/>
      <w:marRight w:val="0"/>
      <w:marTop w:val="0"/>
      <w:marBottom w:val="0"/>
      <w:divBdr>
        <w:top w:val="none" w:sz="0" w:space="0" w:color="auto"/>
        <w:left w:val="none" w:sz="0" w:space="0" w:color="auto"/>
        <w:bottom w:val="none" w:sz="0" w:space="0" w:color="auto"/>
        <w:right w:val="none" w:sz="0" w:space="0" w:color="auto"/>
      </w:divBdr>
    </w:div>
    <w:div w:id="1089545027">
      <w:bodyDiv w:val="1"/>
      <w:marLeft w:val="0"/>
      <w:marRight w:val="0"/>
      <w:marTop w:val="0"/>
      <w:marBottom w:val="0"/>
      <w:divBdr>
        <w:top w:val="none" w:sz="0" w:space="0" w:color="auto"/>
        <w:left w:val="none" w:sz="0" w:space="0" w:color="auto"/>
        <w:bottom w:val="none" w:sz="0" w:space="0" w:color="auto"/>
        <w:right w:val="none" w:sz="0" w:space="0" w:color="auto"/>
      </w:divBdr>
      <w:divsChild>
        <w:div w:id="961573900">
          <w:marLeft w:val="0"/>
          <w:marRight w:val="0"/>
          <w:marTop w:val="0"/>
          <w:marBottom w:val="0"/>
          <w:divBdr>
            <w:top w:val="none" w:sz="0" w:space="0" w:color="auto"/>
            <w:left w:val="none" w:sz="0" w:space="0" w:color="auto"/>
            <w:bottom w:val="none" w:sz="0" w:space="0" w:color="auto"/>
            <w:right w:val="none" w:sz="0" w:space="0" w:color="auto"/>
          </w:divBdr>
        </w:div>
      </w:divsChild>
    </w:div>
    <w:div w:id="1171721108">
      <w:bodyDiv w:val="1"/>
      <w:marLeft w:val="0"/>
      <w:marRight w:val="0"/>
      <w:marTop w:val="0"/>
      <w:marBottom w:val="0"/>
      <w:divBdr>
        <w:top w:val="none" w:sz="0" w:space="0" w:color="auto"/>
        <w:left w:val="none" w:sz="0" w:space="0" w:color="auto"/>
        <w:bottom w:val="none" w:sz="0" w:space="0" w:color="auto"/>
        <w:right w:val="none" w:sz="0" w:space="0" w:color="auto"/>
      </w:divBdr>
    </w:div>
    <w:div w:id="1185512103">
      <w:bodyDiv w:val="1"/>
      <w:marLeft w:val="0"/>
      <w:marRight w:val="0"/>
      <w:marTop w:val="0"/>
      <w:marBottom w:val="0"/>
      <w:divBdr>
        <w:top w:val="none" w:sz="0" w:space="0" w:color="auto"/>
        <w:left w:val="none" w:sz="0" w:space="0" w:color="auto"/>
        <w:bottom w:val="none" w:sz="0" w:space="0" w:color="auto"/>
        <w:right w:val="none" w:sz="0" w:space="0" w:color="auto"/>
      </w:divBdr>
    </w:div>
    <w:div w:id="1254783436">
      <w:bodyDiv w:val="1"/>
      <w:marLeft w:val="0"/>
      <w:marRight w:val="0"/>
      <w:marTop w:val="0"/>
      <w:marBottom w:val="0"/>
      <w:divBdr>
        <w:top w:val="none" w:sz="0" w:space="0" w:color="auto"/>
        <w:left w:val="none" w:sz="0" w:space="0" w:color="auto"/>
        <w:bottom w:val="none" w:sz="0" w:space="0" w:color="auto"/>
        <w:right w:val="none" w:sz="0" w:space="0" w:color="auto"/>
      </w:divBdr>
    </w:div>
    <w:div w:id="1256597838">
      <w:bodyDiv w:val="1"/>
      <w:marLeft w:val="0"/>
      <w:marRight w:val="0"/>
      <w:marTop w:val="0"/>
      <w:marBottom w:val="0"/>
      <w:divBdr>
        <w:top w:val="none" w:sz="0" w:space="0" w:color="auto"/>
        <w:left w:val="none" w:sz="0" w:space="0" w:color="auto"/>
        <w:bottom w:val="none" w:sz="0" w:space="0" w:color="auto"/>
        <w:right w:val="none" w:sz="0" w:space="0" w:color="auto"/>
      </w:divBdr>
    </w:div>
    <w:div w:id="1262645592">
      <w:bodyDiv w:val="1"/>
      <w:marLeft w:val="0"/>
      <w:marRight w:val="0"/>
      <w:marTop w:val="0"/>
      <w:marBottom w:val="0"/>
      <w:divBdr>
        <w:top w:val="none" w:sz="0" w:space="0" w:color="auto"/>
        <w:left w:val="none" w:sz="0" w:space="0" w:color="auto"/>
        <w:bottom w:val="none" w:sz="0" w:space="0" w:color="auto"/>
        <w:right w:val="none" w:sz="0" w:space="0" w:color="auto"/>
      </w:divBdr>
    </w:div>
    <w:div w:id="1408724164">
      <w:bodyDiv w:val="1"/>
      <w:marLeft w:val="0"/>
      <w:marRight w:val="0"/>
      <w:marTop w:val="0"/>
      <w:marBottom w:val="0"/>
      <w:divBdr>
        <w:top w:val="none" w:sz="0" w:space="0" w:color="auto"/>
        <w:left w:val="none" w:sz="0" w:space="0" w:color="auto"/>
        <w:bottom w:val="none" w:sz="0" w:space="0" w:color="auto"/>
        <w:right w:val="none" w:sz="0" w:space="0" w:color="auto"/>
      </w:divBdr>
    </w:div>
    <w:div w:id="1446581886">
      <w:bodyDiv w:val="1"/>
      <w:marLeft w:val="0"/>
      <w:marRight w:val="0"/>
      <w:marTop w:val="0"/>
      <w:marBottom w:val="0"/>
      <w:divBdr>
        <w:top w:val="none" w:sz="0" w:space="0" w:color="auto"/>
        <w:left w:val="none" w:sz="0" w:space="0" w:color="auto"/>
        <w:bottom w:val="none" w:sz="0" w:space="0" w:color="auto"/>
        <w:right w:val="none" w:sz="0" w:space="0" w:color="auto"/>
      </w:divBdr>
    </w:div>
    <w:div w:id="1497960344">
      <w:bodyDiv w:val="1"/>
      <w:marLeft w:val="0"/>
      <w:marRight w:val="0"/>
      <w:marTop w:val="0"/>
      <w:marBottom w:val="0"/>
      <w:divBdr>
        <w:top w:val="none" w:sz="0" w:space="0" w:color="auto"/>
        <w:left w:val="none" w:sz="0" w:space="0" w:color="auto"/>
        <w:bottom w:val="none" w:sz="0" w:space="0" w:color="auto"/>
        <w:right w:val="none" w:sz="0" w:space="0" w:color="auto"/>
      </w:divBdr>
    </w:div>
    <w:div w:id="1631205618">
      <w:bodyDiv w:val="1"/>
      <w:marLeft w:val="0"/>
      <w:marRight w:val="0"/>
      <w:marTop w:val="0"/>
      <w:marBottom w:val="0"/>
      <w:divBdr>
        <w:top w:val="none" w:sz="0" w:space="0" w:color="auto"/>
        <w:left w:val="none" w:sz="0" w:space="0" w:color="auto"/>
        <w:bottom w:val="none" w:sz="0" w:space="0" w:color="auto"/>
        <w:right w:val="none" w:sz="0" w:space="0" w:color="auto"/>
      </w:divBdr>
    </w:div>
    <w:div w:id="1713579167">
      <w:bodyDiv w:val="1"/>
      <w:marLeft w:val="0"/>
      <w:marRight w:val="0"/>
      <w:marTop w:val="0"/>
      <w:marBottom w:val="0"/>
      <w:divBdr>
        <w:top w:val="none" w:sz="0" w:space="0" w:color="auto"/>
        <w:left w:val="none" w:sz="0" w:space="0" w:color="auto"/>
        <w:bottom w:val="none" w:sz="0" w:space="0" w:color="auto"/>
        <w:right w:val="none" w:sz="0" w:space="0" w:color="auto"/>
      </w:divBdr>
      <w:divsChild>
        <w:div w:id="1353337261">
          <w:marLeft w:val="0"/>
          <w:marRight w:val="0"/>
          <w:marTop w:val="0"/>
          <w:marBottom w:val="0"/>
          <w:divBdr>
            <w:top w:val="none" w:sz="0" w:space="0" w:color="auto"/>
            <w:left w:val="none" w:sz="0" w:space="0" w:color="auto"/>
            <w:bottom w:val="none" w:sz="0" w:space="0" w:color="auto"/>
            <w:right w:val="none" w:sz="0" w:space="0" w:color="auto"/>
          </w:divBdr>
        </w:div>
      </w:divsChild>
    </w:div>
    <w:div w:id="182014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DAC8E-6429-4112-AFAC-8C2BF0B0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4301</Words>
  <Characters>24518</Characters>
  <Application>Microsoft Office Word</Application>
  <DocSecurity>0</DocSecurity>
  <Lines>544</Lines>
  <Paragraphs>271</Paragraphs>
  <ScaleCrop>false</ScaleCrop>
  <HeadingPairs>
    <vt:vector size="2" baseType="variant">
      <vt:variant>
        <vt:lpstr>Título</vt:lpstr>
      </vt:variant>
      <vt:variant>
        <vt:i4>1</vt:i4>
      </vt:variant>
    </vt:vector>
  </HeadingPairs>
  <TitlesOfParts>
    <vt:vector size="1" baseType="lpstr">
      <vt:lpstr>APUNTES SOBRE LA ACTUALIDAD FISCAL</vt:lpstr>
    </vt:vector>
  </TitlesOfParts>
  <Company>Atlantis Hotels</Company>
  <LinksUpToDate>false</LinksUpToDate>
  <CharactersWithSpaces>28548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APUNTES SOBRE LA ACTUALIDAD FISCAL</dc:title>
  <dc:creator>Juan Lorente</dc:creator>
  <cp:lastModifiedBy>Jose Luis Chico Bersabe</cp:lastModifiedBy>
  <cp:revision>26</cp:revision>
  <cp:lastPrinted>2019-01-30T09:58:00Z</cp:lastPrinted>
  <dcterms:created xsi:type="dcterms:W3CDTF">2026-01-16T17:19:00Z</dcterms:created>
  <dcterms:modified xsi:type="dcterms:W3CDTF">2026-02-01T12:24:00Z</dcterms:modified>
</cp:coreProperties>
</file>