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8" w:type="dxa"/>
        <w:tblCellMar>
          <w:left w:w="70" w:type="dxa"/>
          <w:right w:w="70" w:type="dxa"/>
        </w:tblCellMar>
        <w:tblLook w:val="0000" w:firstRow="0" w:lastRow="0" w:firstColumn="0" w:lastColumn="0" w:noHBand="0" w:noVBand="0"/>
      </w:tblPr>
      <w:tblGrid>
        <w:gridCol w:w="1441"/>
        <w:gridCol w:w="7131"/>
      </w:tblGrid>
      <w:tr w:rsidR="003408C1" w:rsidRPr="00B5365D" w14:paraId="35F39A34" w14:textId="77777777">
        <w:trPr>
          <w:trHeight w:val="889"/>
        </w:trPr>
        <w:tc>
          <w:tcPr>
            <w:tcW w:w="1441" w:type="dxa"/>
            <w:shd w:val="clear" w:color="auto" w:fill="000000"/>
            <w:vAlign w:val="center"/>
          </w:tcPr>
          <w:p w14:paraId="25865B7F" w14:textId="77777777" w:rsidR="003408C1" w:rsidRPr="000B01AE" w:rsidRDefault="003408C1">
            <w:pPr>
              <w:pStyle w:val="Asuntodelcomentario"/>
              <w:rPr>
                <w:rFonts w:ascii="Verdana" w:hAnsi="Verdana" w:cs="Verdana"/>
              </w:rPr>
            </w:pPr>
            <w:r w:rsidRPr="000B01AE">
              <w:rPr>
                <w:rFonts w:ascii="Verdana" w:hAnsi="Verdana" w:cs="Verdana"/>
              </w:rPr>
              <w:t>DICIEMBRE</w:t>
            </w:r>
          </w:p>
          <w:p w14:paraId="2E70DFD2" w14:textId="236E3105" w:rsidR="003408C1" w:rsidRPr="00B5365D" w:rsidRDefault="003408C1" w:rsidP="00847463">
            <w:pPr>
              <w:jc w:val="center"/>
              <w:rPr>
                <w:rFonts w:ascii="Verdana" w:hAnsi="Verdana" w:cs="Verdana"/>
                <w:b/>
                <w:bCs/>
                <w:sz w:val="22"/>
                <w:szCs w:val="22"/>
              </w:rPr>
            </w:pPr>
            <w:r>
              <w:rPr>
                <w:rFonts w:ascii="Verdana" w:hAnsi="Verdana" w:cs="Verdana"/>
                <w:b/>
                <w:bCs/>
              </w:rPr>
              <w:t>20</w:t>
            </w:r>
            <w:r w:rsidR="00E46BFE">
              <w:rPr>
                <w:rFonts w:ascii="Verdana" w:hAnsi="Verdana" w:cs="Verdana"/>
                <w:b/>
                <w:bCs/>
              </w:rPr>
              <w:t>2</w:t>
            </w:r>
            <w:r w:rsidR="00B3440B">
              <w:rPr>
                <w:rFonts w:ascii="Verdana" w:hAnsi="Verdana" w:cs="Verdana"/>
                <w:b/>
                <w:bCs/>
              </w:rPr>
              <w:t>5</w:t>
            </w:r>
          </w:p>
        </w:tc>
        <w:tc>
          <w:tcPr>
            <w:tcW w:w="7203" w:type="dxa"/>
            <w:shd w:val="clear" w:color="auto" w:fill="993300"/>
            <w:vAlign w:val="center"/>
          </w:tcPr>
          <w:p w14:paraId="3B47361C" w14:textId="77777777" w:rsidR="003408C1" w:rsidRPr="000B01AE" w:rsidRDefault="003408C1">
            <w:pPr>
              <w:jc w:val="center"/>
              <w:rPr>
                <w:rFonts w:ascii="Verdana" w:hAnsi="Verdana" w:cs="Verdana"/>
                <w:b/>
                <w:bCs/>
                <w:color w:val="FFFFFF"/>
                <w:sz w:val="24"/>
                <w:szCs w:val="24"/>
              </w:rPr>
            </w:pPr>
            <w:r w:rsidRPr="000B01AE">
              <w:rPr>
                <w:rFonts w:ascii="Verdana" w:hAnsi="Verdana" w:cs="Verdana"/>
                <w:b/>
                <w:bCs/>
                <w:color w:val="FFFFFF"/>
                <w:sz w:val="24"/>
                <w:szCs w:val="24"/>
              </w:rPr>
              <w:t>APUNTES SOBRE LA ACTUALIDAD FISCAL</w:t>
            </w:r>
          </w:p>
        </w:tc>
      </w:tr>
    </w:tbl>
    <w:p w14:paraId="5D6F820C" w14:textId="77777777" w:rsidR="003408C1" w:rsidRDefault="003408C1">
      <w:pPr>
        <w:pStyle w:val="Subttulo"/>
        <w:widowControl/>
        <w:rPr>
          <w:rFonts w:ascii="Verdana" w:hAnsi="Verdana" w:cs="Verdana"/>
          <w:sz w:val="22"/>
          <w:szCs w:val="22"/>
        </w:rPr>
      </w:pPr>
      <w:r w:rsidRPr="00B5365D">
        <w:rPr>
          <w:rFonts w:ascii="Verdana" w:hAnsi="Verdana" w:cs="Verdana"/>
          <w:sz w:val="22"/>
          <w:szCs w:val="22"/>
        </w:rPr>
        <w:t xml:space="preserve">       </w:t>
      </w:r>
    </w:p>
    <w:p w14:paraId="19DCF94D" w14:textId="77777777" w:rsidR="003408C1" w:rsidRPr="00B5365D" w:rsidRDefault="003408C1">
      <w:pPr>
        <w:pStyle w:val="Subttulo"/>
        <w:widowControl/>
        <w:rPr>
          <w:rFonts w:ascii="Verdana" w:hAnsi="Verdana" w:cs="Verdana"/>
          <w:sz w:val="22"/>
          <w:szCs w:val="22"/>
        </w:rPr>
      </w:pPr>
    </w:p>
    <w:p w14:paraId="4D54CAE0" w14:textId="77777777" w:rsidR="003408C1" w:rsidRPr="000B01AE" w:rsidRDefault="003408C1">
      <w:pPr>
        <w:pStyle w:val="Ttulo3"/>
        <w:widowControl/>
        <w:rPr>
          <w:rFonts w:ascii="Verdana" w:hAnsi="Verdana" w:cs="Verdana"/>
          <w:color w:val="800000"/>
        </w:rPr>
      </w:pPr>
      <w:r w:rsidRPr="000B01AE">
        <w:rPr>
          <w:rFonts w:ascii="Verdana" w:hAnsi="Verdana" w:cs="Verdana"/>
          <w:color w:val="800000"/>
        </w:rPr>
        <w:t>SUMARIO</w:t>
      </w:r>
    </w:p>
    <w:p w14:paraId="48F7CD4A" w14:textId="77777777" w:rsidR="003408C1" w:rsidRDefault="003408C1">
      <w:pPr>
        <w:jc w:val="both"/>
        <w:rPr>
          <w:rFonts w:ascii="Verdana" w:hAnsi="Verdana" w:cs="Verdana"/>
          <w:b/>
          <w:bCs/>
          <w:i/>
          <w:iCs/>
          <w:color w:val="800000"/>
          <w:sz w:val="18"/>
          <w:szCs w:val="18"/>
        </w:rPr>
      </w:pPr>
    </w:p>
    <w:p w14:paraId="1A4A39A4" w14:textId="77777777" w:rsidR="002A05E5" w:rsidRDefault="002A05E5" w:rsidP="006D6F69">
      <w:pPr>
        <w:tabs>
          <w:tab w:val="left" w:pos="426"/>
        </w:tabs>
        <w:ind w:left="426"/>
        <w:jc w:val="both"/>
        <w:rPr>
          <w:rFonts w:ascii="Verdana" w:hAnsi="Verdana" w:cs="Verdana"/>
          <w:b/>
          <w:bCs/>
          <w:i/>
          <w:iCs/>
          <w:color w:val="800000"/>
          <w:sz w:val="18"/>
          <w:szCs w:val="18"/>
        </w:rPr>
      </w:pPr>
    </w:p>
    <w:p w14:paraId="147F1C43" w14:textId="10C2F66A" w:rsidR="008039DB" w:rsidRDefault="001F3ACD">
      <w:pPr>
        <w:pStyle w:val="Prrafodelista"/>
        <w:numPr>
          <w:ilvl w:val="0"/>
          <w:numId w:val="4"/>
        </w:numPr>
        <w:tabs>
          <w:tab w:val="clear" w:pos="720"/>
          <w:tab w:val="num" w:pos="426"/>
        </w:tabs>
        <w:ind w:left="426" w:hanging="426"/>
        <w:jc w:val="both"/>
        <w:rPr>
          <w:rFonts w:ascii="Verdana" w:hAnsi="Verdana" w:cs="Verdana"/>
          <w:b/>
          <w:bCs/>
          <w:i/>
          <w:iCs/>
          <w:color w:val="800000"/>
          <w:sz w:val="18"/>
          <w:szCs w:val="18"/>
        </w:rPr>
      </w:pPr>
      <w:r>
        <w:rPr>
          <w:rFonts w:ascii="Verdana" w:hAnsi="Verdana" w:cs="Verdana"/>
          <w:b/>
          <w:bCs/>
          <w:i/>
          <w:iCs/>
          <w:color w:val="800000"/>
          <w:sz w:val="18"/>
          <w:szCs w:val="18"/>
        </w:rPr>
        <w:t>APROBADOS</w:t>
      </w:r>
      <w:r w:rsidRPr="001F3ACD">
        <w:rPr>
          <w:rFonts w:ascii="Verdana" w:hAnsi="Verdana" w:cs="Verdana"/>
          <w:b/>
          <w:bCs/>
          <w:i/>
          <w:iCs/>
          <w:color w:val="800000"/>
          <w:sz w:val="18"/>
          <w:szCs w:val="18"/>
        </w:rPr>
        <w:t xml:space="preserve"> LOS MODELOS DE COMUNICACIÓN, DECLARACIÓN INFORMATIVA Y AUTOLIQUIDACIÓN DEL IMPUESTO MÍNIMO GLOBA</w:t>
      </w:r>
      <w:r>
        <w:rPr>
          <w:rFonts w:ascii="Verdana" w:hAnsi="Verdana" w:cs="Verdana"/>
          <w:b/>
          <w:bCs/>
          <w:i/>
          <w:iCs/>
          <w:color w:val="800000"/>
          <w:sz w:val="18"/>
          <w:szCs w:val="18"/>
        </w:rPr>
        <w:t>L</w:t>
      </w:r>
    </w:p>
    <w:p w14:paraId="0A5FBC89" w14:textId="3B251C75" w:rsidR="008039DB" w:rsidRDefault="001F3ACD" w:rsidP="008039DB">
      <w:pPr>
        <w:pStyle w:val="Prrafodelista"/>
        <w:ind w:left="426"/>
        <w:jc w:val="both"/>
        <w:rPr>
          <w:rFonts w:ascii="Verdana" w:hAnsi="Verdana" w:cs="Verdana"/>
          <w:b/>
          <w:bCs/>
          <w:i/>
          <w:iCs/>
          <w:color w:val="800000"/>
          <w:sz w:val="18"/>
          <w:szCs w:val="18"/>
        </w:rPr>
      </w:pPr>
      <w:r w:rsidRPr="001F3ACD">
        <w:rPr>
          <w:rFonts w:ascii="Verdana" w:hAnsi="Verdana" w:cs="Verdana"/>
          <w:b/>
          <w:bCs/>
          <w:i/>
          <w:iCs/>
          <w:color w:val="800000"/>
          <w:sz w:val="18"/>
          <w:szCs w:val="18"/>
        </w:rPr>
        <w:t>Los modelos 240, 241 y 242 se deben presentar por primera vez en relación con los ejercicios iniciados en 2024</w:t>
      </w:r>
      <w:r w:rsidR="008039DB" w:rsidRPr="008039DB">
        <w:rPr>
          <w:rFonts w:ascii="Verdana" w:hAnsi="Verdana" w:cs="Verdana"/>
          <w:b/>
          <w:bCs/>
          <w:i/>
          <w:iCs/>
          <w:color w:val="800000"/>
          <w:sz w:val="18"/>
          <w:szCs w:val="18"/>
        </w:rPr>
        <w:t>.</w:t>
      </w:r>
    </w:p>
    <w:p w14:paraId="55E91BB1" w14:textId="77777777" w:rsidR="006133D2" w:rsidRDefault="006133D2" w:rsidP="008039DB">
      <w:pPr>
        <w:pStyle w:val="Prrafodelista"/>
        <w:ind w:left="426"/>
        <w:jc w:val="both"/>
        <w:rPr>
          <w:rFonts w:ascii="Verdana" w:hAnsi="Verdana" w:cs="Verdana"/>
          <w:b/>
          <w:bCs/>
          <w:i/>
          <w:iCs/>
          <w:color w:val="800000"/>
          <w:sz w:val="18"/>
          <w:szCs w:val="18"/>
        </w:rPr>
      </w:pPr>
    </w:p>
    <w:p w14:paraId="02A3A91B" w14:textId="76BAB316" w:rsidR="006133D2" w:rsidRPr="008039DB" w:rsidRDefault="00FA417B">
      <w:pPr>
        <w:pStyle w:val="Prrafodelista"/>
        <w:numPr>
          <w:ilvl w:val="0"/>
          <w:numId w:val="4"/>
        </w:numPr>
        <w:tabs>
          <w:tab w:val="clear" w:pos="720"/>
        </w:tabs>
        <w:ind w:left="426" w:hanging="426"/>
        <w:jc w:val="both"/>
        <w:rPr>
          <w:rFonts w:ascii="Verdana" w:hAnsi="Verdana" w:cs="Verdana"/>
          <w:b/>
          <w:bCs/>
          <w:i/>
          <w:iCs/>
          <w:color w:val="800000"/>
          <w:sz w:val="18"/>
          <w:szCs w:val="18"/>
        </w:rPr>
      </w:pPr>
      <w:r>
        <w:rPr>
          <w:rFonts w:ascii="Verdana" w:hAnsi="Verdana" w:cs="Verdana"/>
          <w:b/>
          <w:bCs/>
          <w:i/>
          <w:iCs/>
          <w:color w:val="800000"/>
          <w:sz w:val="18"/>
          <w:szCs w:val="18"/>
        </w:rPr>
        <w:t xml:space="preserve">I.S.- </w:t>
      </w:r>
      <w:r w:rsidR="006133D2" w:rsidRPr="006133D2">
        <w:rPr>
          <w:rFonts w:ascii="Verdana" w:hAnsi="Verdana" w:cs="Verdana"/>
          <w:b/>
          <w:bCs/>
          <w:i/>
          <w:iCs/>
          <w:color w:val="800000"/>
          <w:sz w:val="18"/>
          <w:szCs w:val="18"/>
        </w:rPr>
        <w:t xml:space="preserve">EL TEAC CONFIRMA QUE LAS APORTACIONES DE SOCIOS QUE EXCEDAN DE SU PORCENTAJE DE PARTICIPACIÓN TENDRÁN LA CONSIDERACIÓN DE INGRESO A EFECTOS DEL </w:t>
      </w:r>
      <w:r w:rsidR="00967278">
        <w:rPr>
          <w:rFonts w:ascii="Verdana" w:hAnsi="Verdana" w:cs="Verdana"/>
          <w:b/>
          <w:bCs/>
          <w:i/>
          <w:iCs/>
          <w:color w:val="800000"/>
          <w:sz w:val="18"/>
          <w:szCs w:val="18"/>
        </w:rPr>
        <w:t>IMPUESTO SOBRE SOCIEDADES</w:t>
      </w:r>
    </w:p>
    <w:p w14:paraId="7EF0575F" w14:textId="437C5E42" w:rsidR="00634BB6" w:rsidRDefault="006133D2" w:rsidP="00634BB6">
      <w:pPr>
        <w:pStyle w:val="Prrafodelista"/>
        <w:tabs>
          <w:tab w:val="left" w:pos="426"/>
        </w:tabs>
        <w:ind w:left="426"/>
        <w:jc w:val="both"/>
        <w:rPr>
          <w:rFonts w:ascii="Verdana" w:hAnsi="Verdana" w:cs="Verdana"/>
          <w:b/>
          <w:bCs/>
          <w:i/>
          <w:iCs/>
          <w:color w:val="800000"/>
          <w:sz w:val="18"/>
          <w:szCs w:val="18"/>
        </w:rPr>
      </w:pPr>
      <w:r w:rsidRPr="006133D2">
        <w:rPr>
          <w:rFonts w:ascii="Verdana" w:hAnsi="Verdana" w:cs="Verdana"/>
          <w:b/>
          <w:bCs/>
          <w:i/>
          <w:iCs/>
          <w:color w:val="800000"/>
          <w:sz w:val="18"/>
          <w:szCs w:val="18"/>
        </w:rPr>
        <w:t>A pesar de que se trata de un pronunciamiento aislado y relacionado con la NF 2/2014, dicho pronunciamiento viene a confirmar que el criterio interpretativo que realiza la AEAT es cuanto menos, cuestionable, al no tener respaldo normativo alguno.</w:t>
      </w:r>
    </w:p>
    <w:p w14:paraId="0625525A" w14:textId="77777777" w:rsidR="00694F6E" w:rsidRDefault="00694F6E" w:rsidP="00634BB6">
      <w:pPr>
        <w:pStyle w:val="Prrafodelista"/>
        <w:tabs>
          <w:tab w:val="left" w:pos="426"/>
        </w:tabs>
        <w:ind w:left="426"/>
        <w:jc w:val="both"/>
        <w:rPr>
          <w:rFonts w:ascii="Verdana" w:hAnsi="Verdana" w:cs="Verdana"/>
          <w:b/>
          <w:bCs/>
          <w:i/>
          <w:iCs/>
          <w:color w:val="800000"/>
          <w:sz w:val="18"/>
          <w:szCs w:val="18"/>
        </w:rPr>
      </w:pPr>
    </w:p>
    <w:p w14:paraId="6582BC2C" w14:textId="5113FB9A" w:rsidR="00694F6E" w:rsidRPr="00634BB6" w:rsidRDefault="00694F6E">
      <w:pPr>
        <w:pStyle w:val="Prrafodelista"/>
        <w:numPr>
          <w:ilvl w:val="0"/>
          <w:numId w:val="4"/>
        </w:numPr>
        <w:tabs>
          <w:tab w:val="clear" w:pos="720"/>
          <w:tab w:val="left" w:pos="426"/>
          <w:tab w:val="num" w:pos="567"/>
        </w:tabs>
        <w:ind w:left="426" w:hanging="426"/>
        <w:jc w:val="both"/>
        <w:rPr>
          <w:rFonts w:ascii="Verdana" w:hAnsi="Verdana" w:cs="Verdana"/>
          <w:b/>
          <w:bCs/>
          <w:i/>
          <w:iCs/>
          <w:color w:val="800000"/>
          <w:sz w:val="18"/>
          <w:szCs w:val="18"/>
        </w:rPr>
      </w:pPr>
      <w:r w:rsidRPr="00694F6E">
        <w:rPr>
          <w:rFonts w:ascii="Verdana" w:hAnsi="Verdana" w:cs="Verdana"/>
          <w:b/>
          <w:bCs/>
          <w:i/>
          <w:iCs/>
          <w:color w:val="800000"/>
          <w:sz w:val="18"/>
          <w:szCs w:val="18"/>
        </w:rPr>
        <w:t>EL TEAC</w:t>
      </w:r>
      <w:r>
        <w:rPr>
          <w:rFonts w:ascii="Verdana" w:hAnsi="Verdana" w:cs="Verdana"/>
          <w:b/>
          <w:bCs/>
          <w:i/>
          <w:iCs/>
          <w:color w:val="800000"/>
          <w:sz w:val="18"/>
          <w:szCs w:val="18"/>
        </w:rPr>
        <w:t>,</w:t>
      </w:r>
      <w:r w:rsidRPr="00694F6E">
        <w:rPr>
          <w:rFonts w:ascii="Verdana" w:hAnsi="Verdana" w:cs="Verdana"/>
          <w:b/>
          <w:bCs/>
          <w:i/>
          <w:iCs/>
          <w:color w:val="800000"/>
          <w:sz w:val="18"/>
          <w:szCs w:val="18"/>
        </w:rPr>
        <w:t xml:space="preserve"> SIGUIENDO EL CRITERIO DEL </w:t>
      </w:r>
      <w:r w:rsidR="00E32955">
        <w:rPr>
          <w:rFonts w:ascii="Verdana" w:hAnsi="Verdana" w:cs="Verdana"/>
          <w:b/>
          <w:bCs/>
          <w:i/>
          <w:iCs/>
          <w:color w:val="800000"/>
          <w:sz w:val="18"/>
          <w:szCs w:val="18"/>
        </w:rPr>
        <w:t>TRIBUNAL SUPREMO</w:t>
      </w:r>
      <w:r w:rsidRPr="00694F6E">
        <w:rPr>
          <w:rFonts w:ascii="Verdana" w:hAnsi="Verdana" w:cs="Verdana"/>
          <w:b/>
          <w:bCs/>
          <w:i/>
          <w:iCs/>
          <w:color w:val="800000"/>
          <w:sz w:val="18"/>
          <w:szCs w:val="18"/>
        </w:rPr>
        <w:t>, ESTABLECE EN UNIFICACIÓN DE CRITERIO QUE LAS DIETAS TIENEN NATURALEZA EXTRASALARIAL Y SON PLENAMENTE EMBARGABLES AL NO CONSIDERARSE SUELDO</w:t>
      </w:r>
    </w:p>
    <w:p w14:paraId="24010886" w14:textId="77777777" w:rsidR="00B720FC" w:rsidRDefault="00286277" w:rsidP="0053048C">
      <w:pPr>
        <w:pStyle w:val="Prrafodelista"/>
        <w:ind w:left="426"/>
        <w:jc w:val="both"/>
        <w:rPr>
          <w:rFonts w:ascii="Verdana" w:hAnsi="Verdana" w:cs="Verdana"/>
          <w:b/>
          <w:bCs/>
          <w:i/>
          <w:iCs/>
          <w:color w:val="800000"/>
          <w:sz w:val="18"/>
          <w:szCs w:val="18"/>
        </w:rPr>
      </w:pPr>
      <w:r w:rsidRPr="00286277">
        <w:rPr>
          <w:rFonts w:ascii="Verdana" w:hAnsi="Verdana" w:cs="Verdana"/>
          <w:b/>
          <w:bCs/>
          <w:i/>
          <w:iCs/>
          <w:color w:val="800000"/>
          <w:sz w:val="18"/>
          <w:szCs w:val="18"/>
        </w:rPr>
        <w:t>Desde el punto de vista del procedimiento de recaudación, se reconoce el embargo de las cuantías satisfechas en concepto de dietas</w:t>
      </w:r>
      <w:r w:rsidR="00B720FC">
        <w:rPr>
          <w:rFonts w:ascii="Verdana" w:hAnsi="Verdana" w:cs="Verdana"/>
          <w:b/>
          <w:bCs/>
          <w:i/>
          <w:iCs/>
          <w:color w:val="800000"/>
          <w:sz w:val="18"/>
          <w:szCs w:val="18"/>
        </w:rPr>
        <w:t>.</w:t>
      </w:r>
    </w:p>
    <w:p w14:paraId="2386A04F" w14:textId="77777777" w:rsidR="00B720FC" w:rsidRDefault="00B720FC" w:rsidP="0053048C">
      <w:pPr>
        <w:pStyle w:val="Prrafodelista"/>
        <w:ind w:left="426"/>
        <w:jc w:val="both"/>
        <w:rPr>
          <w:rFonts w:ascii="Verdana" w:hAnsi="Verdana" w:cs="Verdana"/>
          <w:b/>
          <w:bCs/>
          <w:i/>
          <w:iCs/>
          <w:color w:val="800000"/>
          <w:sz w:val="18"/>
          <w:szCs w:val="18"/>
        </w:rPr>
      </w:pPr>
    </w:p>
    <w:p w14:paraId="44F91C38" w14:textId="4A6BD4FD" w:rsidR="00B720FC" w:rsidRDefault="00FA417B">
      <w:pPr>
        <w:pStyle w:val="Prrafodelista"/>
        <w:numPr>
          <w:ilvl w:val="0"/>
          <w:numId w:val="4"/>
        </w:numPr>
        <w:tabs>
          <w:tab w:val="clear" w:pos="720"/>
          <w:tab w:val="num" w:pos="426"/>
        </w:tabs>
        <w:ind w:left="426" w:hanging="426"/>
        <w:jc w:val="both"/>
        <w:rPr>
          <w:rFonts w:ascii="Verdana" w:hAnsi="Verdana" w:cs="Verdana"/>
          <w:b/>
          <w:bCs/>
          <w:i/>
          <w:iCs/>
          <w:color w:val="800000"/>
          <w:sz w:val="18"/>
          <w:szCs w:val="18"/>
        </w:rPr>
      </w:pPr>
      <w:r>
        <w:rPr>
          <w:rFonts w:ascii="Verdana" w:hAnsi="Verdana" w:cs="Verdana"/>
          <w:b/>
          <w:bCs/>
          <w:i/>
          <w:iCs/>
          <w:color w:val="800000"/>
          <w:sz w:val="18"/>
          <w:szCs w:val="18"/>
        </w:rPr>
        <w:t xml:space="preserve">IRPF. - </w:t>
      </w:r>
      <w:r w:rsidRPr="00FA417B">
        <w:rPr>
          <w:rFonts w:ascii="Verdana" w:hAnsi="Verdana" w:cs="Verdana"/>
          <w:b/>
          <w:bCs/>
          <w:i/>
          <w:iCs/>
          <w:color w:val="800000"/>
          <w:sz w:val="18"/>
          <w:szCs w:val="18"/>
        </w:rPr>
        <w:t>PUEDE CONSIDERARSE INVERSIÓN A EFECTOS DE SU POSIBLE DEDUCCIÓN FISCAL</w:t>
      </w:r>
      <w:r>
        <w:rPr>
          <w:rFonts w:ascii="Verdana" w:hAnsi="Verdana" w:cs="Verdana"/>
          <w:b/>
          <w:bCs/>
          <w:i/>
          <w:iCs/>
          <w:color w:val="800000"/>
          <w:sz w:val="18"/>
          <w:szCs w:val="18"/>
        </w:rPr>
        <w:t>,</w:t>
      </w:r>
      <w:r w:rsidRPr="00FA417B">
        <w:rPr>
          <w:rFonts w:ascii="Verdana" w:hAnsi="Verdana" w:cs="Verdana"/>
          <w:b/>
          <w:bCs/>
          <w:i/>
          <w:iCs/>
          <w:color w:val="800000"/>
          <w:sz w:val="18"/>
          <w:szCs w:val="18"/>
        </w:rPr>
        <w:t xml:space="preserve"> </w:t>
      </w:r>
      <w:r>
        <w:rPr>
          <w:rFonts w:ascii="Verdana" w:hAnsi="Verdana" w:cs="Verdana"/>
          <w:b/>
          <w:bCs/>
          <w:i/>
          <w:iCs/>
          <w:color w:val="800000"/>
          <w:sz w:val="18"/>
          <w:szCs w:val="18"/>
        </w:rPr>
        <w:t>LA CANCELACIÓN</w:t>
      </w:r>
      <w:r w:rsidRPr="00FA417B">
        <w:rPr>
          <w:rFonts w:ascii="Verdana" w:hAnsi="Verdana" w:cs="Verdana"/>
          <w:b/>
          <w:bCs/>
          <w:i/>
          <w:iCs/>
          <w:color w:val="800000"/>
          <w:sz w:val="18"/>
          <w:szCs w:val="18"/>
        </w:rPr>
        <w:t xml:space="preserve"> </w:t>
      </w:r>
      <w:r>
        <w:rPr>
          <w:rFonts w:ascii="Verdana" w:hAnsi="Verdana" w:cs="Verdana"/>
          <w:b/>
          <w:bCs/>
          <w:i/>
          <w:iCs/>
          <w:color w:val="800000"/>
          <w:sz w:val="18"/>
          <w:szCs w:val="18"/>
        </w:rPr>
        <w:t>D</w:t>
      </w:r>
      <w:r w:rsidRPr="00FA417B">
        <w:rPr>
          <w:rFonts w:ascii="Verdana" w:hAnsi="Verdana" w:cs="Verdana"/>
          <w:b/>
          <w:bCs/>
          <w:i/>
          <w:iCs/>
          <w:color w:val="800000"/>
          <w:sz w:val="18"/>
          <w:szCs w:val="18"/>
        </w:rPr>
        <w:t>EL PRÉSTAMO HIPOTECARIO CON LAS CANTIDADES DERIVADAS DE LA VENTA DE LA VIVIENDA HABITUAL</w:t>
      </w:r>
    </w:p>
    <w:p w14:paraId="54851324" w14:textId="52FF97E4" w:rsidR="00B720FC" w:rsidRDefault="00FA417B" w:rsidP="0053048C">
      <w:pPr>
        <w:pStyle w:val="Prrafodelista"/>
        <w:ind w:left="426"/>
        <w:jc w:val="both"/>
        <w:rPr>
          <w:rFonts w:ascii="Verdana" w:hAnsi="Verdana" w:cs="Verdana"/>
          <w:b/>
          <w:bCs/>
          <w:i/>
          <w:iCs/>
          <w:color w:val="800000"/>
          <w:sz w:val="18"/>
          <w:szCs w:val="18"/>
        </w:rPr>
      </w:pPr>
      <w:r>
        <w:rPr>
          <w:rFonts w:ascii="Verdana" w:hAnsi="Verdana" w:cs="Verdana"/>
          <w:b/>
          <w:bCs/>
          <w:i/>
          <w:iCs/>
          <w:color w:val="800000"/>
          <w:sz w:val="18"/>
          <w:szCs w:val="18"/>
        </w:rPr>
        <w:t>Así lo resuelva el TEAC en resolución de 20 de octubre de 2025, Rec. 2995/2025.</w:t>
      </w:r>
    </w:p>
    <w:p w14:paraId="383A03CD" w14:textId="77777777" w:rsidR="005C5BA8" w:rsidRDefault="005C5BA8" w:rsidP="0053048C">
      <w:pPr>
        <w:pStyle w:val="Prrafodelista"/>
        <w:ind w:left="426"/>
        <w:jc w:val="both"/>
        <w:rPr>
          <w:rFonts w:ascii="Verdana" w:hAnsi="Verdana" w:cs="Verdana"/>
          <w:b/>
          <w:bCs/>
          <w:i/>
          <w:iCs/>
          <w:color w:val="800000"/>
          <w:sz w:val="18"/>
          <w:szCs w:val="18"/>
        </w:rPr>
      </w:pPr>
    </w:p>
    <w:p w14:paraId="4FE26648" w14:textId="53269382" w:rsidR="004422B3" w:rsidRPr="004422B3" w:rsidRDefault="005C5BA8">
      <w:pPr>
        <w:pStyle w:val="Prrafodelista"/>
        <w:numPr>
          <w:ilvl w:val="0"/>
          <w:numId w:val="4"/>
        </w:numPr>
        <w:tabs>
          <w:tab w:val="clear" w:pos="720"/>
          <w:tab w:val="num" w:pos="426"/>
        </w:tabs>
        <w:ind w:left="426" w:hanging="426"/>
        <w:jc w:val="both"/>
        <w:rPr>
          <w:rFonts w:ascii="Verdana" w:hAnsi="Verdana" w:cs="Verdana"/>
          <w:b/>
          <w:bCs/>
          <w:i/>
          <w:iCs/>
          <w:color w:val="800000"/>
          <w:sz w:val="18"/>
          <w:szCs w:val="18"/>
        </w:rPr>
      </w:pPr>
      <w:r w:rsidRPr="005C5BA8">
        <w:rPr>
          <w:rFonts w:ascii="Verdana" w:hAnsi="Verdana" w:cs="Verdana"/>
          <w:b/>
          <w:bCs/>
          <w:i/>
          <w:iCs/>
          <w:color w:val="800000"/>
          <w:sz w:val="18"/>
          <w:szCs w:val="18"/>
        </w:rPr>
        <w:t xml:space="preserve">EL </w:t>
      </w:r>
      <w:r>
        <w:rPr>
          <w:rFonts w:ascii="Verdana" w:hAnsi="Verdana" w:cs="Verdana"/>
          <w:b/>
          <w:bCs/>
          <w:i/>
          <w:iCs/>
          <w:color w:val="800000"/>
          <w:sz w:val="18"/>
          <w:szCs w:val="18"/>
        </w:rPr>
        <w:t>TR</w:t>
      </w:r>
      <w:r w:rsidR="003476DE">
        <w:rPr>
          <w:rFonts w:ascii="Verdana" w:hAnsi="Verdana" w:cs="Verdana"/>
          <w:b/>
          <w:bCs/>
          <w:i/>
          <w:iCs/>
          <w:color w:val="800000"/>
          <w:sz w:val="18"/>
          <w:szCs w:val="18"/>
        </w:rPr>
        <w:t>I</w:t>
      </w:r>
      <w:r>
        <w:rPr>
          <w:rFonts w:ascii="Verdana" w:hAnsi="Verdana" w:cs="Verdana"/>
          <w:b/>
          <w:bCs/>
          <w:i/>
          <w:iCs/>
          <w:color w:val="800000"/>
          <w:sz w:val="18"/>
          <w:szCs w:val="18"/>
        </w:rPr>
        <w:t>BUNAL SUPREMO</w:t>
      </w:r>
      <w:r w:rsidRPr="005C5BA8">
        <w:rPr>
          <w:rFonts w:ascii="Verdana" w:hAnsi="Verdana" w:cs="Verdana"/>
          <w:b/>
          <w:bCs/>
          <w:i/>
          <w:iCs/>
          <w:color w:val="800000"/>
          <w:sz w:val="18"/>
          <w:szCs w:val="18"/>
        </w:rPr>
        <w:t xml:space="preserve"> REITERA SU DOCTRINA SOBRE LA INCUESTIONABILIDAD DE LOS CERTIFICADOS DE RESIDENCIA FISCAL EXPEDIDOS POR LA AUTORIDAD COMPETENTE DE UN ESTADO CONTRAT</w:t>
      </w:r>
      <w:r w:rsidRPr="004422B3">
        <w:rPr>
          <w:rFonts w:ascii="Verdana" w:hAnsi="Verdana" w:cs="Verdana"/>
          <w:b/>
          <w:bCs/>
          <w:i/>
          <w:iCs/>
          <w:color w:val="800000"/>
          <w:sz w:val="18"/>
          <w:szCs w:val="18"/>
        </w:rPr>
        <w:t xml:space="preserve">ANTE EN EL SENTIDO </w:t>
      </w:r>
      <w:r w:rsidR="0046209E">
        <w:rPr>
          <w:rFonts w:ascii="Verdana" w:hAnsi="Verdana" w:cs="Verdana"/>
          <w:b/>
          <w:bCs/>
          <w:i/>
          <w:iCs/>
          <w:color w:val="800000"/>
          <w:sz w:val="18"/>
          <w:szCs w:val="18"/>
        </w:rPr>
        <w:t xml:space="preserve">DE APLICACIÓN </w:t>
      </w:r>
      <w:r w:rsidRPr="004422B3">
        <w:rPr>
          <w:rFonts w:ascii="Verdana" w:hAnsi="Verdana" w:cs="Verdana"/>
          <w:b/>
          <w:bCs/>
          <w:i/>
          <w:iCs/>
          <w:color w:val="800000"/>
          <w:sz w:val="18"/>
          <w:szCs w:val="18"/>
        </w:rPr>
        <w:t>DE</w:t>
      </w:r>
      <w:r w:rsidR="0046209E">
        <w:rPr>
          <w:rFonts w:ascii="Verdana" w:hAnsi="Verdana" w:cs="Verdana"/>
          <w:b/>
          <w:bCs/>
          <w:i/>
          <w:iCs/>
          <w:color w:val="800000"/>
          <w:sz w:val="18"/>
          <w:szCs w:val="18"/>
        </w:rPr>
        <w:t>L</w:t>
      </w:r>
      <w:r w:rsidRPr="004422B3">
        <w:rPr>
          <w:rFonts w:ascii="Verdana" w:hAnsi="Verdana" w:cs="Verdana"/>
          <w:b/>
          <w:bCs/>
          <w:i/>
          <w:iCs/>
          <w:color w:val="800000"/>
          <w:sz w:val="18"/>
          <w:szCs w:val="18"/>
        </w:rPr>
        <w:t xml:space="preserve"> CONVENIO PARA EVITAR LA DOBLE IMPOSICIÓN</w:t>
      </w:r>
    </w:p>
    <w:p w14:paraId="29FB2FB7" w14:textId="2688D8BD" w:rsidR="004422B3" w:rsidRDefault="00F50E9A" w:rsidP="004422B3">
      <w:pPr>
        <w:pStyle w:val="Prrafodelista"/>
        <w:ind w:left="426"/>
        <w:jc w:val="both"/>
        <w:rPr>
          <w:rFonts w:ascii="Verdana" w:hAnsi="Verdana" w:cs="Verdana"/>
          <w:b/>
          <w:bCs/>
          <w:i/>
          <w:iCs/>
          <w:color w:val="800000"/>
          <w:sz w:val="18"/>
          <w:szCs w:val="18"/>
        </w:rPr>
      </w:pPr>
      <w:r w:rsidRPr="00F50E9A">
        <w:rPr>
          <w:rFonts w:ascii="Verdana" w:hAnsi="Verdana" w:cs="Verdana"/>
          <w:b/>
          <w:bCs/>
          <w:i/>
          <w:iCs/>
          <w:color w:val="800000"/>
          <w:sz w:val="18"/>
          <w:szCs w:val="18"/>
        </w:rPr>
        <w:t>El Tribunal Supremo exige certeza más allá de toda duda razonable sobre la residencia fiscal de un acusado, rechazando que las autoridades nacionales puedan fijar unilateralmente la residencia fiscal cuando existe conflicto entre dos Estados.</w:t>
      </w:r>
    </w:p>
    <w:p w14:paraId="24629514" w14:textId="77777777" w:rsidR="004422B3" w:rsidRDefault="004422B3" w:rsidP="004422B3">
      <w:pPr>
        <w:pStyle w:val="Prrafodelista"/>
        <w:ind w:left="426"/>
        <w:jc w:val="both"/>
        <w:rPr>
          <w:rFonts w:ascii="Verdana" w:hAnsi="Verdana" w:cs="Verdana"/>
          <w:b/>
          <w:bCs/>
          <w:i/>
          <w:iCs/>
          <w:color w:val="800000"/>
          <w:sz w:val="18"/>
          <w:szCs w:val="18"/>
        </w:rPr>
      </w:pPr>
    </w:p>
    <w:p w14:paraId="31E28CC6" w14:textId="152AA67F" w:rsidR="004422B3" w:rsidRDefault="004422B3">
      <w:pPr>
        <w:pStyle w:val="Prrafodelista"/>
        <w:numPr>
          <w:ilvl w:val="0"/>
          <w:numId w:val="4"/>
        </w:numPr>
        <w:tabs>
          <w:tab w:val="clear" w:pos="720"/>
          <w:tab w:val="num" w:pos="426"/>
        </w:tabs>
        <w:ind w:left="426" w:hanging="426"/>
        <w:jc w:val="both"/>
        <w:rPr>
          <w:rFonts w:ascii="Verdana" w:hAnsi="Verdana" w:cs="Verdana"/>
          <w:b/>
          <w:bCs/>
          <w:i/>
          <w:iCs/>
          <w:color w:val="800000"/>
          <w:sz w:val="18"/>
          <w:szCs w:val="18"/>
        </w:rPr>
      </w:pPr>
      <w:r w:rsidRPr="004422B3">
        <w:rPr>
          <w:rFonts w:ascii="Verdana" w:hAnsi="Verdana" w:cs="Verdana"/>
          <w:b/>
          <w:bCs/>
          <w:i/>
          <w:iCs/>
          <w:color w:val="800000"/>
          <w:sz w:val="18"/>
          <w:szCs w:val="18"/>
        </w:rPr>
        <w:t>TRANSPOSICIÓN EN ESPAÑA DE LOS NUEVOS CRITERIOS DE TAMAÑO EMPRESARIAL A EFECTOS DE INFORMACIÓN CORPORATIVA</w:t>
      </w:r>
    </w:p>
    <w:p w14:paraId="2257A81D" w14:textId="49A793E8" w:rsidR="004422B3" w:rsidRDefault="004422B3" w:rsidP="004422B3">
      <w:pPr>
        <w:tabs>
          <w:tab w:val="num" w:pos="426"/>
        </w:tabs>
        <w:ind w:left="426"/>
        <w:jc w:val="both"/>
        <w:rPr>
          <w:rFonts w:ascii="Verdana" w:hAnsi="Verdana" w:cs="Verdana"/>
          <w:b/>
          <w:bCs/>
          <w:i/>
          <w:iCs/>
          <w:color w:val="800000"/>
          <w:sz w:val="18"/>
          <w:szCs w:val="18"/>
        </w:rPr>
      </w:pPr>
      <w:r w:rsidRPr="004422B3">
        <w:rPr>
          <w:rFonts w:ascii="Verdana" w:hAnsi="Verdana" w:cs="Verdana"/>
          <w:b/>
          <w:bCs/>
          <w:i/>
          <w:iCs/>
          <w:color w:val="800000"/>
          <w:sz w:val="18"/>
          <w:szCs w:val="18"/>
        </w:rPr>
        <w:t>La Directiva Delegada (UE) 2023/2775 actualiza los umbrales que determinan el tamaño de las empresas (micro, pequeñas, medianas y grandes), elevando en torno a un 25% los límites financieros para compensar la inflación acumulada en la UE entre 2013 y 2023. Estos nuevos criterios deberán aplicarse en España para ejercicios iniciados desde el 1 de enero de 2024</w:t>
      </w:r>
      <w:r>
        <w:rPr>
          <w:rFonts w:ascii="Verdana" w:hAnsi="Verdana" w:cs="Verdana"/>
          <w:b/>
          <w:bCs/>
          <w:i/>
          <w:iCs/>
          <w:color w:val="800000"/>
          <w:sz w:val="18"/>
          <w:szCs w:val="18"/>
        </w:rPr>
        <w:t>.</w:t>
      </w:r>
    </w:p>
    <w:p w14:paraId="39E143B7" w14:textId="77777777" w:rsidR="00434898" w:rsidRDefault="00434898" w:rsidP="004422B3">
      <w:pPr>
        <w:tabs>
          <w:tab w:val="num" w:pos="426"/>
        </w:tabs>
        <w:ind w:left="426"/>
        <w:jc w:val="both"/>
        <w:rPr>
          <w:rFonts w:ascii="Verdana" w:hAnsi="Verdana" w:cs="Verdana"/>
          <w:b/>
          <w:bCs/>
          <w:i/>
          <w:iCs/>
          <w:color w:val="800000"/>
          <w:sz w:val="18"/>
          <w:szCs w:val="18"/>
        </w:rPr>
      </w:pPr>
    </w:p>
    <w:p w14:paraId="2DB8A3E3" w14:textId="3084E675" w:rsidR="00434898" w:rsidRDefault="00434898" w:rsidP="00434898">
      <w:pPr>
        <w:pStyle w:val="Prrafodelista"/>
        <w:numPr>
          <w:ilvl w:val="0"/>
          <w:numId w:val="4"/>
        </w:numPr>
        <w:tabs>
          <w:tab w:val="clear" w:pos="720"/>
          <w:tab w:val="num" w:pos="426"/>
        </w:tabs>
        <w:ind w:left="426" w:hanging="426"/>
        <w:jc w:val="both"/>
        <w:rPr>
          <w:rFonts w:ascii="Verdana" w:hAnsi="Verdana" w:cs="Verdana"/>
          <w:b/>
          <w:bCs/>
          <w:i/>
          <w:iCs/>
          <w:color w:val="800000"/>
          <w:sz w:val="18"/>
          <w:szCs w:val="18"/>
        </w:rPr>
      </w:pPr>
      <w:r w:rsidRPr="00434898">
        <w:rPr>
          <w:rFonts w:ascii="Verdana" w:hAnsi="Verdana" w:cs="Verdana"/>
          <w:b/>
          <w:bCs/>
          <w:i/>
          <w:iCs/>
          <w:color w:val="800000"/>
          <w:sz w:val="18"/>
          <w:szCs w:val="18"/>
        </w:rPr>
        <w:t>HACIENDA DISPARARÁ EL CONTROL A LOS PAGOS POR BIZUM Y CON TARJETA DESDE 202</w:t>
      </w:r>
      <w:r>
        <w:rPr>
          <w:rFonts w:ascii="Verdana" w:hAnsi="Verdana" w:cs="Verdana"/>
          <w:b/>
          <w:bCs/>
          <w:i/>
          <w:iCs/>
          <w:color w:val="800000"/>
          <w:sz w:val="18"/>
          <w:szCs w:val="18"/>
        </w:rPr>
        <w:t>6</w:t>
      </w:r>
    </w:p>
    <w:p w14:paraId="57A7E41E" w14:textId="343886D8" w:rsidR="00947835" w:rsidRDefault="00947835" w:rsidP="00947835">
      <w:pPr>
        <w:pStyle w:val="Prrafodelista"/>
        <w:ind w:left="426"/>
        <w:jc w:val="both"/>
        <w:rPr>
          <w:rFonts w:ascii="Verdana" w:hAnsi="Verdana" w:cs="Verdana"/>
          <w:b/>
          <w:bCs/>
          <w:i/>
          <w:iCs/>
          <w:color w:val="800000"/>
          <w:sz w:val="18"/>
          <w:szCs w:val="18"/>
        </w:rPr>
      </w:pPr>
      <w:r w:rsidRPr="00947835">
        <w:rPr>
          <w:rFonts w:ascii="Verdana" w:hAnsi="Verdana" w:cs="Verdana"/>
          <w:b/>
          <w:bCs/>
          <w:i/>
          <w:iCs/>
          <w:color w:val="800000"/>
          <w:sz w:val="18"/>
          <w:szCs w:val="18"/>
        </w:rPr>
        <w:t>A partir del 1 de enero de 2026, la Agencia Tributaria tendrá acceso total a todas las transferencias enviadas o recibidas mediante Bizum por empresas y profesionales, sin importar su importe.</w:t>
      </w:r>
    </w:p>
    <w:p w14:paraId="7482FA91" w14:textId="77777777" w:rsidR="009C410E" w:rsidRDefault="009C410E" w:rsidP="00947835">
      <w:pPr>
        <w:pStyle w:val="Prrafodelista"/>
        <w:ind w:left="426"/>
        <w:jc w:val="both"/>
        <w:rPr>
          <w:rFonts w:ascii="Verdana" w:hAnsi="Verdana" w:cs="Verdana"/>
          <w:b/>
          <w:bCs/>
          <w:i/>
          <w:iCs/>
          <w:color w:val="800000"/>
          <w:sz w:val="18"/>
          <w:szCs w:val="18"/>
        </w:rPr>
      </w:pPr>
    </w:p>
    <w:p w14:paraId="50FBAF0E" w14:textId="11BB164B" w:rsidR="009C410E" w:rsidRDefault="00460E10" w:rsidP="009C410E">
      <w:pPr>
        <w:pStyle w:val="Prrafodelista"/>
        <w:numPr>
          <w:ilvl w:val="0"/>
          <w:numId w:val="4"/>
        </w:numPr>
        <w:tabs>
          <w:tab w:val="clear" w:pos="720"/>
        </w:tabs>
        <w:ind w:left="426" w:hanging="426"/>
        <w:jc w:val="both"/>
        <w:rPr>
          <w:rFonts w:ascii="Verdana" w:hAnsi="Verdana" w:cs="Verdana"/>
          <w:b/>
          <w:bCs/>
          <w:i/>
          <w:iCs/>
          <w:color w:val="800000"/>
          <w:sz w:val="18"/>
          <w:szCs w:val="18"/>
        </w:rPr>
      </w:pPr>
      <w:r>
        <w:rPr>
          <w:rFonts w:ascii="Verdana" w:hAnsi="Verdana" w:cs="Verdana"/>
          <w:b/>
          <w:bCs/>
          <w:i/>
          <w:iCs/>
          <w:color w:val="800000"/>
          <w:sz w:val="18"/>
          <w:szCs w:val="18"/>
        </w:rPr>
        <w:lastRenderedPageBreak/>
        <w:t>IVA.</w:t>
      </w:r>
      <w:r w:rsidR="009C410E">
        <w:rPr>
          <w:rFonts w:ascii="Verdana" w:hAnsi="Verdana" w:cs="Verdana"/>
          <w:b/>
          <w:bCs/>
          <w:i/>
          <w:iCs/>
          <w:color w:val="800000"/>
          <w:sz w:val="18"/>
          <w:szCs w:val="18"/>
        </w:rPr>
        <w:t xml:space="preserve"> </w:t>
      </w:r>
      <w:r>
        <w:rPr>
          <w:rFonts w:ascii="Verdana" w:hAnsi="Verdana" w:cs="Verdana"/>
          <w:b/>
          <w:bCs/>
          <w:i/>
          <w:iCs/>
          <w:color w:val="800000"/>
          <w:sz w:val="18"/>
          <w:szCs w:val="18"/>
        </w:rPr>
        <w:t xml:space="preserve">- </w:t>
      </w:r>
      <w:r w:rsidR="009C410E" w:rsidRPr="009C410E">
        <w:rPr>
          <w:rFonts w:ascii="Verdana" w:hAnsi="Verdana" w:cs="Verdana"/>
          <w:b/>
          <w:bCs/>
          <w:i/>
          <w:iCs/>
          <w:color w:val="800000"/>
          <w:sz w:val="18"/>
          <w:szCs w:val="18"/>
        </w:rPr>
        <w:t>LAS RETRIBUCIONES DE UN ADMINISTRADOR ÚNICO, QUE DESEMPEÑA FUNCIONES DE DIRECCIÓN GENERAL Y QUE ESTÁ BAJO EL RETA, NO ESTÁN SUJETAS AL IVA</w:t>
      </w:r>
    </w:p>
    <w:p w14:paraId="496DC8DC" w14:textId="478A53E0" w:rsidR="009C410E" w:rsidRPr="00434898" w:rsidRDefault="009C410E" w:rsidP="009C410E">
      <w:pPr>
        <w:pStyle w:val="Prrafodelista"/>
        <w:ind w:left="426"/>
        <w:jc w:val="both"/>
        <w:rPr>
          <w:rFonts w:ascii="Verdana" w:hAnsi="Verdana" w:cs="Verdana"/>
          <w:b/>
          <w:bCs/>
          <w:i/>
          <w:iCs/>
          <w:color w:val="800000"/>
          <w:sz w:val="18"/>
          <w:szCs w:val="18"/>
        </w:rPr>
      </w:pPr>
      <w:r w:rsidRPr="009C410E">
        <w:rPr>
          <w:rFonts w:ascii="Verdana" w:hAnsi="Verdana" w:cs="Verdana"/>
          <w:b/>
          <w:bCs/>
          <w:i/>
          <w:iCs/>
          <w:color w:val="800000"/>
          <w:sz w:val="18"/>
          <w:szCs w:val="18"/>
        </w:rPr>
        <w:t>Un contribuyente ocupa el cargo de administrador único de una entidad mercantil cuya actividad se encuadra en el epígrafe 422 del IAE (industrias de productos para la alimentación animal). Además, desempeña funciones de director general, por las que percibe una retribución calculada como un porcentaje de la cifra de negocios, que factura mensualmente a la sociedad. Está inscrito en el régimen especial de trabajadores autónomos.</w:t>
      </w:r>
    </w:p>
    <w:p w14:paraId="10105685" w14:textId="3EB2F39F" w:rsidR="00634BB6" w:rsidRDefault="00634BB6" w:rsidP="009C410E">
      <w:pPr>
        <w:jc w:val="both"/>
        <w:rPr>
          <w:rFonts w:ascii="Verdana" w:hAnsi="Verdana" w:cs="Verdana"/>
          <w:b/>
          <w:bCs/>
          <w:i/>
          <w:iCs/>
          <w:color w:val="800000"/>
          <w:sz w:val="18"/>
          <w:szCs w:val="18"/>
        </w:rPr>
      </w:pPr>
    </w:p>
    <w:p w14:paraId="0D4BF249" w14:textId="77777777" w:rsidR="009C410E" w:rsidRDefault="009C410E" w:rsidP="009C410E">
      <w:pPr>
        <w:jc w:val="both"/>
        <w:rPr>
          <w:rFonts w:ascii="Verdana" w:hAnsi="Verdana" w:cs="Verdana"/>
          <w:b/>
          <w:bCs/>
          <w:i/>
          <w:iCs/>
          <w:color w:val="800000"/>
          <w:sz w:val="18"/>
          <w:szCs w:val="18"/>
        </w:rPr>
      </w:pPr>
    </w:p>
    <w:tbl>
      <w:tblPr>
        <w:tblW w:w="8640" w:type="dxa"/>
        <w:tblInd w:w="-68" w:type="dxa"/>
        <w:tblCellMar>
          <w:left w:w="70" w:type="dxa"/>
          <w:right w:w="70" w:type="dxa"/>
        </w:tblCellMar>
        <w:tblLook w:val="0000" w:firstRow="0" w:lastRow="0" w:firstColumn="0" w:lastColumn="0" w:noHBand="0" w:noVBand="0"/>
      </w:tblPr>
      <w:tblGrid>
        <w:gridCol w:w="180"/>
        <w:gridCol w:w="8460"/>
      </w:tblGrid>
      <w:tr w:rsidR="00634BB6" w:rsidRPr="001F3ACD" w14:paraId="680109A8" w14:textId="77777777" w:rsidTr="00D32C18">
        <w:trPr>
          <w:trHeight w:val="232"/>
        </w:trPr>
        <w:tc>
          <w:tcPr>
            <w:tcW w:w="180" w:type="dxa"/>
            <w:shd w:val="clear" w:color="auto" w:fill="FF6600"/>
          </w:tcPr>
          <w:p w14:paraId="1DDDD478" w14:textId="77777777" w:rsidR="00634BB6" w:rsidRPr="001F3ACD" w:rsidRDefault="00634BB6" w:rsidP="00D32C18">
            <w:pPr>
              <w:tabs>
                <w:tab w:val="num" w:pos="426"/>
              </w:tabs>
              <w:ind w:left="426"/>
              <w:jc w:val="both"/>
              <w:rPr>
                <w:rFonts w:ascii="Verdana" w:hAnsi="Verdana" w:cs="Verdana"/>
                <w:b/>
                <w:bCs/>
                <w:color w:val="800000"/>
                <w:sz w:val="18"/>
                <w:szCs w:val="18"/>
              </w:rPr>
            </w:pPr>
            <w:bookmarkStart w:id="0" w:name="_Hlk214188927"/>
          </w:p>
        </w:tc>
        <w:tc>
          <w:tcPr>
            <w:tcW w:w="8460" w:type="dxa"/>
          </w:tcPr>
          <w:p w14:paraId="622CB3F8" w14:textId="104DB80D" w:rsidR="00634BB6" w:rsidRPr="001F3ACD" w:rsidRDefault="001F3ACD">
            <w:pPr>
              <w:numPr>
                <w:ilvl w:val="0"/>
                <w:numId w:val="3"/>
              </w:numPr>
              <w:tabs>
                <w:tab w:val="num" w:pos="426"/>
              </w:tabs>
              <w:jc w:val="both"/>
              <w:rPr>
                <w:rFonts w:ascii="Verdana" w:hAnsi="Verdana" w:cs="Verdana"/>
                <w:b/>
                <w:bCs/>
                <w:color w:val="800000"/>
                <w:sz w:val="18"/>
                <w:szCs w:val="18"/>
              </w:rPr>
            </w:pPr>
            <w:r w:rsidRPr="001F3ACD">
              <w:rPr>
                <w:rFonts w:ascii="Verdana" w:hAnsi="Verdana" w:cs="Verdana"/>
                <w:b/>
                <w:bCs/>
                <w:color w:val="800000"/>
                <w:sz w:val="18"/>
                <w:szCs w:val="18"/>
              </w:rPr>
              <w:t>APROBADOS LOS MODELOS DE COMUNICACIÓN, DECLARACIÓN INFORMATIVA Y AUTOLIQUIDACIÓN DEL IMPUESTO MÍNIMO GLOBAL</w:t>
            </w:r>
          </w:p>
        </w:tc>
      </w:tr>
      <w:bookmarkEnd w:id="0"/>
    </w:tbl>
    <w:p w14:paraId="7022D3D6" w14:textId="77777777" w:rsidR="00634BB6" w:rsidRDefault="00634BB6">
      <w:pPr>
        <w:rPr>
          <w:rFonts w:ascii="Verdana" w:hAnsi="Verdana" w:cs="Verdana"/>
          <w:b/>
          <w:bCs/>
          <w:i/>
          <w:iCs/>
          <w:color w:val="800000"/>
          <w:sz w:val="18"/>
          <w:szCs w:val="18"/>
        </w:rPr>
      </w:pPr>
    </w:p>
    <w:p w14:paraId="3E186B0D" w14:textId="5D591B10" w:rsidR="008039DB" w:rsidRDefault="001F3ACD" w:rsidP="001F3ACD">
      <w:pPr>
        <w:ind w:left="142"/>
        <w:jc w:val="both"/>
        <w:rPr>
          <w:rFonts w:ascii="Verdana" w:hAnsi="Verdana" w:cs="Verdana"/>
          <w:sz w:val="18"/>
          <w:szCs w:val="18"/>
        </w:rPr>
      </w:pPr>
      <w:r w:rsidRPr="001F3ACD">
        <w:rPr>
          <w:rFonts w:ascii="Verdana" w:hAnsi="Verdana" w:cs="Verdana"/>
          <w:sz w:val="18"/>
          <w:szCs w:val="18"/>
        </w:rPr>
        <w:t xml:space="preserve">El 29 de octubre de 2025 se publicó en el BOE la Orden HAC/1198/2025, de 21 de octubre, por la que se aprueban los modelos de Comunicación, Declaración informativa y Autoliquidación </w:t>
      </w:r>
      <w:r w:rsidRPr="00967278">
        <w:rPr>
          <w:rFonts w:ascii="Verdana" w:hAnsi="Verdana" w:cs="Verdana"/>
          <w:b/>
          <w:bCs/>
          <w:sz w:val="18"/>
          <w:szCs w:val="18"/>
        </w:rPr>
        <w:t>del Impuesto Complementario mínimo global y se establecen las condiciones y el procedimiento para su presentación</w:t>
      </w:r>
      <w:r w:rsidRPr="001F3ACD">
        <w:rPr>
          <w:rFonts w:ascii="Verdana" w:hAnsi="Verdana" w:cs="Verdana"/>
          <w:sz w:val="18"/>
          <w:szCs w:val="18"/>
        </w:rPr>
        <w:t>, completando así la regulación del impuesto en España. La Orden concreta el contenido de las obligaciones tributarias y formales reguladas en el Reglamento del impuesto</w:t>
      </w:r>
      <w:r w:rsidR="00F50E9A">
        <w:rPr>
          <w:rFonts w:ascii="Verdana" w:hAnsi="Verdana" w:cs="Verdana"/>
          <w:sz w:val="18"/>
          <w:szCs w:val="18"/>
        </w:rPr>
        <w:t>, publicado en el BOE</w:t>
      </w:r>
      <w:r w:rsidR="00F50E9A" w:rsidRPr="00F50E9A">
        <w:rPr>
          <w:rFonts w:ascii="Verdana" w:hAnsi="Verdana" w:cs="Verdana"/>
          <w:sz w:val="18"/>
          <w:szCs w:val="18"/>
        </w:rPr>
        <w:t xml:space="preserve"> </w:t>
      </w:r>
      <w:r w:rsidR="00F50E9A">
        <w:rPr>
          <w:rFonts w:ascii="Verdana" w:hAnsi="Verdana" w:cs="Verdana"/>
          <w:sz w:val="18"/>
          <w:szCs w:val="18"/>
        </w:rPr>
        <w:t>del pasado 2 de abril de 2025 y que resumimos seguidamente.</w:t>
      </w:r>
    </w:p>
    <w:p w14:paraId="6F9FB96F" w14:textId="77777777" w:rsidR="001F3ACD" w:rsidRDefault="001F3ACD" w:rsidP="001F3ACD">
      <w:pPr>
        <w:ind w:left="142"/>
        <w:jc w:val="both"/>
        <w:rPr>
          <w:rFonts w:ascii="Verdana" w:hAnsi="Verdana" w:cs="Verdana"/>
          <w:sz w:val="18"/>
          <w:szCs w:val="18"/>
        </w:rPr>
      </w:pPr>
    </w:p>
    <w:p w14:paraId="5F43C596" w14:textId="2D49DF53" w:rsidR="001F3ACD" w:rsidRDefault="001F3ACD" w:rsidP="001F3ACD">
      <w:pPr>
        <w:ind w:left="142"/>
        <w:jc w:val="both"/>
        <w:rPr>
          <w:rFonts w:ascii="Verdana" w:hAnsi="Verdana" w:cs="Verdana"/>
          <w:sz w:val="18"/>
          <w:szCs w:val="18"/>
        </w:rPr>
      </w:pPr>
      <w:r w:rsidRPr="001F3ACD">
        <w:rPr>
          <w:rFonts w:ascii="Verdana" w:hAnsi="Verdana" w:cs="Verdana"/>
          <w:sz w:val="18"/>
          <w:szCs w:val="18"/>
        </w:rPr>
        <w:t xml:space="preserve">El 2 de abril de 2025 se publicó en el BOE el Real Decreto 252/2025, </w:t>
      </w:r>
      <w:r w:rsidR="00FD410F" w:rsidRPr="00FD410F">
        <w:rPr>
          <w:rFonts w:ascii="Verdana" w:hAnsi="Verdana" w:cs="Verdana"/>
          <w:sz w:val="18"/>
          <w:szCs w:val="18"/>
        </w:rPr>
        <w:t xml:space="preserve">de 1 de abril, por el que se aprueba el </w:t>
      </w:r>
      <w:r w:rsidR="00FD410F" w:rsidRPr="00967278">
        <w:rPr>
          <w:rFonts w:ascii="Verdana" w:hAnsi="Verdana" w:cs="Verdana"/>
          <w:b/>
          <w:bCs/>
          <w:sz w:val="18"/>
          <w:szCs w:val="18"/>
        </w:rPr>
        <w:t>Reglamento del Impuesto Complementario para garantizar un nivel mínimo global de imposición para los grupos multinacionales y los grupos nacionales de gran magnitud</w:t>
      </w:r>
      <w:r w:rsidRPr="001F3ACD">
        <w:rPr>
          <w:rFonts w:ascii="Verdana" w:hAnsi="Verdana" w:cs="Verdana"/>
          <w:sz w:val="18"/>
          <w:szCs w:val="18"/>
        </w:rPr>
        <w:t xml:space="preserve">, </w:t>
      </w:r>
      <w:r w:rsidR="0061467E">
        <w:rPr>
          <w:rFonts w:ascii="Verdana" w:hAnsi="Verdana" w:cs="Verdana"/>
          <w:sz w:val="18"/>
          <w:szCs w:val="18"/>
        </w:rPr>
        <w:t xml:space="preserve">esto es, </w:t>
      </w:r>
      <w:r w:rsidR="0061467E" w:rsidRPr="0061467E">
        <w:rPr>
          <w:rFonts w:ascii="Verdana" w:hAnsi="Verdana" w:cs="Verdana"/>
          <w:sz w:val="18"/>
          <w:szCs w:val="18"/>
        </w:rPr>
        <w:t>grupos empresariales cuya facturación consolidada supere los 750 millones de euros en, al menos, dos de los últimos cuatro ejercicios fiscales</w:t>
      </w:r>
      <w:r w:rsidR="0061467E" w:rsidRPr="001F3ACD">
        <w:rPr>
          <w:rFonts w:ascii="Verdana" w:hAnsi="Verdana" w:cs="Verdana"/>
          <w:sz w:val="18"/>
          <w:szCs w:val="18"/>
        </w:rPr>
        <w:t xml:space="preserve"> </w:t>
      </w:r>
      <w:r w:rsidRPr="001F3ACD">
        <w:rPr>
          <w:rFonts w:ascii="Verdana" w:hAnsi="Verdana" w:cs="Verdana"/>
          <w:sz w:val="18"/>
          <w:szCs w:val="18"/>
        </w:rPr>
        <w:t>desarrollando la Ley 7/2024. La norma</w:t>
      </w:r>
      <w:r w:rsidR="00967278">
        <w:rPr>
          <w:rFonts w:ascii="Verdana" w:hAnsi="Verdana" w:cs="Verdana"/>
          <w:sz w:val="18"/>
          <w:szCs w:val="18"/>
        </w:rPr>
        <w:t>,</w:t>
      </w:r>
      <w:r w:rsidRPr="001F3ACD">
        <w:rPr>
          <w:rFonts w:ascii="Verdana" w:hAnsi="Verdana" w:cs="Verdana"/>
          <w:sz w:val="18"/>
          <w:szCs w:val="18"/>
        </w:rPr>
        <w:t xml:space="preserve"> concreta las obligaciones formales, el tratamiento de créditos fiscales y el régimen sancionador.</w:t>
      </w:r>
    </w:p>
    <w:p w14:paraId="49F4A77B" w14:textId="306EFF6E" w:rsidR="0061467E" w:rsidRDefault="0061467E" w:rsidP="001F3ACD">
      <w:pPr>
        <w:ind w:left="142"/>
        <w:jc w:val="both"/>
        <w:rPr>
          <w:rFonts w:ascii="Verdana" w:hAnsi="Verdana" w:cs="Verdana"/>
          <w:sz w:val="18"/>
          <w:szCs w:val="18"/>
        </w:rPr>
      </w:pPr>
      <w:r w:rsidRPr="0061467E">
        <w:rPr>
          <w:rFonts w:ascii="Verdana" w:hAnsi="Verdana" w:cs="Verdana"/>
          <w:sz w:val="18"/>
          <w:szCs w:val="18"/>
        </w:rPr>
        <w:t>.</w:t>
      </w:r>
    </w:p>
    <w:p w14:paraId="278D5DC7" w14:textId="77777777" w:rsidR="00FD410F" w:rsidRPr="001F3ACD" w:rsidRDefault="00FD410F" w:rsidP="001F3ACD">
      <w:pPr>
        <w:ind w:left="142"/>
        <w:jc w:val="both"/>
        <w:rPr>
          <w:rFonts w:ascii="Verdana" w:hAnsi="Verdana" w:cs="Verdana"/>
          <w:sz w:val="18"/>
          <w:szCs w:val="18"/>
        </w:rPr>
      </w:pPr>
    </w:p>
    <w:p w14:paraId="45FFF597" w14:textId="77777777" w:rsidR="001F3ACD" w:rsidRPr="001B0330" w:rsidRDefault="001F3ACD" w:rsidP="001F3ACD">
      <w:pPr>
        <w:ind w:left="142"/>
        <w:jc w:val="both"/>
        <w:rPr>
          <w:rFonts w:ascii="Verdana" w:hAnsi="Verdana" w:cs="Verdana"/>
          <w:b/>
          <w:bCs/>
          <w:color w:val="984806" w:themeColor="accent6" w:themeShade="80"/>
          <w:sz w:val="18"/>
          <w:szCs w:val="18"/>
        </w:rPr>
      </w:pPr>
      <w:r w:rsidRPr="001B0330">
        <w:rPr>
          <w:rFonts w:ascii="Verdana" w:hAnsi="Verdana" w:cs="Verdana"/>
          <w:b/>
          <w:bCs/>
          <w:color w:val="984806" w:themeColor="accent6" w:themeShade="80"/>
          <w:sz w:val="18"/>
          <w:szCs w:val="18"/>
        </w:rPr>
        <w:t>1. Declaración informativa</w:t>
      </w:r>
    </w:p>
    <w:p w14:paraId="077D837E" w14:textId="77777777" w:rsidR="001F3ACD" w:rsidRPr="001F3ACD" w:rsidRDefault="001F3ACD" w:rsidP="001F3ACD">
      <w:pPr>
        <w:ind w:left="142"/>
        <w:jc w:val="both"/>
        <w:rPr>
          <w:rFonts w:ascii="Verdana" w:hAnsi="Verdana" w:cs="Verdana"/>
          <w:sz w:val="18"/>
          <w:szCs w:val="18"/>
        </w:rPr>
      </w:pPr>
      <w:r w:rsidRPr="001F3ACD">
        <w:rPr>
          <w:rFonts w:ascii="Verdana" w:hAnsi="Verdana" w:cs="Verdana"/>
          <w:sz w:val="18"/>
          <w:szCs w:val="18"/>
        </w:rPr>
        <w:t xml:space="preserve">El reglamento detalla la estructura y contenido de la declaración informativa </w:t>
      </w:r>
      <w:proofErr w:type="spellStart"/>
      <w:r w:rsidRPr="001F3ACD">
        <w:rPr>
          <w:rFonts w:ascii="Verdana" w:hAnsi="Verdana" w:cs="Verdana"/>
          <w:sz w:val="18"/>
          <w:szCs w:val="18"/>
        </w:rPr>
        <w:t>GloBE</w:t>
      </w:r>
      <w:proofErr w:type="spellEnd"/>
      <w:r w:rsidRPr="001F3ACD">
        <w:rPr>
          <w:rFonts w:ascii="Verdana" w:hAnsi="Verdana" w:cs="Verdana"/>
          <w:sz w:val="18"/>
          <w:szCs w:val="18"/>
        </w:rPr>
        <w:t>:</w:t>
      </w:r>
    </w:p>
    <w:p w14:paraId="752A1FE2" w14:textId="77777777" w:rsidR="001F3ACD" w:rsidRPr="001F3ACD" w:rsidRDefault="001F3ACD">
      <w:pPr>
        <w:numPr>
          <w:ilvl w:val="0"/>
          <w:numId w:val="5"/>
        </w:numPr>
        <w:jc w:val="both"/>
        <w:rPr>
          <w:rFonts w:ascii="Verdana" w:hAnsi="Verdana" w:cs="Verdana"/>
          <w:sz w:val="18"/>
          <w:szCs w:val="18"/>
        </w:rPr>
      </w:pPr>
      <w:r w:rsidRPr="001F3ACD">
        <w:rPr>
          <w:rFonts w:ascii="Verdana" w:hAnsi="Verdana" w:cs="Verdana"/>
          <w:b/>
          <w:bCs/>
          <w:sz w:val="18"/>
          <w:szCs w:val="18"/>
        </w:rPr>
        <w:t>Comunicación de la entidad declarante</w:t>
      </w:r>
      <w:r w:rsidRPr="001F3ACD">
        <w:rPr>
          <w:rFonts w:ascii="Verdana" w:hAnsi="Verdana" w:cs="Verdana"/>
          <w:sz w:val="18"/>
          <w:szCs w:val="18"/>
        </w:rPr>
        <w:t xml:space="preserve"> cuando la matriz o entidad designada presente la declaración en otra jurisdicción.</w:t>
      </w:r>
    </w:p>
    <w:p w14:paraId="6C161A42" w14:textId="77777777" w:rsidR="001F3ACD" w:rsidRPr="001F3ACD" w:rsidRDefault="001F3ACD">
      <w:pPr>
        <w:numPr>
          <w:ilvl w:val="0"/>
          <w:numId w:val="5"/>
        </w:numPr>
        <w:jc w:val="both"/>
        <w:rPr>
          <w:rFonts w:ascii="Verdana" w:hAnsi="Verdana" w:cs="Verdana"/>
          <w:sz w:val="18"/>
          <w:szCs w:val="18"/>
        </w:rPr>
      </w:pPr>
      <w:r w:rsidRPr="001F3ACD">
        <w:rPr>
          <w:rFonts w:ascii="Verdana" w:hAnsi="Verdana" w:cs="Verdana"/>
          <w:b/>
          <w:bCs/>
          <w:sz w:val="18"/>
          <w:szCs w:val="18"/>
        </w:rPr>
        <w:t xml:space="preserve">Contenido alineado con la </w:t>
      </w:r>
      <w:proofErr w:type="spellStart"/>
      <w:r w:rsidRPr="001F3ACD">
        <w:rPr>
          <w:rFonts w:ascii="Verdana" w:hAnsi="Verdana" w:cs="Verdana"/>
          <w:b/>
          <w:bCs/>
          <w:sz w:val="18"/>
          <w:szCs w:val="18"/>
        </w:rPr>
        <w:t>GloBE</w:t>
      </w:r>
      <w:proofErr w:type="spellEnd"/>
      <w:r w:rsidRPr="001F3ACD">
        <w:rPr>
          <w:rFonts w:ascii="Verdana" w:hAnsi="Verdana" w:cs="Verdana"/>
          <w:b/>
          <w:bCs/>
          <w:sz w:val="18"/>
          <w:szCs w:val="18"/>
        </w:rPr>
        <w:t xml:space="preserve"> </w:t>
      </w:r>
      <w:proofErr w:type="spellStart"/>
      <w:r w:rsidRPr="001F3ACD">
        <w:rPr>
          <w:rFonts w:ascii="Verdana" w:hAnsi="Verdana" w:cs="Verdana"/>
          <w:b/>
          <w:bCs/>
          <w:sz w:val="18"/>
          <w:szCs w:val="18"/>
        </w:rPr>
        <w:t>Information</w:t>
      </w:r>
      <w:proofErr w:type="spellEnd"/>
      <w:r w:rsidRPr="001F3ACD">
        <w:rPr>
          <w:rFonts w:ascii="Verdana" w:hAnsi="Verdana" w:cs="Verdana"/>
          <w:b/>
          <w:bCs/>
          <w:sz w:val="18"/>
          <w:szCs w:val="18"/>
        </w:rPr>
        <w:t xml:space="preserve"> </w:t>
      </w:r>
      <w:proofErr w:type="spellStart"/>
      <w:r w:rsidRPr="001F3ACD">
        <w:rPr>
          <w:rFonts w:ascii="Verdana" w:hAnsi="Verdana" w:cs="Verdana"/>
          <w:b/>
          <w:bCs/>
          <w:sz w:val="18"/>
          <w:szCs w:val="18"/>
        </w:rPr>
        <w:t>Return</w:t>
      </w:r>
      <w:proofErr w:type="spellEnd"/>
      <w:r w:rsidRPr="001F3ACD">
        <w:rPr>
          <w:rFonts w:ascii="Verdana" w:hAnsi="Verdana" w:cs="Verdana"/>
          <w:sz w:val="18"/>
          <w:szCs w:val="18"/>
        </w:rPr>
        <w:t>, incluyendo:</w:t>
      </w:r>
    </w:p>
    <w:p w14:paraId="26FA4B3E" w14:textId="77777777" w:rsidR="001F3ACD" w:rsidRPr="001F3ACD" w:rsidRDefault="001F3ACD">
      <w:pPr>
        <w:numPr>
          <w:ilvl w:val="1"/>
          <w:numId w:val="5"/>
        </w:numPr>
        <w:tabs>
          <w:tab w:val="clear" w:pos="1440"/>
          <w:tab w:val="num" w:pos="993"/>
        </w:tabs>
        <w:ind w:hanging="731"/>
        <w:jc w:val="both"/>
        <w:rPr>
          <w:rFonts w:ascii="Verdana" w:hAnsi="Verdana" w:cs="Verdana"/>
          <w:sz w:val="18"/>
          <w:szCs w:val="18"/>
        </w:rPr>
      </w:pPr>
      <w:r w:rsidRPr="001F3ACD">
        <w:rPr>
          <w:rFonts w:ascii="Verdana" w:hAnsi="Verdana" w:cs="Verdana"/>
          <w:sz w:val="18"/>
          <w:szCs w:val="18"/>
        </w:rPr>
        <w:t>Datos del grupo y estructura.</w:t>
      </w:r>
    </w:p>
    <w:p w14:paraId="6B254756" w14:textId="77777777" w:rsidR="001F3ACD" w:rsidRPr="001F3ACD" w:rsidRDefault="001F3ACD">
      <w:pPr>
        <w:numPr>
          <w:ilvl w:val="1"/>
          <w:numId w:val="5"/>
        </w:numPr>
        <w:tabs>
          <w:tab w:val="clear" w:pos="1440"/>
          <w:tab w:val="num" w:pos="993"/>
        </w:tabs>
        <w:ind w:hanging="731"/>
        <w:jc w:val="both"/>
        <w:rPr>
          <w:rFonts w:ascii="Verdana" w:hAnsi="Verdana" w:cs="Verdana"/>
          <w:sz w:val="18"/>
          <w:szCs w:val="18"/>
        </w:rPr>
      </w:pPr>
      <w:r w:rsidRPr="001F3ACD">
        <w:rPr>
          <w:rFonts w:ascii="Verdana" w:hAnsi="Verdana" w:cs="Verdana"/>
          <w:sz w:val="18"/>
          <w:szCs w:val="18"/>
        </w:rPr>
        <w:t>Información contable y fiscal por jurisdicción.</w:t>
      </w:r>
    </w:p>
    <w:p w14:paraId="102EA8D4" w14:textId="77777777" w:rsidR="001F3ACD" w:rsidRPr="001F3ACD" w:rsidRDefault="001F3ACD">
      <w:pPr>
        <w:numPr>
          <w:ilvl w:val="1"/>
          <w:numId w:val="5"/>
        </w:numPr>
        <w:tabs>
          <w:tab w:val="clear" w:pos="1440"/>
          <w:tab w:val="num" w:pos="993"/>
        </w:tabs>
        <w:ind w:hanging="731"/>
        <w:jc w:val="both"/>
        <w:rPr>
          <w:rFonts w:ascii="Verdana" w:hAnsi="Verdana" w:cs="Verdana"/>
          <w:sz w:val="18"/>
          <w:szCs w:val="18"/>
        </w:rPr>
      </w:pPr>
      <w:r w:rsidRPr="001F3ACD">
        <w:rPr>
          <w:rFonts w:ascii="Verdana" w:hAnsi="Verdana" w:cs="Verdana"/>
          <w:sz w:val="18"/>
          <w:szCs w:val="18"/>
        </w:rPr>
        <w:t>Puertos seguros aplicados.</w:t>
      </w:r>
    </w:p>
    <w:p w14:paraId="690F86C8" w14:textId="77777777" w:rsidR="001F3ACD" w:rsidRPr="001F3ACD" w:rsidRDefault="001F3ACD">
      <w:pPr>
        <w:numPr>
          <w:ilvl w:val="1"/>
          <w:numId w:val="5"/>
        </w:numPr>
        <w:tabs>
          <w:tab w:val="clear" w:pos="1440"/>
          <w:tab w:val="num" w:pos="993"/>
        </w:tabs>
        <w:ind w:hanging="731"/>
        <w:jc w:val="both"/>
        <w:rPr>
          <w:rFonts w:ascii="Verdana" w:hAnsi="Verdana" w:cs="Verdana"/>
          <w:sz w:val="18"/>
          <w:szCs w:val="18"/>
        </w:rPr>
      </w:pPr>
      <w:r w:rsidRPr="001F3ACD">
        <w:rPr>
          <w:rFonts w:ascii="Verdana" w:hAnsi="Verdana" w:cs="Verdana"/>
          <w:sz w:val="18"/>
          <w:szCs w:val="18"/>
        </w:rPr>
        <w:t>Cálculo del Impuesto Complementario.</w:t>
      </w:r>
    </w:p>
    <w:p w14:paraId="13B2A896" w14:textId="77777777" w:rsidR="001F3ACD" w:rsidRPr="001F3ACD" w:rsidRDefault="001F3ACD">
      <w:pPr>
        <w:numPr>
          <w:ilvl w:val="0"/>
          <w:numId w:val="5"/>
        </w:numPr>
        <w:jc w:val="both"/>
        <w:rPr>
          <w:rFonts w:ascii="Verdana" w:hAnsi="Verdana" w:cs="Verdana"/>
          <w:sz w:val="18"/>
          <w:szCs w:val="18"/>
        </w:rPr>
      </w:pPr>
      <w:r w:rsidRPr="001F3ACD">
        <w:rPr>
          <w:rFonts w:ascii="Verdana" w:hAnsi="Verdana" w:cs="Verdana"/>
          <w:b/>
          <w:bCs/>
          <w:sz w:val="18"/>
          <w:szCs w:val="18"/>
        </w:rPr>
        <w:t>Modalidad simplificada</w:t>
      </w:r>
      <w:r w:rsidRPr="001F3ACD">
        <w:rPr>
          <w:rFonts w:ascii="Verdana" w:hAnsi="Verdana" w:cs="Verdana"/>
          <w:sz w:val="18"/>
          <w:szCs w:val="18"/>
        </w:rPr>
        <w:t xml:space="preserve"> disponible hasta ejercicios iniciados antes del 31 de diciembre de 2028.</w:t>
      </w:r>
    </w:p>
    <w:p w14:paraId="47FA349E" w14:textId="77777777" w:rsidR="001F3ACD" w:rsidRDefault="001F3ACD">
      <w:pPr>
        <w:numPr>
          <w:ilvl w:val="0"/>
          <w:numId w:val="5"/>
        </w:numPr>
        <w:jc w:val="both"/>
        <w:rPr>
          <w:rFonts w:ascii="Verdana" w:hAnsi="Verdana" w:cs="Verdana"/>
          <w:sz w:val="18"/>
          <w:szCs w:val="18"/>
        </w:rPr>
      </w:pPr>
      <w:r w:rsidRPr="001F3ACD">
        <w:rPr>
          <w:rFonts w:ascii="Verdana" w:hAnsi="Verdana" w:cs="Verdana"/>
          <w:b/>
          <w:bCs/>
          <w:sz w:val="18"/>
          <w:szCs w:val="18"/>
        </w:rPr>
        <w:t>Plazos de presentación:</w:t>
      </w:r>
      <w:r w:rsidRPr="001F3ACD">
        <w:rPr>
          <w:rFonts w:ascii="Verdana" w:hAnsi="Verdana" w:cs="Verdana"/>
          <w:sz w:val="18"/>
          <w:szCs w:val="18"/>
        </w:rPr>
        <w:t xml:space="preserve"> hasta el último día del decimoquinto mes posterior al cierre del ejercicio (18 meses para el periodo transitorio).</w:t>
      </w:r>
    </w:p>
    <w:p w14:paraId="190D0137" w14:textId="77777777" w:rsidR="00FD410F" w:rsidRPr="001F3ACD" w:rsidRDefault="00FD410F" w:rsidP="00FD410F">
      <w:pPr>
        <w:ind w:left="720"/>
        <w:jc w:val="both"/>
        <w:rPr>
          <w:rFonts w:ascii="Verdana" w:hAnsi="Verdana" w:cs="Verdana"/>
          <w:sz w:val="18"/>
          <w:szCs w:val="18"/>
        </w:rPr>
      </w:pPr>
    </w:p>
    <w:p w14:paraId="64C17F17" w14:textId="77777777" w:rsidR="001F3ACD" w:rsidRPr="001B0330" w:rsidRDefault="001F3ACD" w:rsidP="001F3ACD">
      <w:pPr>
        <w:ind w:left="142"/>
        <w:jc w:val="both"/>
        <w:rPr>
          <w:rFonts w:ascii="Verdana" w:hAnsi="Verdana" w:cs="Verdana"/>
          <w:b/>
          <w:bCs/>
          <w:color w:val="984806" w:themeColor="accent6" w:themeShade="80"/>
          <w:sz w:val="18"/>
          <w:szCs w:val="18"/>
        </w:rPr>
      </w:pPr>
      <w:r w:rsidRPr="001B0330">
        <w:rPr>
          <w:rFonts w:ascii="Verdana" w:hAnsi="Verdana" w:cs="Verdana"/>
          <w:b/>
          <w:bCs/>
          <w:color w:val="984806" w:themeColor="accent6" w:themeShade="80"/>
          <w:sz w:val="18"/>
          <w:szCs w:val="18"/>
        </w:rPr>
        <w:t>2. Tratamiento de créditos fiscales</w:t>
      </w:r>
    </w:p>
    <w:p w14:paraId="6E35928F" w14:textId="77777777" w:rsidR="001F3ACD" w:rsidRPr="001F3ACD" w:rsidRDefault="001F3ACD" w:rsidP="001B0330">
      <w:pPr>
        <w:ind w:left="284"/>
        <w:jc w:val="both"/>
        <w:rPr>
          <w:rFonts w:ascii="Verdana" w:hAnsi="Verdana" w:cs="Verdana"/>
          <w:sz w:val="18"/>
          <w:szCs w:val="18"/>
        </w:rPr>
      </w:pPr>
      <w:r w:rsidRPr="001F3ACD">
        <w:rPr>
          <w:rFonts w:ascii="Verdana" w:hAnsi="Verdana" w:cs="Verdana"/>
          <w:sz w:val="18"/>
          <w:szCs w:val="18"/>
        </w:rPr>
        <w:t xml:space="preserve">El reglamento define y regula los </w:t>
      </w:r>
      <w:r w:rsidRPr="001F3ACD">
        <w:rPr>
          <w:rFonts w:ascii="Verdana" w:hAnsi="Verdana" w:cs="Verdana"/>
          <w:b/>
          <w:bCs/>
          <w:sz w:val="18"/>
          <w:szCs w:val="18"/>
        </w:rPr>
        <w:t>créditos fiscales transferibles en el mercado</w:t>
      </w:r>
      <w:r w:rsidRPr="001F3ACD">
        <w:rPr>
          <w:rFonts w:ascii="Verdana" w:hAnsi="Verdana" w:cs="Verdana"/>
          <w:sz w:val="18"/>
          <w:szCs w:val="18"/>
        </w:rPr>
        <w:t>, distinguiéndolos por:</w:t>
      </w:r>
    </w:p>
    <w:p w14:paraId="184465CC" w14:textId="624B7B4F" w:rsidR="001F3ACD" w:rsidRPr="001F3ACD" w:rsidRDefault="001F3ACD">
      <w:pPr>
        <w:numPr>
          <w:ilvl w:val="0"/>
          <w:numId w:val="6"/>
        </w:numPr>
        <w:jc w:val="both"/>
        <w:rPr>
          <w:rFonts w:ascii="Verdana" w:hAnsi="Verdana" w:cs="Verdana"/>
          <w:sz w:val="18"/>
          <w:szCs w:val="18"/>
        </w:rPr>
      </w:pPr>
      <w:r w:rsidRPr="001F3ACD">
        <w:rPr>
          <w:rFonts w:ascii="Verdana" w:hAnsi="Verdana" w:cs="Verdana"/>
          <w:b/>
          <w:bCs/>
          <w:sz w:val="18"/>
          <w:szCs w:val="18"/>
        </w:rPr>
        <w:t>Transferibilidad legal</w:t>
      </w:r>
      <w:r w:rsidRPr="001F3ACD">
        <w:rPr>
          <w:rFonts w:ascii="Verdana" w:hAnsi="Verdana" w:cs="Verdana"/>
          <w:sz w:val="18"/>
          <w:szCs w:val="18"/>
        </w:rPr>
        <w:t>, que exige</w:t>
      </w:r>
      <w:r w:rsidR="0046209E">
        <w:rPr>
          <w:rFonts w:ascii="Verdana" w:hAnsi="Verdana" w:cs="Verdana"/>
          <w:sz w:val="18"/>
          <w:szCs w:val="18"/>
        </w:rPr>
        <w:t xml:space="preserve"> la</w:t>
      </w:r>
      <w:r w:rsidRPr="001F3ACD">
        <w:rPr>
          <w:rFonts w:ascii="Verdana" w:hAnsi="Verdana" w:cs="Verdana"/>
          <w:sz w:val="18"/>
          <w:szCs w:val="18"/>
        </w:rPr>
        <w:t xml:space="preserve"> posibilidad real de transmisión a terceros.</w:t>
      </w:r>
    </w:p>
    <w:p w14:paraId="130201AD" w14:textId="77777777" w:rsidR="001F3ACD" w:rsidRDefault="001F3ACD">
      <w:pPr>
        <w:numPr>
          <w:ilvl w:val="0"/>
          <w:numId w:val="6"/>
        </w:numPr>
        <w:jc w:val="both"/>
        <w:rPr>
          <w:rFonts w:ascii="Verdana" w:hAnsi="Verdana" w:cs="Verdana"/>
          <w:sz w:val="18"/>
          <w:szCs w:val="18"/>
        </w:rPr>
      </w:pPr>
      <w:r w:rsidRPr="001F3ACD">
        <w:rPr>
          <w:rFonts w:ascii="Verdana" w:hAnsi="Verdana" w:cs="Verdana"/>
          <w:b/>
          <w:bCs/>
          <w:sz w:val="18"/>
          <w:szCs w:val="18"/>
        </w:rPr>
        <w:t>Estándar de mercado</w:t>
      </w:r>
      <w:r w:rsidRPr="001F3ACD">
        <w:rPr>
          <w:rFonts w:ascii="Verdana" w:hAnsi="Verdana" w:cs="Verdana"/>
          <w:sz w:val="18"/>
          <w:szCs w:val="18"/>
        </w:rPr>
        <w:t>, vinculado al valor mínimo del crédito (al menos 80% del valor actual neto).</w:t>
      </w:r>
    </w:p>
    <w:p w14:paraId="6289471A" w14:textId="77777777" w:rsidR="00F50E9A" w:rsidRPr="001F3ACD" w:rsidRDefault="00F50E9A" w:rsidP="00F50E9A">
      <w:pPr>
        <w:ind w:left="720"/>
        <w:jc w:val="both"/>
        <w:rPr>
          <w:rFonts w:ascii="Verdana" w:hAnsi="Verdana" w:cs="Verdana"/>
          <w:sz w:val="18"/>
          <w:szCs w:val="18"/>
        </w:rPr>
      </w:pPr>
    </w:p>
    <w:p w14:paraId="4F071706" w14:textId="77777777" w:rsidR="001F3ACD" w:rsidRDefault="001F3ACD" w:rsidP="001F3ACD">
      <w:pPr>
        <w:ind w:left="142"/>
        <w:jc w:val="both"/>
        <w:rPr>
          <w:rFonts w:ascii="Verdana" w:hAnsi="Verdana" w:cs="Verdana"/>
          <w:sz w:val="18"/>
          <w:szCs w:val="18"/>
        </w:rPr>
      </w:pPr>
      <w:r w:rsidRPr="001F3ACD">
        <w:rPr>
          <w:rFonts w:ascii="Verdana" w:hAnsi="Verdana" w:cs="Verdana"/>
          <w:sz w:val="18"/>
          <w:szCs w:val="18"/>
        </w:rPr>
        <w:t xml:space="preserve">Los créditos transferibles y los reembolsables admisibles </w:t>
      </w:r>
      <w:r w:rsidRPr="001F3ACD">
        <w:rPr>
          <w:rFonts w:ascii="Verdana" w:hAnsi="Verdana" w:cs="Verdana"/>
          <w:b/>
          <w:bCs/>
          <w:sz w:val="18"/>
          <w:szCs w:val="18"/>
        </w:rPr>
        <w:t>aumentan las ganancias o pérdidas admisibles</w:t>
      </w:r>
      <w:r w:rsidRPr="001F3ACD">
        <w:rPr>
          <w:rFonts w:ascii="Verdana" w:hAnsi="Verdana" w:cs="Verdana"/>
          <w:sz w:val="18"/>
          <w:szCs w:val="18"/>
        </w:rPr>
        <w:t>, reduciendo el impacto negativo en el tipo efectivo, en lugar de minorar impuestos cubiertos.</w:t>
      </w:r>
    </w:p>
    <w:p w14:paraId="25A35C7C" w14:textId="77777777" w:rsidR="00967278" w:rsidRPr="001F3ACD" w:rsidRDefault="00967278" w:rsidP="001F3ACD">
      <w:pPr>
        <w:ind w:left="142"/>
        <w:jc w:val="both"/>
        <w:rPr>
          <w:rFonts w:ascii="Verdana" w:hAnsi="Verdana" w:cs="Verdana"/>
          <w:sz w:val="18"/>
          <w:szCs w:val="18"/>
        </w:rPr>
      </w:pPr>
    </w:p>
    <w:p w14:paraId="5E0B1E77" w14:textId="77777777" w:rsidR="001F3ACD" w:rsidRPr="003476DE" w:rsidRDefault="001F3ACD" w:rsidP="001F3ACD">
      <w:pPr>
        <w:ind w:left="142"/>
        <w:jc w:val="both"/>
        <w:rPr>
          <w:rFonts w:ascii="Verdana" w:hAnsi="Verdana" w:cs="Verdana"/>
          <w:b/>
          <w:bCs/>
          <w:color w:val="984806" w:themeColor="accent6" w:themeShade="80"/>
          <w:sz w:val="18"/>
          <w:szCs w:val="18"/>
        </w:rPr>
      </w:pPr>
      <w:r w:rsidRPr="003476DE">
        <w:rPr>
          <w:rFonts w:ascii="Verdana" w:hAnsi="Verdana" w:cs="Verdana"/>
          <w:b/>
          <w:bCs/>
          <w:color w:val="984806" w:themeColor="accent6" w:themeShade="80"/>
          <w:sz w:val="18"/>
          <w:szCs w:val="18"/>
        </w:rPr>
        <w:t>3. Régimen sancionador</w:t>
      </w:r>
    </w:p>
    <w:p w14:paraId="6B9C9A89" w14:textId="77777777" w:rsidR="001F3ACD" w:rsidRPr="001F3ACD" w:rsidRDefault="001F3ACD" w:rsidP="001B0330">
      <w:pPr>
        <w:ind w:left="284"/>
        <w:jc w:val="both"/>
        <w:rPr>
          <w:rFonts w:ascii="Verdana" w:hAnsi="Verdana" w:cs="Verdana"/>
          <w:sz w:val="18"/>
          <w:szCs w:val="18"/>
        </w:rPr>
      </w:pPr>
      <w:r w:rsidRPr="001F3ACD">
        <w:rPr>
          <w:rFonts w:ascii="Verdana" w:hAnsi="Verdana" w:cs="Verdana"/>
          <w:sz w:val="18"/>
          <w:szCs w:val="18"/>
        </w:rPr>
        <w:lastRenderedPageBreak/>
        <w:t>Se precisan los criterios para determinar "datos o conjuntos de datos" a efecto de la sanción prevista en la ley:</w:t>
      </w:r>
    </w:p>
    <w:p w14:paraId="71E17BC4" w14:textId="77777777" w:rsidR="001F3ACD" w:rsidRDefault="001F3ACD">
      <w:pPr>
        <w:numPr>
          <w:ilvl w:val="0"/>
          <w:numId w:val="7"/>
        </w:numPr>
        <w:jc w:val="both"/>
        <w:rPr>
          <w:rFonts w:ascii="Verdana" w:hAnsi="Verdana" w:cs="Verdana"/>
          <w:sz w:val="18"/>
          <w:szCs w:val="18"/>
        </w:rPr>
      </w:pPr>
      <w:r w:rsidRPr="001F3ACD">
        <w:rPr>
          <w:rFonts w:ascii="Verdana" w:hAnsi="Verdana" w:cs="Verdana"/>
          <w:b/>
          <w:bCs/>
          <w:sz w:val="18"/>
          <w:szCs w:val="18"/>
        </w:rPr>
        <w:t>10.000 € por dato</w:t>
      </w:r>
      <w:r w:rsidRPr="001F3ACD">
        <w:rPr>
          <w:rFonts w:ascii="Verdana" w:hAnsi="Verdana" w:cs="Verdana"/>
          <w:sz w:val="18"/>
          <w:szCs w:val="18"/>
        </w:rPr>
        <w:t xml:space="preserve"> cuando la declaración no se presente, se presente fuera de plazo o incluya datos falsos o incompletos.</w:t>
      </w:r>
    </w:p>
    <w:p w14:paraId="1172B02E" w14:textId="77777777" w:rsidR="00FD410F" w:rsidRPr="001F3ACD" w:rsidRDefault="00FD410F" w:rsidP="00FD410F">
      <w:pPr>
        <w:ind w:left="720"/>
        <w:jc w:val="both"/>
        <w:rPr>
          <w:rFonts w:ascii="Verdana" w:hAnsi="Verdana" w:cs="Verdana"/>
          <w:sz w:val="18"/>
          <w:szCs w:val="18"/>
        </w:rPr>
      </w:pPr>
    </w:p>
    <w:p w14:paraId="72561419" w14:textId="77777777" w:rsidR="001F3ACD" w:rsidRPr="001B0330" w:rsidRDefault="001F3ACD" w:rsidP="001F3ACD">
      <w:pPr>
        <w:ind w:left="142"/>
        <w:jc w:val="both"/>
        <w:rPr>
          <w:rFonts w:ascii="Verdana" w:hAnsi="Verdana" w:cs="Verdana"/>
          <w:b/>
          <w:bCs/>
          <w:color w:val="984806" w:themeColor="accent6" w:themeShade="80"/>
          <w:sz w:val="18"/>
          <w:szCs w:val="18"/>
        </w:rPr>
      </w:pPr>
      <w:r w:rsidRPr="001B0330">
        <w:rPr>
          <w:rFonts w:ascii="Verdana" w:hAnsi="Verdana" w:cs="Verdana"/>
          <w:b/>
          <w:bCs/>
          <w:color w:val="984806" w:themeColor="accent6" w:themeShade="80"/>
          <w:sz w:val="18"/>
          <w:szCs w:val="18"/>
        </w:rPr>
        <w:t>4. Otras cuestiones relevantes</w:t>
      </w:r>
    </w:p>
    <w:p w14:paraId="6B4DF3B2" w14:textId="77777777" w:rsidR="001F3ACD" w:rsidRPr="001F3ACD" w:rsidRDefault="001F3ACD" w:rsidP="001B0330">
      <w:pPr>
        <w:ind w:left="426"/>
        <w:jc w:val="both"/>
        <w:rPr>
          <w:rFonts w:ascii="Verdana" w:hAnsi="Verdana" w:cs="Verdana"/>
          <w:sz w:val="18"/>
          <w:szCs w:val="18"/>
        </w:rPr>
      </w:pPr>
      <w:r w:rsidRPr="001F3ACD">
        <w:rPr>
          <w:rFonts w:ascii="Verdana" w:hAnsi="Verdana" w:cs="Verdana"/>
          <w:sz w:val="18"/>
          <w:szCs w:val="18"/>
        </w:rPr>
        <w:t>El reglamento aborda, entre otros aspectos:</w:t>
      </w:r>
    </w:p>
    <w:p w14:paraId="288AF42B" w14:textId="77777777" w:rsidR="001F3ACD" w:rsidRPr="001F3ACD" w:rsidRDefault="001F3ACD">
      <w:pPr>
        <w:numPr>
          <w:ilvl w:val="0"/>
          <w:numId w:val="8"/>
        </w:numPr>
        <w:jc w:val="both"/>
        <w:rPr>
          <w:rFonts w:ascii="Verdana" w:hAnsi="Verdana" w:cs="Verdana"/>
          <w:sz w:val="18"/>
          <w:szCs w:val="18"/>
        </w:rPr>
      </w:pPr>
      <w:r w:rsidRPr="001F3ACD">
        <w:rPr>
          <w:rFonts w:ascii="Verdana" w:hAnsi="Verdana" w:cs="Verdana"/>
          <w:sz w:val="18"/>
          <w:szCs w:val="18"/>
        </w:rPr>
        <w:t>Ajustes en diferencias de ejercicios entre matriz y entidades constitutivas.</w:t>
      </w:r>
    </w:p>
    <w:p w14:paraId="75C5DCE0" w14:textId="77777777" w:rsidR="001F3ACD" w:rsidRPr="001F3ACD" w:rsidRDefault="001F3ACD">
      <w:pPr>
        <w:numPr>
          <w:ilvl w:val="0"/>
          <w:numId w:val="8"/>
        </w:numPr>
        <w:jc w:val="both"/>
        <w:rPr>
          <w:rFonts w:ascii="Verdana" w:hAnsi="Verdana" w:cs="Verdana"/>
          <w:sz w:val="18"/>
          <w:szCs w:val="18"/>
        </w:rPr>
      </w:pPr>
      <w:r w:rsidRPr="001F3ACD">
        <w:rPr>
          <w:rFonts w:ascii="Verdana" w:hAnsi="Verdana" w:cs="Verdana"/>
          <w:sz w:val="18"/>
          <w:szCs w:val="18"/>
        </w:rPr>
        <w:t>Exclusión opcional de ganancias/pérdidas por efecto moneda en coberturas de inversiones exteriores.</w:t>
      </w:r>
    </w:p>
    <w:p w14:paraId="42B7739D" w14:textId="77777777" w:rsidR="001F3ACD" w:rsidRPr="001F3ACD" w:rsidRDefault="001F3ACD">
      <w:pPr>
        <w:numPr>
          <w:ilvl w:val="0"/>
          <w:numId w:val="8"/>
        </w:numPr>
        <w:jc w:val="both"/>
        <w:rPr>
          <w:rFonts w:ascii="Verdana" w:hAnsi="Verdana" w:cs="Verdana"/>
          <w:sz w:val="18"/>
          <w:szCs w:val="18"/>
        </w:rPr>
      </w:pPr>
      <w:r w:rsidRPr="001F3ACD">
        <w:rPr>
          <w:rFonts w:ascii="Verdana" w:hAnsi="Verdana" w:cs="Verdana"/>
          <w:sz w:val="18"/>
          <w:szCs w:val="18"/>
        </w:rPr>
        <w:t>Tratamiento de quitas, ingresos exentos por sustancia, normas para instrumentos financieros compuestos y ajustes específicos para entidades aseguradoras.</w:t>
      </w:r>
    </w:p>
    <w:p w14:paraId="12DB19CA" w14:textId="77777777" w:rsidR="001F3ACD" w:rsidRPr="001F3ACD" w:rsidRDefault="001F3ACD">
      <w:pPr>
        <w:numPr>
          <w:ilvl w:val="0"/>
          <w:numId w:val="8"/>
        </w:numPr>
        <w:jc w:val="both"/>
        <w:rPr>
          <w:rFonts w:ascii="Verdana" w:hAnsi="Verdana" w:cs="Verdana"/>
          <w:sz w:val="18"/>
          <w:szCs w:val="18"/>
        </w:rPr>
      </w:pPr>
      <w:r w:rsidRPr="001F3ACD">
        <w:rPr>
          <w:rFonts w:ascii="Verdana" w:hAnsi="Verdana" w:cs="Verdana"/>
          <w:sz w:val="18"/>
          <w:szCs w:val="18"/>
        </w:rPr>
        <w:t>Reglas para sistemas tributarios de distribución admisibles y para la renta del transporte marítimo internacional.</w:t>
      </w:r>
    </w:p>
    <w:p w14:paraId="50000A89" w14:textId="77777777" w:rsidR="001F3ACD" w:rsidRPr="001F3ACD" w:rsidRDefault="001F3ACD" w:rsidP="001F3ACD">
      <w:pPr>
        <w:ind w:left="142"/>
        <w:jc w:val="both"/>
        <w:rPr>
          <w:rFonts w:ascii="Verdana" w:hAnsi="Verdana" w:cs="Verdana"/>
          <w:sz w:val="18"/>
          <w:szCs w:val="18"/>
        </w:rPr>
      </w:pPr>
    </w:p>
    <w:p w14:paraId="2532684F" w14:textId="1D17D814" w:rsidR="00D86182" w:rsidRDefault="00D86182" w:rsidP="00D86182">
      <w:pPr>
        <w:jc w:val="both"/>
        <w:rPr>
          <w:rFonts w:ascii="Verdana" w:hAnsi="Verdana" w:cs="Verdana"/>
          <w:sz w:val="18"/>
          <w:szCs w:val="18"/>
        </w:rPr>
      </w:pPr>
    </w:p>
    <w:tbl>
      <w:tblPr>
        <w:tblW w:w="8640" w:type="dxa"/>
        <w:tblInd w:w="-68" w:type="dxa"/>
        <w:tblCellMar>
          <w:left w:w="70" w:type="dxa"/>
          <w:right w:w="70" w:type="dxa"/>
        </w:tblCellMar>
        <w:tblLook w:val="0000" w:firstRow="0" w:lastRow="0" w:firstColumn="0" w:lastColumn="0" w:noHBand="0" w:noVBand="0"/>
      </w:tblPr>
      <w:tblGrid>
        <w:gridCol w:w="180"/>
        <w:gridCol w:w="8460"/>
      </w:tblGrid>
      <w:tr w:rsidR="006133D2" w:rsidRPr="006133D2" w14:paraId="69FEA515" w14:textId="77777777" w:rsidTr="00B50D0D">
        <w:trPr>
          <w:trHeight w:val="232"/>
        </w:trPr>
        <w:tc>
          <w:tcPr>
            <w:tcW w:w="180" w:type="dxa"/>
            <w:shd w:val="clear" w:color="auto" w:fill="FF6600"/>
          </w:tcPr>
          <w:p w14:paraId="136CAE4F" w14:textId="77777777" w:rsidR="006133D2" w:rsidRPr="006133D2" w:rsidRDefault="006133D2" w:rsidP="00B50D0D">
            <w:pPr>
              <w:tabs>
                <w:tab w:val="num" w:pos="426"/>
              </w:tabs>
              <w:ind w:left="426"/>
              <w:jc w:val="both"/>
              <w:rPr>
                <w:rFonts w:ascii="Verdana" w:hAnsi="Verdana" w:cs="Verdana"/>
                <w:b/>
                <w:bCs/>
                <w:color w:val="800000"/>
                <w:sz w:val="18"/>
                <w:szCs w:val="18"/>
              </w:rPr>
            </w:pPr>
            <w:bookmarkStart w:id="1" w:name="_Hlk214211916"/>
          </w:p>
        </w:tc>
        <w:tc>
          <w:tcPr>
            <w:tcW w:w="8460" w:type="dxa"/>
          </w:tcPr>
          <w:p w14:paraId="4B67D90D" w14:textId="4819BD29" w:rsidR="006133D2" w:rsidRPr="006133D2" w:rsidRDefault="00F50E9A">
            <w:pPr>
              <w:numPr>
                <w:ilvl w:val="0"/>
                <w:numId w:val="3"/>
              </w:numPr>
              <w:tabs>
                <w:tab w:val="num" w:pos="426"/>
              </w:tabs>
              <w:jc w:val="both"/>
              <w:rPr>
                <w:rFonts w:ascii="Verdana" w:hAnsi="Verdana" w:cs="Verdana"/>
                <w:b/>
                <w:bCs/>
                <w:color w:val="800000"/>
                <w:sz w:val="18"/>
                <w:szCs w:val="18"/>
              </w:rPr>
            </w:pPr>
            <w:r>
              <w:rPr>
                <w:rFonts w:ascii="Verdana" w:hAnsi="Verdana" w:cs="Verdana"/>
                <w:b/>
                <w:bCs/>
                <w:color w:val="800000"/>
                <w:sz w:val="18"/>
                <w:szCs w:val="18"/>
              </w:rPr>
              <w:t xml:space="preserve">IS.- </w:t>
            </w:r>
            <w:r w:rsidR="006133D2" w:rsidRPr="006133D2">
              <w:rPr>
                <w:rFonts w:ascii="Verdana" w:hAnsi="Verdana" w:cs="Verdana"/>
                <w:b/>
                <w:bCs/>
                <w:color w:val="800000"/>
                <w:sz w:val="18"/>
                <w:szCs w:val="18"/>
              </w:rPr>
              <w:t xml:space="preserve">EL TEAC CONFIRMA QUE LAS APORTACIONES DE SOCIOS QUE EXCEDAN DE SU PORCENTAJE DE PARTICIPACIÓN TENDRÁN LA CONSIDERACIÓN DE INGRESO A EFECTOS DEL </w:t>
            </w:r>
            <w:r w:rsidR="00967278">
              <w:rPr>
                <w:rFonts w:ascii="Verdana" w:hAnsi="Verdana" w:cs="Verdana"/>
                <w:b/>
                <w:bCs/>
                <w:color w:val="800000"/>
                <w:sz w:val="18"/>
                <w:szCs w:val="18"/>
              </w:rPr>
              <w:t>IMPUESTO SOBRE SOCIEDADES</w:t>
            </w:r>
          </w:p>
        </w:tc>
      </w:tr>
      <w:bookmarkEnd w:id="1"/>
    </w:tbl>
    <w:p w14:paraId="685CD9F4" w14:textId="77777777" w:rsidR="00263BF0" w:rsidRDefault="00263BF0" w:rsidP="006D6F69">
      <w:pPr>
        <w:tabs>
          <w:tab w:val="num" w:pos="426"/>
        </w:tabs>
        <w:jc w:val="both"/>
        <w:rPr>
          <w:rFonts w:ascii="Verdana" w:hAnsi="Verdana" w:cs="Verdana"/>
          <w:b/>
          <w:bCs/>
          <w:i/>
          <w:iCs/>
          <w:color w:val="800000"/>
          <w:sz w:val="18"/>
          <w:szCs w:val="18"/>
        </w:rPr>
      </w:pPr>
    </w:p>
    <w:p w14:paraId="34F9A54F" w14:textId="77777777" w:rsidR="006133D2" w:rsidRDefault="006133D2" w:rsidP="006133D2">
      <w:pPr>
        <w:tabs>
          <w:tab w:val="num" w:pos="426"/>
        </w:tabs>
        <w:ind w:left="142"/>
        <w:jc w:val="both"/>
        <w:rPr>
          <w:rFonts w:ascii="Verdana" w:hAnsi="Verdana" w:cs="Verdana"/>
          <w:sz w:val="18"/>
          <w:szCs w:val="18"/>
        </w:rPr>
      </w:pPr>
      <w:r w:rsidRPr="006133D2">
        <w:rPr>
          <w:rFonts w:ascii="Verdana" w:hAnsi="Verdana" w:cs="Verdana"/>
          <w:sz w:val="18"/>
          <w:szCs w:val="18"/>
        </w:rPr>
        <w:t xml:space="preserve">El Tribunal Económico-Administrativo Central (TEAC) ha establecido, en resolución de 17 de julio de 2025, </w:t>
      </w:r>
      <w:r w:rsidRPr="00E32955">
        <w:rPr>
          <w:rFonts w:ascii="Verdana" w:hAnsi="Verdana" w:cs="Verdana"/>
          <w:b/>
          <w:bCs/>
          <w:sz w:val="18"/>
          <w:szCs w:val="18"/>
        </w:rPr>
        <w:t>un criterio relevante sobre el tratamiento contable y fiscal de las aportaciones de socios</w:t>
      </w:r>
      <w:r w:rsidRPr="006133D2">
        <w:rPr>
          <w:rFonts w:ascii="Verdana" w:hAnsi="Verdana" w:cs="Verdana"/>
          <w:sz w:val="18"/>
          <w:szCs w:val="18"/>
        </w:rPr>
        <w:t xml:space="preserve"> al patrimonio neto </w:t>
      </w:r>
      <w:r w:rsidRPr="00967278">
        <w:rPr>
          <w:rFonts w:ascii="Verdana" w:hAnsi="Verdana" w:cs="Verdana"/>
          <w:b/>
          <w:bCs/>
          <w:sz w:val="18"/>
          <w:szCs w:val="18"/>
        </w:rPr>
        <w:t>sin ampliación de capital.</w:t>
      </w:r>
    </w:p>
    <w:p w14:paraId="06C4476C" w14:textId="77777777" w:rsidR="006133D2" w:rsidRPr="006133D2" w:rsidRDefault="006133D2" w:rsidP="006133D2">
      <w:pPr>
        <w:tabs>
          <w:tab w:val="num" w:pos="426"/>
        </w:tabs>
        <w:ind w:left="142"/>
        <w:jc w:val="both"/>
        <w:rPr>
          <w:rFonts w:ascii="Verdana" w:hAnsi="Verdana" w:cs="Verdana"/>
          <w:sz w:val="18"/>
          <w:szCs w:val="18"/>
        </w:rPr>
      </w:pPr>
    </w:p>
    <w:p w14:paraId="6847A356" w14:textId="06A83105" w:rsidR="006133D2" w:rsidRPr="003476DE" w:rsidRDefault="006133D2" w:rsidP="006133D2">
      <w:pPr>
        <w:tabs>
          <w:tab w:val="num" w:pos="426"/>
        </w:tabs>
        <w:ind w:left="142"/>
        <w:jc w:val="both"/>
        <w:rPr>
          <w:rFonts w:ascii="Verdana" w:hAnsi="Verdana" w:cs="Verdana"/>
          <w:b/>
          <w:bCs/>
          <w:color w:val="984806" w:themeColor="accent6" w:themeShade="80"/>
          <w:sz w:val="18"/>
          <w:szCs w:val="18"/>
        </w:rPr>
      </w:pPr>
      <w:r w:rsidRPr="003476DE">
        <w:rPr>
          <w:rFonts w:ascii="Verdana" w:hAnsi="Verdana" w:cs="Verdana"/>
          <w:b/>
          <w:bCs/>
          <w:color w:val="984806" w:themeColor="accent6" w:themeShade="80"/>
          <w:sz w:val="18"/>
          <w:szCs w:val="18"/>
        </w:rPr>
        <w:t>Criterio principal</w:t>
      </w:r>
    </w:p>
    <w:p w14:paraId="1F51F9B4" w14:textId="3C0BA006" w:rsidR="006133D2" w:rsidRPr="006133D2" w:rsidRDefault="006133D2" w:rsidP="006133D2">
      <w:pPr>
        <w:tabs>
          <w:tab w:val="num" w:pos="426"/>
        </w:tabs>
        <w:ind w:left="142"/>
        <w:jc w:val="both"/>
        <w:rPr>
          <w:rFonts w:ascii="Verdana" w:hAnsi="Verdana" w:cs="Verdana"/>
          <w:sz w:val="18"/>
          <w:szCs w:val="18"/>
        </w:rPr>
      </w:pPr>
      <w:r w:rsidRPr="006133D2">
        <w:rPr>
          <w:rFonts w:ascii="Verdana" w:hAnsi="Verdana" w:cs="Verdana"/>
          <w:sz w:val="18"/>
          <w:szCs w:val="18"/>
        </w:rPr>
        <w:t xml:space="preserve">Cuando los socios realizan aportaciones a la sociedad sin aumento de </w:t>
      </w:r>
      <w:r w:rsidR="00873C09" w:rsidRPr="006133D2">
        <w:rPr>
          <w:rFonts w:ascii="Verdana" w:hAnsi="Verdana" w:cs="Verdana"/>
          <w:sz w:val="18"/>
          <w:szCs w:val="18"/>
        </w:rPr>
        <w:t>capital,</w:t>
      </w:r>
      <w:r w:rsidR="00873C09">
        <w:rPr>
          <w:rFonts w:ascii="Verdana" w:hAnsi="Verdana" w:cs="Verdana"/>
          <w:sz w:val="18"/>
          <w:szCs w:val="18"/>
        </w:rPr>
        <w:t xml:space="preserve"> por</w:t>
      </w:r>
    </w:p>
    <w:p w14:paraId="26E5319A" w14:textId="77777777" w:rsidR="006133D2" w:rsidRPr="006133D2" w:rsidRDefault="006133D2">
      <w:pPr>
        <w:numPr>
          <w:ilvl w:val="0"/>
          <w:numId w:val="9"/>
        </w:numPr>
        <w:tabs>
          <w:tab w:val="num" w:pos="426"/>
        </w:tabs>
        <w:jc w:val="both"/>
        <w:rPr>
          <w:rFonts w:ascii="Verdana" w:hAnsi="Verdana" w:cs="Verdana"/>
          <w:sz w:val="18"/>
          <w:szCs w:val="18"/>
        </w:rPr>
      </w:pPr>
      <w:r w:rsidRPr="006133D2">
        <w:rPr>
          <w:rFonts w:ascii="Verdana" w:hAnsi="Verdana" w:cs="Verdana"/>
          <w:sz w:val="18"/>
          <w:szCs w:val="18"/>
        </w:rPr>
        <w:t>La parte proporcional a su participación en el capital social debe registrarse como incremento de fondos propios (cuenta 118 PGC).</w:t>
      </w:r>
    </w:p>
    <w:p w14:paraId="41ACB829" w14:textId="77777777" w:rsidR="006133D2" w:rsidRDefault="006133D2">
      <w:pPr>
        <w:numPr>
          <w:ilvl w:val="0"/>
          <w:numId w:val="9"/>
        </w:numPr>
        <w:tabs>
          <w:tab w:val="num" w:pos="426"/>
        </w:tabs>
        <w:jc w:val="both"/>
        <w:rPr>
          <w:rFonts w:ascii="Verdana" w:hAnsi="Verdana" w:cs="Verdana"/>
          <w:sz w:val="18"/>
          <w:szCs w:val="18"/>
        </w:rPr>
      </w:pPr>
      <w:r w:rsidRPr="00E32955">
        <w:rPr>
          <w:rFonts w:ascii="Verdana" w:hAnsi="Verdana" w:cs="Verdana"/>
          <w:b/>
          <w:bCs/>
          <w:sz w:val="18"/>
          <w:szCs w:val="18"/>
        </w:rPr>
        <w:t>El exceso respecto a esa proporción tiene la consideración de ingreso para la sociedad</w:t>
      </w:r>
      <w:r w:rsidRPr="006133D2">
        <w:rPr>
          <w:rFonts w:ascii="Verdana" w:hAnsi="Verdana" w:cs="Verdana"/>
          <w:sz w:val="18"/>
          <w:szCs w:val="18"/>
        </w:rPr>
        <w:t>, al constituir una donación en favor de los socios minoritarios.</w:t>
      </w:r>
    </w:p>
    <w:p w14:paraId="6E6B7FCA" w14:textId="77777777" w:rsidR="006133D2" w:rsidRPr="006133D2" w:rsidRDefault="006133D2" w:rsidP="00E32955">
      <w:pPr>
        <w:ind w:left="720"/>
        <w:jc w:val="both"/>
        <w:rPr>
          <w:rFonts w:ascii="Verdana" w:hAnsi="Verdana" w:cs="Verdana"/>
          <w:sz w:val="18"/>
          <w:szCs w:val="18"/>
        </w:rPr>
      </w:pPr>
    </w:p>
    <w:p w14:paraId="1A21E738" w14:textId="77777777" w:rsidR="006133D2" w:rsidRDefault="006133D2" w:rsidP="006133D2">
      <w:pPr>
        <w:tabs>
          <w:tab w:val="num" w:pos="426"/>
        </w:tabs>
        <w:ind w:left="142"/>
        <w:jc w:val="both"/>
        <w:rPr>
          <w:rFonts w:ascii="Verdana" w:hAnsi="Verdana" w:cs="Verdana"/>
          <w:sz w:val="18"/>
          <w:szCs w:val="18"/>
        </w:rPr>
      </w:pPr>
      <w:r w:rsidRPr="006133D2">
        <w:rPr>
          <w:rFonts w:ascii="Verdana" w:hAnsi="Verdana" w:cs="Verdana"/>
          <w:sz w:val="18"/>
          <w:szCs w:val="18"/>
        </w:rPr>
        <w:t>Este exceso incrementa el resultado contable y, por tanto, la base imponible del Impuesto sobre Sociedades.</w:t>
      </w:r>
    </w:p>
    <w:p w14:paraId="331878B6" w14:textId="77777777" w:rsidR="006133D2" w:rsidRPr="006133D2" w:rsidRDefault="006133D2" w:rsidP="006133D2">
      <w:pPr>
        <w:tabs>
          <w:tab w:val="num" w:pos="426"/>
        </w:tabs>
        <w:ind w:left="142"/>
        <w:jc w:val="both"/>
        <w:rPr>
          <w:rFonts w:ascii="Verdana" w:hAnsi="Verdana" w:cs="Verdana"/>
          <w:sz w:val="18"/>
          <w:szCs w:val="18"/>
        </w:rPr>
      </w:pPr>
    </w:p>
    <w:p w14:paraId="21B01F85" w14:textId="73C02DB1" w:rsidR="006133D2" w:rsidRPr="001B0330" w:rsidRDefault="006133D2" w:rsidP="006133D2">
      <w:pPr>
        <w:tabs>
          <w:tab w:val="num" w:pos="426"/>
        </w:tabs>
        <w:ind w:left="142"/>
        <w:jc w:val="both"/>
        <w:rPr>
          <w:rFonts w:ascii="Verdana" w:hAnsi="Verdana" w:cs="Verdana"/>
          <w:b/>
          <w:bCs/>
          <w:color w:val="984806" w:themeColor="accent6" w:themeShade="80"/>
          <w:sz w:val="18"/>
          <w:szCs w:val="18"/>
        </w:rPr>
      </w:pPr>
      <w:r w:rsidRPr="001B0330">
        <w:rPr>
          <w:rFonts w:ascii="Verdana" w:hAnsi="Verdana" w:cs="Verdana"/>
          <w:b/>
          <w:bCs/>
          <w:color w:val="984806" w:themeColor="accent6" w:themeShade="80"/>
          <w:sz w:val="18"/>
          <w:szCs w:val="18"/>
        </w:rPr>
        <w:t>Antecedentes del caso</w:t>
      </w:r>
    </w:p>
    <w:p w14:paraId="7CB5F26D" w14:textId="77777777" w:rsidR="006133D2" w:rsidRPr="006133D2" w:rsidRDefault="006133D2">
      <w:pPr>
        <w:numPr>
          <w:ilvl w:val="0"/>
          <w:numId w:val="10"/>
        </w:numPr>
        <w:tabs>
          <w:tab w:val="num" w:pos="426"/>
        </w:tabs>
        <w:jc w:val="both"/>
        <w:rPr>
          <w:rFonts w:ascii="Verdana" w:hAnsi="Verdana" w:cs="Verdana"/>
          <w:sz w:val="18"/>
          <w:szCs w:val="18"/>
        </w:rPr>
      </w:pPr>
      <w:r w:rsidRPr="006133D2">
        <w:rPr>
          <w:rFonts w:ascii="Verdana" w:hAnsi="Verdana" w:cs="Verdana"/>
          <w:sz w:val="18"/>
          <w:szCs w:val="18"/>
        </w:rPr>
        <w:t>Tres socios: 90%, 5% y 5%.</w:t>
      </w:r>
    </w:p>
    <w:p w14:paraId="6B2239E1" w14:textId="77777777" w:rsidR="006133D2" w:rsidRPr="006133D2" w:rsidRDefault="006133D2">
      <w:pPr>
        <w:numPr>
          <w:ilvl w:val="0"/>
          <w:numId w:val="10"/>
        </w:numPr>
        <w:tabs>
          <w:tab w:val="num" w:pos="426"/>
        </w:tabs>
        <w:jc w:val="both"/>
        <w:rPr>
          <w:rFonts w:ascii="Verdana" w:hAnsi="Verdana" w:cs="Verdana"/>
          <w:sz w:val="18"/>
          <w:szCs w:val="18"/>
        </w:rPr>
      </w:pPr>
      <w:r w:rsidRPr="006133D2">
        <w:rPr>
          <w:rFonts w:ascii="Verdana" w:hAnsi="Verdana" w:cs="Verdana"/>
          <w:sz w:val="18"/>
          <w:szCs w:val="18"/>
        </w:rPr>
        <w:t>Realizan aportaciones al patrimonio neto mediante la cancelación de deudas frente a la sociedad.</w:t>
      </w:r>
    </w:p>
    <w:p w14:paraId="1B13575D" w14:textId="77777777" w:rsidR="006133D2" w:rsidRPr="006133D2" w:rsidRDefault="006133D2">
      <w:pPr>
        <w:numPr>
          <w:ilvl w:val="0"/>
          <w:numId w:val="10"/>
        </w:numPr>
        <w:tabs>
          <w:tab w:val="num" w:pos="426"/>
        </w:tabs>
        <w:jc w:val="both"/>
        <w:rPr>
          <w:rFonts w:ascii="Verdana" w:hAnsi="Verdana" w:cs="Verdana"/>
          <w:sz w:val="18"/>
          <w:szCs w:val="18"/>
        </w:rPr>
      </w:pPr>
      <w:r w:rsidRPr="00E32955">
        <w:rPr>
          <w:rFonts w:ascii="Verdana" w:hAnsi="Verdana" w:cs="Verdana"/>
          <w:b/>
          <w:bCs/>
          <w:sz w:val="18"/>
          <w:szCs w:val="18"/>
        </w:rPr>
        <w:t>Las aportaciones de los socios minoritarios superaban ampliamente lo que les correspondería por su porcentaje de participación</w:t>
      </w:r>
      <w:r w:rsidRPr="006133D2">
        <w:rPr>
          <w:rFonts w:ascii="Verdana" w:hAnsi="Verdana" w:cs="Verdana"/>
          <w:sz w:val="18"/>
          <w:szCs w:val="18"/>
        </w:rPr>
        <w:t>.</w:t>
      </w:r>
    </w:p>
    <w:p w14:paraId="500B508B" w14:textId="77777777" w:rsidR="006133D2" w:rsidRPr="006133D2" w:rsidRDefault="006133D2">
      <w:pPr>
        <w:numPr>
          <w:ilvl w:val="0"/>
          <w:numId w:val="10"/>
        </w:numPr>
        <w:tabs>
          <w:tab w:val="num" w:pos="426"/>
        </w:tabs>
        <w:jc w:val="both"/>
        <w:rPr>
          <w:rFonts w:ascii="Verdana" w:hAnsi="Verdana" w:cs="Verdana"/>
          <w:sz w:val="18"/>
          <w:szCs w:val="18"/>
        </w:rPr>
      </w:pPr>
      <w:r w:rsidRPr="006133D2">
        <w:rPr>
          <w:rFonts w:ascii="Verdana" w:hAnsi="Verdana" w:cs="Verdana"/>
          <w:sz w:val="18"/>
          <w:szCs w:val="18"/>
        </w:rPr>
        <w:t xml:space="preserve">La empresa alegó que existían pactos </w:t>
      </w:r>
      <w:proofErr w:type="spellStart"/>
      <w:r w:rsidRPr="006133D2">
        <w:rPr>
          <w:rFonts w:ascii="Verdana" w:hAnsi="Verdana" w:cs="Verdana"/>
          <w:sz w:val="18"/>
          <w:szCs w:val="18"/>
        </w:rPr>
        <w:t>parasociales</w:t>
      </w:r>
      <w:proofErr w:type="spellEnd"/>
      <w:r w:rsidRPr="006133D2">
        <w:rPr>
          <w:rFonts w:ascii="Verdana" w:hAnsi="Verdana" w:cs="Verdana"/>
          <w:sz w:val="18"/>
          <w:szCs w:val="18"/>
        </w:rPr>
        <w:t xml:space="preserve"> de 2015 que preveían una futura ampliación de capital (formalizada en 2021), lo que justificaría la falta de proporcionalidad.</w:t>
      </w:r>
    </w:p>
    <w:p w14:paraId="5D1DC274" w14:textId="77777777" w:rsidR="006133D2" w:rsidRDefault="006133D2">
      <w:pPr>
        <w:numPr>
          <w:ilvl w:val="0"/>
          <w:numId w:val="10"/>
        </w:numPr>
        <w:tabs>
          <w:tab w:val="num" w:pos="426"/>
        </w:tabs>
        <w:jc w:val="both"/>
        <w:rPr>
          <w:rFonts w:ascii="Verdana" w:hAnsi="Verdana" w:cs="Verdana"/>
          <w:sz w:val="18"/>
          <w:szCs w:val="18"/>
        </w:rPr>
      </w:pPr>
      <w:r w:rsidRPr="006133D2">
        <w:rPr>
          <w:rFonts w:ascii="Verdana" w:hAnsi="Verdana" w:cs="Verdana"/>
          <w:sz w:val="18"/>
          <w:szCs w:val="18"/>
        </w:rPr>
        <w:t>La Inspección rechazó dichos pactos por considerarlos no probados y aportados tardíamente.</w:t>
      </w:r>
    </w:p>
    <w:p w14:paraId="28D5F3B8" w14:textId="77777777" w:rsidR="00E32955" w:rsidRPr="006133D2" w:rsidRDefault="00E32955" w:rsidP="00E32955">
      <w:pPr>
        <w:ind w:left="720"/>
        <w:jc w:val="both"/>
        <w:rPr>
          <w:rFonts w:ascii="Verdana" w:hAnsi="Verdana" w:cs="Verdana"/>
          <w:sz w:val="18"/>
          <w:szCs w:val="18"/>
        </w:rPr>
      </w:pPr>
    </w:p>
    <w:p w14:paraId="59B9D3CD" w14:textId="32F39770" w:rsidR="006133D2" w:rsidRPr="001B0330" w:rsidRDefault="006133D2" w:rsidP="006133D2">
      <w:pPr>
        <w:tabs>
          <w:tab w:val="num" w:pos="426"/>
        </w:tabs>
        <w:ind w:left="142"/>
        <w:jc w:val="both"/>
        <w:rPr>
          <w:rFonts w:ascii="Verdana" w:hAnsi="Verdana" w:cs="Verdana"/>
          <w:b/>
          <w:bCs/>
          <w:color w:val="984806" w:themeColor="accent6" w:themeShade="80"/>
          <w:sz w:val="18"/>
          <w:szCs w:val="18"/>
        </w:rPr>
      </w:pPr>
      <w:r w:rsidRPr="001B0330">
        <w:rPr>
          <w:rFonts w:ascii="Verdana" w:hAnsi="Verdana" w:cs="Verdana"/>
          <w:b/>
          <w:bCs/>
          <w:color w:val="984806" w:themeColor="accent6" w:themeShade="80"/>
          <w:sz w:val="18"/>
          <w:szCs w:val="18"/>
        </w:rPr>
        <w:t>Decisión del TEAC</w:t>
      </w:r>
    </w:p>
    <w:p w14:paraId="48FF3C62" w14:textId="53F26197" w:rsidR="006133D2" w:rsidRPr="006133D2" w:rsidRDefault="006133D2">
      <w:pPr>
        <w:numPr>
          <w:ilvl w:val="0"/>
          <w:numId w:val="11"/>
        </w:numPr>
        <w:tabs>
          <w:tab w:val="num" w:pos="426"/>
        </w:tabs>
        <w:rPr>
          <w:rFonts w:ascii="Verdana" w:hAnsi="Verdana" w:cs="Verdana"/>
          <w:sz w:val="18"/>
          <w:szCs w:val="18"/>
        </w:rPr>
      </w:pPr>
      <w:r w:rsidRPr="00967278">
        <w:rPr>
          <w:rFonts w:ascii="Verdana" w:hAnsi="Verdana" w:cs="Verdana"/>
          <w:b/>
          <w:bCs/>
          <w:sz w:val="18"/>
          <w:szCs w:val="18"/>
        </w:rPr>
        <w:t>Validez de la prueba indiciaria:</w:t>
      </w:r>
      <w:r w:rsidRPr="00967278">
        <w:rPr>
          <w:rFonts w:ascii="Verdana" w:hAnsi="Verdana" w:cs="Verdana"/>
          <w:b/>
          <w:bCs/>
          <w:sz w:val="18"/>
          <w:szCs w:val="18"/>
        </w:rPr>
        <w:br/>
      </w:r>
      <w:r w:rsidRPr="006133D2">
        <w:rPr>
          <w:rFonts w:ascii="Verdana" w:hAnsi="Verdana" w:cs="Verdana"/>
          <w:sz w:val="18"/>
          <w:szCs w:val="18"/>
        </w:rPr>
        <w:t xml:space="preserve">Se consideran razonables los indicios que llevaron a la Inspección a concluir que los pactos </w:t>
      </w:r>
      <w:proofErr w:type="spellStart"/>
      <w:r w:rsidRPr="006133D2">
        <w:rPr>
          <w:rFonts w:ascii="Verdana" w:hAnsi="Verdana" w:cs="Verdana"/>
          <w:sz w:val="18"/>
          <w:szCs w:val="18"/>
        </w:rPr>
        <w:t>parasociales</w:t>
      </w:r>
      <w:proofErr w:type="spellEnd"/>
      <w:r w:rsidRPr="006133D2">
        <w:rPr>
          <w:rFonts w:ascii="Verdana" w:hAnsi="Verdana" w:cs="Verdana"/>
          <w:sz w:val="18"/>
          <w:szCs w:val="18"/>
        </w:rPr>
        <w:t xml:space="preserve"> se crearon </w:t>
      </w:r>
      <w:r w:rsidR="0046209E">
        <w:rPr>
          <w:rFonts w:ascii="Verdana" w:hAnsi="Verdana" w:cs="Verdana"/>
          <w:sz w:val="18"/>
          <w:szCs w:val="18"/>
        </w:rPr>
        <w:t>“</w:t>
      </w:r>
      <w:r w:rsidRPr="006133D2">
        <w:rPr>
          <w:rFonts w:ascii="Verdana" w:hAnsi="Verdana" w:cs="Verdana"/>
          <w:sz w:val="18"/>
          <w:szCs w:val="18"/>
        </w:rPr>
        <w:t>ad hoc</w:t>
      </w:r>
      <w:r w:rsidR="0046209E">
        <w:rPr>
          <w:rFonts w:ascii="Verdana" w:hAnsi="Verdana" w:cs="Verdana"/>
          <w:sz w:val="18"/>
          <w:szCs w:val="18"/>
        </w:rPr>
        <w:t>”</w:t>
      </w:r>
      <w:r w:rsidRPr="006133D2">
        <w:rPr>
          <w:rFonts w:ascii="Verdana" w:hAnsi="Verdana" w:cs="Verdana"/>
          <w:sz w:val="18"/>
          <w:szCs w:val="18"/>
        </w:rPr>
        <w:t xml:space="preserve"> durante el procedimiento.</w:t>
      </w:r>
    </w:p>
    <w:p w14:paraId="02BC5E70" w14:textId="77777777" w:rsidR="006133D2" w:rsidRPr="006133D2" w:rsidRDefault="006133D2">
      <w:pPr>
        <w:numPr>
          <w:ilvl w:val="0"/>
          <w:numId w:val="11"/>
        </w:numPr>
        <w:tabs>
          <w:tab w:val="num" w:pos="426"/>
        </w:tabs>
        <w:rPr>
          <w:rFonts w:ascii="Verdana" w:hAnsi="Verdana" w:cs="Verdana"/>
          <w:sz w:val="18"/>
          <w:szCs w:val="18"/>
        </w:rPr>
      </w:pPr>
      <w:r w:rsidRPr="00967278">
        <w:rPr>
          <w:rFonts w:ascii="Verdana" w:hAnsi="Verdana" w:cs="Verdana"/>
          <w:b/>
          <w:bCs/>
          <w:sz w:val="18"/>
          <w:szCs w:val="18"/>
        </w:rPr>
        <w:t>No hay efectos retroactivos:</w:t>
      </w:r>
      <w:r w:rsidRPr="00967278">
        <w:rPr>
          <w:rFonts w:ascii="Verdana" w:hAnsi="Verdana" w:cs="Verdana"/>
          <w:b/>
          <w:bCs/>
          <w:sz w:val="18"/>
          <w:szCs w:val="18"/>
        </w:rPr>
        <w:br/>
      </w:r>
      <w:r w:rsidRPr="006133D2">
        <w:rPr>
          <w:rFonts w:ascii="Verdana" w:hAnsi="Verdana" w:cs="Verdana"/>
          <w:sz w:val="18"/>
          <w:szCs w:val="18"/>
        </w:rPr>
        <w:t>La ampliación de capital de 2021 no modifica la naturaleza de las aportaciones realizadas en 2015.</w:t>
      </w:r>
    </w:p>
    <w:p w14:paraId="0F7F9235" w14:textId="77777777" w:rsidR="006133D2" w:rsidRPr="00967278" w:rsidRDefault="006133D2">
      <w:pPr>
        <w:numPr>
          <w:ilvl w:val="0"/>
          <w:numId w:val="11"/>
        </w:numPr>
        <w:tabs>
          <w:tab w:val="num" w:pos="426"/>
        </w:tabs>
        <w:rPr>
          <w:rFonts w:ascii="Verdana" w:hAnsi="Verdana" w:cs="Verdana"/>
          <w:b/>
          <w:bCs/>
          <w:sz w:val="18"/>
          <w:szCs w:val="18"/>
        </w:rPr>
      </w:pPr>
      <w:r w:rsidRPr="00967278">
        <w:rPr>
          <w:rFonts w:ascii="Verdana" w:hAnsi="Verdana" w:cs="Verdana"/>
          <w:b/>
          <w:bCs/>
          <w:sz w:val="18"/>
          <w:szCs w:val="18"/>
        </w:rPr>
        <w:t>Aplicación de la NRV 18 del PGC:</w:t>
      </w:r>
    </w:p>
    <w:p w14:paraId="2C18B27B" w14:textId="77777777" w:rsidR="006133D2" w:rsidRPr="006133D2" w:rsidRDefault="006133D2">
      <w:pPr>
        <w:numPr>
          <w:ilvl w:val="1"/>
          <w:numId w:val="11"/>
        </w:numPr>
        <w:tabs>
          <w:tab w:val="clear" w:pos="1440"/>
          <w:tab w:val="num" w:pos="426"/>
          <w:tab w:val="num" w:pos="993"/>
        </w:tabs>
        <w:ind w:left="993" w:hanging="284"/>
        <w:rPr>
          <w:rFonts w:ascii="Verdana" w:hAnsi="Verdana" w:cs="Verdana"/>
          <w:sz w:val="18"/>
          <w:szCs w:val="18"/>
        </w:rPr>
      </w:pPr>
      <w:r w:rsidRPr="006133D2">
        <w:rPr>
          <w:rFonts w:ascii="Verdana" w:hAnsi="Verdana" w:cs="Verdana"/>
          <w:sz w:val="18"/>
          <w:szCs w:val="18"/>
        </w:rPr>
        <w:t>Las aportaciones de socios solo pueden registrarse en fondos propios cuando son proporcionales.</w:t>
      </w:r>
    </w:p>
    <w:p w14:paraId="4A83DE24" w14:textId="77777777" w:rsidR="006133D2" w:rsidRPr="006133D2" w:rsidRDefault="006133D2">
      <w:pPr>
        <w:numPr>
          <w:ilvl w:val="1"/>
          <w:numId w:val="11"/>
        </w:numPr>
        <w:tabs>
          <w:tab w:val="clear" w:pos="1440"/>
          <w:tab w:val="num" w:pos="426"/>
          <w:tab w:val="num" w:pos="993"/>
        </w:tabs>
        <w:ind w:left="993" w:hanging="284"/>
        <w:rPr>
          <w:rFonts w:ascii="Verdana" w:hAnsi="Verdana" w:cs="Verdana"/>
          <w:sz w:val="18"/>
          <w:szCs w:val="18"/>
        </w:rPr>
      </w:pPr>
      <w:r w:rsidRPr="006133D2">
        <w:rPr>
          <w:rFonts w:ascii="Verdana" w:hAnsi="Verdana" w:cs="Verdana"/>
          <w:sz w:val="18"/>
          <w:szCs w:val="18"/>
        </w:rPr>
        <w:t>La falta de proporcionalidad implica que el exceso constituye una donación, lo que se traduce en un ingreso contable.</w:t>
      </w:r>
    </w:p>
    <w:p w14:paraId="3FEDF387" w14:textId="77777777" w:rsidR="006133D2" w:rsidRDefault="006133D2">
      <w:pPr>
        <w:numPr>
          <w:ilvl w:val="0"/>
          <w:numId w:val="11"/>
        </w:numPr>
        <w:tabs>
          <w:tab w:val="num" w:pos="426"/>
        </w:tabs>
        <w:rPr>
          <w:rFonts w:ascii="Verdana" w:hAnsi="Verdana" w:cs="Verdana"/>
          <w:sz w:val="18"/>
          <w:szCs w:val="18"/>
        </w:rPr>
      </w:pPr>
      <w:r w:rsidRPr="00967278">
        <w:rPr>
          <w:rFonts w:ascii="Verdana" w:hAnsi="Verdana" w:cs="Verdana"/>
          <w:b/>
          <w:bCs/>
          <w:sz w:val="18"/>
          <w:szCs w:val="18"/>
        </w:rPr>
        <w:lastRenderedPageBreak/>
        <w:t>Confirmación de la regularización y desestimación del recurso:</w:t>
      </w:r>
      <w:r w:rsidRPr="00967278">
        <w:rPr>
          <w:rFonts w:ascii="Verdana" w:hAnsi="Verdana" w:cs="Verdana"/>
          <w:b/>
          <w:bCs/>
          <w:sz w:val="18"/>
          <w:szCs w:val="18"/>
        </w:rPr>
        <w:br/>
      </w:r>
      <w:r w:rsidRPr="006133D2">
        <w:rPr>
          <w:rFonts w:ascii="Verdana" w:hAnsi="Verdana" w:cs="Verdana"/>
          <w:sz w:val="18"/>
          <w:szCs w:val="18"/>
        </w:rPr>
        <w:t>El exceso de aportación se incorporó correctamente como ingreso del ejercicio 2015, incrementando la base imponible del IS.</w:t>
      </w:r>
    </w:p>
    <w:p w14:paraId="196AF200" w14:textId="77777777" w:rsidR="00967278" w:rsidRDefault="00967278" w:rsidP="00967278">
      <w:pPr>
        <w:ind w:left="720"/>
        <w:rPr>
          <w:rFonts w:ascii="Verdana" w:hAnsi="Verdana" w:cs="Verdana"/>
          <w:sz w:val="18"/>
          <w:szCs w:val="18"/>
        </w:rPr>
      </w:pPr>
    </w:p>
    <w:p w14:paraId="26A463D4" w14:textId="62D8059B" w:rsidR="006133D2" w:rsidRPr="001B0330" w:rsidRDefault="006133D2" w:rsidP="006133D2">
      <w:pPr>
        <w:tabs>
          <w:tab w:val="num" w:pos="426"/>
        </w:tabs>
        <w:ind w:left="142"/>
        <w:jc w:val="both"/>
        <w:rPr>
          <w:rFonts w:ascii="Verdana" w:hAnsi="Verdana" w:cs="Verdana"/>
          <w:b/>
          <w:bCs/>
          <w:color w:val="984806" w:themeColor="accent6" w:themeShade="80"/>
          <w:sz w:val="18"/>
          <w:szCs w:val="18"/>
        </w:rPr>
      </w:pPr>
      <w:r w:rsidRPr="001B0330">
        <w:rPr>
          <w:rFonts w:ascii="Verdana" w:hAnsi="Verdana" w:cs="Verdana"/>
          <w:b/>
          <w:bCs/>
          <w:color w:val="984806" w:themeColor="accent6" w:themeShade="80"/>
          <w:sz w:val="18"/>
          <w:szCs w:val="18"/>
        </w:rPr>
        <w:t>Basado en doctrina previa</w:t>
      </w:r>
    </w:p>
    <w:p w14:paraId="0B967112" w14:textId="77777777" w:rsidR="006133D2" w:rsidRPr="006133D2" w:rsidRDefault="006133D2">
      <w:pPr>
        <w:numPr>
          <w:ilvl w:val="0"/>
          <w:numId w:val="12"/>
        </w:numPr>
        <w:tabs>
          <w:tab w:val="num" w:pos="426"/>
        </w:tabs>
        <w:jc w:val="both"/>
        <w:rPr>
          <w:rFonts w:ascii="Verdana" w:hAnsi="Verdana" w:cs="Verdana"/>
          <w:sz w:val="18"/>
          <w:szCs w:val="18"/>
        </w:rPr>
      </w:pPr>
      <w:r w:rsidRPr="006133D2">
        <w:rPr>
          <w:rFonts w:ascii="Verdana" w:hAnsi="Verdana" w:cs="Verdana"/>
          <w:sz w:val="18"/>
          <w:szCs w:val="18"/>
        </w:rPr>
        <w:t>Consultas del ICAC (BOICAC 79/2009 y 83/2010).</w:t>
      </w:r>
    </w:p>
    <w:p w14:paraId="257C63BB" w14:textId="77777777" w:rsidR="006133D2" w:rsidRPr="006133D2" w:rsidRDefault="006133D2">
      <w:pPr>
        <w:numPr>
          <w:ilvl w:val="0"/>
          <w:numId w:val="12"/>
        </w:numPr>
        <w:tabs>
          <w:tab w:val="num" w:pos="426"/>
        </w:tabs>
        <w:jc w:val="both"/>
        <w:rPr>
          <w:rFonts w:ascii="Verdana" w:hAnsi="Verdana" w:cs="Verdana"/>
          <w:sz w:val="18"/>
          <w:szCs w:val="18"/>
        </w:rPr>
      </w:pPr>
      <w:r w:rsidRPr="006133D2">
        <w:rPr>
          <w:rFonts w:ascii="Verdana" w:hAnsi="Verdana" w:cs="Verdana"/>
          <w:sz w:val="18"/>
          <w:szCs w:val="18"/>
        </w:rPr>
        <w:t>Consultas de la DGT (V1626-09, V0621-10, V2333-11, V1812-16, entre otras).</w:t>
      </w:r>
    </w:p>
    <w:p w14:paraId="300ACC82" w14:textId="77777777" w:rsidR="006133D2" w:rsidRDefault="006133D2">
      <w:pPr>
        <w:numPr>
          <w:ilvl w:val="0"/>
          <w:numId w:val="12"/>
        </w:numPr>
        <w:tabs>
          <w:tab w:val="num" w:pos="426"/>
        </w:tabs>
        <w:jc w:val="both"/>
        <w:rPr>
          <w:rFonts w:ascii="Verdana" w:hAnsi="Verdana" w:cs="Verdana"/>
          <w:sz w:val="18"/>
          <w:szCs w:val="18"/>
        </w:rPr>
      </w:pPr>
      <w:r w:rsidRPr="006133D2">
        <w:rPr>
          <w:rFonts w:ascii="Verdana" w:hAnsi="Verdana" w:cs="Verdana"/>
          <w:sz w:val="18"/>
          <w:szCs w:val="18"/>
        </w:rPr>
        <w:t>TEAR La Rioja (31/10/2012) y TEAR Canarias (30/06/2014).</w:t>
      </w:r>
    </w:p>
    <w:p w14:paraId="12F07230" w14:textId="77777777" w:rsidR="00E32955" w:rsidRPr="006133D2" w:rsidRDefault="00E32955" w:rsidP="00E32955">
      <w:pPr>
        <w:ind w:left="720"/>
        <w:jc w:val="both"/>
        <w:rPr>
          <w:rFonts w:ascii="Verdana" w:hAnsi="Verdana" w:cs="Verdana"/>
          <w:sz w:val="18"/>
          <w:szCs w:val="18"/>
        </w:rPr>
      </w:pPr>
    </w:p>
    <w:p w14:paraId="29546D52" w14:textId="286F64E5" w:rsidR="006133D2" w:rsidRPr="001B0330" w:rsidRDefault="006133D2" w:rsidP="006133D2">
      <w:pPr>
        <w:tabs>
          <w:tab w:val="num" w:pos="426"/>
        </w:tabs>
        <w:ind w:left="142"/>
        <w:jc w:val="both"/>
        <w:rPr>
          <w:rFonts w:ascii="Verdana" w:hAnsi="Verdana" w:cs="Verdana"/>
          <w:b/>
          <w:bCs/>
          <w:color w:val="984806" w:themeColor="accent6" w:themeShade="80"/>
          <w:sz w:val="18"/>
          <w:szCs w:val="18"/>
        </w:rPr>
      </w:pPr>
      <w:r w:rsidRPr="001B0330">
        <w:rPr>
          <w:rFonts w:ascii="Verdana" w:hAnsi="Verdana" w:cs="Verdana"/>
          <w:b/>
          <w:bCs/>
          <w:color w:val="984806" w:themeColor="accent6" w:themeShade="80"/>
          <w:sz w:val="18"/>
          <w:szCs w:val="18"/>
        </w:rPr>
        <w:t>Implicaciones prácticas</w:t>
      </w:r>
    </w:p>
    <w:p w14:paraId="26F2B151" w14:textId="77777777" w:rsidR="006133D2" w:rsidRPr="006133D2" w:rsidRDefault="006133D2">
      <w:pPr>
        <w:numPr>
          <w:ilvl w:val="0"/>
          <w:numId w:val="13"/>
        </w:numPr>
        <w:tabs>
          <w:tab w:val="num" w:pos="426"/>
        </w:tabs>
        <w:jc w:val="both"/>
        <w:rPr>
          <w:rFonts w:ascii="Verdana" w:hAnsi="Verdana" w:cs="Verdana"/>
          <w:sz w:val="18"/>
          <w:szCs w:val="18"/>
        </w:rPr>
      </w:pPr>
      <w:r w:rsidRPr="00E32955">
        <w:rPr>
          <w:rFonts w:ascii="Verdana" w:hAnsi="Verdana" w:cs="Verdana"/>
          <w:b/>
          <w:bCs/>
          <w:sz w:val="18"/>
          <w:szCs w:val="18"/>
        </w:rPr>
        <w:t>Control de proporcionalidad</w:t>
      </w:r>
      <w:r w:rsidRPr="006133D2">
        <w:rPr>
          <w:rFonts w:ascii="Verdana" w:hAnsi="Verdana" w:cs="Verdana"/>
          <w:sz w:val="18"/>
          <w:szCs w:val="18"/>
        </w:rPr>
        <w:t>: Las aportaciones de socios sin ampliación de capital deben seguir la regla de proporcionalidad para ser fondos propios.</w:t>
      </w:r>
    </w:p>
    <w:p w14:paraId="478931B0" w14:textId="77777777" w:rsidR="006133D2" w:rsidRPr="006133D2" w:rsidRDefault="006133D2">
      <w:pPr>
        <w:numPr>
          <w:ilvl w:val="0"/>
          <w:numId w:val="13"/>
        </w:numPr>
        <w:tabs>
          <w:tab w:val="num" w:pos="426"/>
        </w:tabs>
        <w:jc w:val="both"/>
        <w:rPr>
          <w:rFonts w:ascii="Verdana" w:hAnsi="Verdana" w:cs="Verdana"/>
          <w:sz w:val="18"/>
          <w:szCs w:val="18"/>
        </w:rPr>
      </w:pPr>
      <w:r w:rsidRPr="00E32955">
        <w:rPr>
          <w:rFonts w:ascii="Verdana" w:hAnsi="Verdana" w:cs="Verdana"/>
          <w:b/>
          <w:bCs/>
          <w:sz w:val="18"/>
          <w:szCs w:val="18"/>
        </w:rPr>
        <w:t>Riesgo fiscal</w:t>
      </w:r>
      <w:r w:rsidRPr="006133D2">
        <w:rPr>
          <w:rFonts w:ascii="Verdana" w:hAnsi="Verdana" w:cs="Verdana"/>
          <w:sz w:val="18"/>
          <w:szCs w:val="18"/>
        </w:rPr>
        <w:t>: La falta de proporcionalidad puede generar ingresos imponibles.</w:t>
      </w:r>
    </w:p>
    <w:p w14:paraId="75440ECA" w14:textId="77777777" w:rsidR="006133D2" w:rsidRPr="006133D2" w:rsidRDefault="006133D2">
      <w:pPr>
        <w:numPr>
          <w:ilvl w:val="0"/>
          <w:numId w:val="13"/>
        </w:numPr>
        <w:tabs>
          <w:tab w:val="num" w:pos="426"/>
        </w:tabs>
        <w:jc w:val="both"/>
        <w:rPr>
          <w:rFonts w:ascii="Verdana" w:hAnsi="Verdana" w:cs="Verdana"/>
          <w:sz w:val="18"/>
          <w:szCs w:val="18"/>
        </w:rPr>
      </w:pPr>
      <w:r w:rsidRPr="00E32955">
        <w:rPr>
          <w:rFonts w:ascii="Verdana" w:hAnsi="Verdana" w:cs="Verdana"/>
          <w:b/>
          <w:bCs/>
          <w:sz w:val="18"/>
          <w:szCs w:val="18"/>
        </w:rPr>
        <w:t>Documentación crítica</w:t>
      </w:r>
      <w:r w:rsidRPr="006133D2">
        <w:rPr>
          <w:rFonts w:ascii="Verdana" w:hAnsi="Verdana" w:cs="Verdana"/>
          <w:sz w:val="18"/>
          <w:szCs w:val="18"/>
        </w:rPr>
        <w:t>: Pactos privados no inscritos ni mencionados en cuentas o memorias tienen escaso valor probatorio frente a la Administración.</w:t>
      </w:r>
    </w:p>
    <w:p w14:paraId="4EF86420" w14:textId="77777777" w:rsidR="006133D2" w:rsidRPr="006133D2" w:rsidRDefault="006133D2">
      <w:pPr>
        <w:numPr>
          <w:ilvl w:val="0"/>
          <w:numId w:val="13"/>
        </w:numPr>
        <w:tabs>
          <w:tab w:val="num" w:pos="426"/>
        </w:tabs>
        <w:jc w:val="both"/>
        <w:rPr>
          <w:rFonts w:ascii="Verdana" w:hAnsi="Verdana" w:cs="Verdana"/>
          <w:sz w:val="18"/>
          <w:szCs w:val="18"/>
        </w:rPr>
      </w:pPr>
      <w:r w:rsidRPr="00E32955">
        <w:rPr>
          <w:rFonts w:ascii="Verdana" w:hAnsi="Verdana" w:cs="Verdana"/>
          <w:b/>
          <w:bCs/>
          <w:sz w:val="18"/>
          <w:szCs w:val="18"/>
        </w:rPr>
        <w:t>No retroactividad</w:t>
      </w:r>
      <w:r w:rsidRPr="006133D2">
        <w:rPr>
          <w:rFonts w:ascii="Verdana" w:hAnsi="Verdana" w:cs="Verdana"/>
          <w:sz w:val="18"/>
          <w:szCs w:val="18"/>
        </w:rPr>
        <w:t>: Una ampliación de capital posterior no corrige la calificación inicial de las aportaciones.</w:t>
      </w:r>
    </w:p>
    <w:p w14:paraId="39E69572" w14:textId="77777777" w:rsidR="00263BF0" w:rsidRPr="006133D2" w:rsidRDefault="00263BF0" w:rsidP="006133D2">
      <w:pPr>
        <w:tabs>
          <w:tab w:val="num" w:pos="426"/>
        </w:tabs>
        <w:ind w:left="142"/>
        <w:jc w:val="both"/>
        <w:rPr>
          <w:rFonts w:ascii="Verdana" w:hAnsi="Verdana" w:cs="Verdana"/>
          <w:sz w:val="18"/>
          <w:szCs w:val="18"/>
        </w:rPr>
      </w:pPr>
    </w:p>
    <w:p w14:paraId="09F96ED3" w14:textId="77777777" w:rsidR="002A2E40" w:rsidRPr="002A2E40" w:rsidRDefault="002A2E40" w:rsidP="002A2E40">
      <w:pPr>
        <w:ind w:left="142"/>
        <w:jc w:val="both"/>
        <w:rPr>
          <w:rFonts w:ascii="Verdana" w:hAnsi="Verdana" w:cs="Verdana"/>
          <w:bCs/>
          <w:iCs/>
          <w:sz w:val="18"/>
          <w:szCs w:val="18"/>
        </w:rPr>
      </w:pPr>
    </w:p>
    <w:tbl>
      <w:tblPr>
        <w:tblW w:w="8640" w:type="dxa"/>
        <w:tblInd w:w="-68" w:type="dxa"/>
        <w:tblCellMar>
          <w:left w:w="70" w:type="dxa"/>
          <w:right w:w="70" w:type="dxa"/>
        </w:tblCellMar>
        <w:tblLook w:val="0000" w:firstRow="0" w:lastRow="0" w:firstColumn="0" w:lastColumn="0" w:noHBand="0" w:noVBand="0"/>
      </w:tblPr>
      <w:tblGrid>
        <w:gridCol w:w="180"/>
        <w:gridCol w:w="8460"/>
      </w:tblGrid>
      <w:tr w:rsidR="00694F6E" w:rsidRPr="00694F6E" w14:paraId="75BBD8CD" w14:textId="77777777" w:rsidTr="00342020">
        <w:trPr>
          <w:trHeight w:val="232"/>
        </w:trPr>
        <w:tc>
          <w:tcPr>
            <w:tcW w:w="180" w:type="dxa"/>
            <w:shd w:val="clear" w:color="auto" w:fill="FF6600"/>
          </w:tcPr>
          <w:p w14:paraId="31E19486" w14:textId="77777777" w:rsidR="00694F6E" w:rsidRPr="00694F6E" w:rsidRDefault="00694F6E" w:rsidP="00342020">
            <w:pPr>
              <w:tabs>
                <w:tab w:val="num" w:pos="426"/>
              </w:tabs>
              <w:ind w:left="426"/>
              <w:jc w:val="both"/>
              <w:rPr>
                <w:rFonts w:ascii="Verdana" w:hAnsi="Verdana" w:cs="Verdana"/>
                <w:b/>
                <w:bCs/>
                <w:color w:val="800000"/>
                <w:sz w:val="18"/>
                <w:szCs w:val="18"/>
              </w:rPr>
            </w:pPr>
            <w:bookmarkStart w:id="2" w:name="_Hlk214299003"/>
          </w:p>
        </w:tc>
        <w:tc>
          <w:tcPr>
            <w:tcW w:w="8460" w:type="dxa"/>
          </w:tcPr>
          <w:p w14:paraId="360B9765" w14:textId="2447C0DD" w:rsidR="00694F6E" w:rsidRPr="00694F6E" w:rsidRDefault="00694F6E">
            <w:pPr>
              <w:numPr>
                <w:ilvl w:val="0"/>
                <w:numId w:val="3"/>
              </w:numPr>
              <w:tabs>
                <w:tab w:val="num" w:pos="426"/>
              </w:tabs>
              <w:jc w:val="both"/>
              <w:rPr>
                <w:rFonts w:ascii="Verdana" w:hAnsi="Verdana" w:cs="Verdana"/>
                <w:b/>
                <w:bCs/>
                <w:color w:val="800000"/>
                <w:sz w:val="18"/>
                <w:szCs w:val="18"/>
              </w:rPr>
            </w:pPr>
            <w:r w:rsidRPr="00694F6E">
              <w:rPr>
                <w:rFonts w:ascii="Verdana" w:hAnsi="Verdana" w:cs="Verdana"/>
                <w:b/>
                <w:bCs/>
                <w:color w:val="800000"/>
                <w:sz w:val="18"/>
                <w:szCs w:val="18"/>
              </w:rPr>
              <w:t xml:space="preserve">EL TEAC, SIGUIENDO EL CRITERIO DEL </w:t>
            </w:r>
            <w:r w:rsidR="00967278">
              <w:rPr>
                <w:rFonts w:ascii="Verdana" w:hAnsi="Verdana" w:cs="Verdana"/>
                <w:b/>
                <w:bCs/>
                <w:color w:val="800000"/>
                <w:sz w:val="18"/>
                <w:szCs w:val="18"/>
              </w:rPr>
              <w:t>TRIBUNAL SUPREMO</w:t>
            </w:r>
            <w:r w:rsidRPr="00694F6E">
              <w:rPr>
                <w:rFonts w:ascii="Verdana" w:hAnsi="Verdana" w:cs="Verdana"/>
                <w:b/>
                <w:bCs/>
                <w:color w:val="800000"/>
                <w:sz w:val="18"/>
                <w:szCs w:val="18"/>
              </w:rPr>
              <w:t>, ESTABLECE EN UNIFICACIÓN DE CRITERIO QUE LAS DIETAS TIENEN NATURALEZA EXTRASALARIAL Y SON PLENAMENTE EMBARGABLES AL NO CONSIDERARSE SUELDO</w:t>
            </w:r>
          </w:p>
        </w:tc>
      </w:tr>
      <w:bookmarkEnd w:id="2"/>
    </w:tbl>
    <w:p w14:paraId="6A0771BE" w14:textId="77777777" w:rsidR="00694F6E" w:rsidRDefault="00694F6E" w:rsidP="002A2E40">
      <w:pPr>
        <w:ind w:left="142"/>
        <w:jc w:val="both"/>
        <w:rPr>
          <w:rFonts w:ascii="Verdana" w:hAnsi="Verdana" w:cs="Verdana"/>
          <w:bCs/>
          <w:iCs/>
          <w:sz w:val="18"/>
          <w:szCs w:val="18"/>
        </w:rPr>
      </w:pPr>
    </w:p>
    <w:p w14:paraId="67883607" w14:textId="3AC757AD" w:rsidR="00E32955" w:rsidRDefault="00A65447" w:rsidP="0068685E">
      <w:pPr>
        <w:tabs>
          <w:tab w:val="left" w:pos="851"/>
        </w:tabs>
        <w:ind w:left="142"/>
        <w:jc w:val="both"/>
        <w:rPr>
          <w:rFonts w:ascii="Verdana" w:hAnsi="Verdana" w:cs="Verdana"/>
          <w:bCs/>
          <w:iCs/>
          <w:sz w:val="18"/>
          <w:szCs w:val="18"/>
        </w:rPr>
      </w:pPr>
      <w:r w:rsidRPr="00A65447">
        <w:rPr>
          <w:rFonts w:ascii="Verdana" w:hAnsi="Verdana" w:cs="Verdana"/>
          <w:bCs/>
          <w:iCs/>
          <w:sz w:val="18"/>
          <w:szCs w:val="18"/>
        </w:rPr>
        <w:t xml:space="preserve">El Tribunal Económico-Administrativo Central (TEAC) </w:t>
      </w:r>
      <w:r w:rsidR="00E32955">
        <w:rPr>
          <w:rFonts w:ascii="Verdana" w:hAnsi="Verdana" w:cs="Verdana"/>
          <w:bCs/>
          <w:iCs/>
          <w:sz w:val="18"/>
          <w:szCs w:val="18"/>
        </w:rPr>
        <w:t xml:space="preserve">en su resolución </w:t>
      </w:r>
      <w:r w:rsidR="00E32955" w:rsidRPr="00A65447">
        <w:rPr>
          <w:rFonts w:ascii="Verdana" w:hAnsi="Verdana" w:cs="Verdana"/>
          <w:bCs/>
          <w:iCs/>
          <w:sz w:val="18"/>
          <w:szCs w:val="18"/>
        </w:rPr>
        <w:t>15/10/2025 (R.G. 1068/2025)</w:t>
      </w:r>
      <w:r w:rsidR="00E32955">
        <w:rPr>
          <w:rFonts w:ascii="Verdana" w:hAnsi="Verdana" w:cs="Verdana"/>
          <w:bCs/>
          <w:iCs/>
          <w:sz w:val="18"/>
          <w:szCs w:val="18"/>
        </w:rPr>
        <w:t xml:space="preserve"> para unificación de criterio, </w:t>
      </w:r>
      <w:r w:rsidRPr="00A65447">
        <w:rPr>
          <w:rFonts w:ascii="Verdana" w:hAnsi="Verdana" w:cs="Verdana"/>
          <w:bCs/>
          <w:iCs/>
          <w:sz w:val="18"/>
          <w:szCs w:val="18"/>
        </w:rPr>
        <w:t xml:space="preserve">establece que </w:t>
      </w:r>
      <w:r w:rsidRPr="00A65447">
        <w:rPr>
          <w:rFonts w:ascii="Verdana" w:hAnsi="Verdana" w:cs="Verdana"/>
          <w:b/>
          <w:bCs/>
          <w:iCs/>
          <w:sz w:val="18"/>
          <w:szCs w:val="18"/>
        </w:rPr>
        <w:t xml:space="preserve">las dietas y demás indemnizaciones o suplidos que compensan gastos derivados de la actividad laboral tienen naturaleza extrasalarial (art. 26.2 </w:t>
      </w:r>
      <w:r w:rsidR="004250CB">
        <w:rPr>
          <w:rFonts w:ascii="Verdana" w:hAnsi="Verdana" w:cs="Verdana"/>
          <w:b/>
          <w:bCs/>
          <w:iCs/>
          <w:sz w:val="18"/>
          <w:szCs w:val="18"/>
        </w:rPr>
        <w:t>Estatuto de los Trabajadores</w:t>
      </w:r>
      <w:r w:rsidRPr="00A65447">
        <w:rPr>
          <w:rFonts w:ascii="Verdana" w:hAnsi="Verdana" w:cs="Verdana"/>
          <w:b/>
          <w:bCs/>
          <w:iCs/>
          <w:sz w:val="18"/>
          <w:szCs w:val="18"/>
        </w:rPr>
        <w:t>)</w:t>
      </w:r>
      <w:r w:rsidRPr="00A65447">
        <w:rPr>
          <w:rFonts w:ascii="Verdana" w:hAnsi="Verdana" w:cs="Verdana"/>
          <w:bCs/>
          <w:iCs/>
          <w:sz w:val="18"/>
          <w:szCs w:val="18"/>
        </w:rPr>
        <w:t>.</w:t>
      </w:r>
    </w:p>
    <w:p w14:paraId="1363C952" w14:textId="6348BD30" w:rsidR="00A65447" w:rsidRPr="00A65447" w:rsidRDefault="00A65447" w:rsidP="00A65447">
      <w:pPr>
        <w:ind w:left="142"/>
        <w:jc w:val="both"/>
        <w:rPr>
          <w:rFonts w:ascii="Verdana" w:hAnsi="Verdana" w:cs="Verdana"/>
          <w:bCs/>
          <w:iCs/>
          <w:sz w:val="18"/>
          <w:szCs w:val="18"/>
        </w:rPr>
      </w:pPr>
      <w:r w:rsidRPr="00A65447">
        <w:rPr>
          <w:rFonts w:ascii="Verdana" w:hAnsi="Verdana" w:cs="Verdana"/>
          <w:bCs/>
          <w:iCs/>
          <w:sz w:val="18"/>
          <w:szCs w:val="18"/>
        </w:rPr>
        <w:br/>
      </w:r>
      <w:r w:rsidRPr="00A65447">
        <w:rPr>
          <w:rFonts w:ascii="Verdana" w:hAnsi="Verdana" w:cs="Verdana"/>
          <w:b/>
          <w:bCs/>
          <w:iCs/>
          <w:sz w:val="18"/>
          <w:szCs w:val="18"/>
        </w:rPr>
        <w:t xml:space="preserve">Por ello, no son salario ni retribución a efectos del art. 607 </w:t>
      </w:r>
      <w:r w:rsidR="00F50E9A">
        <w:rPr>
          <w:rFonts w:ascii="Verdana" w:hAnsi="Verdana" w:cs="Verdana"/>
          <w:b/>
          <w:bCs/>
          <w:iCs/>
          <w:sz w:val="18"/>
          <w:szCs w:val="18"/>
        </w:rPr>
        <w:t xml:space="preserve">de la Ley de Enjuiciamiento Civil </w:t>
      </w:r>
      <w:r w:rsidR="004250CB">
        <w:rPr>
          <w:rFonts w:ascii="Verdana" w:hAnsi="Verdana" w:cs="Verdana"/>
          <w:b/>
          <w:bCs/>
          <w:iCs/>
          <w:sz w:val="18"/>
          <w:szCs w:val="18"/>
        </w:rPr>
        <w:t>(</w:t>
      </w:r>
      <w:r w:rsidRPr="00A65447">
        <w:rPr>
          <w:rFonts w:ascii="Verdana" w:hAnsi="Verdana" w:cs="Verdana"/>
          <w:b/>
          <w:bCs/>
          <w:iCs/>
          <w:sz w:val="18"/>
          <w:szCs w:val="18"/>
        </w:rPr>
        <w:t>LEC</w:t>
      </w:r>
      <w:r w:rsidR="004250CB">
        <w:rPr>
          <w:rFonts w:ascii="Verdana" w:hAnsi="Verdana" w:cs="Verdana"/>
          <w:b/>
          <w:bCs/>
          <w:iCs/>
          <w:sz w:val="18"/>
          <w:szCs w:val="18"/>
        </w:rPr>
        <w:t>)</w:t>
      </w:r>
      <w:r w:rsidRPr="00A65447">
        <w:rPr>
          <w:rFonts w:ascii="Verdana" w:hAnsi="Verdana" w:cs="Verdana"/>
          <w:b/>
          <w:bCs/>
          <w:iCs/>
          <w:sz w:val="18"/>
          <w:szCs w:val="18"/>
        </w:rPr>
        <w:t xml:space="preserve"> y son embargables en su totalidad, sin límite alguno</w:t>
      </w:r>
      <w:r w:rsidRPr="00A65447">
        <w:rPr>
          <w:rFonts w:ascii="Verdana" w:hAnsi="Verdana" w:cs="Verdana"/>
          <w:bCs/>
          <w:iCs/>
          <w:sz w:val="18"/>
          <w:szCs w:val="18"/>
        </w:rPr>
        <w:t>, independientemente de si figuran o no en la nómina.</w:t>
      </w:r>
    </w:p>
    <w:p w14:paraId="762F046F" w14:textId="77777777" w:rsidR="00A65447" w:rsidRPr="00A65447" w:rsidRDefault="00000000" w:rsidP="00A65447">
      <w:pPr>
        <w:ind w:left="142"/>
        <w:jc w:val="both"/>
        <w:rPr>
          <w:rFonts w:ascii="Verdana" w:hAnsi="Verdana" w:cs="Verdana"/>
          <w:bCs/>
          <w:iCs/>
          <w:sz w:val="18"/>
          <w:szCs w:val="18"/>
        </w:rPr>
      </w:pPr>
      <w:r>
        <w:rPr>
          <w:rFonts w:ascii="Verdana" w:hAnsi="Verdana" w:cs="Verdana"/>
          <w:bCs/>
          <w:iCs/>
          <w:sz w:val="18"/>
          <w:szCs w:val="18"/>
        </w:rPr>
        <w:pict w14:anchorId="47807774">
          <v:rect id="_x0000_i1025" style="width:0;height:1.5pt" o:hralign="center" o:hrstd="t" o:hr="t" fillcolor="#a0a0a0" stroked="f"/>
        </w:pict>
      </w:r>
    </w:p>
    <w:p w14:paraId="04CA18A1" w14:textId="77777777" w:rsidR="00A65447" w:rsidRPr="001B0330" w:rsidRDefault="00A65447" w:rsidP="00E32955">
      <w:pPr>
        <w:tabs>
          <w:tab w:val="num" w:pos="426"/>
        </w:tabs>
        <w:ind w:left="142"/>
        <w:jc w:val="both"/>
        <w:rPr>
          <w:rFonts w:ascii="Verdana" w:hAnsi="Verdana" w:cs="Verdana"/>
          <w:b/>
          <w:bCs/>
          <w:color w:val="984806" w:themeColor="accent6" w:themeShade="80"/>
          <w:sz w:val="18"/>
          <w:szCs w:val="18"/>
        </w:rPr>
      </w:pPr>
      <w:r w:rsidRPr="001B0330">
        <w:rPr>
          <w:rFonts w:ascii="Verdana" w:hAnsi="Verdana" w:cs="Verdana"/>
          <w:b/>
          <w:bCs/>
          <w:color w:val="984806" w:themeColor="accent6" w:themeShade="80"/>
          <w:sz w:val="18"/>
          <w:szCs w:val="18"/>
        </w:rPr>
        <w:t>Antecedentes</w:t>
      </w:r>
    </w:p>
    <w:p w14:paraId="581F872B" w14:textId="77777777" w:rsidR="00A65447" w:rsidRPr="00A65447" w:rsidRDefault="00A65447">
      <w:pPr>
        <w:numPr>
          <w:ilvl w:val="0"/>
          <w:numId w:val="14"/>
        </w:numPr>
        <w:jc w:val="both"/>
        <w:rPr>
          <w:rFonts w:ascii="Verdana" w:hAnsi="Verdana" w:cs="Verdana"/>
          <w:bCs/>
          <w:iCs/>
          <w:sz w:val="18"/>
          <w:szCs w:val="18"/>
        </w:rPr>
      </w:pPr>
      <w:r w:rsidRPr="00A65447">
        <w:rPr>
          <w:rFonts w:ascii="Verdana" w:hAnsi="Verdana" w:cs="Verdana"/>
          <w:bCs/>
          <w:iCs/>
          <w:sz w:val="18"/>
          <w:szCs w:val="18"/>
        </w:rPr>
        <w:t>La AEAT embargó sueldos y otras percepciones de un trabajador, indicando que las dietas eran embargables íntegramente.</w:t>
      </w:r>
    </w:p>
    <w:p w14:paraId="4C915CAE" w14:textId="77777777" w:rsidR="00A65447" w:rsidRPr="00A65447" w:rsidRDefault="00A65447">
      <w:pPr>
        <w:numPr>
          <w:ilvl w:val="0"/>
          <w:numId w:val="14"/>
        </w:numPr>
        <w:jc w:val="both"/>
        <w:rPr>
          <w:rFonts w:ascii="Verdana" w:hAnsi="Verdana" w:cs="Verdana"/>
          <w:bCs/>
          <w:iCs/>
          <w:sz w:val="18"/>
          <w:szCs w:val="18"/>
        </w:rPr>
      </w:pPr>
      <w:r w:rsidRPr="00A65447">
        <w:rPr>
          <w:rFonts w:ascii="Verdana" w:hAnsi="Verdana" w:cs="Verdana"/>
          <w:bCs/>
          <w:iCs/>
          <w:sz w:val="18"/>
          <w:szCs w:val="18"/>
        </w:rPr>
        <w:t>La empresa aplicó los límites del art. 607 LEC también a las dietas, entendiendo que debían tratarse como “retribución o equivalente”.</w:t>
      </w:r>
    </w:p>
    <w:p w14:paraId="7F9D53CD" w14:textId="77777777" w:rsidR="00A65447" w:rsidRPr="00A65447" w:rsidRDefault="00A65447">
      <w:pPr>
        <w:numPr>
          <w:ilvl w:val="0"/>
          <w:numId w:val="14"/>
        </w:numPr>
        <w:jc w:val="both"/>
        <w:rPr>
          <w:rFonts w:ascii="Verdana" w:hAnsi="Verdana" w:cs="Verdana"/>
          <w:bCs/>
          <w:iCs/>
          <w:sz w:val="18"/>
          <w:szCs w:val="18"/>
        </w:rPr>
      </w:pPr>
      <w:r w:rsidRPr="00A65447">
        <w:rPr>
          <w:rFonts w:ascii="Verdana" w:hAnsi="Verdana" w:cs="Verdana"/>
          <w:bCs/>
          <w:iCs/>
          <w:sz w:val="18"/>
          <w:szCs w:val="18"/>
        </w:rPr>
        <w:t>La AEAT inició responsabilidad solidaria (art. 42.2.b LGT) por incumplimiento de la orden de embargo.</w:t>
      </w:r>
    </w:p>
    <w:p w14:paraId="51A4E272" w14:textId="77777777" w:rsidR="00A65447" w:rsidRPr="00A65447" w:rsidRDefault="00A65447">
      <w:pPr>
        <w:numPr>
          <w:ilvl w:val="0"/>
          <w:numId w:val="14"/>
        </w:numPr>
        <w:jc w:val="both"/>
        <w:rPr>
          <w:rFonts w:ascii="Verdana" w:hAnsi="Verdana" w:cs="Verdana"/>
          <w:bCs/>
          <w:iCs/>
          <w:sz w:val="18"/>
          <w:szCs w:val="18"/>
        </w:rPr>
      </w:pPr>
      <w:r w:rsidRPr="00A65447">
        <w:rPr>
          <w:rFonts w:ascii="Verdana" w:hAnsi="Verdana" w:cs="Verdana"/>
          <w:bCs/>
          <w:iCs/>
          <w:sz w:val="18"/>
          <w:szCs w:val="18"/>
        </w:rPr>
        <w:t>El TEAR de Andalucía anuló la derivación, al considerar razonable aplicar los límites del art. 607 LEC y entender que la empresa actuó sin negligencia.</w:t>
      </w:r>
    </w:p>
    <w:p w14:paraId="3D901CBC" w14:textId="77777777" w:rsidR="00A65447" w:rsidRPr="00A65447" w:rsidRDefault="00000000" w:rsidP="00A65447">
      <w:pPr>
        <w:ind w:left="142"/>
        <w:jc w:val="both"/>
        <w:rPr>
          <w:rFonts w:ascii="Verdana" w:hAnsi="Verdana" w:cs="Verdana"/>
          <w:bCs/>
          <w:iCs/>
          <w:sz w:val="18"/>
          <w:szCs w:val="18"/>
        </w:rPr>
      </w:pPr>
      <w:r>
        <w:rPr>
          <w:rFonts w:ascii="Verdana" w:hAnsi="Verdana" w:cs="Verdana"/>
          <w:bCs/>
          <w:iCs/>
          <w:sz w:val="18"/>
          <w:szCs w:val="18"/>
        </w:rPr>
        <w:pict w14:anchorId="26736A65">
          <v:rect id="_x0000_i1026" style="width:0;height:1.5pt" o:hralign="center" o:hrstd="t" o:hr="t" fillcolor="#a0a0a0" stroked="f"/>
        </w:pict>
      </w:r>
    </w:p>
    <w:p w14:paraId="5CAB32A9" w14:textId="77777777" w:rsidR="00A65447" w:rsidRPr="001B0330" w:rsidRDefault="00A65447" w:rsidP="00E32955">
      <w:pPr>
        <w:tabs>
          <w:tab w:val="num" w:pos="426"/>
        </w:tabs>
        <w:ind w:left="142"/>
        <w:jc w:val="both"/>
        <w:rPr>
          <w:rFonts w:ascii="Verdana" w:hAnsi="Verdana" w:cs="Verdana"/>
          <w:b/>
          <w:bCs/>
          <w:color w:val="984806" w:themeColor="accent6" w:themeShade="80"/>
          <w:sz w:val="18"/>
          <w:szCs w:val="18"/>
        </w:rPr>
      </w:pPr>
      <w:r w:rsidRPr="001B0330">
        <w:rPr>
          <w:rFonts w:ascii="Verdana" w:hAnsi="Verdana" w:cs="Verdana"/>
          <w:b/>
          <w:bCs/>
          <w:color w:val="984806" w:themeColor="accent6" w:themeShade="80"/>
          <w:sz w:val="18"/>
          <w:szCs w:val="18"/>
        </w:rPr>
        <w:t>Criterio del TEAC</w:t>
      </w:r>
    </w:p>
    <w:p w14:paraId="23FCBFA2" w14:textId="77777777" w:rsidR="00E32955" w:rsidRPr="00A65447" w:rsidRDefault="00E32955" w:rsidP="00A65447">
      <w:pPr>
        <w:ind w:left="142"/>
        <w:jc w:val="both"/>
        <w:rPr>
          <w:rFonts w:ascii="Verdana" w:hAnsi="Verdana" w:cs="Verdana"/>
          <w:b/>
          <w:bCs/>
          <w:iCs/>
          <w:sz w:val="18"/>
          <w:szCs w:val="18"/>
        </w:rPr>
      </w:pPr>
    </w:p>
    <w:p w14:paraId="2EC3597C" w14:textId="77777777" w:rsidR="00A65447" w:rsidRDefault="00A65447" w:rsidP="00A65447">
      <w:pPr>
        <w:ind w:left="142"/>
        <w:jc w:val="both"/>
        <w:rPr>
          <w:rFonts w:ascii="Verdana" w:hAnsi="Verdana" w:cs="Verdana"/>
          <w:bCs/>
          <w:iCs/>
          <w:sz w:val="18"/>
          <w:szCs w:val="18"/>
        </w:rPr>
      </w:pPr>
      <w:r w:rsidRPr="00A65447">
        <w:rPr>
          <w:rFonts w:ascii="Verdana" w:hAnsi="Verdana" w:cs="Verdana"/>
          <w:bCs/>
          <w:iCs/>
          <w:sz w:val="18"/>
          <w:szCs w:val="18"/>
        </w:rPr>
        <w:t>El TEAC corrige al TEAR y unifica criterio:</w:t>
      </w:r>
    </w:p>
    <w:p w14:paraId="74DCFD74" w14:textId="77777777" w:rsidR="00E32955" w:rsidRPr="00A65447" w:rsidRDefault="00E32955" w:rsidP="00A65447">
      <w:pPr>
        <w:ind w:left="142"/>
        <w:jc w:val="both"/>
        <w:rPr>
          <w:rFonts w:ascii="Verdana" w:hAnsi="Verdana" w:cs="Verdana"/>
          <w:bCs/>
          <w:iCs/>
          <w:sz w:val="18"/>
          <w:szCs w:val="18"/>
        </w:rPr>
      </w:pPr>
    </w:p>
    <w:p w14:paraId="174CA697" w14:textId="77777777" w:rsidR="00A65447" w:rsidRPr="00A65447" w:rsidRDefault="00A65447" w:rsidP="00A65447">
      <w:pPr>
        <w:ind w:left="142"/>
        <w:jc w:val="both"/>
        <w:rPr>
          <w:rFonts w:ascii="Verdana" w:hAnsi="Verdana" w:cs="Verdana"/>
          <w:b/>
          <w:bCs/>
          <w:iCs/>
          <w:sz w:val="18"/>
          <w:szCs w:val="18"/>
        </w:rPr>
      </w:pPr>
      <w:r w:rsidRPr="00A65447">
        <w:rPr>
          <w:rFonts w:ascii="Verdana" w:hAnsi="Verdana" w:cs="Verdana"/>
          <w:b/>
          <w:bCs/>
          <w:iCs/>
          <w:sz w:val="18"/>
          <w:szCs w:val="18"/>
        </w:rPr>
        <w:t>1. Naturaleza jurídica de las dietas</w:t>
      </w:r>
    </w:p>
    <w:p w14:paraId="729FBFB3" w14:textId="77777777" w:rsidR="00A65447" w:rsidRDefault="00A65447">
      <w:pPr>
        <w:numPr>
          <w:ilvl w:val="0"/>
          <w:numId w:val="15"/>
        </w:numPr>
        <w:jc w:val="both"/>
        <w:rPr>
          <w:rFonts w:ascii="Verdana" w:hAnsi="Verdana" w:cs="Verdana"/>
          <w:bCs/>
          <w:iCs/>
          <w:sz w:val="18"/>
          <w:szCs w:val="18"/>
        </w:rPr>
      </w:pPr>
      <w:r w:rsidRPr="00A65447">
        <w:rPr>
          <w:rFonts w:ascii="Verdana" w:hAnsi="Verdana" w:cs="Verdana"/>
          <w:bCs/>
          <w:iCs/>
          <w:sz w:val="18"/>
          <w:szCs w:val="18"/>
        </w:rPr>
        <w:t xml:space="preserve">Conforme al Estatuto de los Trabajadores y jurisprudencia del Tribunal Supremo, </w:t>
      </w:r>
      <w:r w:rsidRPr="00A65447">
        <w:rPr>
          <w:rFonts w:ascii="Verdana" w:hAnsi="Verdana" w:cs="Verdana"/>
          <w:b/>
          <w:bCs/>
          <w:iCs/>
          <w:sz w:val="18"/>
          <w:szCs w:val="18"/>
        </w:rPr>
        <w:t>las dietas son percepciones extrasalariales con finalidad indemnizatoria</w:t>
      </w:r>
      <w:r w:rsidRPr="00A65447">
        <w:rPr>
          <w:rFonts w:ascii="Verdana" w:hAnsi="Verdana" w:cs="Verdana"/>
          <w:bCs/>
          <w:iCs/>
          <w:sz w:val="18"/>
          <w:szCs w:val="18"/>
        </w:rPr>
        <w:t>, destinadas a compensar gastos de locomoción, manutención y alojamiento por desplazamientos temporales.</w:t>
      </w:r>
    </w:p>
    <w:p w14:paraId="22012BE5" w14:textId="77777777" w:rsidR="00E32955" w:rsidRPr="00A65447" w:rsidRDefault="00E32955" w:rsidP="00967278">
      <w:pPr>
        <w:ind w:left="720"/>
        <w:jc w:val="both"/>
        <w:rPr>
          <w:rFonts w:ascii="Verdana" w:hAnsi="Verdana" w:cs="Verdana"/>
          <w:bCs/>
          <w:iCs/>
          <w:sz w:val="18"/>
          <w:szCs w:val="18"/>
        </w:rPr>
      </w:pPr>
    </w:p>
    <w:p w14:paraId="758A35DA" w14:textId="77777777" w:rsidR="00A65447" w:rsidRPr="00A65447" w:rsidRDefault="00A65447" w:rsidP="00A65447">
      <w:pPr>
        <w:ind w:left="142"/>
        <w:jc w:val="both"/>
        <w:rPr>
          <w:rFonts w:ascii="Verdana" w:hAnsi="Verdana" w:cs="Verdana"/>
          <w:b/>
          <w:bCs/>
          <w:iCs/>
          <w:sz w:val="18"/>
          <w:szCs w:val="18"/>
        </w:rPr>
      </w:pPr>
      <w:r w:rsidRPr="00A65447">
        <w:rPr>
          <w:rFonts w:ascii="Verdana" w:hAnsi="Verdana" w:cs="Verdana"/>
          <w:b/>
          <w:bCs/>
          <w:iCs/>
          <w:sz w:val="18"/>
          <w:szCs w:val="18"/>
        </w:rPr>
        <w:t>2. Consecuencia para embargabilidad</w:t>
      </w:r>
    </w:p>
    <w:p w14:paraId="5240E7E7" w14:textId="77777777" w:rsidR="00A65447" w:rsidRDefault="00A65447">
      <w:pPr>
        <w:numPr>
          <w:ilvl w:val="0"/>
          <w:numId w:val="16"/>
        </w:numPr>
        <w:jc w:val="both"/>
        <w:rPr>
          <w:rFonts w:ascii="Verdana" w:hAnsi="Verdana" w:cs="Verdana"/>
          <w:bCs/>
          <w:iCs/>
          <w:sz w:val="18"/>
          <w:szCs w:val="18"/>
        </w:rPr>
      </w:pPr>
      <w:r w:rsidRPr="00A65447">
        <w:rPr>
          <w:rFonts w:ascii="Verdana" w:hAnsi="Verdana" w:cs="Verdana"/>
          <w:bCs/>
          <w:iCs/>
          <w:sz w:val="18"/>
          <w:szCs w:val="18"/>
        </w:rPr>
        <w:t xml:space="preserve">Al no ser salario, sueldo, pensión, retribución ni equivalente, </w:t>
      </w:r>
      <w:r w:rsidRPr="00A65447">
        <w:rPr>
          <w:rFonts w:ascii="Verdana" w:hAnsi="Verdana" w:cs="Verdana"/>
          <w:b/>
          <w:bCs/>
          <w:iCs/>
          <w:sz w:val="18"/>
          <w:szCs w:val="18"/>
        </w:rPr>
        <w:t>las dietas no están protegidas por la inembargabilidad del art. 607 LEC</w:t>
      </w:r>
      <w:r w:rsidRPr="00A65447">
        <w:rPr>
          <w:rFonts w:ascii="Verdana" w:hAnsi="Verdana" w:cs="Verdana"/>
          <w:bCs/>
          <w:iCs/>
          <w:sz w:val="18"/>
          <w:szCs w:val="18"/>
        </w:rPr>
        <w:t>.</w:t>
      </w:r>
    </w:p>
    <w:p w14:paraId="501BB421" w14:textId="77777777" w:rsidR="00C826CD" w:rsidRPr="00A65447" w:rsidRDefault="00C826CD" w:rsidP="00C826CD">
      <w:pPr>
        <w:ind w:left="720"/>
        <w:jc w:val="both"/>
        <w:rPr>
          <w:rFonts w:ascii="Verdana" w:hAnsi="Verdana" w:cs="Verdana"/>
          <w:bCs/>
          <w:iCs/>
          <w:sz w:val="18"/>
          <w:szCs w:val="18"/>
        </w:rPr>
      </w:pPr>
    </w:p>
    <w:p w14:paraId="1F0D5E90" w14:textId="77777777" w:rsidR="00A65447" w:rsidRPr="00E32955" w:rsidRDefault="00A65447">
      <w:pPr>
        <w:numPr>
          <w:ilvl w:val="0"/>
          <w:numId w:val="16"/>
        </w:numPr>
        <w:jc w:val="both"/>
        <w:rPr>
          <w:rFonts w:ascii="Verdana" w:hAnsi="Verdana" w:cs="Verdana"/>
          <w:bCs/>
          <w:iCs/>
          <w:sz w:val="18"/>
          <w:szCs w:val="18"/>
        </w:rPr>
      </w:pPr>
      <w:r w:rsidRPr="00A65447">
        <w:rPr>
          <w:rFonts w:ascii="Verdana" w:hAnsi="Verdana" w:cs="Verdana"/>
          <w:b/>
          <w:bCs/>
          <w:iCs/>
          <w:sz w:val="18"/>
          <w:szCs w:val="18"/>
        </w:rPr>
        <w:t>Son embargables al 100 %, sin aplicar tramos ni límites del SMI.</w:t>
      </w:r>
    </w:p>
    <w:p w14:paraId="1C6832AE" w14:textId="77777777" w:rsidR="00E32955" w:rsidRPr="00A65447" w:rsidRDefault="00E32955" w:rsidP="00E32955">
      <w:pPr>
        <w:ind w:left="720"/>
        <w:jc w:val="both"/>
        <w:rPr>
          <w:rFonts w:ascii="Verdana" w:hAnsi="Verdana" w:cs="Verdana"/>
          <w:bCs/>
          <w:iCs/>
          <w:sz w:val="18"/>
          <w:szCs w:val="18"/>
        </w:rPr>
      </w:pPr>
    </w:p>
    <w:p w14:paraId="5EF18564" w14:textId="77777777" w:rsidR="00A65447" w:rsidRPr="00A65447" w:rsidRDefault="00A65447" w:rsidP="00A65447">
      <w:pPr>
        <w:ind w:left="142"/>
        <w:jc w:val="both"/>
        <w:rPr>
          <w:rFonts w:ascii="Verdana" w:hAnsi="Verdana" w:cs="Verdana"/>
          <w:b/>
          <w:bCs/>
          <w:iCs/>
          <w:sz w:val="18"/>
          <w:szCs w:val="18"/>
        </w:rPr>
      </w:pPr>
      <w:r w:rsidRPr="00A65447">
        <w:rPr>
          <w:rFonts w:ascii="Verdana" w:hAnsi="Verdana" w:cs="Verdana"/>
          <w:b/>
          <w:bCs/>
          <w:iCs/>
          <w:sz w:val="18"/>
          <w:szCs w:val="18"/>
        </w:rPr>
        <w:t>3. Efecto sobre el caso concreto</w:t>
      </w:r>
    </w:p>
    <w:p w14:paraId="72972750" w14:textId="77777777" w:rsidR="00A65447" w:rsidRPr="00A65447" w:rsidRDefault="00A65447">
      <w:pPr>
        <w:numPr>
          <w:ilvl w:val="0"/>
          <w:numId w:val="17"/>
        </w:numPr>
        <w:jc w:val="both"/>
        <w:rPr>
          <w:rFonts w:ascii="Verdana" w:hAnsi="Verdana" w:cs="Verdana"/>
          <w:bCs/>
          <w:iCs/>
          <w:sz w:val="18"/>
          <w:szCs w:val="18"/>
        </w:rPr>
      </w:pPr>
      <w:r w:rsidRPr="00A65447">
        <w:rPr>
          <w:rFonts w:ascii="Verdana" w:hAnsi="Verdana" w:cs="Verdana"/>
          <w:bCs/>
          <w:iCs/>
          <w:sz w:val="18"/>
          <w:szCs w:val="18"/>
        </w:rPr>
        <w:t>La empresa debió retener íntegramente las dietas abonadas al trabajador.</w:t>
      </w:r>
    </w:p>
    <w:p w14:paraId="2BCC2E09" w14:textId="77777777" w:rsidR="00A65447" w:rsidRPr="00A65447" w:rsidRDefault="00A65447">
      <w:pPr>
        <w:numPr>
          <w:ilvl w:val="0"/>
          <w:numId w:val="17"/>
        </w:numPr>
        <w:jc w:val="both"/>
        <w:rPr>
          <w:rFonts w:ascii="Verdana" w:hAnsi="Verdana" w:cs="Verdana"/>
          <w:bCs/>
          <w:iCs/>
          <w:sz w:val="18"/>
          <w:szCs w:val="18"/>
        </w:rPr>
      </w:pPr>
      <w:r w:rsidRPr="00A65447">
        <w:rPr>
          <w:rFonts w:ascii="Verdana" w:hAnsi="Verdana" w:cs="Verdana"/>
          <w:bCs/>
          <w:iCs/>
          <w:sz w:val="18"/>
          <w:szCs w:val="18"/>
        </w:rPr>
        <w:t>Aunque el TEAC resuelve el criterio general, no afecta la situación individual del expediente original (art. 242.3 LGT).</w:t>
      </w:r>
    </w:p>
    <w:p w14:paraId="530EE06B" w14:textId="77777777" w:rsidR="00A65447" w:rsidRPr="00A65447" w:rsidRDefault="00000000" w:rsidP="00A65447">
      <w:pPr>
        <w:ind w:left="142"/>
        <w:jc w:val="both"/>
        <w:rPr>
          <w:rFonts w:ascii="Verdana" w:hAnsi="Verdana" w:cs="Verdana"/>
          <w:bCs/>
          <w:iCs/>
          <w:sz w:val="18"/>
          <w:szCs w:val="18"/>
        </w:rPr>
      </w:pPr>
      <w:r>
        <w:rPr>
          <w:rFonts w:ascii="Verdana" w:hAnsi="Verdana" w:cs="Verdana"/>
          <w:bCs/>
          <w:iCs/>
          <w:sz w:val="18"/>
          <w:szCs w:val="18"/>
        </w:rPr>
        <w:pict w14:anchorId="34C56295">
          <v:rect id="_x0000_i1027" style="width:0;height:1.5pt" o:hralign="center" o:hrstd="t" o:hr="t" fillcolor="#a0a0a0" stroked="f"/>
        </w:pict>
      </w:r>
    </w:p>
    <w:p w14:paraId="7CC437D8" w14:textId="77777777" w:rsidR="00A65447" w:rsidRPr="0046209E" w:rsidRDefault="00A65447" w:rsidP="00E32955">
      <w:pPr>
        <w:tabs>
          <w:tab w:val="num" w:pos="426"/>
        </w:tabs>
        <w:ind w:left="142"/>
        <w:jc w:val="both"/>
        <w:rPr>
          <w:rFonts w:ascii="Verdana" w:hAnsi="Verdana" w:cs="Verdana"/>
          <w:b/>
          <w:bCs/>
          <w:color w:val="984806" w:themeColor="accent6" w:themeShade="80"/>
          <w:sz w:val="18"/>
          <w:szCs w:val="18"/>
          <w:u w:val="single"/>
        </w:rPr>
      </w:pPr>
      <w:r w:rsidRPr="0046209E">
        <w:rPr>
          <w:rFonts w:ascii="Verdana" w:hAnsi="Verdana" w:cs="Verdana"/>
          <w:b/>
          <w:bCs/>
          <w:color w:val="984806" w:themeColor="accent6" w:themeShade="80"/>
          <w:sz w:val="18"/>
          <w:szCs w:val="18"/>
          <w:u w:val="single"/>
        </w:rPr>
        <w:t>Conclusión del criterio unificado</w:t>
      </w:r>
    </w:p>
    <w:p w14:paraId="14183AF4" w14:textId="77777777" w:rsidR="00E32955" w:rsidRPr="00E32955" w:rsidRDefault="00E32955" w:rsidP="00E32955">
      <w:pPr>
        <w:tabs>
          <w:tab w:val="num" w:pos="426"/>
        </w:tabs>
        <w:ind w:left="142"/>
        <w:jc w:val="both"/>
        <w:rPr>
          <w:rFonts w:ascii="Verdana" w:hAnsi="Verdana" w:cs="Verdana"/>
          <w:b/>
          <w:bCs/>
          <w:color w:val="C00000"/>
          <w:sz w:val="18"/>
          <w:szCs w:val="18"/>
        </w:rPr>
      </w:pPr>
    </w:p>
    <w:p w14:paraId="0E9F448B" w14:textId="77777777" w:rsidR="00A65447" w:rsidRPr="00A65447" w:rsidRDefault="00A65447" w:rsidP="00A65447">
      <w:pPr>
        <w:ind w:left="142"/>
        <w:jc w:val="both"/>
        <w:rPr>
          <w:rFonts w:ascii="Verdana" w:hAnsi="Verdana" w:cs="Verdana"/>
          <w:bCs/>
          <w:iCs/>
          <w:sz w:val="18"/>
          <w:szCs w:val="18"/>
        </w:rPr>
      </w:pPr>
      <w:r w:rsidRPr="00A65447">
        <w:rPr>
          <w:rFonts w:ascii="Verdana" w:hAnsi="Verdana" w:cs="Verdana"/>
          <w:b/>
          <w:bCs/>
          <w:iCs/>
          <w:sz w:val="18"/>
          <w:szCs w:val="18"/>
        </w:rPr>
        <w:t>Las dietas, como indemnizaciones por gastos laborales, tienen naturaleza extrasalarial y están plenamente sometidas a embargo sin límite alguno. No les son aplicables los límites del art. 607 LEC.</w:t>
      </w:r>
    </w:p>
    <w:p w14:paraId="366AFFB1" w14:textId="77777777" w:rsidR="00B720FC" w:rsidRDefault="00B720FC" w:rsidP="002A2E40">
      <w:pPr>
        <w:ind w:left="142"/>
        <w:jc w:val="both"/>
        <w:rPr>
          <w:rFonts w:ascii="Verdana" w:hAnsi="Verdana" w:cs="Verdana"/>
          <w:bCs/>
          <w:iCs/>
          <w:sz w:val="18"/>
          <w:szCs w:val="18"/>
        </w:rPr>
      </w:pPr>
    </w:p>
    <w:p w14:paraId="4A4CC918" w14:textId="77777777" w:rsidR="00B720FC" w:rsidRDefault="00B720FC" w:rsidP="002A2E40">
      <w:pPr>
        <w:ind w:left="142"/>
        <w:jc w:val="both"/>
        <w:rPr>
          <w:rFonts w:ascii="Verdana" w:hAnsi="Verdana" w:cs="Verdana"/>
          <w:bCs/>
          <w:iCs/>
          <w:sz w:val="18"/>
          <w:szCs w:val="18"/>
        </w:rPr>
      </w:pPr>
    </w:p>
    <w:tbl>
      <w:tblPr>
        <w:tblW w:w="8640" w:type="dxa"/>
        <w:tblInd w:w="-68" w:type="dxa"/>
        <w:tblCellMar>
          <w:left w:w="70" w:type="dxa"/>
          <w:right w:w="70" w:type="dxa"/>
        </w:tblCellMar>
        <w:tblLook w:val="0000" w:firstRow="0" w:lastRow="0" w:firstColumn="0" w:lastColumn="0" w:noHBand="0" w:noVBand="0"/>
      </w:tblPr>
      <w:tblGrid>
        <w:gridCol w:w="180"/>
        <w:gridCol w:w="8460"/>
      </w:tblGrid>
      <w:tr w:rsidR="00FA417B" w:rsidRPr="00FA417B" w14:paraId="530CE364" w14:textId="77777777" w:rsidTr="006F3A5D">
        <w:trPr>
          <w:trHeight w:val="232"/>
        </w:trPr>
        <w:tc>
          <w:tcPr>
            <w:tcW w:w="180" w:type="dxa"/>
            <w:shd w:val="clear" w:color="auto" w:fill="FF6600"/>
          </w:tcPr>
          <w:p w14:paraId="0497BBEF" w14:textId="77777777" w:rsidR="00FA417B" w:rsidRPr="00FA417B" w:rsidRDefault="00FA417B" w:rsidP="006F3A5D">
            <w:pPr>
              <w:tabs>
                <w:tab w:val="num" w:pos="426"/>
              </w:tabs>
              <w:ind w:left="426"/>
              <w:jc w:val="both"/>
              <w:rPr>
                <w:rFonts w:ascii="Verdana" w:hAnsi="Verdana" w:cs="Verdana"/>
                <w:b/>
                <w:bCs/>
                <w:color w:val="800000"/>
                <w:sz w:val="18"/>
                <w:szCs w:val="18"/>
              </w:rPr>
            </w:pPr>
            <w:bookmarkStart w:id="3" w:name="_Hlk214301078"/>
          </w:p>
        </w:tc>
        <w:tc>
          <w:tcPr>
            <w:tcW w:w="8460" w:type="dxa"/>
          </w:tcPr>
          <w:p w14:paraId="4C116999" w14:textId="52588986" w:rsidR="00FA417B" w:rsidRPr="00FA417B" w:rsidRDefault="00FA417B">
            <w:pPr>
              <w:numPr>
                <w:ilvl w:val="0"/>
                <w:numId w:val="3"/>
              </w:numPr>
              <w:tabs>
                <w:tab w:val="num" w:pos="426"/>
              </w:tabs>
              <w:jc w:val="both"/>
              <w:rPr>
                <w:rFonts w:ascii="Verdana" w:hAnsi="Verdana" w:cs="Verdana"/>
                <w:b/>
                <w:bCs/>
                <w:color w:val="800000"/>
                <w:sz w:val="18"/>
                <w:szCs w:val="18"/>
              </w:rPr>
            </w:pPr>
            <w:r w:rsidRPr="00FA417B">
              <w:rPr>
                <w:rFonts w:ascii="Verdana" w:hAnsi="Verdana" w:cs="Verdana"/>
                <w:b/>
                <w:bCs/>
                <w:color w:val="800000"/>
                <w:sz w:val="18"/>
                <w:szCs w:val="18"/>
              </w:rPr>
              <w:t>IRPF. - PUEDE CONSIDERARSE INVERSIÓN A EFECTOS DE SU POSIBLE DEDUCCIÓN FISCAL, LA CANCELACIÓN DEL PRÉSTAMO HIPOTECARIO CON LAS CANTIDADES DERIVADAS DE LA VENTA DE LA VIVIENDA HABITUAL</w:t>
            </w:r>
          </w:p>
        </w:tc>
      </w:tr>
      <w:bookmarkEnd w:id="3"/>
    </w:tbl>
    <w:p w14:paraId="5F68B29A" w14:textId="77777777" w:rsidR="00B720FC" w:rsidRDefault="00B720FC" w:rsidP="002A2E40">
      <w:pPr>
        <w:ind w:left="142"/>
        <w:jc w:val="both"/>
        <w:rPr>
          <w:rFonts w:ascii="Verdana" w:hAnsi="Verdana" w:cs="Verdana"/>
          <w:bCs/>
          <w:iCs/>
          <w:sz w:val="18"/>
          <w:szCs w:val="18"/>
        </w:rPr>
      </w:pPr>
    </w:p>
    <w:p w14:paraId="5278FF1F" w14:textId="4B8F539C" w:rsidR="00B545EA" w:rsidRDefault="00B545EA" w:rsidP="00B720FC">
      <w:pPr>
        <w:ind w:left="142"/>
        <w:jc w:val="both"/>
        <w:rPr>
          <w:rFonts w:ascii="Verdana" w:hAnsi="Verdana" w:cs="Verdana"/>
          <w:b/>
          <w:bCs/>
          <w:iCs/>
          <w:sz w:val="18"/>
          <w:szCs w:val="18"/>
        </w:rPr>
      </w:pPr>
      <w:r>
        <w:rPr>
          <w:rFonts w:ascii="Verdana" w:hAnsi="Verdana" w:cs="Verdana"/>
          <w:b/>
          <w:bCs/>
          <w:iCs/>
          <w:sz w:val="18"/>
          <w:szCs w:val="18"/>
        </w:rPr>
        <w:t xml:space="preserve">El </w:t>
      </w:r>
      <w:r w:rsidRPr="00B720FC">
        <w:rPr>
          <w:rFonts w:ascii="Verdana" w:hAnsi="Verdana" w:cs="Verdana"/>
          <w:b/>
          <w:bCs/>
          <w:iCs/>
          <w:sz w:val="18"/>
          <w:szCs w:val="18"/>
        </w:rPr>
        <w:t xml:space="preserve">TEAC </w:t>
      </w:r>
      <w:r>
        <w:rPr>
          <w:rFonts w:ascii="Verdana" w:hAnsi="Verdana" w:cs="Verdana"/>
          <w:b/>
          <w:bCs/>
          <w:iCs/>
          <w:sz w:val="18"/>
          <w:szCs w:val="18"/>
        </w:rPr>
        <w:t xml:space="preserve">en resolución de </w:t>
      </w:r>
      <w:r w:rsidRPr="00B720FC">
        <w:rPr>
          <w:rFonts w:ascii="Verdana" w:hAnsi="Verdana" w:cs="Verdana"/>
          <w:b/>
          <w:bCs/>
          <w:iCs/>
          <w:sz w:val="18"/>
          <w:szCs w:val="18"/>
        </w:rPr>
        <w:t>20/10/2025</w:t>
      </w:r>
      <w:r>
        <w:rPr>
          <w:rFonts w:ascii="Verdana" w:hAnsi="Verdana" w:cs="Verdana"/>
          <w:b/>
          <w:bCs/>
          <w:iCs/>
          <w:sz w:val="18"/>
          <w:szCs w:val="18"/>
        </w:rPr>
        <w:t>, unifica c</w:t>
      </w:r>
      <w:r w:rsidR="00B720FC" w:rsidRPr="00B720FC">
        <w:rPr>
          <w:rFonts w:ascii="Verdana" w:hAnsi="Verdana" w:cs="Verdana"/>
          <w:b/>
          <w:bCs/>
          <w:iCs/>
          <w:sz w:val="18"/>
          <w:szCs w:val="18"/>
        </w:rPr>
        <w:t xml:space="preserve">riterio </w:t>
      </w:r>
      <w:r>
        <w:rPr>
          <w:rFonts w:ascii="Verdana" w:hAnsi="Verdana" w:cs="Verdana"/>
          <w:b/>
          <w:bCs/>
          <w:iCs/>
          <w:sz w:val="18"/>
          <w:szCs w:val="18"/>
        </w:rPr>
        <w:t>acerca de la d</w:t>
      </w:r>
      <w:r w:rsidRPr="00B720FC">
        <w:rPr>
          <w:rFonts w:ascii="Verdana" w:hAnsi="Verdana" w:cs="Verdana"/>
          <w:b/>
          <w:bCs/>
          <w:iCs/>
          <w:sz w:val="18"/>
          <w:szCs w:val="18"/>
        </w:rPr>
        <w:t>educción por vivienda habitual y cancelación de hipoteca con importe de la venta</w:t>
      </w:r>
      <w:r w:rsidR="0068685E">
        <w:rPr>
          <w:rFonts w:ascii="Verdana" w:hAnsi="Verdana" w:cs="Verdana"/>
          <w:b/>
          <w:bCs/>
          <w:iCs/>
          <w:sz w:val="18"/>
          <w:szCs w:val="18"/>
        </w:rPr>
        <w:t>.</w:t>
      </w:r>
    </w:p>
    <w:p w14:paraId="7EC9AB3B" w14:textId="622577FD" w:rsidR="00B720FC" w:rsidRDefault="00B545EA" w:rsidP="00B720FC">
      <w:pPr>
        <w:ind w:left="142"/>
        <w:jc w:val="both"/>
        <w:rPr>
          <w:rFonts w:ascii="Verdana" w:hAnsi="Verdana" w:cs="Verdana"/>
          <w:bCs/>
          <w:iCs/>
          <w:sz w:val="18"/>
          <w:szCs w:val="18"/>
        </w:rPr>
      </w:pPr>
      <w:r w:rsidRPr="00B720FC">
        <w:rPr>
          <w:rFonts w:ascii="Verdana" w:hAnsi="Verdana" w:cs="Verdana"/>
          <w:bCs/>
          <w:iCs/>
          <w:sz w:val="18"/>
          <w:szCs w:val="18"/>
        </w:rPr>
        <w:t xml:space="preserve"> </w:t>
      </w:r>
      <w:r w:rsidR="00B720FC" w:rsidRPr="00B720FC">
        <w:rPr>
          <w:rFonts w:ascii="Verdana" w:hAnsi="Verdana" w:cs="Verdana"/>
          <w:bCs/>
          <w:iCs/>
          <w:sz w:val="18"/>
          <w:szCs w:val="18"/>
        </w:rPr>
        <w:br/>
        <w:t xml:space="preserve">En aplicación de la </w:t>
      </w:r>
      <w:r w:rsidR="00B720FC" w:rsidRPr="00B720FC">
        <w:rPr>
          <w:rFonts w:ascii="Verdana" w:hAnsi="Verdana" w:cs="Verdana"/>
          <w:b/>
          <w:bCs/>
          <w:iCs/>
          <w:sz w:val="18"/>
          <w:szCs w:val="18"/>
        </w:rPr>
        <w:t>Disposición Transitoria 18.ª de la LIRPF</w:t>
      </w:r>
      <w:r w:rsidR="00B720FC" w:rsidRPr="00B720FC">
        <w:rPr>
          <w:rFonts w:ascii="Verdana" w:hAnsi="Verdana" w:cs="Verdana"/>
          <w:bCs/>
          <w:iCs/>
          <w:sz w:val="18"/>
          <w:szCs w:val="18"/>
        </w:rPr>
        <w:t xml:space="preserve">, </w:t>
      </w:r>
      <w:r w:rsidR="00B720FC" w:rsidRPr="00B720FC">
        <w:rPr>
          <w:rFonts w:ascii="Verdana" w:hAnsi="Verdana" w:cs="Verdana"/>
          <w:bCs/>
          <w:i/>
          <w:iCs/>
          <w:sz w:val="18"/>
          <w:szCs w:val="18"/>
        </w:rPr>
        <w:t>pueden incluirse en la base de la deducción por inversión en vivienda habitual</w:t>
      </w:r>
      <w:r w:rsidR="00B720FC" w:rsidRPr="00B720FC">
        <w:rPr>
          <w:rFonts w:ascii="Verdana" w:hAnsi="Verdana" w:cs="Verdana"/>
          <w:bCs/>
          <w:iCs/>
          <w:sz w:val="18"/>
          <w:szCs w:val="18"/>
        </w:rPr>
        <w:t xml:space="preserve"> las </w:t>
      </w:r>
      <w:r w:rsidR="00B720FC" w:rsidRPr="00B720FC">
        <w:rPr>
          <w:rFonts w:ascii="Verdana" w:hAnsi="Verdana" w:cs="Verdana"/>
          <w:b/>
          <w:bCs/>
          <w:iCs/>
          <w:sz w:val="18"/>
          <w:szCs w:val="18"/>
        </w:rPr>
        <w:t>cantidades destinadas a cancelar el préstamo hipotecario</w:t>
      </w:r>
      <w:r w:rsidR="00B720FC" w:rsidRPr="00B720FC">
        <w:rPr>
          <w:rFonts w:ascii="Verdana" w:hAnsi="Verdana" w:cs="Verdana"/>
          <w:bCs/>
          <w:iCs/>
          <w:sz w:val="18"/>
          <w:szCs w:val="18"/>
        </w:rPr>
        <w:t xml:space="preserve"> que financiaba la vivienda </w:t>
      </w:r>
      <w:r w:rsidRPr="00B720FC">
        <w:rPr>
          <w:rFonts w:ascii="Verdana" w:hAnsi="Verdana" w:cs="Verdana"/>
          <w:bCs/>
          <w:iCs/>
          <w:sz w:val="18"/>
          <w:szCs w:val="18"/>
        </w:rPr>
        <w:t>habitual,</w:t>
      </w:r>
      <w:r w:rsidR="00B720FC" w:rsidRPr="00B720FC">
        <w:rPr>
          <w:rFonts w:ascii="Verdana" w:hAnsi="Verdana" w:cs="Verdana"/>
          <w:bCs/>
          <w:iCs/>
          <w:sz w:val="18"/>
          <w:szCs w:val="18"/>
        </w:rPr>
        <w:t xml:space="preserve"> </w:t>
      </w:r>
      <w:r w:rsidR="00B720FC" w:rsidRPr="00B720FC">
        <w:rPr>
          <w:rFonts w:ascii="Verdana" w:hAnsi="Verdana" w:cs="Verdana"/>
          <w:b/>
          <w:bCs/>
          <w:iCs/>
          <w:sz w:val="18"/>
          <w:szCs w:val="18"/>
        </w:rPr>
        <w:t>aunque procedan del importe obtenido por su venta</w:t>
      </w:r>
      <w:r w:rsidR="00B720FC" w:rsidRPr="00B720FC">
        <w:rPr>
          <w:rFonts w:ascii="Verdana" w:hAnsi="Verdana" w:cs="Verdana"/>
          <w:bCs/>
          <w:iCs/>
          <w:sz w:val="18"/>
          <w:szCs w:val="18"/>
        </w:rPr>
        <w:t>, siempre que la vivienda siga siendo habitual hasta su transmisión y se cumpla el requisito de incremento patrimonial del art. 70 LIRPF.</w:t>
      </w:r>
    </w:p>
    <w:p w14:paraId="13DA7516" w14:textId="77777777" w:rsidR="00FA417B" w:rsidRPr="00B720FC" w:rsidRDefault="00FA417B" w:rsidP="00B720FC">
      <w:pPr>
        <w:ind w:left="142"/>
        <w:jc w:val="both"/>
        <w:rPr>
          <w:rFonts w:ascii="Verdana" w:hAnsi="Verdana" w:cs="Verdana"/>
          <w:bCs/>
          <w:iCs/>
          <w:sz w:val="18"/>
          <w:szCs w:val="18"/>
        </w:rPr>
      </w:pPr>
    </w:p>
    <w:p w14:paraId="19BAF2D1" w14:textId="77777777" w:rsidR="00B720FC" w:rsidRPr="00B720FC" w:rsidRDefault="00B720FC" w:rsidP="00B720FC">
      <w:pPr>
        <w:ind w:left="142"/>
        <w:jc w:val="both"/>
        <w:rPr>
          <w:rFonts w:ascii="Verdana" w:hAnsi="Verdana" w:cs="Verdana"/>
          <w:bCs/>
          <w:iCs/>
          <w:sz w:val="18"/>
          <w:szCs w:val="18"/>
        </w:rPr>
      </w:pPr>
      <w:r w:rsidRPr="00B720FC">
        <w:rPr>
          <w:rFonts w:ascii="Verdana" w:hAnsi="Verdana" w:cs="Verdana"/>
          <w:b/>
          <w:bCs/>
          <w:iCs/>
          <w:sz w:val="18"/>
          <w:szCs w:val="18"/>
        </w:rPr>
        <w:t>El TEAC desestima</w:t>
      </w:r>
      <w:r w:rsidRPr="00B720FC">
        <w:rPr>
          <w:rFonts w:ascii="Verdana" w:hAnsi="Verdana" w:cs="Verdana"/>
          <w:bCs/>
          <w:iCs/>
          <w:sz w:val="18"/>
          <w:szCs w:val="18"/>
        </w:rPr>
        <w:t xml:space="preserve"> el recurso extraordinario de alzada promovido por la </w:t>
      </w:r>
      <w:r w:rsidRPr="00B720FC">
        <w:rPr>
          <w:rFonts w:ascii="Verdana" w:hAnsi="Verdana" w:cs="Verdana"/>
          <w:b/>
          <w:bCs/>
          <w:iCs/>
          <w:sz w:val="18"/>
          <w:szCs w:val="18"/>
        </w:rPr>
        <w:t>AEAT</w:t>
      </w:r>
      <w:r w:rsidRPr="00B720FC">
        <w:rPr>
          <w:rFonts w:ascii="Verdana" w:hAnsi="Verdana" w:cs="Verdana"/>
          <w:bCs/>
          <w:iCs/>
          <w:sz w:val="18"/>
          <w:szCs w:val="18"/>
        </w:rPr>
        <w:t>, que defendía que la cancelación del préstamo con el precio de la venta no constituía inversión deducible porque la vivienda ya no era habitual en ese momento.</w:t>
      </w:r>
    </w:p>
    <w:p w14:paraId="3402037C" w14:textId="77777777" w:rsidR="00B720FC" w:rsidRPr="00B720FC" w:rsidRDefault="00000000" w:rsidP="00B720FC">
      <w:pPr>
        <w:ind w:left="142"/>
        <w:jc w:val="both"/>
        <w:rPr>
          <w:rFonts w:ascii="Verdana" w:hAnsi="Verdana" w:cs="Verdana"/>
          <w:bCs/>
          <w:iCs/>
          <w:sz w:val="18"/>
          <w:szCs w:val="18"/>
        </w:rPr>
      </w:pPr>
      <w:r>
        <w:rPr>
          <w:rFonts w:ascii="Verdana" w:hAnsi="Verdana" w:cs="Verdana"/>
          <w:bCs/>
          <w:iCs/>
          <w:sz w:val="18"/>
          <w:szCs w:val="18"/>
        </w:rPr>
        <w:pict w14:anchorId="1E78F007">
          <v:rect id="_x0000_i1028" style="width:0;height:1.5pt" o:hralign="center" o:hrstd="t" o:hr="t" fillcolor="#a0a0a0" stroked="f"/>
        </w:pict>
      </w:r>
    </w:p>
    <w:p w14:paraId="4C4C716E" w14:textId="77777777" w:rsidR="00B720FC" w:rsidRPr="003476DE" w:rsidRDefault="00B720FC" w:rsidP="00B720FC">
      <w:pPr>
        <w:ind w:left="142"/>
        <w:jc w:val="both"/>
        <w:rPr>
          <w:rFonts w:ascii="Verdana" w:hAnsi="Verdana" w:cs="Verdana"/>
          <w:b/>
          <w:bCs/>
          <w:iCs/>
          <w:color w:val="984806" w:themeColor="accent6" w:themeShade="80"/>
          <w:sz w:val="18"/>
          <w:szCs w:val="18"/>
        </w:rPr>
      </w:pPr>
      <w:r w:rsidRPr="003476DE">
        <w:rPr>
          <w:rFonts w:ascii="Verdana" w:hAnsi="Verdana" w:cs="Verdana"/>
          <w:b/>
          <w:bCs/>
          <w:iCs/>
          <w:color w:val="984806" w:themeColor="accent6" w:themeShade="80"/>
          <w:sz w:val="18"/>
          <w:szCs w:val="18"/>
        </w:rPr>
        <w:t>Hechos principales</w:t>
      </w:r>
    </w:p>
    <w:p w14:paraId="2BA86A72" w14:textId="77777777" w:rsidR="00B720FC" w:rsidRPr="00B720FC" w:rsidRDefault="00B720FC">
      <w:pPr>
        <w:numPr>
          <w:ilvl w:val="0"/>
          <w:numId w:val="18"/>
        </w:numPr>
        <w:jc w:val="both"/>
        <w:rPr>
          <w:rFonts w:ascii="Verdana" w:hAnsi="Verdana" w:cs="Verdana"/>
          <w:bCs/>
          <w:iCs/>
          <w:sz w:val="18"/>
          <w:szCs w:val="18"/>
        </w:rPr>
      </w:pPr>
      <w:r w:rsidRPr="00B720FC">
        <w:rPr>
          <w:rFonts w:ascii="Verdana" w:hAnsi="Verdana" w:cs="Verdana"/>
          <w:bCs/>
          <w:iCs/>
          <w:sz w:val="18"/>
          <w:szCs w:val="18"/>
        </w:rPr>
        <w:t xml:space="preserve">Un contribuyente vendió en 2018 su vivienda habitual, destinando parte del precio a </w:t>
      </w:r>
      <w:r w:rsidRPr="00B720FC">
        <w:rPr>
          <w:rFonts w:ascii="Verdana" w:hAnsi="Verdana" w:cs="Verdana"/>
          <w:b/>
          <w:bCs/>
          <w:iCs/>
          <w:sz w:val="18"/>
          <w:szCs w:val="18"/>
        </w:rPr>
        <w:t>cancelar el saldo pendiente de la hipoteca</w:t>
      </w:r>
      <w:r w:rsidRPr="00B720FC">
        <w:rPr>
          <w:rFonts w:ascii="Verdana" w:hAnsi="Verdana" w:cs="Verdana"/>
          <w:bCs/>
          <w:iCs/>
          <w:sz w:val="18"/>
          <w:szCs w:val="18"/>
        </w:rPr>
        <w:t>.</w:t>
      </w:r>
    </w:p>
    <w:p w14:paraId="770856F3" w14:textId="77777777" w:rsidR="00B720FC" w:rsidRPr="00B720FC" w:rsidRDefault="00B720FC">
      <w:pPr>
        <w:numPr>
          <w:ilvl w:val="0"/>
          <w:numId w:val="18"/>
        </w:numPr>
        <w:jc w:val="both"/>
        <w:rPr>
          <w:rFonts w:ascii="Verdana" w:hAnsi="Verdana" w:cs="Verdana"/>
          <w:bCs/>
          <w:iCs/>
          <w:sz w:val="18"/>
          <w:szCs w:val="18"/>
        </w:rPr>
      </w:pPr>
      <w:r w:rsidRPr="00B720FC">
        <w:rPr>
          <w:rFonts w:ascii="Verdana" w:hAnsi="Verdana" w:cs="Verdana"/>
          <w:bCs/>
          <w:iCs/>
          <w:sz w:val="18"/>
          <w:szCs w:val="18"/>
        </w:rPr>
        <w:t>La AEAT limitó la deducción únicamente a las cuotas pagadas hasta el mes previo a la transmisión y negó la deducción sobre el importe cancelado con el precio de venta.</w:t>
      </w:r>
    </w:p>
    <w:p w14:paraId="15FCA9AE" w14:textId="77777777" w:rsidR="00B720FC" w:rsidRPr="00B720FC" w:rsidRDefault="00B720FC">
      <w:pPr>
        <w:numPr>
          <w:ilvl w:val="0"/>
          <w:numId w:val="18"/>
        </w:numPr>
        <w:jc w:val="both"/>
        <w:rPr>
          <w:rFonts w:ascii="Verdana" w:hAnsi="Verdana" w:cs="Verdana"/>
          <w:bCs/>
          <w:iCs/>
          <w:sz w:val="18"/>
          <w:szCs w:val="18"/>
        </w:rPr>
      </w:pPr>
      <w:r w:rsidRPr="00B720FC">
        <w:rPr>
          <w:rFonts w:ascii="Verdana" w:hAnsi="Verdana" w:cs="Verdana"/>
          <w:bCs/>
          <w:iCs/>
          <w:sz w:val="18"/>
          <w:szCs w:val="18"/>
        </w:rPr>
        <w:t>El TEAR de Canarias estimó la reclamación y admitió la deducción.</w:t>
      </w:r>
    </w:p>
    <w:p w14:paraId="1906465D" w14:textId="77777777" w:rsidR="00B720FC" w:rsidRPr="00B720FC" w:rsidRDefault="00B720FC">
      <w:pPr>
        <w:numPr>
          <w:ilvl w:val="0"/>
          <w:numId w:val="18"/>
        </w:numPr>
        <w:jc w:val="both"/>
        <w:rPr>
          <w:rFonts w:ascii="Verdana" w:hAnsi="Verdana" w:cs="Verdana"/>
          <w:bCs/>
          <w:iCs/>
          <w:sz w:val="18"/>
          <w:szCs w:val="18"/>
        </w:rPr>
      </w:pPr>
      <w:r w:rsidRPr="00B720FC">
        <w:rPr>
          <w:rFonts w:ascii="Verdana" w:hAnsi="Verdana" w:cs="Verdana"/>
          <w:bCs/>
          <w:iCs/>
          <w:sz w:val="18"/>
          <w:szCs w:val="18"/>
        </w:rPr>
        <w:t>La AEAT recurrió vía unificación de criterio.</w:t>
      </w:r>
    </w:p>
    <w:p w14:paraId="20C62292" w14:textId="77777777" w:rsidR="00B720FC" w:rsidRPr="00B720FC" w:rsidRDefault="00000000" w:rsidP="00B720FC">
      <w:pPr>
        <w:ind w:left="142"/>
        <w:jc w:val="both"/>
        <w:rPr>
          <w:rFonts w:ascii="Verdana" w:hAnsi="Verdana" w:cs="Verdana"/>
          <w:bCs/>
          <w:iCs/>
          <w:sz w:val="18"/>
          <w:szCs w:val="18"/>
        </w:rPr>
      </w:pPr>
      <w:r>
        <w:rPr>
          <w:rFonts w:ascii="Verdana" w:hAnsi="Verdana" w:cs="Verdana"/>
          <w:bCs/>
          <w:iCs/>
          <w:sz w:val="18"/>
          <w:szCs w:val="18"/>
        </w:rPr>
        <w:pict w14:anchorId="209CED79">
          <v:rect id="_x0000_i1029" style="width:0;height:1.5pt" o:hralign="center" o:hrstd="t" o:hr="t" fillcolor="#a0a0a0" stroked="f"/>
        </w:pict>
      </w:r>
    </w:p>
    <w:p w14:paraId="6C290B23" w14:textId="77777777" w:rsidR="00B720FC" w:rsidRPr="001E10EA" w:rsidRDefault="00B720FC" w:rsidP="00B720FC">
      <w:pPr>
        <w:ind w:left="142"/>
        <w:jc w:val="both"/>
        <w:rPr>
          <w:rFonts w:ascii="Verdana" w:hAnsi="Verdana" w:cs="Verdana"/>
          <w:b/>
          <w:bCs/>
          <w:iCs/>
          <w:color w:val="984806" w:themeColor="accent6" w:themeShade="80"/>
          <w:sz w:val="18"/>
          <w:szCs w:val="18"/>
        </w:rPr>
      </w:pPr>
      <w:r w:rsidRPr="001E10EA">
        <w:rPr>
          <w:rFonts w:ascii="Verdana" w:hAnsi="Verdana" w:cs="Verdana"/>
          <w:b/>
          <w:bCs/>
          <w:iCs/>
          <w:color w:val="984806" w:themeColor="accent6" w:themeShade="80"/>
          <w:sz w:val="18"/>
          <w:szCs w:val="18"/>
        </w:rPr>
        <w:t>Fundamentos del TEAC</w:t>
      </w:r>
    </w:p>
    <w:p w14:paraId="7D9D1E38" w14:textId="77777777" w:rsidR="00B720FC" w:rsidRPr="00B720FC" w:rsidRDefault="00B720FC" w:rsidP="00B720FC">
      <w:pPr>
        <w:ind w:left="142"/>
        <w:jc w:val="both"/>
        <w:rPr>
          <w:rFonts w:ascii="Verdana" w:hAnsi="Verdana" w:cs="Verdana"/>
          <w:bCs/>
          <w:iCs/>
          <w:sz w:val="18"/>
          <w:szCs w:val="18"/>
        </w:rPr>
      </w:pPr>
      <w:r w:rsidRPr="00B720FC">
        <w:rPr>
          <w:rFonts w:ascii="Verdana" w:hAnsi="Verdana" w:cs="Verdana"/>
          <w:bCs/>
          <w:iCs/>
          <w:sz w:val="18"/>
          <w:szCs w:val="18"/>
        </w:rPr>
        <w:t xml:space="preserve">El Tribunal recuerda que la deducción por vivienda habitual (régimen transitorio) permite deducir las </w:t>
      </w:r>
      <w:r w:rsidRPr="00B720FC">
        <w:rPr>
          <w:rFonts w:ascii="Verdana" w:hAnsi="Verdana" w:cs="Verdana"/>
          <w:b/>
          <w:bCs/>
          <w:iCs/>
          <w:sz w:val="18"/>
          <w:szCs w:val="18"/>
        </w:rPr>
        <w:t>cantidades satisfechas</w:t>
      </w:r>
      <w:r w:rsidRPr="00B720FC">
        <w:rPr>
          <w:rFonts w:ascii="Verdana" w:hAnsi="Verdana" w:cs="Verdana"/>
          <w:bCs/>
          <w:iCs/>
          <w:sz w:val="18"/>
          <w:szCs w:val="18"/>
        </w:rPr>
        <w:t xml:space="preserve"> para la </w:t>
      </w:r>
      <w:r w:rsidRPr="00B720FC">
        <w:rPr>
          <w:rFonts w:ascii="Verdana" w:hAnsi="Verdana" w:cs="Verdana"/>
          <w:b/>
          <w:bCs/>
          <w:iCs/>
          <w:sz w:val="18"/>
          <w:szCs w:val="18"/>
        </w:rPr>
        <w:t>adquisición</w:t>
      </w:r>
      <w:r w:rsidRPr="00B720FC">
        <w:rPr>
          <w:rFonts w:ascii="Verdana" w:hAnsi="Verdana" w:cs="Verdana"/>
          <w:bCs/>
          <w:iCs/>
          <w:sz w:val="18"/>
          <w:szCs w:val="18"/>
        </w:rPr>
        <w:t xml:space="preserve"> de la vivienda, incluida la amortización del préstamo.</w:t>
      </w:r>
    </w:p>
    <w:p w14:paraId="7CBFBE4A" w14:textId="77777777" w:rsidR="00B545EA" w:rsidRDefault="00B545EA" w:rsidP="00B720FC">
      <w:pPr>
        <w:ind w:left="142"/>
        <w:jc w:val="both"/>
        <w:rPr>
          <w:rFonts w:ascii="Verdana" w:hAnsi="Verdana" w:cs="Verdana"/>
          <w:bCs/>
          <w:iCs/>
          <w:sz w:val="18"/>
          <w:szCs w:val="18"/>
        </w:rPr>
      </w:pPr>
    </w:p>
    <w:p w14:paraId="0F9D48C0" w14:textId="024DC65E" w:rsidR="00B720FC" w:rsidRDefault="00B720FC" w:rsidP="00B720FC">
      <w:pPr>
        <w:ind w:left="142"/>
        <w:jc w:val="both"/>
        <w:rPr>
          <w:rFonts w:ascii="Verdana" w:hAnsi="Verdana" w:cs="Verdana"/>
          <w:bCs/>
          <w:iCs/>
          <w:sz w:val="18"/>
          <w:szCs w:val="18"/>
        </w:rPr>
      </w:pPr>
      <w:r w:rsidRPr="00B720FC">
        <w:rPr>
          <w:rFonts w:ascii="Verdana" w:hAnsi="Verdana" w:cs="Verdana"/>
          <w:bCs/>
          <w:iCs/>
          <w:sz w:val="18"/>
          <w:szCs w:val="18"/>
        </w:rPr>
        <w:t>El TEAC destaca que:</w:t>
      </w:r>
    </w:p>
    <w:p w14:paraId="63886313" w14:textId="77777777" w:rsidR="00B545EA" w:rsidRPr="00B720FC" w:rsidRDefault="00B545EA" w:rsidP="00B720FC">
      <w:pPr>
        <w:ind w:left="142"/>
        <w:jc w:val="both"/>
        <w:rPr>
          <w:rFonts w:ascii="Verdana" w:hAnsi="Verdana" w:cs="Verdana"/>
          <w:bCs/>
          <w:iCs/>
          <w:sz w:val="18"/>
          <w:szCs w:val="18"/>
        </w:rPr>
      </w:pPr>
    </w:p>
    <w:p w14:paraId="1FFCB1B6" w14:textId="77777777" w:rsidR="00B720FC" w:rsidRPr="00B720FC" w:rsidRDefault="00B720FC" w:rsidP="00B720FC">
      <w:pPr>
        <w:ind w:left="142"/>
        <w:jc w:val="both"/>
        <w:rPr>
          <w:rFonts w:ascii="Verdana" w:hAnsi="Verdana" w:cs="Verdana"/>
          <w:b/>
          <w:bCs/>
          <w:iCs/>
          <w:sz w:val="18"/>
          <w:szCs w:val="18"/>
        </w:rPr>
      </w:pPr>
      <w:r w:rsidRPr="00B720FC">
        <w:rPr>
          <w:rFonts w:ascii="Verdana" w:hAnsi="Verdana" w:cs="Verdana"/>
          <w:b/>
          <w:bCs/>
          <w:iCs/>
          <w:sz w:val="18"/>
          <w:szCs w:val="18"/>
        </w:rPr>
        <w:t>1. El dinero es fungible</w:t>
      </w:r>
    </w:p>
    <w:p w14:paraId="3C3A634B" w14:textId="77777777" w:rsidR="00B720FC" w:rsidRDefault="00B720FC" w:rsidP="00B720FC">
      <w:pPr>
        <w:ind w:left="142"/>
        <w:jc w:val="both"/>
        <w:rPr>
          <w:rFonts w:ascii="Verdana" w:hAnsi="Verdana" w:cs="Verdana"/>
          <w:bCs/>
          <w:iCs/>
          <w:sz w:val="18"/>
          <w:szCs w:val="18"/>
        </w:rPr>
      </w:pPr>
      <w:r w:rsidRPr="00B720FC">
        <w:rPr>
          <w:rFonts w:ascii="Verdana" w:hAnsi="Verdana" w:cs="Verdana"/>
          <w:bCs/>
          <w:iCs/>
          <w:sz w:val="18"/>
          <w:szCs w:val="18"/>
        </w:rPr>
        <w:t xml:space="preserve">No debe atenderse al origen concreto de los fondos utilizados para amortizar la deuda. Que el pago se realice con el importe de la venta </w:t>
      </w:r>
      <w:r w:rsidRPr="00B720FC">
        <w:rPr>
          <w:rFonts w:ascii="Verdana" w:hAnsi="Verdana" w:cs="Verdana"/>
          <w:b/>
          <w:bCs/>
          <w:iCs/>
          <w:sz w:val="18"/>
          <w:szCs w:val="18"/>
        </w:rPr>
        <w:t>no altera la finalidad del gasto</w:t>
      </w:r>
      <w:r w:rsidRPr="00B720FC">
        <w:rPr>
          <w:rFonts w:ascii="Verdana" w:hAnsi="Verdana" w:cs="Verdana"/>
          <w:bCs/>
          <w:iCs/>
          <w:sz w:val="18"/>
          <w:szCs w:val="18"/>
        </w:rPr>
        <w:t xml:space="preserve">, que sigue siendo </w:t>
      </w:r>
      <w:r w:rsidRPr="00B720FC">
        <w:rPr>
          <w:rFonts w:ascii="Verdana" w:hAnsi="Verdana" w:cs="Verdana"/>
          <w:b/>
          <w:bCs/>
          <w:iCs/>
          <w:sz w:val="18"/>
          <w:szCs w:val="18"/>
        </w:rPr>
        <w:t>cancelar la financiación usada para adquirir la vivienda habitual</w:t>
      </w:r>
      <w:r w:rsidRPr="00B720FC">
        <w:rPr>
          <w:rFonts w:ascii="Verdana" w:hAnsi="Verdana" w:cs="Verdana"/>
          <w:bCs/>
          <w:iCs/>
          <w:sz w:val="18"/>
          <w:szCs w:val="18"/>
        </w:rPr>
        <w:t>.</w:t>
      </w:r>
    </w:p>
    <w:p w14:paraId="49C7C0C5" w14:textId="77777777" w:rsidR="00B545EA" w:rsidRPr="00B720FC" w:rsidRDefault="00B545EA" w:rsidP="00B720FC">
      <w:pPr>
        <w:ind w:left="142"/>
        <w:jc w:val="both"/>
        <w:rPr>
          <w:rFonts w:ascii="Verdana" w:hAnsi="Verdana" w:cs="Verdana"/>
          <w:bCs/>
          <w:iCs/>
          <w:sz w:val="18"/>
          <w:szCs w:val="18"/>
        </w:rPr>
      </w:pPr>
    </w:p>
    <w:p w14:paraId="26FFF55C" w14:textId="77777777" w:rsidR="00B720FC" w:rsidRPr="00B720FC" w:rsidRDefault="00B720FC" w:rsidP="00B720FC">
      <w:pPr>
        <w:ind w:left="142"/>
        <w:jc w:val="both"/>
        <w:rPr>
          <w:rFonts w:ascii="Verdana" w:hAnsi="Verdana" w:cs="Verdana"/>
          <w:b/>
          <w:bCs/>
          <w:iCs/>
          <w:sz w:val="18"/>
          <w:szCs w:val="18"/>
        </w:rPr>
      </w:pPr>
      <w:r w:rsidRPr="00B720FC">
        <w:rPr>
          <w:rFonts w:ascii="Verdana" w:hAnsi="Verdana" w:cs="Verdana"/>
          <w:b/>
          <w:bCs/>
          <w:iCs/>
          <w:sz w:val="18"/>
          <w:szCs w:val="18"/>
        </w:rPr>
        <w:t>2. La causa del pago es lo relevante</w:t>
      </w:r>
    </w:p>
    <w:p w14:paraId="44749E57" w14:textId="77777777" w:rsidR="00B720FC" w:rsidRDefault="00B720FC" w:rsidP="00B720FC">
      <w:pPr>
        <w:ind w:left="142"/>
        <w:jc w:val="both"/>
        <w:rPr>
          <w:rFonts w:ascii="Verdana" w:hAnsi="Verdana" w:cs="Verdana"/>
          <w:bCs/>
          <w:iCs/>
          <w:sz w:val="18"/>
          <w:szCs w:val="18"/>
        </w:rPr>
      </w:pPr>
      <w:r w:rsidRPr="00B720FC">
        <w:rPr>
          <w:rFonts w:ascii="Verdana" w:hAnsi="Verdana" w:cs="Verdana"/>
          <w:bCs/>
          <w:iCs/>
          <w:sz w:val="18"/>
          <w:szCs w:val="18"/>
        </w:rPr>
        <w:t xml:space="preserve">Lo que se amortiza es el </w:t>
      </w:r>
      <w:r w:rsidRPr="00B720FC">
        <w:rPr>
          <w:rFonts w:ascii="Verdana" w:hAnsi="Verdana" w:cs="Verdana"/>
          <w:b/>
          <w:bCs/>
          <w:iCs/>
          <w:sz w:val="18"/>
          <w:szCs w:val="18"/>
        </w:rPr>
        <w:t>préstamo que financió la adquisición de la vivienda habitual</w:t>
      </w:r>
      <w:r w:rsidRPr="00B720FC">
        <w:rPr>
          <w:rFonts w:ascii="Verdana" w:hAnsi="Verdana" w:cs="Verdana"/>
          <w:bCs/>
          <w:iCs/>
          <w:sz w:val="18"/>
          <w:szCs w:val="18"/>
        </w:rPr>
        <w:t>, no un préstamo distinto ni un gasto vinculado a una nueva adquisición.</w:t>
      </w:r>
    </w:p>
    <w:p w14:paraId="6C167498" w14:textId="77777777" w:rsidR="00B545EA" w:rsidRPr="00B720FC" w:rsidRDefault="00B545EA" w:rsidP="00B720FC">
      <w:pPr>
        <w:ind w:left="142"/>
        <w:jc w:val="both"/>
        <w:rPr>
          <w:rFonts w:ascii="Verdana" w:hAnsi="Verdana" w:cs="Verdana"/>
          <w:bCs/>
          <w:iCs/>
          <w:sz w:val="18"/>
          <w:szCs w:val="18"/>
        </w:rPr>
      </w:pPr>
    </w:p>
    <w:p w14:paraId="48EB5A3A" w14:textId="77777777" w:rsidR="00B720FC" w:rsidRDefault="00B720FC" w:rsidP="00B720FC">
      <w:pPr>
        <w:ind w:left="142"/>
        <w:jc w:val="both"/>
        <w:rPr>
          <w:rFonts w:ascii="Verdana" w:hAnsi="Verdana" w:cs="Verdana"/>
          <w:b/>
          <w:bCs/>
          <w:iCs/>
          <w:sz w:val="18"/>
          <w:szCs w:val="18"/>
        </w:rPr>
      </w:pPr>
      <w:r w:rsidRPr="00B720FC">
        <w:rPr>
          <w:rFonts w:ascii="Verdana" w:hAnsi="Verdana" w:cs="Verdana"/>
          <w:b/>
          <w:bCs/>
          <w:iCs/>
          <w:sz w:val="18"/>
          <w:szCs w:val="18"/>
        </w:rPr>
        <w:t xml:space="preserve">3. Se </w:t>
      </w:r>
      <w:proofErr w:type="gramStart"/>
      <w:r w:rsidRPr="00B720FC">
        <w:rPr>
          <w:rFonts w:ascii="Verdana" w:hAnsi="Verdana" w:cs="Verdana"/>
          <w:b/>
          <w:bCs/>
          <w:iCs/>
          <w:sz w:val="18"/>
          <w:szCs w:val="18"/>
        </w:rPr>
        <w:t>equipara</w:t>
      </w:r>
      <w:proofErr w:type="gramEnd"/>
      <w:r w:rsidRPr="00B720FC">
        <w:rPr>
          <w:rFonts w:ascii="Verdana" w:hAnsi="Verdana" w:cs="Verdana"/>
          <w:b/>
          <w:bCs/>
          <w:iCs/>
          <w:sz w:val="18"/>
          <w:szCs w:val="18"/>
        </w:rPr>
        <w:t xml:space="preserve"> a un pago anticipado del préstamo</w:t>
      </w:r>
    </w:p>
    <w:p w14:paraId="07F14F1F" w14:textId="77777777" w:rsidR="00B720FC" w:rsidRDefault="00B720FC" w:rsidP="00B720FC">
      <w:pPr>
        <w:ind w:left="142"/>
        <w:jc w:val="both"/>
        <w:rPr>
          <w:rFonts w:ascii="Verdana" w:hAnsi="Verdana" w:cs="Verdana"/>
          <w:bCs/>
          <w:iCs/>
          <w:sz w:val="18"/>
          <w:szCs w:val="18"/>
        </w:rPr>
      </w:pPr>
      <w:r w:rsidRPr="00B720FC">
        <w:rPr>
          <w:rFonts w:ascii="Verdana" w:hAnsi="Verdana" w:cs="Verdana"/>
          <w:bCs/>
          <w:iCs/>
          <w:sz w:val="18"/>
          <w:szCs w:val="18"/>
        </w:rPr>
        <w:t xml:space="preserve">El pago del saldo pendiente en el momento de la venta es una </w:t>
      </w:r>
      <w:r w:rsidRPr="00B720FC">
        <w:rPr>
          <w:rFonts w:ascii="Verdana" w:hAnsi="Verdana" w:cs="Verdana"/>
          <w:b/>
          <w:bCs/>
          <w:iCs/>
          <w:sz w:val="18"/>
          <w:szCs w:val="18"/>
        </w:rPr>
        <w:t>amortización anticipada</w:t>
      </w:r>
      <w:r w:rsidRPr="00B720FC">
        <w:rPr>
          <w:rFonts w:ascii="Verdana" w:hAnsi="Verdana" w:cs="Verdana"/>
          <w:bCs/>
          <w:iCs/>
          <w:sz w:val="18"/>
          <w:szCs w:val="18"/>
        </w:rPr>
        <w:t>, plenamente incluida en la base de deducción, dentro de sus límites.</w:t>
      </w:r>
    </w:p>
    <w:p w14:paraId="4AE76741" w14:textId="77777777" w:rsidR="00B545EA" w:rsidRPr="00B720FC" w:rsidRDefault="00B545EA" w:rsidP="00B720FC">
      <w:pPr>
        <w:ind w:left="142"/>
        <w:jc w:val="both"/>
        <w:rPr>
          <w:rFonts w:ascii="Verdana" w:hAnsi="Verdana" w:cs="Verdana"/>
          <w:bCs/>
          <w:iCs/>
          <w:sz w:val="18"/>
          <w:szCs w:val="18"/>
        </w:rPr>
      </w:pPr>
    </w:p>
    <w:p w14:paraId="4F7508E4" w14:textId="77777777" w:rsidR="00B720FC" w:rsidRPr="00B720FC" w:rsidRDefault="00B720FC" w:rsidP="00B720FC">
      <w:pPr>
        <w:ind w:left="142"/>
        <w:jc w:val="both"/>
        <w:rPr>
          <w:rFonts w:ascii="Verdana" w:hAnsi="Verdana" w:cs="Verdana"/>
          <w:b/>
          <w:bCs/>
          <w:iCs/>
          <w:sz w:val="18"/>
          <w:szCs w:val="18"/>
        </w:rPr>
      </w:pPr>
      <w:r w:rsidRPr="00B720FC">
        <w:rPr>
          <w:rFonts w:ascii="Verdana" w:hAnsi="Verdana" w:cs="Verdana"/>
          <w:b/>
          <w:bCs/>
          <w:iCs/>
          <w:sz w:val="18"/>
          <w:szCs w:val="18"/>
        </w:rPr>
        <w:lastRenderedPageBreak/>
        <w:t>4. Se alinea con jurisprudencia favorable</w:t>
      </w:r>
    </w:p>
    <w:p w14:paraId="57E2E83F" w14:textId="77777777" w:rsidR="00B720FC" w:rsidRPr="00B720FC" w:rsidRDefault="00B720FC" w:rsidP="00B720FC">
      <w:pPr>
        <w:ind w:left="142"/>
        <w:jc w:val="both"/>
        <w:rPr>
          <w:rFonts w:ascii="Verdana" w:hAnsi="Verdana" w:cs="Verdana"/>
          <w:bCs/>
          <w:iCs/>
          <w:sz w:val="18"/>
          <w:szCs w:val="18"/>
        </w:rPr>
      </w:pPr>
      <w:r w:rsidRPr="00B720FC">
        <w:rPr>
          <w:rFonts w:ascii="Verdana" w:hAnsi="Verdana" w:cs="Verdana"/>
          <w:bCs/>
          <w:iCs/>
          <w:sz w:val="18"/>
          <w:szCs w:val="18"/>
        </w:rPr>
        <w:t xml:space="preserve">El TEAC asume expresamente criterios de los </w:t>
      </w:r>
      <w:r w:rsidRPr="00B720FC">
        <w:rPr>
          <w:rFonts w:ascii="Verdana" w:hAnsi="Verdana" w:cs="Verdana"/>
          <w:b/>
          <w:bCs/>
          <w:iCs/>
          <w:sz w:val="18"/>
          <w:szCs w:val="18"/>
        </w:rPr>
        <w:t>TSJ Castilla y León</w:t>
      </w:r>
      <w:r w:rsidRPr="00B720FC">
        <w:rPr>
          <w:rFonts w:ascii="Verdana" w:hAnsi="Verdana" w:cs="Verdana"/>
          <w:bCs/>
          <w:iCs/>
          <w:sz w:val="18"/>
          <w:szCs w:val="18"/>
        </w:rPr>
        <w:t xml:space="preserve"> y </w:t>
      </w:r>
      <w:proofErr w:type="spellStart"/>
      <w:r w:rsidRPr="00B720FC">
        <w:rPr>
          <w:rFonts w:ascii="Verdana" w:hAnsi="Verdana" w:cs="Verdana"/>
          <w:b/>
          <w:bCs/>
          <w:iCs/>
          <w:sz w:val="18"/>
          <w:szCs w:val="18"/>
        </w:rPr>
        <w:t>Comunitat</w:t>
      </w:r>
      <w:proofErr w:type="spellEnd"/>
      <w:r w:rsidRPr="00B720FC">
        <w:rPr>
          <w:rFonts w:ascii="Verdana" w:hAnsi="Verdana" w:cs="Verdana"/>
          <w:b/>
          <w:bCs/>
          <w:iCs/>
          <w:sz w:val="18"/>
          <w:szCs w:val="18"/>
        </w:rPr>
        <w:t xml:space="preserve"> Valenciana</w:t>
      </w:r>
      <w:r w:rsidRPr="00B720FC">
        <w:rPr>
          <w:rFonts w:ascii="Verdana" w:hAnsi="Verdana" w:cs="Verdana"/>
          <w:bCs/>
          <w:iCs/>
          <w:sz w:val="18"/>
          <w:szCs w:val="18"/>
        </w:rPr>
        <w:t>, que ya habían validado la deducibilidad de estas cancelaciones.</w:t>
      </w:r>
    </w:p>
    <w:p w14:paraId="36F4956D" w14:textId="77777777" w:rsidR="00B720FC" w:rsidRPr="00B720FC" w:rsidRDefault="00000000" w:rsidP="00B720FC">
      <w:pPr>
        <w:ind w:left="142"/>
        <w:jc w:val="both"/>
        <w:rPr>
          <w:rFonts w:ascii="Verdana" w:hAnsi="Verdana" w:cs="Verdana"/>
          <w:bCs/>
          <w:iCs/>
          <w:sz w:val="18"/>
          <w:szCs w:val="18"/>
        </w:rPr>
      </w:pPr>
      <w:r>
        <w:rPr>
          <w:rFonts w:ascii="Verdana" w:hAnsi="Verdana" w:cs="Verdana"/>
          <w:bCs/>
          <w:iCs/>
          <w:sz w:val="18"/>
          <w:szCs w:val="18"/>
        </w:rPr>
        <w:pict w14:anchorId="3F4F05E3">
          <v:rect id="_x0000_i1030" style="width:0;height:1.5pt" o:hralign="center" o:hrstd="t" o:hr="t" fillcolor="#a0a0a0" stroked="f"/>
        </w:pict>
      </w:r>
    </w:p>
    <w:p w14:paraId="60153696" w14:textId="6EC12E95" w:rsidR="00B720FC" w:rsidRPr="0046209E" w:rsidRDefault="00B720FC" w:rsidP="00B720FC">
      <w:pPr>
        <w:ind w:left="142"/>
        <w:jc w:val="both"/>
        <w:rPr>
          <w:rFonts w:ascii="Verdana" w:hAnsi="Verdana" w:cs="Verdana"/>
          <w:b/>
          <w:bCs/>
          <w:iCs/>
          <w:color w:val="984806" w:themeColor="accent6" w:themeShade="80"/>
          <w:sz w:val="18"/>
          <w:szCs w:val="18"/>
          <w:u w:val="single"/>
        </w:rPr>
      </w:pPr>
      <w:r w:rsidRPr="0046209E">
        <w:rPr>
          <w:rFonts w:ascii="Verdana" w:hAnsi="Verdana" w:cs="Verdana"/>
          <w:b/>
          <w:bCs/>
          <w:iCs/>
          <w:color w:val="984806" w:themeColor="accent6" w:themeShade="80"/>
          <w:sz w:val="18"/>
          <w:szCs w:val="18"/>
          <w:u w:val="single"/>
        </w:rPr>
        <w:t xml:space="preserve">Criterio </w:t>
      </w:r>
      <w:r w:rsidR="00E61896">
        <w:rPr>
          <w:rFonts w:ascii="Verdana" w:hAnsi="Verdana" w:cs="Verdana"/>
          <w:b/>
          <w:bCs/>
          <w:iCs/>
          <w:color w:val="984806" w:themeColor="accent6" w:themeShade="80"/>
          <w:sz w:val="18"/>
          <w:szCs w:val="18"/>
          <w:u w:val="single"/>
        </w:rPr>
        <w:t xml:space="preserve">fijado por el </w:t>
      </w:r>
      <w:r w:rsidRPr="0046209E">
        <w:rPr>
          <w:rFonts w:ascii="Verdana" w:hAnsi="Verdana" w:cs="Verdana"/>
          <w:b/>
          <w:bCs/>
          <w:iCs/>
          <w:color w:val="984806" w:themeColor="accent6" w:themeShade="80"/>
          <w:sz w:val="18"/>
          <w:szCs w:val="18"/>
          <w:u w:val="single"/>
        </w:rPr>
        <w:t>TEAC (DOCTRINA):</w:t>
      </w:r>
    </w:p>
    <w:p w14:paraId="28DBF6FA" w14:textId="77777777" w:rsidR="00B720FC" w:rsidRPr="00B720FC" w:rsidRDefault="00B720FC" w:rsidP="00B720FC">
      <w:pPr>
        <w:ind w:left="142"/>
        <w:jc w:val="both"/>
        <w:rPr>
          <w:rFonts w:ascii="Verdana" w:hAnsi="Verdana" w:cs="Verdana"/>
          <w:bCs/>
          <w:iCs/>
          <w:sz w:val="18"/>
          <w:szCs w:val="18"/>
        </w:rPr>
      </w:pPr>
      <w:r w:rsidRPr="00B720FC">
        <w:rPr>
          <w:rFonts w:ascii="Verdana" w:hAnsi="Verdana" w:cs="Verdana"/>
          <w:b/>
          <w:bCs/>
          <w:iCs/>
          <w:sz w:val="18"/>
          <w:szCs w:val="18"/>
        </w:rPr>
        <w:t>En los casos sujetos al régimen transitorio de la deducción por adquisición de vivienda habitual (DT 18.ª LIRPF), puede incluirse en la base de deducción el importe destinado a cancelar el préstamo hipotecario con fondos obtenidos de la venta de la propia vivienda habitual.</w:t>
      </w:r>
    </w:p>
    <w:p w14:paraId="199EB089" w14:textId="77777777" w:rsidR="00B720FC" w:rsidRPr="00B720FC" w:rsidRDefault="00000000" w:rsidP="00B720FC">
      <w:pPr>
        <w:ind w:left="142"/>
        <w:jc w:val="both"/>
        <w:rPr>
          <w:rFonts w:ascii="Verdana" w:hAnsi="Verdana" w:cs="Verdana"/>
          <w:bCs/>
          <w:iCs/>
          <w:sz w:val="18"/>
          <w:szCs w:val="18"/>
        </w:rPr>
      </w:pPr>
      <w:r>
        <w:rPr>
          <w:rFonts w:ascii="Verdana" w:hAnsi="Verdana" w:cs="Verdana"/>
          <w:bCs/>
          <w:iCs/>
          <w:sz w:val="18"/>
          <w:szCs w:val="18"/>
        </w:rPr>
        <w:pict w14:anchorId="55A1A184">
          <v:rect id="_x0000_i1031" style="width:0;height:1.5pt" o:hralign="center" o:hrstd="t" o:hr="t" fillcolor="#a0a0a0" stroked="f"/>
        </w:pict>
      </w:r>
    </w:p>
    <w:p w14:paraId="77E737D5" w14:textId="77777777" w:rsidR="00B720FC" w:rsidRPr="0046209E" w:rsidRDefault="00B720FC" w:rsidP="00B720FC">
      <w:pPr>
        <w:ind w:left="142"/>
        <w:jc w:val="both"/>
        <w:rPr>
          <w:rFonts w:ascii="Verdana" w:hAnsi="Verdana" w:cs="Verdana"/>
          <w:b/>
          <w:bCs/>
          <w:iCs/>
          <w:color w:val="984806" w:themeColor="accent6" w:themeShade="80"/>
          <w:sz w:val="18"/>
          <w:szCs w:val="18"/>
          <w:u w:val="single"/>
        </w:rPr>
      </w:pPr>
      <w:r w:rsidRPr="0046209E">
        <w:rPr>
          <w:rFonts w:ascii="Verdana" w:hAnsi="Verdana" w:cs="Verdana"/>
          <w:b/>
          <w:bCs/>
          <w:iCs/>
          <w:color w:val="984806" w:themeColor="accent6" w:themeShade="80"/>
          <w:sz w:val="18"/>
          <w:szCs w:val="18"/>
          <w:u w:val="single"/>
        </w:rPr>
        <w:t>Consecuencias prácticas</w:t>
      </w:r>
    </w:p>
    <w:p w14:paraId="7C55CBD4" w14:textId="77777777" w:rsidR="00B720FC" w:rsidRPr="00B720FC" w:rsidRDefault="00B720FC">
      <w:pPr>
        <w:numPr>
          <w:ilvl w:val="0"/>
          <w:numId w:val="19"/>
        </w:numPr>
        <w:jc w:val="both"/>
        <w:rPr>
          <w:rFonts w:ascii="Verdana" w:hAnsi="Verdana" w:cs="Verdana"/>
          <w:bCs/>
          <w:iCs/>
          <w:sz w:val="18"/>
          <w:szCs w:val="18"/>
        </w:rPr>
      </w:pPr>
      <w:r w:rsidRPr="00B720FC">
        <w:rPr>
          <w:rFonts w:ascii="Verdana" w:hAnsi="Verdana" w:cs="Verdana"/>
          <w:bCs/>
          <w:iCs/>
          <w:sz w:val="18"/>
          <w:szCs w:val="18"/>
        </w:rPr>
        <w:t>Se aclara definitivamente un criterio que generaba controversia entre AEAT, TEAR y varios TSJ.</w:t>
      </w:r>
    </w:p>
    <w:p w14:paraId="02798220" w14:textId="77777777" w:rsidR="00B720FC" w:rsidRPr="00B720FC" w:rsidRDefault="00B720FC">
      <w:pPr>
        <w:numPr>
          <w:ilvl w:val="0"/>
          <w:numId w:val="19"/>
        </w:numPr>
        <w:jc w:val="both"/>
        <w:rPr>
          <w:rFonts w:ascii="Verdana" w:hAnsi="Verdana" w:cs="Verdana"/>
          <w:bCs/>
          <w:iCs/>
          <w:sz w:val="18"/>
          <w:szCs w:val="18"/>
        </w:rPr>
      </w:pPr>
      <w:r w:rsidRPr="00B720FC">
        <w:rPr>
          <w:rFonts w:ascii="Verdana" w:hAnsi="Verdana" w:cs="Verdana"/>
          <w:bCs/>
          <w:iCs/>
          <w:sz w:val="18"/>
          <w:szCs w:val="18"/>
        </w:rPr>
        <w:t xml:space="preserve">Contribuyentes que venden su vivienda habitual y utilizan parte del precio para cancelar la hipoteca </w:t>
      </w:r>
      <w:r w:rsidRPr="00B720FC">
        <w:rPr>
          <w:rFonts w:ascii="Verdana" w:hAnsi="Verdana" w:cs="Verdana"/>
          <w:b/>
          <w:bCs/>
          <w:iCs/>
          <w:sz w:val="18"/>
          <w:szCs w:val="18"/>
        </w:rPr>
        <w:t>podrán computar esa cancelación en la base de la deducción</w:t>
      </w:r>
      <w:r w:rsidRPr="00B720FC">
        <w:rPr>
          <w:rFonts w:ascii="Verdana" w:hAnsi="Verdana" w:cs="Verdana"/>
          <w:bCs/>
          <w:iCs/>
          <w:sz w:val="18"/>
          <w:szCs w:val="18"/>
        </w:rPr>
        <w:t>, hasta el límite de 9.040 € anuales y respetando el resto de requisitos.</w:t>
      </w:r>
    </w:p>
    <w:p w14:paraId="0A81ADB7" w14:textId="77777777" w:rsidR="00B720FC" w:rsidRPr="00B720FC" w:rsidRDefault="00B720FC">
      <w:pPr>
        <w:numPr>
          <w:ilvl w:val="0"/>
          <w:numId w:val="19"/>
        </w:numPr>
        <w:jc w:val="both"/>
        <w:rPr>
          <w:rFonts w:ascii="Verdana" w:hAnsi="Verdana" w:cs="Verdana"/>
          <w:bCs/>
          <w:iCs/>
          <w:sz w:val="18"/>
          <w:szCs w:val="18"/>
        </w:rPr>
      </w:pPr>
      <w:r w:rsidRPr="00B720FC">
        <w:rPr>
          <w:rFonts w:ascii="Verdana" w:hAnsi="Verdana" w:cs="Verdana"/>
          <w:bCs/>
          <w:iCs/>
          <w:sz w:val="18"/>
          <w:szCs w:val="18"/>
        </w:rPr>
        <w:t xml:space="preserve">Gran impacto en </w:t>
      </w:r>
      <w:r w:rsidRPr="00B720FC">
        <w:rPr>
          <w:rFonts w:ascii="Verdana" w:hAnsi="Verdana" w:cs="Verdana"/>
          <w:b/>
          <w:bCs/>
          <w:iCs/>
          <w:sz w:val="18"/>
          <w:szCs w:val="18"/>
        </w:rPr>
        <w:t>comprobaciones de IRPF</w:t>
      </w:r>
      <w:r w:rsidRPr="00B720FC">
        <w:rPr>
          <w:rFonts w:ascii="Verdana" w:hAnsi="Verdana" w:cs="Verdana"/>
          <w:bCs/>
          <w:iCs/>
          <w:sz w:val="18"/>
          <w:szCs w:val="18"/>
        </w:rPr>
        <w:t xml:space="preserve"> y regularizaciones previas en esta materia, que deberán adaptarse al criterio unificado.</w:t>
      </w:r>
    </w:p>
    <w:p w14:paraId="22B861DF" w14:textId="77777777" w:rsidR="005C5BA8" w:rsidRDefault="005C5BA8" w:rsidP="005C5BA8">
      <w:pPr>
        <w:ind w:left="142"/>
        <w:jc w:val="both"/>
        <w:rPr>
          <w:rFonts w:ascii="Verdana" w:hAnsi="Verdana" w:cs="Verdana"/>
          <w:b/>
          <w:bCs/>
          <w:iCs/>
          <w:sz w:val="18"/>
          <w:szCs w:val="18"/>
        </w:rPr>
      </w:pPr>
    </w:p>
    <w:p w14:paraId="19502710" w14:textId="77777777" w:rsidR="005C5BA8" w:rsidRDefault="005C5BA8" w:rsidP="005C5BA8">
      <w:pPr>
        <w:ind w:left="142"/>
        <w:jc w:val="both"/>
        <w:rPr>
          <w:rFonts w:ascii="Verdana" w:hAnsi="Verdana" w:cs="Verdana"/>
          <w:b/>
          <w:bCs/>
          <w:iCs/>
          <w:sz w:val="18"/>
          <w:szCs w:val="18"/>
        </w:rPr>
      </w:pPr>
    </w:p>
    <w:tbl>
      <w:tblPr>
        <w:tblW w:w="8640" w:type="dxa"/>
        <w:tblInd w:w="-68" w:type="dxa"/>
        <w:tblCellMar>
          <w:left w:w="70" w:type="dxa"/>
          <w:right w:w="70" w:type="dxa"/>
        </w:tblCellMar>
        <w:tblLook w:val="0000" w:firstRow="0" w:lastRow="0" w:firstColumn="0" w:lastColumn="0" w:noHBand="0" w:noVBand="0"/>
      </w:tblPr>
      <w:tblGrid>
        <w:gridCol w:w="180"/>
        <w:gridCol w:w="8460"/>
      </w:tblGrid>
      <w:tr w:rsidR="005C5BA8" w:rsidRPr="0046209E" w14:paraId="1BDBBF45" w14:textId="77777777" w:rsidTr="006F3A5D">
        <w:trPr>
          <w:trHeight w:val="232"/>
        </w:trPr>
        <w:tc>
          <w:tcPr>
            <w:tcW w:w="180" w:type="dxa"/>
            <w:shd w:val="clear" w:color="auto" w:fill="FF6600"/>
          </w:tcPr>
          <w:p w14:paraId="2A2CF7BA" w14:textId="77777777" w:rsidR="005C5BA8" w:rsidRPr="0046209E" w:rsidRDefault="005C5BA8" w:rsidP="006F3A5D">
            <w:pPr>
              <w:tabs>
                <w:tab w:val="num" w:pos="426"/>
              </w:tabs>
              <w:ind w:left="426"/>
              <w:jc w:val="both"/>
              <w:rPr>
                <w:rFonts w:ascii="Verdana" w:hAnsi="Verdana" w:cs="Verdana"/>
                <w:b/>
                <w:bCs/>
                <w:color w:val="800000"/>
                <w:sz w:val="18"/>
                <w:szCs w:val="18"/>
              </w:rPr>
            </w:pPr>
            <w:bookmarkStart w:id="4" w:name="_Hlk214356421"/>
          </w:p>
        </w:tc>
        <w:tc>
          <w:tcPr>
            <w:tcW w:w="8460" w:type="dxa"/>
          </w:tcPr>
          <w:p w14:paraId="1A286C9F" w14:textId="54FECAF4" w:rsidR="005C5BA8" w:rsidRPr="0046209E" w:rsidRDefault="0046209E">
            <w:pPr>
              <w:numPr>
                <w:ilvl w:val="0"/>
                <w:numId w:val="3"/>
              </w:numPr>
              <w:tabs>
                <w:tab w:val="num" w:pos="426"/>
              </w:tabs>
              <w:jc w:val="both"/>
              <w:rPr>
                <w:rFonts w:ascii="Verdana" w:hAnsi="Verdana" w:cs="Verdana"/>
                <w:b/>
                <w:bCs/>
                <w:color w:val="800000"/>
                <w:sz w:val="18"/>
                <w:szCs w:val="18"/>
              </w:rPr>
            </w:pPr>
            <w:r w:rsidRPr="0046209E">
              <w:rPr>
                <w:rFonts w:ascii="Verdana" w:hAnsi="Verdana" w:cs="Verdana"/>
                <w:b/>
                <w:bCs/>
                <w:color w:val="800000"/>
                <w:sz w:val="18"/>
                <w:szCs w:val="18"/>
              </w:rPr>
              <w:t>EL TRIBUNAL SUPREMO REITERA SU DOCTRINA SOBRE LA INCUESTIONABILIDAD DE LOS CERTIFICADOS DE RESIDENCIA FISCAL EXPEDIDOS POR LA AUTORIDAD COMPETENTE DE UN ESTADO CONTRATANTE EN EL SENTIDO DE APLICACIÓN DEL CONVENIO PARA EVITAR LA DOBLE IMPOSICIÓN</w:t>
            </w:r>
          </w:p>
        </w:tc>
      </w:tr>
      <w:bookmarkEnd w:id="4"/>
    </w:tbl>
    <w:p w14:paraId="52B3202D" w14:textId="77777777" w:rsidR="005C5BA8" w:rsidRDefault="005C5BA8" w:rsidP="005C5BA8">
      <w:pPr>
        <w:ind w:left="142"/>
        <w:jc w:val="both"/>
        <w:rPr>
          <w:rFonts w:ascii="Verdana" w:hAnsi="Verdana" w:cs="Verdana"/>
          <w:b/>
          <w:bCs/>
          <w:iCs/>
          <w:sz w:val="18"/>
          <w:szCs w:val="18"/>
        </w:rPr>
      </w:pPr>
    </w:p>
    <w:p w14:paraId="3942DC5B" w14:textId="77777777" w:rsidR="005C5BA8" w:rsidRDefault="005C5BA8" w:rsidP="005C5BA8">
      <w:pPr>
        <w:ind w:left="142"/>
        <w:jc w:val="both"/>
        <w:rPr>
          <w:rFonts w:ascii="Verdana" w:hAnsi="Verdana" w:cs="Verdana"/>
          <w:bCs/>
          <w:iCs/>
          <w:sz w:val="18"/>
          <w:szCs w:val="18"/>
        </w:rPr>
      </w:pPr>
      <w:r w:rsidRPr="005C5BA8">
        <w:rPr>
          <w:rFonts w:ascii="Verdana" w:hAnsi="Verdana" w:cs="Verdana"/>
          <w:bCs/>
          <w:iCs/>
          <w:sz w:val="18"/>
          <w:szCs w:val="18"/>
        </w:rPr>
        <w:t xml:space="preserve">El Tribunal Supremo ha dictado la </w:t>
      </w:r>
      <w:r w:rsidRPr="005C5BA8">
        <w:rPr>
          <w:rFonts w:ascii="Verdana" w:hAnsi="Verdana" w:cs="Verdana"/>
          <w:b/>
          <w:bCs/>
          <w:iCs/>
          <w:sz w:val="18"/>
          <w:szCs w:val="18"/>
        </w:rPr>
        <w:t>Sentencia 971/2025 (STS 3498/2025)</w:t>
      </w:r>
      <w:r w:rsidRPr="005C5BA8">
        <w:rPr>
          <w:rFonts w:ascii="Verdana" w:hAnsi="Verdana" w:cs="Verdana"/>
          <w:bCs/>
          <w:iCs/>
          <w:sz w:val="18"/>
          <w:szCs w:val="18"/>
        </w:rPr>
        <w:t xml:space="preserve">, relativa a la residencia fiscal de un contribuyente británico al que se habían girado liquidaciones del IRPF de 2014 a 2016. El debate se centraba en si la Administración española podía ignorar un </w:t>
      </w:r>
      <w:r w:rsidRPr="005C5BA8">
        <w:rPr>
          <w:rFonts w:ascii="Verdana" w:hAnsi="Verdana" w:cs="Verdana"/>
          <w:b/>
          <w:bCs/>
          <w:iCs/>
          <w:sz w:val="18"/>
          <w:szCs w:val="18"/>
        </w:rPr>
        <w:t>certificado de residencia fiscal del Reino Unido expedido a efectos del Convenio para evitar la doble imposición (CDI)</w:t>
      </w:r>
      <w:r w:rsidRPr="005C5BA8">
        <w:rPr>
          <w:rFonts w:ascii="Verdana" w:hAnsi="Verdana" w:cs="Verdana"/>
          <w:bCs/>
          <w:iCs/>
          <w:sz w:val="18"/>
          <w:szCs w:val="18"/>
        </w:rPr>
        <w:t>.</w:t>
      </w:r>
    </w:p>
    <w:p w14:paraId="06442DC7" w14:textId="77777777" w:rsidR="005C5BA8" w:rsidRPr="005C5BA8" w:rsidRDefault="005C5BA8" w:rsidP="005C5BA8">
      <w:pPr>
        <w:ind w:left="142"/>
        <w:jc w:val="both"/>
        <w:rPr>
          <w:rFonts w:ascii="Verdana" w:hAnsi="Verdana" w:cs="Verdana"/>
          <w:bCs/>
          <w:iCs/>
          <w:sz w:val="18"/>
          <w:szCs w:val="18"/>
        </w:rPr>
      </w:pPr>
    </w:p>
    <w:p w14:paraId="550C5EDB" w14:textId="77777777" w:rsidR="005C5BA8" w:rsidRPr="001E10EA" w:rsidRDefault="005C5BA8" w:rsidP="005C5BA8">
      <w:pPr>
        <w:ind w:left="142"/>
        <w:jc w:val="both"/>
        <w:rPr>
          <w:rFonts w:ascii="Verdana" w:hAnsi="Verdana" w:cs="Verdana"/>
          <w:b/>
          <w:bCs/>
          <w:iCs/>
          <w:color w:val="984806" w:themeColor="accent6" w:themeShade="80"/>
          <w:sz w:val="18"/>
          <w:szCs w:val="18"/>
        </w:rPr>
      </w:pPr>
      <w:r w:rsidRPr="001E10EA">
        <w:rPr>
          <w:rFonts w:ascii="Verdana" w:hAnsi="Verdana" w:cs="Verdana"/>
          <w:b/>
          <w:bCs/>
          <w:iCs/>
          <w:color w:val="984806" w:themeColor="accent6" w:themeShade="80"/>
          <w:sz w:val="18"/>
          <w:szCs w:val="18"/>
        </w:rPr>
        <w:t>1. Doctrina jurisprudencial que se reafirma</w:t>
      </w:r>
    </w:p>
    <w:p w14:paraId="569FE28E" w14:textId="77777777" w:rsidR="005C5BA8" w:rsidRDefault="005C5BA8" w:rsidP="005C5BA8">
      <w:pPr>
        <w:ind w:left="142"/>
        <w:jc w:val="both"/>
        <w:rPr>
          <w:rFonts w:ascii="Verdana" w:hAnsi="Verdana" w:cs="Verdana"/>
          <w:bCs/>
          <w:iCs/>
          <w:sz w:val="18"/>
          <w:szCs w:val="18"/>
        </w:rPr>
      </w:pPr>
      <w:r w:rsidRPr="005C5BA8">
        <w:rPr>
          <w:rFonts w:ascii="Verdana" w:hAnsi="Verdana" w:cs="Verdana"/>
          <w:bCs/>
          <w:iCs/>
          <w:sz w:val="18"/>
          <w:szCs w:val="18"/>
        </w:rPr>
        <w:t xml:space="preserve">El Tribunal Supremo </w:t>
      </w:r>
      <w:r w:rsidRPr="005C5BA8">
        <w:rPr>
          <w:rFonts w:ascii="Verdana" w:hAnsi="Verdana" w:cs="Verdana"/>
          <w:b/>
          <w:bCs/>
          <w:iCs/>
          <w:sz w:val="18"/>
          <w:szCs w:val="18"/>
        </w:rPr>
        <w:t>reitera y consolida</w:t>
      </w:r>
      <w:r w:rsidRPr="005C5BA8">
        <w:rPr>
          <w:rFonts w:ascii="Verdana" w:hAnsi="Verdana" w:cs="Verdana"/>
          <w:bCs/>
          <w:iCs/>
          <w:sz w:val="18"/>
          <w:szCs w:val="18"/>
        </w:rPr>
        <w:t xml:space="preserve"> su doctrina previa (STS 12-06-2023) y fija nuevamente criterio:</w:t>
      </w:r>
    </w:p>
    <w:p w14:paraId="1EA7AB65" w14:textId="77777777" w:rsidR="005C5BA8" w:rsidRPr="005C5BA8" w:rsidRDefault="005C5BA8" w:rsidP="005C5BA8">
      <w:pPr>
        <w:ind w:left="142"/>
        <w:jc w:val="both"/>
        <w:rPr>
          <w:rFonts w:ascii="Verdana" w:hAnsi="Verdana" w:cs="Verdana"/>
          <w:bCs/>
          <w:iCs/>
          <w:sz w:val="18"/>
          <w:szCs w:val="18"/>
        </w:rPr>
      </w:pPr>
    </w:p>
    <w:p w14:paraId="4EC34A1C" w14:textId="77777777" w:rsidR="005C5BA8" w:rsidRPr="005C5BA8" w:rsidRDefault="005C5BA8">
      <w:pPr>
        <w:numPr>
          <w:ilvl w:val="0"/>
          <w:numId w:val="20"/>
        </w:numPr>
        <w:jc w:val="both"/>
        <w:rPr>
          <w:rFonts w:ascii="Verdana" w:hAnsi="Verdana" w:cs="Verdana"/>
          <w:bCs/>
          <w:iCs/>
          <w:sz w:val="18"/>
          <w:szCs w:val="18"/>
        </w:rPr>
      </w:pPr>
      <w:r w:rsidRPr="005C5BA8">
        <w:rPr>
          <w:rFonts w:ascii="Verdana" w:hAnsi="Verdana" w:cs="Verdana"/>
          <w:b/>
          <w:bCs/>
          <w:iCs/>
          <w:sz w:val="18"/>
          <w:szCs w:val="18"/>
        </w:rPr>
        <w:t>Los órganos españoles no pueden ignorar ni cuestionar unilateralmente un certificado de residencia expedido por otro Estado</w:t>
      </w:r>
      <w:r w:rsidRPr="005C5BA8">
        <w:rPr>
          <w:rFonts w:ascii="Verdana" w:hAnsi="Verdana" w:cs="Verdana"/>
          <w:bCs/>
          <w:iCs/>
          <w:sz w:val="18"/>
          <w:szCs w:val="18"/>
        </w:rPr>
        <w:t>, cuando se emite a efectos del CDI.</w:t>
      </w:r>
    </w:p>
    <w:p w14:paraId="34FEFCEC" w14:textId="77777777" w:rsidR="005C5BA8" w:rsidRPr="005C5BA8" w:rsidRDefault="005C5BA8">
      <w:pPr>
        <w:numPr>
          <w:ilvl w:val="0"/>
          <w:numId w:val="20"/>
        </w:numPr>
        <w:jc w:val="both"/>
        <w:rPr>
          <w:rFonts w:ascii="Verdana" w:hAnsi="Verdana" w:cs="Verdana"/>
          <w:bCs/>
          <w:iCs/>
          <w:sz w:val="18"/>
          <w:szCs w:val="18"/>
        </w:rPr>
      </w:pPr>
      <w:r w:rsidRPr="005C5BA8">
        <w:rPr>
          <w:rFonts w:ascii="Verdana" w:hAnsi="Verdana" w:cs="Verdana"/>
          <w:b/>
          <w:bCs/>
          <w:iCs/>
          <w:sz w:val="18"/>
          <w:szCs w:val="18"/>
        </w:rPr>
        <w:t>La validez del certificado debe presumirse</w:t>
      </w:r>
      <w:r w:rsidRPr="005C5BA8">
        <w:rPr>
          <w:rFonts w:ascii="Verdana" w:hAnsi="Verdana" w:cs="Verdana"/>
          <w:bCs/>
          <w:iCs/>
          <w:sz w:val="18"/>
          <w:szCs w:val="18"/>
        </w:rPr>
        <w:t xml:space="preserve"> para analizar un posible conflicto de residencia entre Estados.</w:t>
      </w:r>
    </w:p>
    <w:p w14:paraId="3539C107" w14:textId="77777777" w:rsidR="005C5BA8" w:rsidRDefault="005C5BA8">
      <w:pPr>
        <w:numPr>
          <w:ilvl w:val="0"/>
          <w:numId w:val="20"/>
        </w:numPr>
        <w:jc w:val="both"/>
        <w:rPr>
          <w:rFonts w:ascii="Verdana" w:hAnsi="Verdana" w:cs="Verdana"/>
          <w:bCs/>
          <w:iCs/>
          <w:sz w:val="18"/>
          <w:szCs w:val="18"/>
        </w:rPr>
      </w:pPr>
      <w:r w:rsidRPr="005C5BA8">
        <w:rPr>
          <w:rFonts w:ascii="Verdana" w:hAnsi="Verdana" w:cs="Verdana"/>
          <w:bCs/>
          <w:iCs/>
          <w:sz w:val="18"/>
          <w:szCs w:val="18"/>
        </w:rPr>
        <w:t xml:space="preserve">Un Estado parte </w:t>
      </w:r>
      <w:r w:rsidRPr="005C5BA8">
        <w:rPr>
          <w:rFonts w:ascii="Verdana" w:hAnsi="Verdana" w:cs="Verdana"/>
          <w:b/>
          <w:bCs/>
          <w:iCs/>
          <w:sz w:val="18"/>
          <w:szCs w:val="18"/>
        </w:rPr>
        <w:t>no puede resolver unilateralmente</w:t>
      </w:r>
      <w:r w:rsidRPr="005C5BA8">
        <w:rPr>
          <w:rFonts w:ascii="Verdana" w:hAnsi="Verdana" w:cs="Verdana"/>
          <w:bCs/>
          <w:iCs/>
          <w:sz w:val="18"/>
          <w:szCs w:val="18"/>
        </w:rPr>
        <w:t xml:space="preserve"> esos conflictos sin acudir a las </w:t>
      </w:r>
      <w:r w:rsidRPr="005C5BA8">
        <w:rPr>
          <w:rFonts w:ascii="Verdana" w:hAnsi="Verdana" w:cs="Verdana"/>
          <w:b/>
          <w:bCs/>
          <w:iCs/>
          <w:sz w:val="18"/>
          <w:szCs w:val="18"/>
        </w:rPr>
        <w:t>reglas de desempate del artículo 4.2 del CDI</w:t>
      </w:r>
      <w:r w:rsidRPr="005C5BA8">
        <w:rPr>
          <w:rFonts w:ascii="Verdana" w:hAnsi="Verdana" w:cs="Verdana"/>
          <w:bCs/>
          <w:iCs/>
          <w:sz w:val="18"/>
          <w:szCs w:val="18"/>
        </w:rPr>
        <w:t>.</w:t>
      </w:r>
    </w:p>
    <w:p w14:paraId="06C9C4EF" w14:textId="77777777" w:rsidR="005C5BA8" w:rsidRPr="005C5BA8" w:rsidRDefault="005C5BA8" w:rsidP="005C5BA8">
      <w:pPr>
        <w:ind w:left="720"/>
        <w:jc w:val="both"/>
        <w:rPr>
          <w:rFonts w:ascii="Verdana" w:hAnsi="Verdana" w:cs="Verdana"/>
          <w:bCs/>
          <w:iCs/>
          <w:sz w:val="18"/>
          <w:szCs w:val="18"/>
        </w:rPr>
      </w:pPr>
    </w:p>
    <w:p w14:paraId="03AEF47A" w14:textId="77777777" w:rsidR="005C5BA8" w:rsidRPr="001E10EA" w:rsidRDefault="005C5BA8" w:rsidP="005C5BA8">
      <w:pPr>
        <w:ind w:left="142"/>
        <w:jc w:val="both"/>
        <w:rPr>
          <w:rFonts w:ascii="Verdana" w:hAnsi="Verdana" w:cs="Verdana"/>
          <w:b/>
          <w:bCs/>
          <w:iCs/>
          <w:color w:val="984806" w:themeColor="accent6" w:themeShade="80"/>
          <w:sz w:val="18"/>
          <w:szCs w:val="18"/>
        </w:rPr>
      </w:pPr>
      <w:r w:rsidRPr="001E10EA">
        <w:rPr>
          <w:rFonts w:ascii="Verdana" w:hAnsi="Verdana" w:cs="Verdana"/>
          <w:b/>
          <w:bCs/>
          <w:iCs/>
          <w:color w:val="984806" w:themeColor="accent6" w:themeShade="80"/>
          <w:sz w:val="18"/>
          <w:szCs w:val="18"/>
        </w:rPr>
        <w:t>2. Aplicación al caso concreto</w:t>
      </w:r>
    </w:p>
    <w:p w14:paraId="69E59202" w14:textId="77777777" w:rsidR="005C5BA8" w:rsidRDefault="005C5BA8" w:rsidP="005C5BA8">
      <w:pPr>
        <w:ind w:left="142"/>
        <w:jc w:val="both"/>
        <w:rPr>
          <w:rFonts w:ascii="Verdana" w:hAnsi="Verdana" w:cs="Verdana"/>
          <w:bCs/>
          <w:iCs/>
          <w:sz w:val="18"/>
          <w:szCs w:val="18"/>
        </w:rPr>
      </w:pPr>
      <w:r w:rsidRPr="005C5BA8">
        <w:rPr>
          <w:rFonts w:ascii="Verdana" w:hAnsi="Verdana" w:cs="Verdana"/>
          <w:bCs/>
          <w:iCs/>
          <w:sz w:val="18"/>
          <w:szCs w:val="18"/>
        </w:rPr>
        <w:t xml:space="preserve">Pese a lo anterior, el Supremo </w:t>
      </w:r>
      <w:r w:rsidRPr="005C5BA8">
        <w:rPr>
          <w:rFonts w:ascii="Verdana" w:hAnsi="Verdana" w:cs="Verdana"/>
          <w:b/>
          <w:bCs/>
          <w:iCs/>
          <w:sz w:val="18"/>
          <w:szCs w:val="18"/>
        </w:rPr>
        <w:t>desestima el recurso del contribuyente</w:t>
      </w:r>
      <w:r w:rsidRPr="005C5BA8">
        <w:rPr>
          <w:rFonts w:ascii="Verdana" w:hAnsi="Verdana" w:cs="Verdana"/>
          <w:bCs/>
          <w:iCs/>
          <w:sz w:val="18"/>
          <w:szCs w:val="18"/>
        </w:rPr>
        <w:t xml:space="preserve"> y confirma la sentencia del TSJ de Andalucía, porque:</w:t>
      </w:r>
    </w:p>
    <w:p w14:paraId="376D6CB1" w14:textId="77777777" w:rsidR="005C5BA8" w:rsidRPr="005C5BA8" w:rsidRDefault="005C5BA8" w:rsidP="005C5BA8">
      <w:pPr>
        <w:ind w:left="142"/>
        <w:jc w:val="both"/>
        <w:rPr>
          <w:rFonts w:ascii="Verdana" w:hAnsi="Verdana" w:cs="Verdana"/>
          <w:bCs/>
          <w:iCs/>
          <w:sz w:val="18"/>
          <w:szCs w:val="18"/>
        </w:rPr>
      </w:pPr>
    </w:p>
    <w:p w14:paraId="271F3E94" w14:textId="77777777" w:rsidR="005C5BA8" w:rsidRPr="005C5BA8" w:rsidRDefault="005C5BA8">
      <w:pPr>
        <w:numPr>
          <w:ilvl w:val="0"/>
          <w:numId w:val="21"/>
        </w:numPr>
        <w:jc w:val="both"/>
        <w:rPr>
          <w:rFonts w:ascii="Verdana" w:hAnsi="Verdana" w:cs="Verdana"/>
          <w:bCs/>
          <w:iCs/>
          <w:sz w:val="18"/>
          <w:szCs w:val="18"/>
        </w:rPr>
      </w:pPr>
      <w:r w:rsidRPr="005C5BA8">
        <w:rPr>
          <w:rFonts w:ascii="Verdana" w:hAnsi="Verdana" w:cs="Verdana"/>
          <w:bCs/>
          <w:iCs/>
          <w:sz w:val="18"/>
          <w:szCs w:val="18"/>
        </w:rPr>
        <w:t xml:space="preserve">El contribuyente </w:t>
      </w:r>
      <w:r w:rsidRPr="005C5BA8">
        <w:rPr>
          <w:rFonts w:ascii="Verdana" w:hAnsi="Verdana" w:cs="Verdana"/>
          <w:b/>
          <w:bCs/>
          <w:iCs/>
          <w:sz w:val="18"/>
          <w:szCs w:val="18"/>
        </w:rPr>
        <w:t>no acreditó tener una vivienda permanente a su disposición en Reino Unido</w:t>
      </w:r>
      <w:r w:rsidRPr="005C5BA8">
        <w:rPr>
          <w:rFonts w:ascii="Verdana" w:hAnsi="Verdana" w:cs="Verdana"/>
          <w:bCs/>
          <w:iCs/>
          <w:sz w:val="18"/>
          <w:szCs w:val="18"/>
        </w:rPr>
        <w:t>, primer criterio decisivo del art. 4.2 del CDI.</w:t>
      </w:r>
    </w:p>
    <w:p w14:paraId="74B08429" w14:textId="77777777" w:rsidR="005C5BA8" w:rsidRPr="005C5BA8" w:rsidRDefault="005C5BA8">
      <w:pPr>
        <w:numPr>
          <w:ilvl w:val="0"/>
          <w:numId w:val="21"/>
        </w:numPr>
        <w:jc w:val="both"/>
        <w:rPr>
          <w:rFonts w:ascii="Verdana" w:hAnsi="Verdana" w:cs="Verdana"/>
          <w:bCs/>
          <w:iCs/>
          <w:sz w:val="18"/>
          <w:szCs w:val="18"/>
        </w:rPr>
      </w:pPr>
      <w:r w:rsidRPr="005C5BA8">
        <w:rPr>
          <w:rFonts w:ascii="Verdana" w:hAnsi="Verdana" w:cs="Verdana"/>
          <w:bCs/>
          <w:iCs/>
          <w:sz w:val="18"/>
          <w:szCs w:val="18"/>
        </w:rPr>
        <w:t xml:space="preserve">En cambio, sí constaban numerosos </w:t>
      </w:r>
      <w:r w:rsidRPr="005C5BA8">
        <w:rPr>
          <w:rFonts w:ascii="Verdana" w:hAnsi="Verdana" w:cs="Verdana"/>
          <w:b/>
          <w:bCs/>
          <w:iCs/>
          <w:sz w:val="18"/>
          <w:szCs w:val="18"/>
        </w:rPr>
        <w:t>indicios sólidos de residencia en España</w:t>
      </w:r>
      <w:r w:rsidRPr="005C5BA8">
        <w:rPr>
          <w:rFonts w:ascii="Verdana" w:hAnsi="Verdana" w:cs="Verdana"/>
          <w:bCs/>
          <w:iCs/>
          <w:sz w:val="18"/>
          <w:szCs w:val="18"/>
        </w:rPr>
        <w:t>:</w:t>
      </w:r>
    </w:p>
    <w:p w14:paraId="32CB1547" w14:textId="77777777" w:rsidR="005C5BA8" w:rsidRPr="005C5BA8" w:rsidRDefault="005C5BA8">
      <w:pPr>
        <w:numPr>
          <w:ilvl w:val="1"/>
          <w:numId w:val="21"/>
        </w:numPr>
        <w:tabs>
          <w:tab w:val="clear" w:pos="1440"/>
          <w:tab w:val="num" w:pos="993"/>
        </w:tabs>
        <w:ind w:left="993" w:hanging="284"/>
        <w:jc w:val="both"/>
        <w:rPr>
          <w:rFonts w:ascii="Verdana" w:hAnsi="Verdana" w:cs="Verdana"/>
          <w:bCs/>
          <w:iCs/>
          <w:sz w:val="18"/>
          <w:szCs w:val="18"/>
        </w:rPr>
      </w:pPr>
      <w:r w:rsidRPr="005C5BA8">
        <w:rPr>
          <w:rFonts w:ascii="Verdana" w:hAnsi="Verdana" w:cs="Verdana"/>
          <w:bCs/>
          <w:iCs/>
          <w:sz w:val="18"/>
          <w:szCs w:val="18"/>
        </w:rPr>
        <w:t>vivienda en San Roque,</w:t>
      </w:r>
    </w:p>
    <w:p w14:paraId="33FC0C5A" w14:textId="77777777" w:rsidR="005C5BA8" w:rsidRPr="005C5BA8" w:rsidRDefault="005C5BA8">
      <w:pPr>
        <w:numPr>
          <w:ilvl w:val="1"/>
          <w:numId w:val="21"/>
        </w:numPr>
        <w:tabs>
          <w:tab w:val="clear" w:pos="1440"/>
          <w:tab w:val="num" w:pos="993"/>
        </w:tabs>
        <w:ind w:left="993" w:hanging="284"/>
        <w:jc w:val="both"/>
        <w:rPr>
          <w:rFonts w:ascii="Verdana" w:hAnsi="Verdana" w:cs="Verdana"/>
          <w:bCs/>
          <w:iCs/>
          <w:sz w:val="18"/>
          <w:szCs w:val="18"/>
        </w:rPr>
      </w:pPr>
      <w:r w:rsidRPr="005C5BA8">
        <w:rPr>
          <w:rFonts w:ascii="Verdana" w:hAnsi="Verdana" w:cs="Verdana"/>
          <w:bCs/>
          <w:iCs/>
          <w:sz w:val="18"/>
          <w:szCs w:val="18"/>
        </w:rPr>
        <w:t>empadronamiento en Estepona,</w:t>
      </w:r>
    </w:p>
    <w:p w14:paraId="67729E14" w14:textId="77777777" w:rsidR="005C5BA8" w:rsidRPr="005C5BA8" w:rsidRDefault="005C5BA8">
      <w:pPr>
        <w:numPr>
          <w:ilvl w:val="1"/>
          <w:numId w:val="21"/>
        </w:numPr>
        <w:tabs>
          <w:tab w:val="clear" w:pos="1440"/>
          <w:tab w:val="num" w:pos="993"/>
        </w:tabs>
        <w:ind w:left="993" w:hanging="284"/>
        <w:jc w:val="both"/>
        <w:rPr>
          <w:rFonts w:ascii="Verdana" w:hAnsi="Verdana" w:cs="Verdana"/>
          <w:bCs/>
          <w:iCs/>
          <w:sz w:val="18"/>
          <w:szCs w:val="18"/>
        </w:rPr>
      </w:pPr>
      <w:r w:rsidRPr="005C5BA8">
        <w:rPr>
          <w:rFonts w:ascii="Verdana" w:hAnsi="Verdana" w:cs="Verdana"/>
          <w:bCs/>
          <w:iCs/>
          <w:sz w:val="18"/>
          <w:szCs w:val="18"/>
        </w:rPr>
        <w:t>alta en asistencia sanitaria para extranjeros residentes,</w:t>
      </w:r>
    </w:p>
    <w:p w14:paraId="332746C0" w14:textId="77777777" w:rsidR="005C5BA8" w:rsidRPr="005C5BA8" w:rsidRDefault="005C5BA8">
      <w:pPr>
        <w:numPr>
          <w:ilvl w:val="1"/>
          <w:numId w:val="21"/>
        </w:numPr>
        <w:tabs>
          <w:tab w:val="clear" w:pos="1440"/>
          <w:tab w:val="num" w:pos="993"/>
        </w:tabs>
        <w:ind w:left="993" w:hanging="284"/>
        <w:jc w:val="both"/>
        <w:rPr>
          <w:rFonts w:ascii="Verdana" w:hAnsi="Verdana" w:cs="Verdana"/>
          <w:bCs/>
          <w:iCs/>
          <w:sz w:val="18"/>
          <w:szCs w:val="18"/>
        </w:rPr>
      </w:pPr>
      <w:r w:rsidRPr="005C5BA8">
        <w:rPr>
          <w:rFonts w:ascii="Verdana" w:hAnsi="Verdana" w:cs="Verdana"/>
          <w:bCs/>
          <w:iCs/>
          <w:sz w:val="18"/>
          <w:szCs w:val="18"/>
        </w:rPr>
        <w:t>vehículos dados de alta en España,</w:t>
      </w:r>
    </w:p>
    <w:p w14:paraId="04D1F34B" w14:textId="77777777" w:rsidR="005C5BA8" w:rsidRDefault="005C5BA8">
      <w:pPr>
        <w:numPr>
          <w:ilvl w:val="1"/>
          <w:numId w:val="21"/>
        </w:numPr>
        <w:tabs>
          <w:tab w:val="clear" w:pos="1440"/>
          <w:tab w:val="num" w:pos="993"/>
        </w:tabs>
        <w:ind w:left="993" w:hanging="284"/>
        <w:jc w:val="both"/>
        <w:rPr>
          <w:rFonts w:ascii="Verdana" w:hAnsi="Verdana" w:cs="Verdana"/>
          <w:bCs/>
          <w:iCs/>
          <w:sz w:val="18"/>
          <w:szCs w:val="18"/>
        </w:rPr>
      </w:pPr>
      <w:r w:rsidRPr="005C5BA8">
        <w:rPr>
          <w:rFonts w:ascii="Verdana" w:hAnsi="Verdana" w:cs="Verdana"/>
          <w:bCs/>
          <w:iCs/>
          <w:sz w:val="18"/>
          <w:szCs w:val="18"/>
        </w:rPr>
        <w:t>información remitida por la Hacienda británica indicando comunicación previa del propio contribuyente como residente en España.</w:t>
      </w:r>
    </w:p>
    <w:p w14:paraId="2EF19922" w14:textId="77777777" w:rsidR="005C5BA8" w:rsidRPr="005C5BA8" w:rsidRDefault="005C5BA8" w:rsidP="0068685E">
      <w:pPr>
        <w:ind w:left="1440"/>
        <w:jc w:val="both"/>
        <w:rPr>
          <w:rFonts w:ascii="Verdana" w:hAnsi="Verdana" w:cs="Verdana"/>
          <w:bCs/>
          <w:iCs/>
          <w:sz w:val="18"/>
          <w:szCs w:val="18"/>
        </w:rPr>
      </w:pPr>
    </w:p>
    <w:p w14:paraId="056F38ED" w14:textId="77777777" w:rsidR="005C5BA8" w:rsidRDefault="005C5BA8" w:rsidP="005C5BA8">
      <w:pPr>
        <w:ind w:left="142"/>
        <w:jc w:val="both"/>
        <w:rPr>
          <w:rFonts w:ascii="Verdana" w:hAnsi="Verdana" w:cs="Verdana"/>
          <w:bCs/>
          <w:iCs/>
          <w:sz w:val="18"/>
          <w:szCs w:val="18"/>
        </w:rPr>
      </w:pPr>
      <w:r w:rsidRPr="005C5BA8">
        <w:rPr>
          <w:rFonts w:ascii="Verdana" w:hAnsi="Verdana" w:cs="Verdana"/>
          <w:bCs/>
          <w:iCs/>
          <w:sz w:val="18"/>
          <w:szCs w:val="18"/>
        </w:rPr>
        <w:lastRenderedPageBreak/>
        <w:t xml:space="preserve">El Tribunal considera que la prueba de la Administración es concluyente y que el contribuyente </w:t>
      </w:r>
      <w:r w:rsidRPr="005C5BA8">
        <w:rPr>
          <w:rFonts w:ascii="Verdana" w:hAnsi="Verdana" w:cs="Verdana"/>
          <w:b/>
          <w:bCs/>
          <w:iCs/>
          <w:sz w:val="18"/>
          <w:szCs w:val="18"/>
        </w:rPr>
        <w:t>no refutó</w:t>
      </w:r>
      <w:r w:rsidRPr="005C5BA8">
        <w:rPr>
          <w:rFonts w:ascii="Verdana" w:hAnsi="Verdana" w:cs="Verdana"/>
          <w:bCs/>
          <w:iCs/>
          <w:sz w:val="18"/>
          <w:szCs w:val="18"/>
        </w:rPr>
        <w:t xml:space="preserve"> estos indicios. Aunque la instancia no valoró adecuadamente el certificado del Reino Unido, la conclusión de residencia en España se mantiene por la evidencia fáctica.</w:t>
      </w:r>
    </w:p>
    <w:p w14:paraId="5FA08C49" w14:textId="77777777" w:rsidR="005C5BA8" w:rsidRPr="005C5BA8" w:rsidRDefault="005C5BA8" w:rsidP="005C5BA8">
      <w:pPr>
        <w:ind w:left="142"/>
        <w:jc w:val="both"/>
        <w:rPr>
          <w:rFonts w:ascii="Verdana" w:hAnsi="Verdana" w:cs="Verdana"/>
          <w:bCs/>
          <w:iCs/>
          <w:sz w:val="18"/>
          <w:szCs w:val="18"/>
        </w:rPr>
      </w:pPr>
    </w:p>
    <w:p w14:paraId="16E783D0" w14:textId="77777777" w:rsidR="005C5BA8" w:rsidRPr="001E10EA" w:rsidRDefault="005C5BA8" w:rsidP="005C5BA8">
      <w:pPr>
        <w:ind w:left="142"/>
        <w:jc w:val="both"/>
        <w:rPr>
          <w:rFonts w:ascii="Verdana" w:hAnsi="Verdana" w:cs="Verdana"/>
          <w:b/>
          <w:bCs/>
          <w:iCs/>
          <w:color w:val="984806" w:themeColor="accent6" w:themeShade="80"/>
          <w:sz w:val="18"/>
          <w:szCs w:val="18"/>
        </w:rPr>
      </w:pPr>
      <w:r w:rsidRPr="001E10EA">
        <w:rPr>
          <w:rFonts w:ascii="Verdana" w:hAnsi="Verdana" w:cs="Verdana"/>
          <w:b/>
          <w:bCs/>
          <w:iCs/>
          <w:color w:val="984806" w:themeColor="accent6" w:themeShade="80"/>
          <w:sz w:val="18"/>
          <w:szCs w:val="18"/>
        </w:rPr>
        <w:t>3. Importancia práctica</w:t>
      </w:r>
    </w:p>
    <w:p w14:paraId="4AB88061" w14:textId="77777777" w:rsidR="005C5BA8" w:rsidRDefault="005C5BA8" w:rsidP="005C5BA8">
      <w:pPr>
        <w:ind w:left="142"/>
        <w:jc w:val="both"/>
        <w:rPr>
          <w:rFonts w:ascii="Verdana" w:hAnsi="Verdana" w:cs="Verdana"/>
          <w:bCs/>
          <w:iCs/>
          <w:sz w:val="18"/>
          <w:szCs w:val="18"/>
        </w:rPr>
      </w:pPr>
      <w:r w:rsidRPr="005C5BA8">
        <w:rPr>
          <w:rFonts w:ascii="Verdana" w:hAnsi="Verdana" w:cs="Verdana"/>
          <w:bCs/>
          <w:iCs/>
          <w:sz w:val="18"/>
          <w:szCs w:val="18"/>
        </w:rPr>
        <w:t xml:space="preserve">Esta sentencia tiene un </w:t>
      </w:r>
      <w:r w:rsidRPr="005C5BA8">
        <w:rPr>
          <w:rFonts w:ascii="Verdana" w:hAnsi="Verdana" w:cs="Verdana"/>
          <w:b/>
          <w:bCs/>
          <w:iCs/>
          <w:sz w:val="18"/>
          <w:szCs w:val="18"/>
        </w:rPr>
        <w:t>doble efecto relevante</w:t>
      </w:r>
      <w:r w:rsidRPr="005C5BA8">
        <w:rPr>
          <w:rFonts w:ascii="Verdana" w:hAnsi="Verdana" w:cs="Verdana"/>
          <w:bCs/>
          <w:iCs/>
          <w:sz w:val="18"/>
          <w:szCs w:val="18"/>
        </w:rPr>
        <w:t>:</w:t>
      </w:r>
    </w:p>
    <w:p w14:paraId="0EC27F74" w14:textId="77777777" w:rsidR="005C5BA8" w:rsidRPr="005C5BA8" w:rsidRDefault="005C5BA8" w:rsidP="005C5BA8">
      <w:pPr>
        <w:ind w:left="142"/>
        <w:jc w:val="both"/>
        <w:rPr>
          <w:rFonts w:ascii="Verdana" w:hAnsi="Verdana" w:cs="Verdana"/>
          <w:bCs/>
          <w:iCs/>
          <w:sz w:val="18"/>
          <w:szCs w:val="18"/>
        </w:rPr>
      </w:pPr>
    </w:p>
    <w:p w14:paraId="2321DD76" w14:textId="77777777" w:rsidR="005C5BA8" w:rsidRPr="005C5BA8" w:rsidRDefault="005C5BA8" w:rsidP="005C5BA8">
      <w:pPr>
        <w:ind w:left="142"/>
        <w:jc w:val="both"/>
        <w:rPr>
          <w:rFonts w:ascii="Verdana" w:hAnsi="Verdana" w:cs="Verdana"/>
          <w:b/>
          <w:bCs/>
          <w:iCs/>
          <w:sz w:val="18"/>
          <w:szCs w:val="18"/>
        </w:rPr>
      </w:pPr>
      <w:r w:rsidRPr="005C5BA8">
        <w:rPr>
          <w:rFonts w:ascii="Verdana" w:hAnsi="Verdana" w:cs="Verdana"/>
          <w:b/>
          <w:bCs/>
          <w:iCs/>
          <w:sz w:val="18"/>
          <w:szCs w:val="18"/>
        </w:rPr>
        <w:t>A. Reafirma doctrina garantista sobre el valor del certificado extranjero</w:t>
      </w:r>
    </w:p>
    <w:p w14:paraId="6539B1A3" w14:textId="77777777" w:rsidR="005C5BA8" w:rsidRPr="005C5BA8" w:rsidRDefault="005C5BA8" w:rsidP="005C5BA8">
      <w:pPr>
        <w:ind w:left="142"/>
        <w:jc w:val="both"/>
        <w:rPr>
          <w:rFonts w:ascii="Verdana" w:hAnsi="Verdana" w:cs="Verdana"/>
          <w:bCs/>
          <w:iCs/>
          <w:sz w:val="18"/>
          <w:szCs w:val="18"/>
        </w:rPr>
      </w:pPr>
      <w:r w:rsidRPr="005C5BA8">
        <w:rPr>
          <w:rFonts w:ascii="Verdana" w:hAnsi="Verdana" w:cs="Verdana"/>
          <w:bCs/>
          <w:iCs/>
          <w:sz w:val="18"/>
          <w:szCs w:val="18"/>
        </w:rPr>
        <w:t>El Supremo insiste en que:</w:t>
      </w:r>
    </w:p>
    <w:p w14:paraId="716095C6" w14:textId="77777777" w:rsidR="005C5BA8" w:rsidRPr="005C5BA8" w:rsidRDefault="005C5BA8">
      <w:pPr>
        <w:numPr>
          <w:ilvl w:val="0"/>
          <w:numId w:val="22"/>
        </w:numPr>
        <w:jc w:val="both"/>
        <w:rPr>
          <w:rFonts w:ascii="Verdana" w:hAnsi="Verdana" w:cs="Verdana"/>
          <w:bCs/>
          <w:iCs/>
          <w:sz w:val="18"/>
          <w:szCs w:val="18"/>
        </w:rPr>
      </w:pPr>
      <w:r w:rsidRPr="005C5BA8">
        <w:rPr>
          <w:rFonts w:ascii="Verdana" w:hAnsi="Verdana" w:cs="Verdana"/>
          <w:bCs/>
          <w:iCs/>
          <w:sz w:val="18"/>
          <w:szCs w:val="18"/>
        </w:rPr>
        <w:t xml:space="preserve">el certificado extranjero </w:t>
      </w:r>
      <w:r w:rsidRPr="005C5BA8">
        <w:rPr>
          <w:rFonts w:ascii="Verdana" w:hAnsi="Verdana" w:cs="Verdana"/>
          <w:b/>
          <w:bCs/>
          <w:iCs/>
          <w:sz w:val="18"/>
          <w:szCs w:val="18"/>
        </w:rPr>
        <w:t>obliga a considerar la doble residencia</w:t>
      </w:r>
      <w:r w:rsidRPr="005C5BA8">
        <w:rPr>
          <w:rFonts w:ascii="Verdana" w:hAnsi="Verdana" w:cs="Verdana"/>
          <w:bCs/>
          <w:iCs/>
          <w:sz w:val="18"/>
          <w:szCs w:val="18"/>
        </w:rPr>
        <w:t>,</w:t>
      </w:r>
    </w:p>
    <w:p w14:paraId="215ECBC9" w14:textId="77777777" w:rsidR="005C5BA8" w:rsidRDefault="005C5BA8">
      <w:pPr>
        <w:numPr>
          <w:ilvl w:val="0"/>
          <w:numId w:val="22"/>
        </w:numPr>
        <w:jc w:val="both"/>
        <w:rPr>
          <w:rFonts w:ascii="Verdana" w:hAnsi="Verdana" w:cs="Verdana"/>
          <w:bCs/>
          <w:iCs/>
          <w:sz w:val="18"/>
          <w:szCs w:val="18"/>
        </w:rPr>
      </w:pPr>
      <w:r w:rsidRPr="005C5BA8">
        <w:rPr>
          <w:rFonts w:ascii="Verdana" w:hAnsi="Verdana" w:cs="Verdana"/>
          <w:bCs/>
          <w:iCs/>
          <w:sz w:val="18"/>
          <w:szCs w:val="18"/>
        </w:rPr>
        <w:t xml:space="preserve">y usar </w:t>
      </w:r>
      <w:r w:rsidRPr="005C5BA8">
        <w:rPr>
          <w:rFonts w:ascii="Verdana" w:hAnsi="Verdana" w:cs="Verdana"/>
          <w:b/>
          <w:bCs/>
          <w:iCs/>
          <w:sz w:val="18"/>
          <w:szCs w:val="18"/>
        </w:rPr>
        <w:t>las reglas del CDI</w:t>
      </w:r>
      <w:r w:rsidRPr="005C5BA8">
        <w:rPr>
          <w:rFonts w:ascii="Verdana" w:hAnsi="Verdana" w:cs="Verdana"/>
          <w:bCs/>
          <w:iCs/>
          <w:sz w:val="18"/>
          <w:szCs w:val="18"/>
        </w:rPr>
        <w:t>, no criterios unilaterales del Derecho interno.</w:t>
      </w:r>
    </w:p>
    <w:p w14:paraId="5DF33CB0" w14:textId="77777777" w:rsidR="005C5BA8" w:rsidRPr="005C5BA8" w:rsidRDefault="005C5BA8" w:rsidP="005C5BA8">
      <w:pPr>
        <w:ind w:left="720"/>
        <w:jc w:val="both"/>
        <w:rPr>
          <w:rFonts w:ascii="Verdana" w:hAnsi="Verdana" w:cs="Verdana"/>
          <w:bCs/>
          <w:iCs/>
          <w:sz w:val="18"/>
          <w:szCs w:val="18"/>
        </w:rPr>
      </w:pPr>
    </w:p>
    <w:p w14:paraId="4CBCA56D" w14:textId="77777777" w:rsidR="005C5BA8" w:rsidRPr="005C5BA8" w:rsidRDefault="005C5BA8" w:rsidP="005C5BA8">
      <w:pPr>
        <w:ind w:left="142"/>
        <w:jc w:val="both"/>
        <w:rPr>
          <w:rFonts w:ascii="Verdana" w:hAnsi="Verdana" w:cs="Verdana"/>
          <w:b/>
          <w:bCs/>
          <w:iCs/>
          <w:sz w:val="18"/>
          <w:szCs w:val="18"/>
        </w:rPr>
      </w:pPr>
      <w:r w:rsidRPr="005C5BA8">
        <w:rPr>
          <w:rFonts w:ascii="Verdana" w:hAnsi="Verdana" w:cs="Verdana"/>
          <w:b/>
          <w:bCs/>
          <w:iCs/>
          <w:sz w:val="18"/>
          <w:szCs w:val="18"/>
        </w:rPr>
        <w:t>B. Advierte que el certificado no es suficiente si los hechos demuestran lo contrario</w:t>
      </w:r>
    </w:p>
    <w:p w14:paraId="7C232468" w14:textId="223DC66A" w:rsidR="005C5BA8" w:rsidRDefault="005C5BA8" w:rsidP="00E6619E">
      <w:pPr>
        <w:ind w:left="142"/>
        <w:jc w:val="both"/>
        <w:rPr>
          <w:rFonts w:ascii="Verdana" w:hAnsi="Verdana" w:cs="Verdana"/>
          <w:bCs/>
          <w:iCs/>
          <w:sz w:val="18"/>
          <w:szCs w:val="18"/>
        </w:rPr>
      </w:pPr>
      <w:r w:rsidRPr="005C5BA8">
        <w:rPr>
          <w:rFonts w:ascii="Verdana" w:hAnsi="Verdana" w:cs="Verdana"/>
          <w:bCs/>
          <w:iCs/>
          <w:sz w:val="18"/>
          <w:szCs w:val="18"/>
        </w:rPr>
        <w:t>En casos donde exista evidencia clara de residencia en España (vivienda permanente, empadronamiento, asistencia sanitaria, permanencias prolongadas…),</w:t>
      </w:r>
      <w:r w:rsidR="00E6619E">
        <w:rPr>
          <w:rFonts w:ascii="Verdana" w:hAnsi="Verdana" w:cs="Verdana"/>
          <w:bCs/>
          <w:iCs/>
          <w:sz w:val="18"/>
          <w:szCs w:val="18"/>
        </w:rPr>
        <w:t xml:space="preserve"> el certificado </w:t>
      </w:r>
      <w:r w:rsidRPr="005C5BA8">
        <w:rPr>
          <w:rFonts w:ascii="Verdana" w:hAnsi="Verdana" w:cs="Verdana"/>
          <w:bCs/>
          <w:iCs/>
          <w:sz w:val="18"/>
          <w:szCs w:val="18"/>
        </w:rPr>
        <w:br/>
      </w:r>
      <w:r w:rsidRPr="005C5BA8">
        <w:rPr>
          <w:rFonts w:ascii="Verdana" w:hAnsi="Verdana" w:cs="Verdana"/>
          <w:b/>
          <w:bCs/>
          <w:iCs/>
          <w:sz w:val="18"/>
          <w:szCs w:val="18"/>
        </w:rPr>
        <w:t>no prevalece si no se acredita vivienda permanente o vínculos suficientes en el otro Estado</w:t>
      </w:r>
      <w:r w:rsidRPr="005C5BA8">
        <w:rPr>
          <w:rFonts w:ascii="Verdana" w:hAnsi="Verdana" w:cs="Verdana"/>
          <w:bCs/>
          <w:iCs/>
          <w:sz w:val="18"/>
          <w:szCs w:val="18"/>
        </w:rPr>
        <w:t>.</w:t>
      </w:r>
    </w:p>
    <w:p w14:paraId="6A55ACBC" w14:textId="77777777" w:rsidR="00E6619E" w:rsidRPr="005C5BA8" w:rsidRDefault="00E6619E" w:rsidP="00E6619E">
      <w:pPr>
        <w:ind w:left="142"/>
        <w:jc w:val="both"/>
        <w:rPr>
          <w:rFonts w:ascii="Verdana" w:hAnsi="Verdana" w:cs="Verdana"/>
          <w:bCs/>
          <w:iCs/>
          <w:sz w:val="18"/>
          <w:szCs w:val="18"/>
        </w:rPr>
      </w:pPr>
    </w:p>
    <w:p w14:paraId="6B389381" w14:textId="77777777" w:rsidR="005C5BA8" w:rsidRPr="003476DE" w:rsidRDefault="005C5BA8" w:rsidP="005C5BA8">
      <w:pPr>
        <w:ind w:left="142"/>
        <w:jc w:val="both"/>
        <w:rPr>
          <w:rFonts w:ascii="Verdana" w:hAnsi="Verdana" w:cs="Verdana"/>
          <w:b/>
          <w:bCs/>
          <w:iCs/>
          <w:color w:val="984806" w:themeColor="accent6" w:themeShade="80"/>
          <w:sz w:val="18"/>
          <w:szCs w:val="18"/>
        </w:rPr>
      </w:pPr>
      <w:r w:rsidRPr="003476DE">
        <w:rPr>
          <w:rFonts w:ascii="Verdana" w:hAnsi="Verdana" w:cs="Verdana"/>
          <w:b/>
          <w:bCs/>
          <w:iCs/>
          <w:color w:val="984806" w:themeColor="accent6" w:themeShade="80"/>
          <w:sz w:val="18"/>
          <w:szCs w:val="18"/>
        </w:rPr>
        <w:t>4. Fallo</w:t>
      </w:r>
    </w:p>
    <w:p w14:paraId="747FA117" w14:textId="77777777" w:rsidR="005C5BA8" w:rsidRPr="005C5BA8" w:rsidRDefault="005C5BA8">
      <w:pPr>
        <w:numPr>
          <w:ilvl w:val="0"/>
          <w:numId w:val="23"/>
        </w:numPr>
        <w:jc w:val="both"/>
        <w:rPr>
          <w:rFonts w:ascii="Verdana" w:hAnsi="Verdana" w:cs="Verdana"/>
          <w:bCs/>
          <w:iCs/>
          <w:sz w:val="18"/>
          <w:szCs w:val="18"/>
        </w:rPr>
      </w:pPr>
      <w:r w:rsidRPr="005C5BA8">
        <w:rPr>
          <w:rFonts w:ascii="Verdana" w:hAnsi="Verdana" w:cs="Verdana"/>
          <w:b/>
          <w:bCs/>
          <w:iCs/>
          <w:sz w:val="18"/>
          <w:szCs w:val="18"/>
        </w:rPr>
        <w:t>No ha lugar</w:t>
      </w:r>
      <w:r w:rsidRPr="005C5BA8">
        <w:rPr>
          <w:rFonts w:ascii="Verdana" w:hAnsi="Verdana" w:cs="Verdana"/>
          <w:bCs/>
          <w:iCs/>
          <w:sz w:val="18"/>
          <w:szCs w:val="18"/>
        </w:rPr>
        <w:t xml:space="preserve"> al recurso de casación del contribuyente.</w:t>
      </w:r>
    </w:p>
    <w:p w14:paraId="5F53D87A" w14:textId="77777777" w:rsidR="005C5BA8" w:rsidRDefault="005C5BA8">
      <w:pPr>
        <w:numPr>
          <w:ilvl w:val="0"/>
          <w:numId w:val="23"/>
        </w:numPr>
        <w:jc w:val="both"/>
        <w:rPr>
          <w:rFonts w:ascii="Verdana" w:hAnsi="Verdana" w:cs="Verdana"/>
          <w:bCs/>
          <w:iCs/>
          <w:sz w:val="18"/>
          <w:szCs w:val="18"/>
        </w:rPr>
      </w:pPr>
      <w:r w:rsidRPr="005C5BA8">
        <w:rPr>
          <w:rFonts w:ascii="Verdana" w:hAnsi="Verdana" w:cs="Verdana"/>
          <w:bCs/>
          <w:iCs/>
          <w:sz w:val="18"/>
          <w:szCs w:val="18"/>
        </w:rPr>
        <w:t xml:space="preserve">Se </w:t>
      </w:r>
      <w:r w:rsidRPr="005C5BA8">
        <w:rPr>
          <w:rFonts w:ascii="Verdana" w:hAnsi="Verdana" w:cs="Verdana"/>
          <w:b/>
          <w:bCs/>
          <w:iCs/>
          <w:sz w:val="18"/>
          <w:szCs w:val="18"/>
        </w:rPr>
        <w:t>confirma</w:t>
      </w:r>
      <w:r w:rsidRPr="005C5BA8">
        <w:rPr>
          <w:rFonts w:ascii="Verdana" w:hAnsi="Verdana" w:cs="Verdana"/>
          <w:bCs/>
          <w:iCs/>
          <w:sz w:val="18"/>
          <w:szCs w:val="18"/>
        </w:rPr>
        <w:t xml:space="preserve"> la residencia fiscal en España y las liquidaciones del IRPF.</w:t>
      </w:r>
    </w:p>
    <w:p w14:paraId="679A038B" w14:textId="77777777" w:rsidR="004422B3" w:rsidRDefault="004422B3" w:rsidP="004422B3">
      <w:pPr>
        <w:jc w:val="both"/>
        <w:rPr>
          <w:rFonts w:ascii="Verdana" w:hAnsi="Verdana" w:cs="Verdana"/>
          <w:bCs/>
          <w:iCs/>
          <w:sz w:val="18"/>
          <w:szCs w:val="18"/>
        </w:rPr>
      </w:pPr>
    </w:p>
    <w:p w14:paraId="41B74A1C" w14:textId="77777777" w:rsidR="004422B3" w:rsidRDefault="004422B3" w:rsidP="004422B3">
      <w:pPr>
        <w:jc w:val="both"/>
        <w:rPr>
          <w:rFonts w:ascii="Verdana" w:hAnsi="Verdana" w:cs="Verdana"/>
          <w:bCs/>
          <w:iCs/>
          <w:sz w:val="18"/>
          <w:szCs w:val="18"/>
        </w:rPr>
      </w:pPr>
    </w:p>
    <w:tbl>
      <w:tblPr>
        <w:tblW w:w="8640" w:type="dxa"/>
        <w:tblInd w:w="-68" w:type="dxa"/>
        <w:tblCellMar>
          <w:left w:w="70" w:type="dxa"/>
          <w:right w:w="70" w:type="dxa"/>
        </w:tblCellMar>
        <w:tblLook w:val="0000" w:firstRow="0" w:lastRow="0" w:firstColumn="0" w:lastColumn="0" w:noHBand="0" w:noVBand="0"/>
      </w:tblPr>
      <w:tblGrid>
        <w:gridCol w:w="180"/>
        <w:gridCol w:w="8460"/>
      </w:tblGrid>
      <w:tr w:rsidR="004422B3" w:rsidRPr="004422B3" w14:paraId="513F9578" w14:textId="77777777" w:rsidTr="00BD1820">
        <w:trPr>
          <w:trHeight w:val="232"/>
        </w:trPr>
        <w:tc>
          <w:tcPr>
            <w:tcW w:w="180" w:type="dxa"/>
            <w:shd w:val="clear" w:color="auto" w:fill="FF6600"/>
          </w:tcPr>
          <w:p w14:paraId="79C89AAB" w14:textId="77777777" w:rsidR="004422B3" w:rsidRPr="004422B3" w:rsidRDefault="004422B3" w:rsidP="00BD1820">
            <w:pPr>
              <w:tabs>
                <w:tab w:val="num" w:pos="426"/>
              </w:tabs>
              <w:ind w:left="426"/>
              <w:jc w:val="both"/>
              <w:rPr>
                <w:rFonts w:ascii="Verdana" w:hAnsi="Verdana" w:cs="Verdana"/>
                <w:b/>
                <w:bCs/>
                <w:color w:val="800000"/>
                <w:sz w:val="18"/>
                <w:szCs w:val="18"/>
              </w:rPr>
            </w:pPr>
            <w:bookmarkStart w:id="5" w:name="_Hlk214463939"/>
          </w:p>
        </w:tc>
        <w:tc>
          <w:tcPr>
            <w:tcW w:w="8460" w:type="dxa"/>
          </w:tcPr>
          <w:p w14:paraId="1FE28CC8" w14:textId="10BE1F71" w:rsidR="004422B3" w:rsidRPr="004422B3" w:rsidRDefault="004422B3">
            <w:pPr>
              <w:numPr>
                <w:ilvl w:val="0"/>
                <w:numId w:val="3"/>
              </w:numPr>
              <w:tabs>
                <w:tab w:val="num" w:pos="426"/>
              </w:tabs>
              <w:jc w:val="both"/>
              <w:rPr>
                <w:rFonts w:ascii="Verdana" w:hAnsi="Verdana" w:cs="Verdana"/>
                <w:b/>
                <w:bCs/>
                <w:color w:val="800000"/>
                <w:sz w:val="18"/>
                <w:szCs w:val="18"/>
              </w:rPr>
            </w:pPr>
            <w:r w:rsidRPr="004422B3">
              <w:rPr>
                <w:rFonts w:ascii="Verdana" w:hAnsi="Verdana" w:cs="Verdana"/>
                <w:b/>
                <w:bCs/>
                <w:color w:val="800000"/>
                <w:sz w:val="18"/>
                <w:szCs w:val="18"/>
              </w:rPr>
              <w:t>TRANSPOSICIÓN EN ESPAÑA DE LOS NUEVOS CRITERIOS DE TAMAÑO EMPRESARIAL A EFECTOS DE INFORMACIÓN CORPORATIVA</w:t>
            </w:r>
          </w:p>
        </w:tc>
      </w:tr>
      <w:bookmarkEnd w:id="5"/>
    </w:tbl>
    <w:p w14:paraId="17F3A1E1" w14:textId="77777777" w:rsidR="004422B3" w:rsidRDefault="004422B3" w:rsidP="004422B3">
      <w:pPr>
        <w:jc w:val="both"/>
        <w:rPr>
          <w:rFonts w:ascii="Verdana" w:hAnsi="Verdana" w:cs="Verdana"/>
          <w:bCs/>
          <w:iCs/>
          <w:sz w:val="18"/>
          <w:szCs w:val="18"/>
        </w:rPr>
      </w:pPr>
    </w:p>
    <w:p w14:paraId="515D4E8D" w14:textId="77777777" w:rsidR="004422B3" w:rsidRDefault="004422B3" w:rsidP="004422B3">
      <w:pPr>
        <w:ind w:left="142"/>
        <w:jc w:val="both"/>
        <w:rPr>
          <w:rFonts w:ascii="Verdana" w:hAnsi="Verdana" w:cs="Verdana"/>
          <w:bCs/>
          <w:iCs/>
          <w:sz w:val="18"/>
          <w:szCs w:val="18"/>
        </w:rPr>
      </w:pPr>
      <w:r w:rsidRPr="004422B3">
        <w:rPr>
          <w:rFonts w:ascii="Verdana" w:hAnsi="Verdana" w:cs="Verdana"/>
          <w:bCs/>
          <w:iCs/>
          <w:sz w:val="18"/>
          <w:szCs w:val="18"/>
        </w:rPr>
        <w:t xml:space="preserve">La Unión Europea ha actualizado los criterios que determinan el tamaño de las empresas (micro, pequeñas, medianas y grandes) mediante la Directiva Delegada (UE) 2023/2775. El objetivo: </w:t>
      </w:r>
      <w:r w:rsidRPr="004422B3">
        <w:rPr>
          <w:rFonts w:ascii="Verdana" w:hAnsi="Verdana" w:cs="Verdana"/>
          <w:b/>
          <w:bCs/>
          <w:iCs/>
          <w:sz w:val="18"/>
          <w:szCs w:val="18"/>
        </w:rPr>
        <w:t>adaptar los límites financieros a la inflación acumulada de la última década</w:t>
      </w:r>
      <w:r w:rsidRPr="004422B3">
        <w:rPr>
          <w:rFonts w:ascii="Verdana" w:hAnsi="Verdana" w:cs="Verdana"/>
          <w:bCs/>
          <w:iCs/>
          <w:sz w:val="18"/>
          <w:szCs w:val="18"/>
        </w:rPr>
        <w:t xml:space="preserve"> y mejorar la comparabilidad de la información corporativa.</w:t>
      </w:r>
    </w:p>
    <w:p w14:paraId="18DE81B4" w14:textId="77777777" w:rsidR="004422B3" w:rsidRPr="004422B3" w:rsidRDefault="004422B3" w:rsidP="004422B3">
      <w:pPr>
        <w:ind w:left="142"/>
        <w:jc w:val="both"/>
        <w:rPr>
          <w:rFonts w:ascii="Verdana" w:hAnsi="Verdana" w:cs="Verdana"/>
          <w:bCs/>
          <w:iCs/>
          <w:sz w:val="18"/>
          <w:szCs w:val="18"/>
        </w:rPr>
      </w:pPr>
    </w:p>
    <w:p w14:paraId="039B5436" w14:textId="77777777" w:rsidR="004422B3" w:rsidRDefault="004422B3" w:rsidP="004422B3">
      <w:pPr>
        <w:ind w:left="142"/>
        <w:jc w:val="both"/>
        <w:rPr>
          <w:rFonts w:ascii="Verdana" w:hAnsi="Verdana" w:cs="Verdana"/>
          <w:bCs/>
          <w:iCs/>
          <w:sz w:val="18"/>
          <w:szCs w:val="18"/>
        </w:rPr>
      </w:pPr>
      <w:r w:rsidRPr="004422B3">
        <w:rPr>
          <w:rFonts w:ascii="Verdana" w:hAnsi="Verdana" w:cs="Verdana"/>
          <w:bCs/>
          <w:iCs/>
          <w:sz w:val="18"/>
          <w:szCs w:val="18"/>
        </w:rPr>
        <w:t xml:space="preserve">España ya ha iniciado la transposición de estos criterios, que serán aplicables </w:t>
      </w:r>
      <w:r w:rsidRPr="004422B3">
        <w:rPr>
          <w:rFonts w:ascii="Verdana" w:hAnsi="Verdana" w:cs="Verdana"/>
          <w:b/>
          <w:bCs/>
          <w:iCs/>
          <w:sz w:val="18"/>
          <w:szCs w:val="18"/>
        </w:rPr>
        <w:t>a los ejercicios iniciados desde el 1 de enero de 2024</w:t>
      </w:r>
      <w:r w:rsidRPr="004422B3">
        <w:rPr>
          <w:rFonts w:ascii="Verdana" w:hAnsi="Verdana" w:cs="Verdana"/>
          <w:bCs/>
          <w:iCs/>
          <w:sz w:val="18"/>
          <w:szCs w:val="18"/>
        </w:rPr>
        <w:t>.</w:t>
      </w:r>
    </w:p>
    <w:p w14:paraId="72B37B5C" w14:textId="77777777" w:rsidR="002818E7" w:rsidRDefault="002818E7" w:rsidP="004422B3">
      <w:pPr>
        <w:ind w:left="142"/>
        <w:jc w:val="both"/>
        <w:rPr>
          <w:rFonts w:ascii="Verdana" w:hAnsi="Verdana" w:cs="Verdana"/>
          <w:bCs/>
          <w:iCs/>
          <w:sz w:val="18"/>
          <w:szCs w:val="18"/>
        </w:rPr>
      </w:pPr>
    </w:p>
    <w:p w14:paraId="381D61D8" w14:textId="73AF8085" w:rsidR="004422B3" w:rsidRPr="001E10EA" w:rsidRDefault="004422B3" w:rsidP="00A7339B">
      <w:pPr>
        <w:ind w:left="142"/>
        <w:jc w:val="both"/>
        <w:rPr>
          <w:rFonts w:ascii="Verdana" w:hAnsi="Verdana" w:cs="Verdana"/>
          <w:bCs/>
          <w:iCs/>
          <w:color w:val="984806" w:themeColor="accent6" w:themeShade="80"/>
          <w:sz w:val="18"/>
          <w:szCs w:val="18"/>
        </w:rPr>
      </w:pPr>
      <w:r w:rsidRPr="001E10EA">
        <w:rPr>
          <w:rFonts w:ascii="Verdana" w:hAnsi="Verdana" w:cs="Verdana"/>
          <w:b/>
          <w:bCs/>
          <w:iCs/>
          <w:color w:val="984806" w:themeColor="accent6" w:themeShade="80"/>
          <w:sz w:val="18"/>
          <w:szCs w:val="18"/>
        </w:rPr>
        <w:t>Nuevos umbrales de tamaño</w:t>
      </w:r>
    </w:p>
    <w:p w14:paraId="5A3F7981" w14:textId="77777777" w:rsidR="004422B3" w:rsidRDefault="004422B3" w:rsidP="004422B3">
      <w:pPr>
        <w:ind w:left="142"/>
        <w:jc w:val="both"/>
        <w:rPr>
          <w:rFonts w:ascii="Verdana" w:hAnsi="Verdana" w:cs="Verdana"/>
          <w:bCs/>
          <w:iCs/>
          <w:sz w:val="18"/>
          <w:szCs w:val="18"/>
        </w:rPr>
      </w:pPr>
      <w:r w:rsidRPr="004422B3">
        <w:rPr>
          <w:rFonts w:ascii="Verdana" w:hAnsi="Verdana" w:cs="Verdana"/>
          <w:bCs/>
          <w:iCs/>
          <w:sz w:val="18"/>
          <w:szCs w:val="18"/>
        </w:rPr>
        <w:t xml:space="preserve">Los umbrales de </w:t>
      </w:r>
      <w:r w:rsidRPr="004422B3">
        <w:rPr>
          <w:rFonts w:ascii="Verdana" w:hAnsi="Verdana" w:cs="Verdana"/>
          <w:b/>
          <w:bCs/>
          <w:iCs/>
          <w:sz w:val="18"/>
          <w:szCs w:val="18"/>
        </w:rPr>
        <w:t>volumen de negocio</w:t>
      </w:r>
      <w:r w:rsidRPr="004422B3">
        <w:rPr>
          <w:rFonts w:ascii="Verdana" w:hAnsi="Verdana" w:cs="Verdana"/>
          <w:bCs/>
          <w:iCs/>
          <w:sz w:val="18"/>
          <w:szCs w:val="18"/>
        </w:rPr>
        <w:t xml:space="preserve"> y </w:t>
      </w:r>
      <w:r w:rsidRPr="004422B3">
        <w:rPr>
          <w:rFonts w:ascii="Verdana" w:hAnsi="Verdana" w:cs="Verdana"/>
          <w:b/>
          <w:bCs/>
          <w:iCs/>
          <w:sz w:val="18"/>
          <w:szCs w:val="18"/>
        </w:rPr>
        <w:t>total de balance</w:t>
      </w:r>
      <w:r w:rsidRPr="004422B3">
        <w:rPr>
          <w:rFonts w:ascii="Verdana" w:hAnsi="Verdana" w:cs="Verdana"/>
          <w:bCs/>
          <w:iCs/>
          <w:sz w:val="18"/>
          <w:szCs w:val="18"/>
        </w:rPr>
        <w:t xml:space="preserve"> aumentan aproximadamente un 25%:</w:t>
      </w:r>
    </w:p>
    <w:p w14:paraId="1C9867FF" w14:textId="77777777" w:rsidR="002818E7" w:rsidRPr="004422B3" w:rsidRDefault="002818E7" w:rsidP="004422B3">
      <w:pPr>
        <w:ind w:left="142"/>
        <w:jc w:val="both"/>
        <w:rPr>
          <w:rFonts w:ascii="Verdana" w:hAnsi="Verdana" w:cs="Verdana"/>
          <w:bCs/>
          <w:iCs/>
          <w:sz w:val="18"/>
          <w:szCs w:val="18"/>
        </w:rPr>
      </w:pPr>
    </w:p>
    <w:p w14:paraId="50252221" w14:textId="77777777" w:rsidR="004422B3" w:rsidRPr="001E10EA" w:rsidRDefault="004422B3" w:rsidP="004422B3">
      <w:pPr>
        <w:ind w:left="142"/>
        <w:jc w:val="both"/>
        <w:rPr>
          <w:rFonts w:ascii="Verdana" w:hAnsi="Verdana" w:cs="Verdana"/>
          <w:b/>
          <w:bCs/>
          <w:iCs/>
          <w:color w:val="984806" w:themeColor="accent6" w:themeShade="80"/>
          <w:sz w:val="18"/>
          <w:szCs w:val="18"/>
        </w:rPr>
      </w:pPr>
      <w:r w:rsidRPr="001E10EA">
        <w:rPr>
          <w:rFonts w:ascii="Verdana" w:hAnsi="Verdana" w:cs="Verdana"/>
          <w:b/>
          <w:bCs/>
          <w:iCs/>
          <w:color w:val="984806" w:themeColor="accent6" w:themeShade="80"/>
          <w:sz w:val="18"/>
          <w:szCs w:val="18"/>
        </w:rPr>
        <w:t>Nuevas categorías:</w:t>
      </w:r>
    </w:p>
    <w:p w14:paraId="3B9B24C7" w14:textId="77777777" w:rsidR="004422B3" w:rsidRPr="004422B3" w:rsidRDefault="004422B3">
      <w:pPr>
        <w:numPr>
          <w:ilvl w:val="0"/>
          <w:numId w:val="41"/>
        </w:numPr>
        <w:tabs>
          <w:tab w:val="clear" w:pos="720"/>
          <w:tab w:val="num" w:pos="426"/>
        </w:tabs>
        <w:ind w:left="142" w:firstLine="0"/>
        <w:jc w:val="both"/>
        <w:rPr>
          <w:rFonts w:ascii="Verdana" w:hAnsi="Verdana" w:cs="Verdana"/>
          <w:bCs/>
          <w:iCs/>
          <w:sz w:val="18"/>
          <w:szCs w:val="18"/>
        </w:rPr>
      </w:pPr>
      <w:r w:rsidRPr="004422B3">
        <w:rPr>
          <w:rFonts w:ascii="Verdana" w:hAnsi="Verdana" w:cs="Verdana"/>
          <w:b/>
          <w:bCs/>
          <w:iCs/>
          <w:sz w:val="18"/>
          <w:szCs w:val="18"/>
        </w:rPr>
        <w:t>Gran empresa:</w:t>
      </w:r>
    </w:p>
    <w:p w14:paraId="49DEC97F" w14:textId="77777777" w:rsidR="004422B3" w:rsidRPr="004422B3" w:rsidRDefault="004422B3" w:rsidP="001E10EA">
      <w:pPr>
        <w:tabs>
          <w:tab w:val="left" w:pos="426"/>
        </w:tabs>
        <w:ind w:left="567" w:hanging="141"/>
        <w:jc w:val="both"/>
        <w:rPr>
          <w:rFonts w:ascii="Verdana" w:hAnsi="Verdana" w:cs="Verdana"/>
          <w:bCs/>
          <w:iCs/>
          <w:sz w:val="18"/>
          <w:szCs w:val="18"/>
        </w:rPr>
      </w:pPr>
      <w:r w:rsidRPr="004422B3">
        <w:rPr>
          <w:rFonts w:ascii="Verdana" w:hAnsi="Verdana" w:cs="Verdana"/>
          <w:bCs/>
          <w:iCs/>
          <w:sz w:val="18"/>
          <w:szCs w:val="18"/>
        </w:rPr>
        <w:t xml:space="preserve">250 empleados, facturación &gt; </w:t>
      </w:r>
      <w:r w:rsidRPr="004422B3">
        <w:rPr>
          <w:rFonts w:ascii="Verdana" w:hAnsi="Verdana" w:cs="Verdana"/>
          <w:b/>
          <w:bCs/>
          <w:iCs/>
          <w:sz w:val="18"/>
          <w:szCs w:val="18"/>
        </w:rPr>
        <w:t>50 M€</w:t>
      </w:r>
      <w:r w:rsidRPr="004422B3">
        <w:rPr>
          <w:rFonts w:ascii="Verdana" w:hAnsi="Verdana" w:cs="Verdana"/>
          <w:bCs/>
          <w:iCs/>
          <w:sz w:val="18"/>
          <w:szCs w:val="18"/>
        </w:rPr>
        <w:t xml:space="preserve">, balance &gt; </w:t>
      </w:r>
      <w:r w:rsidRPr="004422B3">
        <w:rPr>
          <w:rFonts w:ascii="Verdana" w:hAnsi="Verdana" w:cs="Verdana"/>
          <w:b/>
          <w:bCs/>
          <w:iCs/>
          <w:sz w:val="18"/>
          <w:szCs w:val="18"/>
        </w:rPr>
        <w:t>25 M€</w:t>
      </w:r>
    </w:p>
    <w:p w14:paraId="02E4F9DD" w14:textId="77777777" w:rsidR="004422B3" w:rsidRPr="004422B3" w:rsidRDefault="004422B3" w:rsidP="001E10EA">
      <w:pPr>
        <w:numPr>
          <w:ilvl w:val="0"/>
          <w:numId w:val="41"/>
        </w:numPr>
        <w:tabs>
          <w:tab w:val="clear" w:pos="720"/>
          <w:tab w:val="num" w:pos="426"/>
        </w:tabs>
        <w:ind w:left="284" w:hanging="142"/>
        <w:rPr>
          <w:rFonts w:ascii="Verdana" w:hAnsi="Verdana" w:cs="Verdana"/>
          <w:bCs/>
          <w:iCs/>
          <w:sz w:val="18"/>
          <w:szCs w:val="18"/>
        </w:rPr>
      </w:pPr>
      <w:r w:rsidRPr="004422B3">
        <w:rPr>
          <w:rFonts w:ascii="Verdana" w:hAnsi="Verdana" w:cs="Verdana"/>
          <w:b/>
          <w:bCs/>
          <w:iCs/>
          <w:sz w:val="18"/>
          <w:szCs w:val="18"/>
        </w:rPr>
        <w:t>Mediana empresa:</w:t>
      </w:r>
      <w:r w:rsidRPr="004422B3">
        <w:rPr>
          <w:rFonts w:ascii="Verdana" w:hAnsi="Verdana" w:cs="Verdana"/>
          <w:bCs/>
          <w:iCs/>
          <w:sz w:val="18"/>
          <w:szCs w:val="18"/>
        </w:rPr>
        <w:br/>
        <w:t xml:space="preserve">50–250 empleados, facturación </w:t>
      </w:r>
      <w:r w:rsidRPr="004422B3">
        <w:rPr>
          <w:rFonts w:ascii="Verdana" w:hAnsi="Verdana" w:cs="Verdana"/>
          <w:b/>
          <w:bCs/>
          <w:iCs/>
          <w:sz w:val="18"/>
          <w:szCs w:val="18"/>
        </w:rPr>
        <w:t>10–50 M€</w:t>
      </w:r>
      <w:r w:rsidRPr="004422B3">
        <w:rPr>
          <w:rFonts w:ascii="Verdana" w:hAnsi="Verdana" w:cs="Verdana"/>
          <w:bCs/>
          <w:iCs/>
          <w:sz w:val="18"/>
          <w:szCs w:val="18"/>
        </w:rPr>
        <w:t xml:space="preserve">, balance </w:t>
      </w:r>
      <w:r w:rsidRPr="004422B3">
        <w:rPr>
          <w:rFonts w:ascii="Verdana" w:hAnsi="Verdana" w:cs="Verdana"/>
          <w:b/>
          <w:bCs/>
          <w:iCs/>
          <w:sz w:val="18"/>
          <w:szCs w:val="18"/>
        </w:rPr>
        <w:t>5–25 M€</w:t>
      </w:r>
    </w:p>
    <w:p w14:paraId="255235E7" w14:textId="77777777" w:rsidR="004422B3" w:rsidRPr="004422B3" w:rsidRDefault="004422B3" w:rsidP="001E10EA">
      <w:pPr>
        <w:numPr>
          <w:ilvl w:val="0"/>
          <w:numId w:val="41"/>
        </w:numPr>
        <w:tabs>
          <w:tab w:val="clear" w:pos="720"/>
          <w:tab w:val="num" w:pos="426"/>
        </w:tabs>
        <w:ind w:left="284" w:hanging="142"/>
        <w:rPr>
          <w:rFonts w:ascii="Verdana" w:hAnsi="Verdana" w:cs="Verdana"/>
          <w:bCs/>
          <w:iCs/>
          <w:sz w:val="18"/>
          <w:szCs w:val="18"/>
        </w:rPr>
      </w:pPr>
      <w:r w:rsidRPr="004422B3">
        <w:rPr>
          <w:rFonts w:ascii="Verdana" w:hAnsi="Verdana" w:cs="Verdana"/>
          <w:b/>
          <w:bCs/>
          <w:iCs/>
          <w:sz w:val="18"/>
          <w:szCs w:val="18"/>
        </w:rPr>
        <w:t>Pequeña empresa:</w:t>
      </w:r>
      <w:r w:rsidRPr="004422B3">
        <w:rPr>
          <w:rFonts w:ascii="Verdana" w:hAnsi="Verdana" w:cs="Verdana"/>
          <w:bCs/>
          <w:iCs/>
          <w:sz w:val="18"/>
          <w:szCs w:val="18"/>
        </w:rPr>
        <w:br/>
        <w:t xml:space="preserve">10–50 empleados, facturación </w:t>
      </w:r>
      <w:r w:rsidRPr="004422B3">
        <w:rPr>
          <w:rFonts w:ascii="Verdana" w:hAnsi="Verdana" w:cs="Verdana"/>
          <w:b/>
          <w:bCs/>
          <w:iCs/>
          <w:sz w:val="18"/>
          <w:szCs w:val="18"/>
        </w:rPr>
        <w:t>0,9–10 M€</w:t>
      </w:r>
      <w:r w:rsidRPr="004422B3">
        <w:rPr>
          <w:rFonts w:ascii="Verdana" w:hAnsi="Verdana" w:cs="Verdana"/>
          <w:bCs/>
          <w:iCs/>
          <w:sz w:val="18"/>
          <w:szCs w:val="18"/>
        </w:rPr>
        <w:t xml:space="preserve">, balance </w:t>
      </w:r>
      <w:r w:rsidRPr="004422B3">
        <w:rPr>
          <w:rFonts w:ascii="Verdana" w:hAnsi="Verdana" w:cs="Verdana"/>
          <w:b/>
          <w:bCs/>
          <w:iCs/>
          <w:sz w:val="18"/>
          <w:szCs w:val="18"/>
        </w:rPr>
        <w:t>0,45–5 M€</w:t>
      </w:r>
    </w:p>
    <w:p w14:paraId="5DEAB59C" w14:textId="77777777" w:rsidR="004422B3" w:rsidRPr="002818E7" w:rsidRDefault="004422B3" w:rsidP="001E10EA">
      <w:pPr>
        <w:numPr>
          <w:ilvl w:val="0"/>
          <w:numId w:val="41"/>
        </w:numPr>
        <w:tabs>
          <w:tab w:val="clear" w:pos="720"/>
          <w:tab w:val="num" w:pos="426"/>
        </w:tabs>
        <w:ind w:left="284" w:hanging="142"/>
        <w:jc w:val="both"/>
        <w:rPr>
          <w:rFonts w:ascii="Verdana" w:hAnsi="Verdana" w:cs="Verdana"/>
          <w:bCs/>
          <w:iCs/>
          <w:sz w:val="18"/>
          <w:szCs w:val="18"/>
        </w:rPr>
      </w:pPr>
      <w:r w:rsidRPr="004422B3">
        <w:rPr>
          <w:rFonts w:ascii="Verdana" w:hAnsi="Verdana" w:cs="Verdana"/>
          <w:b/>
          <w:bCs/>
          <w:iCs/>
          <w:sz w:val="18"/>
          <w:szCs w:val="18"/>
        </w:rPr>
        <w:t>Microempresa:</w:t>
      </w:r>
      <w:r w:rsidRPr="004422B3">
        <w:rPr>
          <w:rFonts w:ascii="Verdana" w:hAnsi="Verdana" w:cs="Verdana"/>
          <w:bCs/>
          <w:iCs/>
          <w:sz w:val="18"/>
          <w:szCs w:val="18"/>
        </w:rPr>
        <w:br/>
        <w:t xml:space="preserve">≤10 empleados, facturación ≤ </w:t>
      </w:r>
      <w:r w:rsidRPr="004422B3">
        <w:rPr>
          <w:rFonts w:ascii="Verdana" w:hAnsi="Verdana" w:cs="Verdana"/>
          <w:b/>
          <w:bCs/>
          <w:iCs/>
          <w:sz w:val="18"/>
          <w:szCs w:val="18"/>
        </w:rPr>
        <w:t>0,9 M€</w:t>
      </w:r>
      <w:r w:rsidRPr="004422B3">
        <w:rPr>
          <w:rFonts w:ascii="Verdana" w:hAnsi="Verdana" w:cs="Verdana"/>
          <w:bCs/>
          <w:iCs/>
          <w:sz w:val="18"/>
          <w:szCs w:val="18"/>
        </w:rPr>
        <w:t xml:space="preserve">, balance ≤ </w:t>
      </w:r>
      <w:r w:rsidRPr="004422B3">
        <w:rPr>
          <w:rFonts w:ascii="Verdana" w:hAnsi="Verdana" w:cs="Verdana"/>
          <w:b/>
          <w:bCs/>
          <w:iCs/>
          <w:sz w:val="18"/>
          <w:szCs w:val="18"/>
        </w:rPr>
        <w:t>0,45 M€</w:t>
      </w:r>
    </w:p>
    <w:p w14:paraId="749741DB" w14:textId="77777777" w:rsidR="002818E7" w:rsidRPr="004422B3" w:rsidRDefault="002818E7" w:rsidP="002818E7">
      <w:pPr>
        <w:ind w:left="142"/>
        <w:jc w:val="both"/>
        <w:rPr>
          <w:rFonts w:ascii="Verdana" w:hAnsi="Verdana" w:cs="Verdana"/>
          <w:bCs/>
          <w:iCs/>
          <w:sz w:val="18"/>
          <w:szCs w:val="18"/>
        </w:rPr>
      </w:pPr>
    </w:p>
    <w:p w14:paraId="10461896" w14:textId="2A226EF7" w:rsidR="004422B3" w:rsidRPr="004422B3" w:rsidRDefault="004422B3" w:rsidP="004422B3">
      <w:pPr>
        <w:ind w:left="142"/>
        <w:jc w:val="both"/>
        <w:rPr>
          <w:rFonts w:ascii="Verdana" w:hAnsi="Verdana" w:cs="Verdana"/>
          <w:bCs/>
          <w:iCs/>
          <w:sz w:val="18"/>
          <w:szCs w:val="18"/>
        </w:rPr>
      </w:pPr>
      <w:r w:rsidRPr="004422B3">
        <w:rPr>
          <w:rFonts w:ascii="Verdana" w:hAnsi="Verdana" w:cs="Verdana"/>
          <w:bCs/>
          <w:iCs/>
          <w:sz w:val="18"/>
          <w:szCs w:val="18"/>
        </w:rPr>
        <w:t xml:space="preserve">También se actualizan proporcionalmente los </w:t>
      </w:r>
      <w:r w:rsidRPr="004422B3">
        <w:rPr>
          <w:rFonts w:ascii="Verdana" w:hAnsi="Verdana" w:cs="Verdana"/>
          <w:b/>
          <w:bCs/>
          <w:iCs/>
          <w:sz w:val="18"/>
          <w:szCs w:val="18"/>
        </w:rPr>
        <w:t>umbrales para grupos empresariales</w:t>
      </w:r>
      <w:r w:rsidRPr="004422B3">
        <w:rPr>
          <w:rFonts w:ascii="Verdana" w:hAnsi="Verdana" w:cs="Verdana"/>
          <w:bCs/>
          <w:iCs/>
          <w:sz w:val="18"/>
          <w:szCs w:val="18"/>
        </w:rPr>
        <w:t>.</w:t>
      </w:r>
    </w:p>
    <w:p w14:paraId="6C29F015" w14:textId="77777777" w:rsidR="004422B3" w:rsidRPr="004422B3" w:rsidRDefault="00000000" w:rsidP="004422B3">
      <w:pPr>
        <w:ind w:left="142"/>
        <w:jc w:val="both"/>
        <w:rPr>
          <w:rFonts w:ascii="Verdana" w:hAnsi="Verdana" w:cs="Verdana"/>
          <w:bCs/>
          <w:iCs/>
          <w:sz w:val="18"/>
          <w:szCs w:val="18"/>
        </w:rPr>
      </w:pPr>
      <w:r>
        <w:rPr>
          <w:rFonts w:ascii="Verdana" w:hAnsi="Verdana" w:cs="Verdana"/>
          <w:bCs/>
          <w:iCs/>
          <w:sz w:val="18"/>
          <w:szCs w:val="18"/>
        </w:rPr>
        <w:pict w14:anchorId="1BDC981C">
          <v:rect id="_x0000_i1032" style="width:0;height:1.5pt" o:hralign="center" o:hrstd="t" o:hr="t" fillcolor="#a0a0a0" stroked="f"/>
        </w:pict>
      </w:r>
    </w:p>
    <w:p w14:paraId="1FEC3B4F" w14:textId="7B2CB0D3" w:rsidR="004422B3" w:rsidRDefault="004422B3" w:rsidP="004422B3">
      <w:pPr>
        <w:ind w:left="142"/>
        <w:jc w:val="both"/>
        <w:rPr>
          <w:rFonts w:ascii="Verdana" w:hAnsi="Verdana" w:cs="Verdana"/>
          <w:b/>
          <w:bCs/>
          <w:iCs/>
          <w:color w:val="984806" w:themeColor="accent6" w:themeShade="80"/>
          <w:sz w:val="18"/>
          <w:szCs w:val="18"/>
        </w:rPr>
      </w:pPr>
      <w:r w:rsidRPr="001E10EA">
        <w:rPr>
          <w:rFonts w:ascii="Verdana" w:hAnsi="Verdana" w:cs="Verdana"/>
          <w:b/>
          <w:bCs/>
          <w:iCs/>
          <w:color w:val="984806" w:themeColor="accent6" w:themeShade="80"/>
          <w:sz w:val="18"/>
          <w:szCs w:val="18"/>
        </w:rPr>
        <w:t>España lo aplicará a través de dos leyes</w:t>
      </w:r>
    </w:p>
    <w:p w14:paraId="06DBC30D" w14:textId="77777777" w:rsidR="001E10EA" w:rsidRPr="001E10EA" w:rsidRDefault="001E10EA" w:rsidP="004422B3">
      <w:pPr>
        <w:ind w:left="142"/>
        <w:jc w:val="both"/>
        <w:rPr>
          <w:rFonts w:ascii="Verdana" w:hAnsi="Verdana" w:cs="Verdana"/>
          <w:b/>
          <w:bCs/>
          <w:iCs/>
          <w:color w:val="984806" w:themeColor="accent6" w:themeShade="80"/>
          <w:sz w:val="18"/>
          <w:szCs w:val="18"/>
        </w:rPr>
      </w:pPr>
    </w:p>
    <w:p w14:paraId="44AC0BE8" w14:textId="77777777" w:rsidR="004422B3" w:rsidRDefault="004422B3" w:rsidP="001E10EA">
      <w:pPr>
        <w:numPr>
          <w:ilvl w:val="0"/>
          <w:numId w:val="42"/>
        </w:numPr>
        <w:ind w:left="426" w:hanging="284"/>
        <w:rPr>
          <w:rFonts w:ascii="Verdana" w:hAnsi="Verdana" w:cs="Verdana"/>
          <w:bCs/>
          <w:iCs/>
          <w:sz w:val="18"/>
          <w:szCs w:val="18"/>
        </w:rPr>
      </w:pPr>
      <w:r w:rsidRPr="004422B3">
        <w:rPr>
          <w:rFonts w:ascii="Verdana" w:hAnsi="Verdana" w:cs="Verdana"/>
          <w:b/>
          <w:bCs/>
          <w:iCs/>
          <w:sz w:val="18"/>
          <w:szCs w:val="18"/>
        </w:rPr>
        <w:t>Ley que modifica los criterios de tamaño empresarial</w:t>
      </w:r>
      <w:r w:rsidRPr="004422B3">
        <w:rPr>
          <w:rFonts w:ascii="Verdana" w:hAnsi="Verdana" w:cs="Verdana"/>
          <w:bCs/>
          <w:iCs/>
          <w:sz w:val="18"/>
          <w:szCs w:val="18"/>
        </w:rPr>
        <w:br/>
        <w:t>(anteproyecto aprobado por Consejo de Ministros en noviembre 2025)</w:t>
      </w:r>
    </w:p>
    <w:p w14:paraId="35DCD579" w14:textId="77777777" w:rsidR="001E10EA" w:rsidRPr="004422B3" w:rsidRDefault="001E10EA" w:rsidP="001E10EA">
      <w:pPr>
        <w:ind w:left="142"/>
        <w:rPr>
          <w:rFonts w:ascii="Verdana" w:hAnsi="Verdana" w:cs="Verdana"/>
          <w:bCs/>
          <w:iCs/>
          <w:sz w:val="18"/>
          <w:szCs w:val="18"/>
        </w:rPr>
      </w:pPr>
    </w:p>
    <w:p w14:paraId="1751A4B1" w14:textId="75D3753E" w:rsidR="004422B3" w:rsidRPr="003476DE" w:rsidRDefault="004422B3" w:rsidP="003476DE">
      <w:pPr>
        <w:numPr>
          <w:ilvl w:val="0"/>
          <w:numId w:val="42"/>
        </w:numPr>
        <w:ind w:left="426" w:hanging="284"/>
        <w:rPr>
          <w:rFonts w:ascii="Verdana" w:hAnsi="Verdana" w:cs="Verdana"/>
          <w:bCs/>
          <w:iCs/>
          <w:sz w:val="18"/>
          <w:szCs w:val="18"/>
        </w:rPr>
      </w:pPr>
      <w:r w:rsidRPr="004422B3">
        <w:rPr>
          <w:rFonts w:ascii="Verdana" w:hAnsi="Verdana" w:cs="Verdana"/>
          <w:b/>
          <w:bCs/>
          <w:iCs/>
          <w:sz w:val="18"/>
          <w:szCs w:val="18"/>
        </w:rPr>
        <w:lastRenderedPageBreak/>
        <w:t>Ley que regula la información corporativa en materia ESG</w:t>
      </w:r>
      <w:r w:rsidR="003476DE">
        <w:rPr>
          <w:rFonts w:ascii="Verdana" w:hAnsi="Verdana" w:cs="Verdana"/>
          <w:b/>
          <w:bCs/>
          <w:iCs/>
          <w:sz w:val="18"/>
          <w:szCs w:val="18"/>
        </w:rPr>
        <w:t xml:space="preserve"> (Medioambiente, Social</w:t>
      </w:r>
      <w:r w:rsidR="0046209E">
        <w:rPr>
          <w:rFonts w:ascii="Verdana" w:hAnsi="Verdana" w:cs="Verdana"/>
          <w:b/>
          <w:bCs/>
          <w:iCs/>
          <w:sz w:val="18"/>
          <w:szCs w:val="18"/>
        </w:rPr>
        <w:t xml:space="preserve"> </w:t>
      </w:r>
      <w:r w:rsidR="003476DE" w:rsidRPr="003476DE">
        <w:rPr>
          <w:rFonts w:ascii="Verdana" w:hAnsi="Verdana" w:cs="Verdana"/>
          <w:b/>
          <w:bCs/>
          <w:iCs/>
          <w:sz w:val="18"/>
          <w:szCs w:val="18"/>
        </w:rPr>
        <w:t>y Gobernabilidad</w:t>
      </w:r>
      <w:r w:rsidR="0046209E">
        <w:rPr>
          <w:rFonts w:ascii="Verdana" w:hAnsi="Verdana" w:cs="Verdana"/>
          <w:b/>
          <w:bCs/>
          <w:iCs/>
          <w:sz w:val="18"/>
          <w:szCs w:val="18"/>
        </w:rPr>
        <w:t>)</w:t>
      </w:r>
      <w:r w:rsidR="003476DE">
        <w:rPr>
          <w:rFonts w:ascii="Verdana" w:hAnsi="Verdana" w:cs="Verdana"/>
          <w:b/>
          <w:bCs/>
          <w:iCs/>
          <w:sz w:val="18"/>
          <w:szCs w:val="18"/>
        </w:rPr>
        <w:t>.</w:t>
      </w:r>
      <w:r w:rsidRPr="003476DE">
        <w:rPr>
          <w:rFonts w:ascii="Verdana" w:hAnsi="Verdana" w:cs="Verdana"/>
          <w:bCs/>
          <w:iCs/>
          <w:sz w:val="18"/>
          <w:szCs w:val="18"/>
        </w:rPr>
        <w:br/>
        <w:t>Actualmente en revisión por la Comisión Europea.</w:t>
      </w:r>
    </w:p>
    <w:p w14:paraId="3227D2DF" w14:textId="77777777" w:rsidR="004422B3" w:rsidRPr="004422B3" w:rsidRDefault="00000000" w:rsidP="004422B3">
      <w:pPr>
        <w:ind w:left="142"/>
        <w:jc w:val="both"/>
        <w:rPr>
          <w:rFonts w:ascii="Verdana" w:hAnsi="Verdana" w:cs="Verdana"/>
          <w:bCs/>
          <w:iCs/>
          <w:sz w:val="18"/>
          <w:szCs w:val="18"/>
        </w:rPr>
      </w:pPr>
      <w:r>
        <w:rPr>
          <w:rFonts w:ascii="Verdana" w:hAnsi="Verdana" w:cs="Verdana"/>
          <w:bCs/>
          <w:iCs/>
          <w:sz w:val="18"/>
          <w:szCs w:val="18"/>
        </w:rPr>
        <w:pict w14:anchorId="78C4365F">
          <v:rect id="_x0000_i1033" style="width:0;height:1.5pt" o:hralign="center" o:hrstd="t" o:hr="t" fillcolor="#a0a0a0" stroked="f"/>
        </w:pict>
      </w:r>
    </w:p>
    <w:p w14:paraId="3CD1942C" w14:textId="7B39174F" w:rsidR="004422B3" w:rsidRPr="001E10EA" w:rsidRDefault="004422B3" w:rsidP="004422B3">
      <w:pPr>
        <w:ind w:left="142"/>
        <w:jc w:val="both"/>
        <w:rPr>
          <w:rFonts w:ascii="Verdana" w:hAnsi="Verdana" w:cs="Verdana"/>
          <w:b/>
          <w:bCs/>
          <w:iCs/>
          <w:color w:val="984806" w:themeColor="accent6" w:themeShade="80"/>
          <w:sz w:val="18"/>
          <w:szCs w:val="18"/>
        </w:rPr>
      </w:pPr>
      <w:r w:rsidRPr="001E10EA">
        <w:rPr>
          <w:rFonts w:ascii="Verdana" w:hAnsi="Verdana" w:cs="Verdana"/>
          <w:b/>
          <w:bCs/>
          <w:iCs/>
          <w:color w:val="984806" w:themeColor="accent6" w:themeShade="80"/>
          <w:sz w:val="18"/>
          <w:szCs w:val="18"/>
        </w:rPr>
        <w:t xml:space="preserve"> Impacto en obligaciones contables</w:t>
      </w:r>
    </w:p>
    <w:p w14:paraId="4F2E29AF" w14:textId="77777777" w:rsidR="004422B3" w:rsidRPr="004422B3" w:rsidRDefault="004422B3" w:rsidP="004422B3">
      <w:pPr>
        <w:ind w:left="142"/>
        <w:jc w:val="both"/>
        <w:rPr>
          <w:rFonts w:ascii="Verdana" w:hAnsi="Verdana" w:cs="Verdana"/>
          <w:b/>
          <w:bCs/>
          <w:iCs/>
          <w:sz w:val="18"/>
          <w:szCs w:val="18"/>
        </w:rPr>
      </w:pPr>
      <w:r w:rsidRPr="004422B3">
        <w:rPr>
          <w:rFonts w:ascii="Segoe UI Symbol" w:hAnsi="Segoe UI Symbol" w:cs="Segoe UI Symbol"/>
          <w:b/>
          <w:bCs/>
          <w:iCs/>
          <w:sz w:val="18"/>
          <w:szCs w:val="18"/>
        </w:rPr>
        <w:t>✔</w:t>
      </w:r>
      <w:r w:rsidRPr="004422B3">
        <w:rPr>
          <w:rFonts w:ascii="Verdana" w:hAnsi="Verdana" w:cs="Verdana"/>
          <w:b/>
          <w:bCs/>
          <w:iCs/>
          <w:sz w:val="18"/>
          <w:szCs w:val="18"/>
        </w:rPr>
        <w:t xml:space="preserve"> Formular cuentas abreviadas</w:t>
      </w:r>
    </w:p>
    <w:p w14:paraId="39020647" w14:textId="35AE55DA" w:rsidR="004422B3" w:rsidRPr="001E10EA" w:rsidRDefault="004422B3" w:rsidP="00B96FA0">
      <w:pPr>
        <w:numPr>
          <w:ilvl w:val="0"/>
          <w:numId w:val="43"/>
        </w:numPr>
        <w:ind w:left="567" w:hanging="283"/>
        <w:rPr>
          <w:rFonts w:ascii="Verdana" w:hAnsi="Verdana" w:cs="Verdana"/>
          <w:bCs/>
          <w:iCs/>
          <w:sz w:val="18"/>
          <w:szCs w:val="18"/>
        </w:rPr>
      </w:pPr>
      <w:r w:rsidRPr="004422B3">
        <w:rPr>
          <w:rFonts w:ascii="Verdana" w:hAnsi="Verdana" w:cs="Verdana"/>
          <w:bCs/>
          <w:iCs/>
          <w:sz w:val="18"/>
          <w:szCs w:val="18"/>
        </w:rPr>
        <w:t>Balance, ECPN y memoria abreviados:</w:t>
      </w:r>
      <w:r w:rsidRPr="004422B3">
        <w:rPr>
          <w:rFonts w:ascii="Verdana" w:hAnsi="Verdana" w:cs="Verdana"/>
          <w:bCs/>
          <w:iCs/>
          <w:sz w:val="18"/>
          <w:szCs w:val="18"/>
        </w:rPr>
        <w:br/>
        <w:t xml:space="preserve">≤50 empleados, cifra de negocios ≤ </w:t>
      </w:r>
      <w:r w:rsidRPr="004422B3">
        <w:rPr>
          <w:rFonts w:ascii="Verdana" w:hAnsi="Verdana" w:cs="Verdana"/>
          <w:b/>
          <w:bCs/>
          <w:iCs/>
          <w:sz w:val="18"/>
          <w:szCs w:val="18"/>
        </w:rPr>
        <w:t>15 M€</w:t>
      </w:r>
      <w:r w:rsidRPr="004422B3">
        <w:rPr>
          <w:rFonts w:ascii="Verdana" w:hAnsi="Verdana" w:cs="Verdana"/>
          <w:bCs/>
          <w:iCs/>
          <w:sz w:val="18"/>
          <w:szCs w:val="18"/>
        </w:rPr>
        <w:t xml:space="preserve">, activo ≤ </w:t>
      </w:r>
      <w:r w:rsidRPr="004422B3">
        <w:rPr>
          <w:rFonts w:ascii="Verdana" w:hAnsi="Verdana" w:cs="Verdana"/>
          <w:b/>
          <w:bCs/>
          <w:iCs/>
          <w:sz w:val="18"/>
          <w:szCs w:val="18"/>
        </w:rPr>
        <w:t>7,5 M€</w:t>
      </w:r>
      <w:r w:rsidR="001E10EA">
        <w:rPr>
          <w:rFonts w:ascii="Verdana" w:hAnsi="Verdana" w:cs="Verdana"/>
          <w:b/>
          <w:bCs/>
          <w:iCs/>
          <w:sz w:val="18"/>
          <w:szCs w:val="18"/>
        </w:rPr>
        <w:t>.</w:t>
      </w:r>
    </w:p>
    <w:p w14:paraId="7E008697" w14:textId="77777777" w:rsidR="001E10EA" w:rsidRPr="004422B3" w:rsidRDefault="001E10EA" w:rsidP="001E10EA">
      <w:pPr>
        <w:ind w:left="284"/>
        <w:rPr>
          <w:rFonts w:ascii="Verdana" w:hAnsi="Verdana" w:cs="Verdana"/>
          <w:bCs/>
          <w:iCs/>
          <w:sz w:val="18"/>
          <w:szCs w:val="18"/>
        </w:rPr>
      </w:pPr>
    </w:p>
    <w:p w14:paraId="1DB79442" w14:textId="3EC55943" w:rsidR="004422B3" w:rsidRPr="001E10EA" w:rsidRDefault="004422B3" w:rsidP="00DD0537">
      <w:pPr>
        <w:ind w:left="142"/>
        <w:jc w:val="both"/>
        <w:rPr>
          <w:rFonts w:ascii="Verdana" w:hAnsi="Verdana" w:cs="Verdana"/>
          <w:b/>
          <w:bCs/>
          <w:iCs/>
          <w:color w:val="984806" w:themeColor="accent6" w:themeShade="80"/>
          <w:sz w:val="18"/>
          <w:szCs w:val="18"/>
        </w:rPr>
      </w:pPr>
      <w:r w:rsidRPr="001E10EA">
        <w:rPr>
          <w:rFonts w:ascii="Verdana" w:hAnsi="Verdana" w:cs="Verdana"/>
          <w:b/>
          <w:bCs/>
          <w:iCs/>
          <w:color w:val="984806" w:themeColor="accent6" w:themeShade="80"/>
          <w:sz w:val="18"/>
          <w:szCs w:val="18"/>
        </w:rPr>
        <w:t>Definición de entidades pequeñas y medianas (auditoría)</w:t>
      </w:r>
    </w:p>
    <w:p w14:paraId="26BF5FE0" w14:textId="77777777" w:rsidR="004422B3" w:rsidRPr="004422B3" w:rsidRDefault="004422B3">
      <w:pPr>
        <w:numPr>
          <w:ilvl w:val="0"/>
          <w:numId w:val="44"/>
        </w:numPr>
        <w:ind w:left="142" w:firstLine="142"/>
        <w:jc w:val="both"/>
        <w:rPr>
          <w:rFonts w:ascii="Verdana" w:hAnsi="Verdana" w:cs="Verdana"/>
          <w:bCs/>
          <w:iCs/>
          <w:sz w:val="18"/>
          <w:szCs w:val="18"/>
        </w:rPr>
      </w:pPr>
      <w:r w:rsidRPr="004422B3">
        <w:rPr>
          <w:rFonts w:ascii="Verdana" w:hAnsi="Verdana" w:cs="Verdana"/>
          <w:bCs/>
          <w:iCs/>
          <w:sz w:val="18"/>
          <w:szCs w:val="18"/>
        </w:rPr>
        <w:t>Límites aumentan a:</w:t>
      </w:r>
    </w:p>
    <w:p w14:paraId="16CDDB2F" w14:textId="77777777" w:rsidR="004422B3" w:rsidRPr="004422B3" w:rsidRDefault="004422B3" w:rsidP="001E10EA">
      <w:pPr>
        <w:numPr>
          <w:ilvl w:val="1"/>
          <w:numId w:val="44"/>
        </w:numPr>
        <w:tabs>
          <w:tab w:val="clear" w:pos="1440"/>
          <w:tab w:val="num" w:pos="709"/>
        </w:tabs>
        <w:ind w:left="142" w:firstLine="284"/>
        <w:jc w:val="both"/>
        <w:rPr>
          <w:rFonts w:ascii="Verdana" w:hAnsi="Verdana" w:cs="Verdana"/>
          <w:bCs/>
          <w:iCs/>
          <w:sz w:val="18"/>
          <w:szCs w:val="18"/>
        </w:rPr>
      </w:pPr>
      <w:r w:rsidRPr="004422B3">
        <w:rPr>
          <w:rFonts w:ascii="Verdana" w:hAnsi="Verdana" w:cs="Verdana"/>
          <w:bCs/>
          <w:iCs/>
          <w:sz w:val="18"/>
          <w:szCs w:val="18"/>
        </w:rPr>
        <w:t xml:space="preserve">Pequeñas: facturación ≤ </w:t>
      </w:r>
      <w:r w:rsidRPr="004422B3">
        <w:rPr>
          <w:rFonts w:ascii="Verdana" w:hAnsi="Verdana" w:cs="Verdana"/>
          <w:b/>
          <w:bCs/>
          <w:iCs/>
          <w:sz w:val="18"/>
          <w:szCs w:val="18"/>
        </w:rPr>
        <w:t>15 M€</w:t>
      </w:r>
      <w:r w:rsidRPr="004422B3">
        <w:rPr>
          <w:rFonts w:ascii="Verdana" w:hAnsi="Verdana" w:cs="Verdana"/>
          <w:bCs/>
          <w:iCs/>
          <w:sz w:val="18"/>
          <w:szCs w:val="18"/>
        </w:rPr>
        <w:t xml:space="preserve">, activo ≤ </w:t>
      </w:r>
      <w:r w:rsidRPr="004422B3">
        <w:rPr>
          <w:rFonts w:ascii="Verdana" w:hAnsi="Verdana" w:cs="Verdana"/>
          <w:b/>
          <w:bCs/>
          <w:iCs/>
          <w:sz w:val="18"/>
          <w:szCs w:val="18"/>
        </w:rPr>
        <w:t>7,5 M€</w:t>
      </w:r>
    </w:p>
    <w:p w14:paraId="725E6680" w14:textId="77777777" w:rsidR="004422B3" w:rsidRPr="00A7339B" w:rsidRDefault="004422B3" w:rsidP="001E10EA">
      <w:pPr>
        <w:numPr>
          <w:ilvl w:val="1"/>
          <w:numId w:val="44"/>
        </w:numPr>
        <w:tabs>
          <w:tab w:val="clear" w:pos="1440"/>
        </w:tabs>
        <w:ind w:left="142" w:firstLine="284"/>
        <w:jc w:val="both"/>
        <w:rPr>
          <w:rFonts w:ascii="Verdana" w:hAnsi="Verdana" w:cs="Verdana"/>
          <w:bCs/>
          <w:iCs/>
          <w:sz w:val="18"/>
          <w:szCs w:val="18"/>
        </w:rPr>
      </w:pPr>
      <w:r w:rsidRPr="004422B3">
        <w:rPr>
          <w:rFonts w:ascii="Verdana" w:hAnsi="Verdana" w:cs="Verdana"/>
          <w:bCs/>
          <w:iCs/>
          <w:sz w:val="18"/>
          <w:szCs w:val="18"/>
        </w:rPr>
        <w:t xml:space="preserve">Medianas: facturación ≤ </w:t>
      </w:r>
      <w:r w:rsidRPr="004422B3">
        <w:rPr>
          <w:rFonts w:ascii="Verdana" w:hAnsi="Verdana" w:cs="Verdana"/>
          <w:b/>
          <w:bCs/>
          <w:iCs/>
          <w:sz w:val="18"/>
          <w:szCs w:val="18"/>
        </w:rPr>
        <w:t>50 M€</w:t>
      </w:r>
      <w:r w:rsidRPr="004422B3">
        <w:rPr>
          <w:rFonts w:ascii="Verdana" w:hAnsi="Verdana" w:cs="Verdana"/>
          <w:bCs/>
          <w:iCs/>
          <w:sz w:val="18"/>
          <w:szCs w:val="18"/>
        </w:rPr>
        <w:t xml:space="preserve">, activo ≤ </w:t>
      </w:r>
      <w:r w:rsidRPr="004422B3">
        <w:rPr>
          <w:rFonts w:ascii="Verdana" w:hAnsi="Verdana" w:cs="Verdana"/>
          <w:b/>
          <w:bCs/>
          <w:iCs/>
          <w:sz w:val="18"/>
          <w:szCs w:val="18"/>
        </w:rPr>
        <w:t>25 M€</w:t>
      </w:r>
    </w:p>
    <w:p w14:paraId="7100EECA" w14:textId="77777777" w:rsidR="00A7339B" w:rsidRPr="004422B3" w:rsidRDefault="00A7339B" w:rsidP="00A7339B">
      <w:pPr>
        <w:ind w:left="284"/>
        <w:jc w:val="both"/>
        <w:rPr>
          <w:rFonts w:ascii="Verdana" w:hAnsi="Verdana" w:cs="Verdana"/>
          <w:bCs/>
          <w:iCs/>
          <w:sz w:val="18"/>
          <w:szCs w:val="18"/>
        </w:rPr>
      </w:pPr>
    </w:p>
    <w:p w14:paraId="2A8F20D5" w14:textId="751D3A97" w:rsidR="004422B3" w:rsidRPr="001E10EA" w:rsidRDefault="004422B3" w:rsidP="00DD0537">
      <w:pPr>
        <w:ind w:left="142"/>
        <w:jc w:val="both"/>
        <w:rPr>
          <w:rFonts w:ascii="Verdana" w:hAnsi="Verdana" w:cs="Verdana"/>
          <w:b/>
          <w:bCs/>
          <w:iCs/>
          <w:color w:val="984806" w:themeColor="accent6" w:themeShade="80"/>
          <w:sz w:val="18"/>
          <w:szCs w:val="18"/>
        </w:rPr>
      </w:pPr>
      <w:r w:rsidRPr="001E10EA">
        <w:rPr>
          <w:rFonts w:ascii="Verdana" w:hAnsi="Verdana" w:cs="Verdana"/>
          <w:b/>
          <w:bCs/>
          <w:iCs/>
          <w:color w:val="984806" w:themeColor="accent6" w:themeShade="80"/>
          <w:sz w:val="18"/>
          <w:szCs w:val="18"/>
        </w:rPr>
        <w:t>PGC</w:t>
      </w:r>
      <w:r w:rsidR="00B96FA0">
        <w:rPr>
          <w:rFonts w:ascii="Verdana" w:hAnsi="Verdana" w:cs="Verdana"/>
          <w:b/>
          <w:bCs/>
          <w:iCs/>
          <w:color w:val="984806" w:themeColor="accent6" w:themeShade="80"/>
          <w:sz w:val="18"/>
          <w:szCs w:val="18"/>
        </w:rPr>
        <w:t xml:space="preserve"> </w:t>
      </w:r>
      <w:r w:rsidRPr="001E10EA">
        <w:rPr>
          <w:rFonts w:ascii="Verdana" w:hAnsi="Verdana" w:cs="Verdana"/>
          <w:b/>
          <w:bCs/>
          <w:iCs/>
          <w:color w:val="984806" w:themeColor="accent6" w:themeShade="80"/>
          <w:sz w:val="18"/>
          <w:szCs w:val="18"/>
        </w:rPr>
        <w:t>PYMES</w:t>
      </w:r>
    </w:p>
    <w:p w14:paraId="4FEB473F" w14:textId="77777777" w:rsidR="004422B3" w:rsidRPr="004422B3" w:rsidRDefault="004422B3">
      <w:pPr>
        <w:numPr>
          <w:ilvl w:val="0"/>
          <w:numId w:val="45"/>
        </w:numPr>
        <w:ind w:left="567" w:hanging="283"/>
        <w:rPr>
          <w:rFonts w:ascii="Verdana" w:hAnsi="Verdana" w:cs="Verdana"/>
          <w:bCs/>
          <w:iCs/>
          <w:sz w:val="18"/>
          <w:szCs w:val="18"/>
        </w:rPr>
      </w:pPr>
      <w:r w:rsidRPr="004422B3">
        <w:rPr>
          <w:rFonts w:ascii="Verdana" w:hAnsi="Verdana" w:cs="Verdana"/>
          <w:bCs/>
          <w:iCs/>
          <w:sz w:val="18"/>
          <w:szCs w:val="18"/>
        </w:rPr>
        <w:t>Se eleva a:</w:t>
      </w:r>
      <w:r w:rsidRPr="004422B3">
        <w:rPr>
          <w:rFonts w:ascii="Verdana" w:hAnsi="Verdana" w:cs="Verdana"/>
          <w:bCs/>
          <w:iCs/>
          <w:sz w:val="18"/>
          <w:szCs w:val="18"/>
        </w:rPr>
        <w:br/>
      </w:r>
      <w:bookmarkStart w:id="6" w:name="_Hlk215335030"/>
      <w:r w:rsidRPr="004422B3">
        <w:rPr>
          <w:rFonts w:ascii="Verdana" w:hAnsi="Verdana" w:cs="Verdana"/>
          <w:bCs/>
          <w:iCs/>
          <w:sz w:val="18"/>
          <w:szCs w:val="18"/>
        </w:rPr>
        <w:t xml:space="preserve">≤50 empleados, facturación ≤ </w:t>
      </w:r>
      <w:r w:rsidRPr="004422B3">
        <w:rPr>
          <w:rFonts w:ascii="Verdana" w:hAnsi="Verdana" w:cs="Verdana"/>
          <w:b/>
          <w:bCs/>
          <w:iCs/>
          <w:sz w:val="18"/>
          <w:szCs w:val="18"/>
        </w:rPr>
        <w:t>15 M€</w:t>
      </w:r>
      <w:r w:rsidRPr="004422B3">
        <w:rPr>
          <w:rFonts w:ascii="Verdana" w:hAnsi="Verdana" w:cs="Verdana"/>
          <w:bCs/>
          <w:iCs/>
          <w:sz w:val="18"/>
          <w:szCs w:val="18"/>
        </w:rPr>
        <w:t xml:space="preserve">, activo ≤ </w:t>
      </w:r>
      <w:r w:rsidRPr="004422B3">
        <w:rPr>
          <w:rFonts w:ascii="Verdana" w:hAnsi="Verdana" w:cs="Verdana"/>
          <w:b/>
          <w:bCs/>
          <w:iCs/>
          <w:sz w:val="18"/>
          <w:szCs w:val="18"/>
        </w:rPr>
        <w:t>7,5 M€</w:t>
      </w:r>
      <w:bookmarkEnd w:id="6"/>
    </w:p>
    <w:p w14:paraId="10191AC0" w14:textId="77777777" w:rsidR="004422B3" w:rsidRPr="004422B3" w:rsidRDefault="00000000" w:rsidP="002818E7">
      <w:pPr>
        <w:ind w:left="142" w:firstLine="142"/>
        <w:jc w:val="both"/>
        <w:rPr>
          <w:rFonts w:ascii="Verdana" w:hAnsi="Verdana" w:cs="Verdana"/>
          <w:bCs/>
          <w:iCs/>
          <w:sz w:val="18"/>
          <w:szCs w:val="18"/>
        </w:rPr>
      </w:pPr>
      <w:r>
        <w:rPr>
          <w:rFonts w:ascii="Verdana" w:hAnsi="Verdana" w:cs="Verdana"/>
          <w:bCs/>
          <w:iCs/>
          <w:sz w:val="18"/>
          <w:szCs w:val="18"/>
        </w:rPr>
        <w:pict w14:anchorId="1A66D04D">
          <v:rect id="_x0000_i1034" style="width:0;height:1.5pt" o:hralign="center" o:hrstd="t" o:hr="t" fillcolor="#a0a0a0" stroked="f"/>
        </w:pict>
      </w:r>
    </w:p>
    <w:p w14:paraId="2E23E994" w14:textId="0D19A9A0" w:rsidR="004422B3" w:rsidRPr="001E10EA" w:rsidRDefault="001E10EA" w:rsidP="001E10EA">
      <w:pPr>
        <w:jc w:val="both"/>
        <w:rPr>
          <w:rFonts w:ascii="Verdana" w:hAnsi="Verdana" w:cs="Verdana"/>
          <w:b/>
          <w:bCs/>
          <w:iCs/>
          <w:color w:val="984806" w:themeColor="accent6" w:themeShade="80"/>
          <w:sz w:val="18"/>
          <w:szCs w:val="18"/>
        </w:rPr>
      </w:pPr>
      <w:r w:rsidRPr="001E10EA">
        <w:rPr>
          <w:rFonts w:ascii="Segoe UI Emoji" w:hAnsi="Segoe UI Emoji" w:cs="Segoe UI Emoji"/>
          <w:b/>
          <w:bCs/>
          <w:iCs/>
          <w:color w:val="984806" w:themeColor="accent6" w:themeShade="80"/>
          <w:sz w:val="18"/>
          <w:szCs w:val="18"/>
        </w:rPr>
        <w:t xml:space="preserve">  </w:t>
      </w:r>
      <w:r w:rsidR="004422B3" w:rsidRPr="001E10EA">
        <w:rPr>
          <w:rFonts w:ascii="Verdana" w:hAnsi="Verdana" w:cs="Verdana"/>
          <w:b/>
          <w:bCs/>
          <w:iCs/>
          <w:color w:val="984806" w:themeColor="accent6" w:themeShade="80"/>
          <w:sz w:val="18"/>
          <w:szCs w:val="18"/>
        </w:rPr>
        <w:t xml:space="preserve"> Auditoría obligatoria: nuevos límites</w:t>
      </w:r>
    </w:p>
    <w:p w14:paraId="32C4A497" w14:textId="6AA9B0B3" w:rsidR="004422B3" w:rsidRPr="004422B3" w:rsidRDefault="004422B3" w:rsidP="004422B3">
      <w:pPr>
        <w:ind w:left="142"/>
        <w:jc w:val="both"/>
        <w:rPr>
          <w:rFonts w:ascii="Verdana" w:hAnsi="Verdana" w:cs="Verdana"/>
          <w:bCs/>
          <w:iCs/>
          <w:sz w:val="18"/>
          <w:szCs w:val="18"/>
        </w:rPr>
      </w:pPr>
      <w:r w:rsidRPr="004422B3">
        <w:rPr>
          <w:rFonts w:ascii="Verdana" w:hAnsi="Verdana" w:cs="Verdana"/>
          <w:bCs/>
          <w:iCs/>
          <w:sz w:val="18"/>
          <w:szCs w:val="18"/>
        </w:rPr>
        <w:t xml:space="preserve">Las empresas </w:t>
      </w:r>
      <w:r w:rsidRPr="004422B3">
        <w:rPr>
          <w:rFonts w:ascii="Verdana" w:hAnsi="Verdana" w:cs="Verdana"/>
          <w:b/>
          <w:bCs/>
          <w:iCs/>
          <w:sz w:val="18"/>
          <w:szCs w:val="18"/>
        </w:rPr>
        <w:t>no estarán obligadas a auditar</w:t>
      </w:r>
      <w:r w:rsidRPr="004422B3">
        <w:rPr>
          <w:rFonts w:ascii="Verdana" w:hAnsi="Verdana" w:cs="Verdana"/>
          <w:bCs/>
          <w:iCs/>
          <w:sz w:val="18"/>
          <w:szCs w:val="18"/>
        </w:rPr>
        <w:t xml:space="preserve"> si cumplen dos de los siguientes </w:t>
      </w:r>
      <w:r w:rsidR="00AB6D7D">
        <w:rPr>
          <w:rFonts w:ascii="Verdana" w:hAnsi="Verdana" w:cs="Verdana"/>
          <w:bCs/>
          <w:iCs/>
          <w:sz w:val="18"/>
          <w:szCs w:val="18"/>
        </w:rPr>
        <w:t xml:space="preserve">requisitos </w:t>
      </w:r>
      <w:r w:rsidRPr="004422B3">
        <w:rPr>
          <w:rFonts w:ascii="Verdana" w:hAnsi="Verdana" w:cs="Verdana"/>
          <w:bCs/>
          <w:iCs/>
          <w:sz w:val="18"/>
          <w:szCs w:val="18"/>
        </w:rPr>
        <w:t>durante dos ejercicios consecutivos:</w:t>
      </w:r>
    </w:p>
    <w:p w14:paraId="3CEAF5D2" w14:textId="77777777" w:rsidR="004422B3" w:rsidRPr="004422B3" w:rsidRDefault="004422B3">
      <w:pPr>
        <w:numPr>
          <w:ilvl w:val="0"/>
          <w:numId w:val="46"/>
        </w:numPr>
        <w:tabs>
          <w:tab w:val="clear" w:pos="720"/>
          <w:tab w:val="num" w:pos="426"/>
        </w:tabs>
        <w:ind w:left="142" w:firstLine="0"/>
        <w:jc w:val="both"/>
        <w:rPr>
          <w:rFonts w:ascii="Verdana" w:hAnsi="Verdana" w:cs="Verdana"/>
          <w:bCs/>
          <w:iCs/>
          <w:sz w:val="18"/>
          <w:szCs w:val="18"/>
        </w:rPr>
      </w:pPr>
      <w:r w:rsidRPr="004422B3">
        <w:rPr>
          <w:rFonts w:ascii="Verdana" w:hAnsi="Verdana" w:cs="Verdana"/>
          <w:bCs/>
          <w:iCs/>
          <w:sz w:val="18"/>
          <w:szCs w:val="18"/>
        </w:rPr>
        <w:t>≤50 empleados</w:t>
      </w:r>
    </w:p>
    <w:p w14:paraId="1CE53F46" w14:textId="77777777" w:rsidR="004422B3" w:rsidRPr="004422B3" w:rsidRDefault="004422B3">
      <w:pPr>
        <w:numPr>
          <w:ilvl w:val="0"/>
          <w:numId w:val="46"/>
        </w:numPr>
        <w:tabs>
          <w:tab w:val="clear" w:pos="720"/>
          <w:tab w:val="num" w:pos="426"/>
        </w:tabs>
        <w:ind w:left="142" w:firstLine="0"/>
        <w:jc w:val="both"/>
        <w:rPr>
          <w:rFonts w:ascii="Verdana" w:hAnsi="Verdana" w:cs="Verdana"/>
          <w:bCs/>
          <w:iCs/>
          <w:sz w:val="18"/>
          <w:szCs w:val="18"/>
        </w:rPr>
      </w:pPr>
      <w:r w:rsidRPr="004422B3">
        <w:rPr>
          <w:rFonts w:ascii="Verdana" w:hAnsi="Verdana" w:cs="Verdana"/>
          <w:bCs/>
          <w:iCs/>
          <w:sz w:val="18"/>
          <w:szCs w:val="18"/>
        </w:rPr>
        <w:t xml:space="preserve">Facturación ≤ </w:t>
      </w:r>
      <w:r w:rsidRPr="004422B3">
        <w:rPr>
          <w:rFonts w:ascii="Verdana" w:hAnsi="Verdana" w:cs="Verdana"/>
          <w:b/>
          <w:bCs/>
          <w:iCs/>
          <w:sz w:val="18"/>
          <w:szCs w:val="18"/>
        </w:rPr>
        <w:t>7,125 M€</w:t>
      </w:r>
    </w:p>
    <w:p w14:paraId="21B92CEF" w14:textId="77777777" w:rsidR="004422B3" w:rsidRPr="004422B3" w:rsidRDefault="004422B3">
      <w:pPr>
        <w:numPr>
          <w:ilvl w:val="0"/>
          <w:numId w:val="46"/>
        </w:numPr>
        <w:tabs>
          <w:tab w:val="clear" w:pos="720"/>
          <w:tab w:val="num" w:pos="426"/>
        </w:tabs>
        <w:ind w:left="142" w:firstLine="0"/>
        <w:jc w:val="both"/>
        <w:rPr>
          <w:rFonts w:ascii="Verdana" w:hAnsi="Verdana" w:cs="Verdana"/>
          <w:bCs/>
          <w:iCs/>
          <w:sz w:val="18"/>
          <w:szCs w:val="18"/>
        </w:rPr>
      </w:pPr>
      <w:r w:rsidRPr="004422B3">
        <w:rPr>
          <w:rFonts w:ascii="Verdana" w:hAnsi="Verdana" w:cs="Verdana"/>
          <w:bCs/>
          <w:iCs/>
          <w:sz w:val="18"/>
          <w:szCs w:val="18"/>
        </w:rPr>
        <w:t xml:space="preserve">Activo ≤ </w:t>
      </w:r>
      <w:r w:rsidRPr="004422B3">
        <w:rPr>
          <w:rFonts w:ascii="Verdana" w:hAnsi="Verdana" w:cs="Verdana"/>
          <w:b/>
          <w:bCs/>
          <w:iCs/>
          <w:sz w:val="18"/>
          <w:szCs w:val="18"/>
        </w:rPr>
        <w:t>3,565 M€</w:t>
      </w:r>
    </w:p>
    <w:p w14:paraId="57FD91C2" w14:textId="77777777" w:rsidR="004422B3" w:rsidRPr="004422B3" w:rsidRDefault="00000000" w:rsidP="004422B3">
      <w:pPr>
        <w:ind w:left="142"/>
        <w:jc w:val="both"/>
        <w:rPr>
          <w:rFonts w:ascii="Verdana" w:hAnsi="Verdana" w:cs="Verdana"/>
          <w:bCs/>
          <w:iCs/>
          <w:sz w:val="18"/>
          <w:szCs w:val="18"/>
        </w:rPr>
      </w:pPr>
      <w:r>
        <w:rPr>
          <w:rFonts w:ascii="Verdana" w:hAnsi="Verdana" w:cs="Verdana"/>
          <w:bCs/>
          <w:iCs/>
          <w:sz w:val="18"/>
          <w:szCs w:val="18"/>
        </w:rPr>
        <w:pict w14:anchorId="7551E220">
          <v:rect id="_x0000_i1035" style="width:0;height:1.5pt" o:hralign="center" o:hrstd="t" o:hr="t" fillcolor="#a0a0a0" stroked="f"/>
        </w:pict>
      </w:r>
    </w:p>
    <w:p w14:paraId="35CD9D83" w14:textId="3E178CB3" w:rsidR="004422B3" w:rsidRPr="001E10EA" w:rsidRDefault="004422B3" w:rsidP="004422B3">
      <w:pPr>
        <w:ind w:left="142"/>
        <w:jc w:val="both"/>
        <w:rPr>
          <w:rFonts w:ascii="Verdana" w:hAnsi="Verdana" w:cs="Verdana"/>
          <w:b/>
          <w:bCs/>
          <w:iCs/>
          <w:color w:val="984806" w:themeColor="accent6" w:themeShade="80"/>
          <w:sz w:val="18"/>
          <w:szCs w:val="18"/>
        </w:rPr>
      </w:pPr>
      <w:r w:rsidRPr="001E10EA">
        <w:rPr>
          <w:rFonts w:ascii="Verdana" w:hAnsi="Verdana" w:cs="Verdana"/>
          <w:b/>
          <w:bCs/>
          <w:iCs/>
          <w:color w:val="984806" w:themeColor="accent6" w:themeShade="80"/>
          <w:sz w:val="18"/>
          <w:szCs w:val="18"/>
        </w:rPr>
        <w:t>Información de sostenibilidad (ESG)</w:t>
      </w:r>
    </w:p>
    <w:p w14:paraId="2C2082DB" w14:textId="36A05067" w:rsidR="004422B3" w:rsidRPr="004422B3" w:rsidRDefault="004422B3" w:rsidP="001E10EA">
      <w:pPr>
        <w:ind w:left="426"/>
        <w:jc w:val="both"/>
        <w:rPr>
          <w:rFonts w:ascii="Verdana" w:hAnsi="Verdana" w:cs="Verdana"/>
          <w:bCs/>
          <w:iCs/>
          <w:sz w:val="18"/>
          <w:szCs w:val="18"/>
        </w:rPr>
      </w:pPr>
      <w:r w:rsidRPr="004422B3">
        <w:rPr>
          <w:rFonts w:ascii="Verdana" w:hAnsi="Verdana" w:cs="Verdana"/>
          <w:bCs/>
          <w:iCs/>
          <w:sz w:val="18"/>
          <w:szCs w:val="18"/>
        </w:rPr>
        <w:t>La futura Ley ESG redefinirá quién debe elaborar el informe de sostenibilidad</w:t>
      </w:r>
      <w:r w:rsidR="00AB6D7D">
        <w:rPr>
          <w:rFonts w:ascii="Verdana" w:hAnsi="Verdana" w:cs="Verdana"/>
          <w:bCs/>
          <w:iCs/>
          <w:sz w:val="18"/>
          <w:szCs w:val="18"/>
        </w:rPr>
        <w:t>.</w:t>
      </w:r>
    </w:p>
    <w:p w14:paraId="0C4AE4F5" w14:textId="77777777" w:rsidR="001E10EA" w:rsidRDefault="001E10EA" w:rsidP="004422B3">
      <w:pPr>
        <w:ind w:left="142"/>
        <w:jc w:val="both"/>
        <w:rPr>
          <w:rFonts w:ascii="Verdana" w:hAnsi="Verdana" w:cs="Verdana"/>
          <w:b/>
          <w:bCs/>
          <w:iCs/>
          <w:sz w:val="18"/>
          <w:szCs w:val="18"/>
        </w:rPr>
      </w:pPr>
    </w:p>
    <w:p w14:paraId="7648E458" w14:textId="4281E56A" w:rsidR="004422B3" w:rsidRPr="004422B3" w:rsidRDefault="004422B3" w:rsidP="004422B3">
      <w:pPr>
        <w:ind w:left="142"/>
        <w:jc w:val="both"/>
        <w:rPr>
          <w:rFonts w:ascii="Verdana" w:hAnsi="Verdana" w:cs="Verdana"/>
          <w:b/>
          <w:bCs/>
          <w:iCs/>
          <w:sz w:val="18"/>
          <w:szCs w:val="18"/>
        </w:rPr>
      </w:pPr>
      <w:r w:rsidRPr="004422B3">
        <w:rPr>
          <w:rFonts w:ascii="Verdana" w:hAnsi="Verdana" w:cs="Verdana"/>
          <w:b/>
          <w:bCs/>
          <w:iCs/>
          <w:sz w:val="18"/>
          <w:szCs w:val="18"/>
        </w:rPr>
        <w:t>Obligados (criterios previstos):</w:t>
      </w:r>
    </w:p>
    <w:p w14:paraId="656D0D89" w14:textId="77777777" w:rsidR="004422B3" w:rsidRPr="004422B3" w:rsidRDefault="004422B3">
      <w:pPr>
        <w:numPr>
          <w:ilvl w:val="0"/>
          <w:numId w:val="47"/>
        </w:numPr>
        <w:tabs>
          <w:tab w:val="clear" w:pos="720"/>
          <w:tab w:val="num" w:pos="567"/>
        </w:tabs>
        <w:ind w:left="142" w:firstLine="0"/>
        <w:jc w:val="both"/>
        <w:rPr>
          <w:rFonts w:ascii="Verdana" w:hAnsi="Verdana" w:cs="Verdana"/>
          <w:bCs/>
          <w:iCs/>
          <w:sz w:val="18"/>
          <w:szCs w:val="18"/>
        </w:rPr>
      </w:pPr>
      <w:r w:rsidRPr="004422B3">
        <w:rPr>
          <w:rFonts w:ascii="Verdana" w:hAnsi="Verdana" w:cs="Verdana"/>
          <w:b/>
          <w:bCs/>
          <w:iCs/>
          <w:sz w:val="18"/>
          <w:szCs w:val="18"/>
        </w:rPr>
        <w:t>Grupo grande:</w:t>
      </w:r>
    </w:p>
    <w:p w14:paraId="23AD2D7E" w14:textId="77777777" w:rsidR="004422B3" w:rsidRPr="004422B3" w:rsidRDefault="004422B3" w:rsidP="001E10EA">
      <w:pPr>
        <w:tabs>
          <w:tab w:val="left" w:pos="426"/>
        </w:tabs>
        <w:ind w:left="426" w:firstLine="141"/>
        <w:jc w:val="both"/>
        <w:rPr>
          <w:rFonts w:ascii="Verdana" w:hAnsi="Verdana" w:cs="Verdana"/>
          <w:bCs/>
          <w:iCs/>
          <w:sz w:val="18"/>
          <w:szCs w:val="18"/>
        </w:rPr>
      </w:pPr>
      <w:r w:rsidRPr="004422B3">
        <w:rPr>
          <w:rFonts w:ascii="Verdana" w:hAnsi="Verdana" w:cs="Verdana"/>
          <w:bCs/>
          <w:iCs/>
          <w:sz w:val="18"/>
          <w:szCs w:val="18"/>
        </w:rPr>
        <w:t>250 empleados y más de 50 M€ de cifra de negocio o 25 M€ de balance.</w:t>
      </w:r>
    </w:p>
    <w:p w14:paraId="45B703C1" w14:textId="77777777" w:rsidR="004422B3" w:rsidRPr="004422B3" w:rsidRDefault="004422B3">
      <w:pPr>
        <w:numPr>
          <w:ilvl w:val="0"/>
          <w:numId w:val="47"/>
        </w:numPr>
        <w:tabs>
          <w:tab w:val="clear" w:pos="720"/>
          <w:tab w:val="left" w:pos="567"/>
        </w:tabs>
        <w:ind w:left="142" w:firstLine="0"/>
        <w:jc w:val="both"/>
        <w:rPr>
          <w:rFonts w:ascii="Verdana" w:hAnsi="Verdana" w:cs="Verdana"/>
          <w:bCs/>
          <w:iCs/>
          <w:sz w:val="18"/>
          <w:szCs w:val="18"/>
        </w:rPr>
      </w:pPr>
      <w:r w:rsidRPr="004422B3">
        <w:rPr>
          <w:rFonts w:ascii="Verdana" w:hAnsi="Verdana" w:cs="Verdana"/>
          <w:b/>
          <w:bCs/>
          <w:iCs/>
          <w:sz w:val="18"/>
          <w:szCs w:val="18"/>
        </w:rPr>
        <w:t>Empresa grande (individual):</w:t>
      </w:r>
      <w:r w:rsidRPr="004422B3">
        <w:rPr>
          <w:rFonts w:ascii="Verdana" w:hAnsi="Verdana" w:cs="Verdana"/>
          <w:bCs/>
          <w:iCs/>
          <w:sz w:val="18"/>
          <w:szCs w:val="18"/>
        </w:rPr>
        <w:t xml:space="preserve"> mismos límites.</w:t>
      </w:r>
    </w:p>
    <w:p w14:paraId="1917D9CF" w14:textId="13F6D359" w:rsidR="004422B3" w:rsidRPr="004422B3" w:rsidRDefault="00000000" w:rsidP="004422B3">
      <w:pPr>
        <w:ind w:left="142"/>
        <w:jc w:val="both"/>
        <w:rPr>
          <w:rFonts w:ascii="Verdana" w:hAnsi="Verdana" w:cs="Verdana"/>
          <w:bCs/>
          <w:iCs/>
          <w:sz w:val="18"/>
          <w:szCs w:val="18"/>
        </w:rPr>
      </w:pPr>
      <w:r>
        <w:rPr>
          <w:rFonts w:ascii="Verdana" w:hAnsi="Verdana" w:cs="Verdana"/>
          <w:bCs/>
          <w:iCs/>
          <w:sz w:val="18"/>
          <w:szCs w:val="18"/>
        </w:rPr>
        <w:pict w14:anchorId="615CE2C1">
          <v:rect id="_x0000_i1036" style="width:418.1pt;height:1.5pt" o:hralign="center" o:hrstd="t" o:hr="t" fillcolor="#a0a0a0" stroked="f"/>
        </w:pict>
      </w:r>
    </w:p>
    <w:p w14:paraId="430B93BF" w14:textId="0E0FEE54" w:rsidR="004422B3" w:rsidRPr="00AB6D7D" w:rsidRDefault="004422B3" w:rsidP="004422B3">
      <w:pPr>
        <w:ind w:left="142"/>
        <w:jc w:val="both"/>
        <w:rPr>
          <w:rFonts w:ascii="Verdana" w:hAnsi="Verdana" w:cs="Verdana"/>
          <w:b/>
          <w:bCs/>
          <w:iCs/>
          <w:color w:val="984806" w:themeColor="accent6" w:themeShade="80"/>
          <w:sz w:val="18"/>
          <w:szCs w:val="18"/>
          <w:u w:val="single"/>
        </w:rPr>
      </w:pPr>
      <w:r w:rsidRPr="00AB6D7D">
        <w:rPr>
          <w:rFonts w:ascii="Verdana" w:hAnsi="Verdana" w:cs="Verdana"/>
          <w:b/>
          <w:bCs/>
          <w:iCs/>
          <w:color w:val="984806" w:themeColor="accent6" w:themeShade="80"/>
          <w:sz w:val="18"/>
          <w:szCs w:val="18"/>
          <w:u w:val="single"/>
        </w:rPr>
        <w:t>Conclusión</w:t>
      </w:r>
    </w:p>
    <w:p w14:paraId="298CA8E7" w14:textId="1128D368" w:rsidR="004422B3" w:rsidRDefault="004422B3" w:rsidP="00A7339B">
      <w:pPr>
        <w:ind w:left="142"/>
        <w:jc w:val="both"/>
        <w:rPr>
          <w:rFonts w:ascii="Verdana" w:hAnsi="Verdana" w:cs="Verdana"/>
          <w:bCs/>
          <w:iCs/>
          <w:sz w:val="18"/>
          <w:szCs w:val="18"/>
        </w:rPr>
      </w:pPr>
      <w:r w:rsidRPr="004422B3">
        <w:rPr>
          <w:rFonts w:ascii="Verdana" w:hAnsi="Verdana" w:cs="Verdana"/>
          <w:bCs/>
          <w:iCs/>
          <w:sz w:val="18"/>
          <w:szCs w:val="18"/>
        </w:rPr>
        <w:t xml:space="preserve">Esta actualización supone una </w:t>
      </w:r>
      <w:r w:rsidRPr="004422B3">
        <w:rPr>
          <w:rFonts w:ascii="Verdana" w:hAnsi="Verdana" w:cs="Verdana"/>
          <w:b/>
          <w:bCs/>
          <w:iCs/>
          <w:sz w:val="18"/>
          <w:szCs w:val="18"/>
        </w:rPr>
        <w:t>reducción de cargas administrativas</w:t>
      </w:r>
      <w:r w:rsidRPr="004422B3">
        <w:rPr>
          <w:rFonts w:ascii="Verdana" w:hAnsi="Verdana" w:cs="Verdana"/>
          <w:bCs/>
          <w:iCs/>
          <w:sz w:val="18"/>
          <w:szCs w:val="18"/>
        </w:rPr>
        <w:t xml:space="preserve"> y un ajuste a la realidad económica actual. Muchas empresas volverán a categorías inferiores, con efectos directos en auditoría, presentación de cuentas y obligaciones de información.</w:t>
      </w:r>
    </w:p>
    <w:p w14:paraId="000B29C6" w14:textId="77777777" w:rsidR="00434898" w:rsidRDefault="00434898" w:rsidP="00A7339B">
      <w:pPr>
        <w:ind w:left="142"/>
        <w:jc w:val="both"/>
        <w:rPr>
          <w:rFonts w:ascii="Verdana" w:hAnsi="Verdana" w:cs="Verdana"/>
          <w:bCs/>
          <w:iCs/>
          <w:sz w:val="18"/>
          <w:szCs w:val="18"/>
        </w:rPr>
      </w:pPr>
    </w:p>
    <w:p w14:paraId="1EF10EFC" w14:textId="77777777" w:rsidR="00434898" w:rsidRDefault="00434898" w:rsidP="00A7339B">
      <w:pPr>
        <w:ind w:left="142"/>
        <w:jc w:val="both"/>
        <w:rPr>
          <w:rFonts w:ascii="Verdana" w:hAnsi="Verdana" w:cs="Verdana"/>
          <w:bCs/>
          <w:iCs/>
          <w:sz w:val="18"/>
          <w:szCs w:val="18"/>
        </w:rPr>
      </w:pPr>
    </w:p>
    <w:tbl>
      <w:tblPr>
        <w:tblW w:w="8640" w:type="dxa"/>
        <w:tblInd w:w="-68" w:type="dxa"/>
        <w:tblCellMar>
          <w:left w:w="70" w:type="dxa"/>
          <w:right w:w="70" w:type="dxa"/>
        </w:tblCellMar>
        <w:tblLook w:val="0000" w:firstRow="0" w:lastRow="0" w:firstColumn="0" w:lastColumn="0" w:noHBand="0" w:noVBand="0"/>
      </w:tblPr>
      <w:tblGrid>
        <w:gridCol w:w="180"/>
        <w:gridCol w:w="8460"/>
      </w:tblGrid>
      <w:tr w:rsidR="00B96FA0" w:rsidRPr="00B96FA0" w14:paraId="7573E507" w14:textId="77777777" w:rsidTr="008C4B8E">
        <w:trPr>
          <w:trHeight w:val="232"/>
        </w:trPr>
        <w:tc>
          <w:tcPr>
            <w:tcW w:w="180" w:type="dxa"/>
            <w:shd w:val="clear" w:color="auto" w:fill="FF6600"/>
          </w:tcPr>
          <w:p w14:paraId="44B3F0A8" w14:textId="77777777" w:rsidR="00B96FA0" w:rsidRPr="00B96FA0" w:rsidRDefault="00B96FA0" w:rsidP="008C4B8E">
            <w:pPr>
              <w:tabs>
                <w:tab w:val="num" w:pos="426"/>
              </w:tabs>
              <w:ind w:left="426"/>
              <w:jc w:val="both"/>
              <w:rPr>
                <w:rFonts w:ascii="Verdana" w:hAnsi="Verdana" w:cs="Verdana"/>
                <w:b/>
                <w:bCs/>
                <w:color w:val="800000"/>
                <w:sz w:val="18"/>
                <w:szCs w:val="18"/>
              </w:rPr>
            </w:pPr>
            <w:bookmarkStart w:id="7" w:name="_Hlk214728097"/>
          </w:p>
        </w:tc>
        <w:tc>
          <w:tcPr>
            <w:tcW w:w="8460" w:type="dxa"/>
          </w:tcPr>
          <w:p w14:paraId="462430E0" w14:textId="1B7B9FA4" w:rsidR="00B96FA0" w:rsidRPr="00B96FA0" w:rsidRDefault="00B96FA0" w:rsidP="008C4B8E">
            <w:pPr>
              <w:numPr>
                <w:ilvl w:val="0"/>
                <w:numId w:val="3"/>
              </w:numPr>
              <w:tabs>
                <w:tab w:val="num" w:pos="426"/>
              </w:tabs>
              <w:jc w:val="both"/>
              <w:rPr>
                <w:rFonts w:ascii="Verdana" w:hAnsi="Verdana" w:cs="Verdana"/>
                <w:b/>
                <w:bCs/>
                <w:color w:val="800000"/>
                <w:sz w:val="18"/>
                <w:szCs w:val="18"/>
              </w:rPr>
            </w:pPr>
            <w:r w:rsidRPr="00B96FA0">
              <w:rPr>
                <w:rFonts w:ascii="Verdana" w:hAnsi="Verdana" w:cs="Verdana"/>
                <w:b/>
                <w:bCs/>
                <w:color w:val="800000"/>
                <w:sz w:val="18"/>
                <w:szCs w:val="18"/>
              </w:rPr>
              <w:t>HACIENDA DISPARARÁ EL CONTROL A LOS PAGOS POR BIZUM Y CON TARJETA DESDE 2026</w:t>
            </w:r>
          </w:p>
        </w:tc>
      </w:tr>
      <w:bookmarkEnd w:id="7"/>
    </w:tbl>
    <w:p w14:paraId="707A95FF" w14:textId="77777777" w:rsidR="00434898" w:rsidRDefault="00434898" w:rsidP="00A7339B">
      <w:pPr>
        <w:ind w:left="142"/>
        <w:jc w:val="both"/>
        <w:rPr>
          <w:rFonts w:ascii="Verdana" w:hAnsi="Verdana" w:cs="Verdana"/>
          <w:bCs/>
          <w:iCs/>
          <w:sz w:val="18"/>
          <w:szCs w:val="18"/>
        </w:rPr>
      </w:pPr>
    </w:p>
    <w:p w14:paraId="6989BE54" w14:textId="77777777" w:rsidR="00B96FA0" w:rsidRDefault="00434898" w:rsidP="00434898">
      <w:pPr>
        <w:ind w:left="142"/>
        <w:jc w:val="both"/>
        <w:rPr>
          <w:rFonts w:ascii="Verdana" w:hAnsi="Verdana" w:cs="Verdana"/>
          <w:bCs/>
          <w:iCs/>
          <w:sz w:val="18"/>
          <w:szCs w:val="18"/>
        </w:rPr>
      </w:pPr>
      <w:bookmarkStart w:id="8" w:name="_Hlk214464216"/>
      <w:r w:rsidRPr="00434898">
        <w:rPr>
          <w:rFonts w:ascii="Verdana" w:hAnsi="Verdana" w:cs="Verdana"/>
          <w:bCs/>
          <w:iCs/>
          <w:sz w:val="18"/>
          <w:szCs w:val="18"/>
        </w:rPr>
        <w:t xml:space="preserve">A partir del </w:t>
      </w:r>
      <w:r w:rsidRPr="00434898">
        <w:rPr>
          <w:rFonts w:ascii="Verdana" w:hAnsi="Verdana" w:cs="Verdana"/>
          <w:b/>
          <w:bCs/>
          <w:iCs/>
          <w:sz w:val="18"/>
          <w:szCs w:val="18"/>
        </w:rPr>
        <w:t>1 de enero de 2026</w:t>
      </w:r>
      <w:r w:rsidRPr="00434898">
        <w:rPr>
          <w:rFonts w:ascii="Verdana" w:hAnsi="Verdana" w:cs="Verdana"/>
          <w:bCs/>
          <w:iCs/>
          <w:sz w:val="18"/>
          <w:szCs w:val="18"/>
        </w:rPr>
        <w:t xml:space="preserve">, la Agencia Tributaria tendrá </w:t>
      </w:r>
      <w:r w:rsidRPr="00434898">
        <w:rPr>
          <w:rFonts w:ascii="Verdana" w:hAnsi="Verdana" w:cs="Verdana"/>
          <w:b/>
          <w:bCs/>
          <w:iCs/>
          <w:sz w:val="18"/>
          <w:szCs w:val="18"/>
        </w:rPr>
        <w:t>acceso total</w:t>
      </w:r>
      <w:r w:rsidRPr="00434898">
        <w:rPr>
          <w:rFonts w:ascii="Verdana" w:hAnsi="Verdana" w:cs="Verdana"/>
          <w:bCs/>
          <w:iCs/>
          <w:sz w:val="18"/>
          <w:szCs w:val="18"/>
        </w:rPr>
        <w:t xml:space="preserve"> a todas las transferencias enviadas o recibidas mediante </w:t>
      </w:r>
      <w:r w:rsidRPr="00434898">
        <w:rPr>
          <w:rFonts w:ascii="Verdana" w:hAnsi="Verdana" w:cs="Verdana"/>
          <w:b/>
          <w:bCs/>
          <w:iCs/>
          <w:sz w:val="18"/>
          <w:szCs w:val="18"/>
        </w:rPr>
        <w:t>Bizum por empresas y profesionales</w:t>
      </w:r>
      <w:r w:rsidRPr="00434898">
        <w:rPr>
          <w:rFonts w:ascii="Verdana" w:hAnsi="Verdana" w:cs="Verdana"/>
          <w:bCs/>
          <w:iCs/>
          <w:sz w:val="18"/>
          <w:szCs w:val="18"/>
        </w:rPr>
        <w:t>, sin importar su importe.</w:t>
      </w:r>
    </w:p>
    <w:bookmarkEnd w:id="8"/>
    <w:p w14:paraId="3E3E62C3" w14:textId="2DDF45E9" w:rsidR="00434898" w:rsidRPr="00434898" w:rsidRDefault="00434898" w:rsidP="00434898">
      <w:pPr>
        <w:ind w:left="142"/>
        <w:jc w:val="both"/>
        <w:rPr>
          <w:rFonts w:ascii="Verdana" w:hAnsi="Verdana" w:cs="Verdana"/>
          <w:bCs/>
          <w:iCs/>
          <w:sz w:val="18"/>
          <w:szCs w:val="18"/>
        </w:rPr>
      </w:pPr>
      <w:r w:rsidRPr="00434898">
        <w:rPr>
          <w:rFonts w:ascii="Verdana" w:hAnsi="Verdana" w:cs="Verdana"/>
          <w:bCs/>
          <w:iCs/>
          <w:sz w:val="18"/>
          <w:szCs w:val="18"/>
        </w:rPr>
        <w:br/>
        <w:t xml:space="preserve">Este cambio está recogido en el </w:t>
      </w:r>
      <w:r w:rsidRPr="00434898">
        <w:rPr>
          <w:rFonts w:ascii="Verdana" w:hAnsi="Verdana" w:cs="Verdana"/>
          <w:b/>
          <w:bCs/>
          <w:iCs/>
          <w:sz w:val="18"/>
          <w:szCs w:val="18"/>
        </w:rPr>
        <w:t>Real Decreto 253/2025</w:t>
      </w:r>
      <w:r w:rsidRPr="00434898">
        <w:rPr>
          <w:rFonts w:ascii="Verdana" w:hAnsi="Verdana" w:cs="Verdana"/>
          <w:bCs/>
          <w:iCs/>
          <w:sz w:val="18"/>
          <w:szCs w:val="18"/>
        </w:rPr>
        <w:t>, publicado en el BOE el 2 de abril.</w:t>
      </w:r>
    </w:p>
    <w:p w14:paraId="7A5F97B2" w14:textId="7D96E6B5" w:rsidR="00434898" w:rsidRDefault="00434898" w:rsidP="00B96FA0">
      <w:pPr>
        <w:ind w:left="142"/>
        <w:jc w:val="both"/>
        <w:rPr>
          <w:rFonts w:ascii="Verdana" w:hAnsi="Verdana" w:cs="Verdana"/>
          <w:bCs/>
          <w:iCs/>
          <w:sz w:val="18"/>
          <w:szCs w:val="18"/>
        </w:rPr>
      </w:pPr>
      <w:r w:rsidRPr="00434898">
        <w:rPr>
          <w:rFonts w:ascii="Verdana" w:hAnsi="Verdana" w:cs="Verdana"/>
          <w:bCs/>
          <w:iCs/>
          <w:sz w:val="18"/>
          <w:szCs w:val="18"/>
        </w:rPr>
        <w:t xml:space="preserve">Hasta ahora, los bancos solo debían informar de operaciones superiores a </w:t>
      </w:r>
      <w:r w:rsidRPr="00434898">
        <w:rPr>
          <w:rFonts w:ascii="Verdana" w:hAnsi="Verdana" w:cs="Verdana"/>
          <w:b/>
          <w:bCs/>
          <w:iCs/>
          <w:sz w:val="18"/>
          <w:szCs w:val="18"/>
        </w:rPr>
        <w:t>10.000 €</w:t>
      </w:r>
      <w:r w:rsidRPr="00434898">
        <w:rPr>
          <w:rFonts w:ascii="Verdana" w:hAnsi="Verdana" w:cs="Verdana"/>
          <w:bCs/>
          <w:iCs/>
          <w:sz w:val="18"/>
          <w:szCs w:val="18"/>
        </w:rPr>
        <w:t>, lo que había convertido a Bizum en una vía habitual para pagos en comercios y profesionales sin declaración. Con la nueva normativa, esta limitación desaparece.</w:t>
      </w:r>
    </w:p>
    <w:p w14:paraId="0B343B58" w14:textId="77777777" w:rsidR="00B96FA0" w:rsidRPr="00434898" w:rsidRDefault="00B96FA0" w:rsidP="00B96FA0">
      <w:pPr>
        <w:ind w:left="142"/>
        <w:jc w:val="both"/>
        <w:rPr>
          <w:rFonts w:ascii="Verdana" w:hAnsi="Verdana" w:cs="Verdana"/>
          <w:bCs/>
          <w:iCs/>
          <w:sz w:val="18"/>
          <w:szCs w:val="18"/>
        </w:rPr>
      </w:pPr>
    </w:p>
    <w:p w14:paraId="404B8518" w14:textId="77777777" w:rsidR="00434898" w:rsidRPr="00B96FA0" w:rsidRDefault="00434898" w:rsidP="00434898">
      <w:pPr>
        <w:ind w:left="142"/>
        <w:jc w:val="both"/>
        <w:rPr>
          <w:rFonts w:ascii="Verdana" w:hAnsi="Verdana" w:cs="Verdana"/>
          <w:b/>
          <w:bCs/>
          <w:iCs/>
          <w:color w:val="984806" w:themeColor="accent6" w:themeShade="80"/>
          <w:sz w:val="18"/>
          <w:szCs w:val="18"/>
        </w:rPr>
      </w:pPr>
      <w:r w:rsidRPr="00B96FA0">
        <w:rPr>
          <w:rFonts w:ascii="Verdana" w:hAnsi="Verdana" w:cs="Verdana"/>
          <w:b/>
          <w:bCs/>
          <w:iCs/>
          <w:color w:val="984806" w:themeColor="accent6" w:themeShade="80"/>
          <w:sz w:val="18"/>
          <w:szCs w:val="18"/>
        </w:rPr>
        <w:t>Objetivo de la medida</w:t>
      </w:r>
    </w:p>
    <w:p w14:paraId="2C3DC642" w14:textId="77777777" w:rsidR="00434898" w:rsidRDefault="00434898" w:rsidP="00DD0537">
      <w:pPr>
        <w:ind w:left="142"/>
        <w:jc w:val="both"/>
        <w:rPr>
          <w:rFonts w:ascii="Verdana" w:hAnsi="Verdana" w:cs="Verdana"/>
          <w:bCs/>
          <w:iCs/>
          <w:sz w:val="18"/>
          <w:szCs w:val="18"/>
        </w:rPr>
      </w:pPr>
      <w:r w:rsidRPr="00434898">
        <w:rPr>
          <w:rFonts w:ascii="Verdana" w:hAnsi="Verdana" w:cs="Verdana"/>
          <w:bCs/>
          <w:iCs/>
          <w:sz w:val="18"/>
          <w:szCs w:val="18"/>
        </w:rPr>
        <w:t>Refuerzo del control contra el fraude, especialmente tras el fuerte incremento del uso de Bizum en comercio electrónico (58 millones de operaciones en 2024, por importe de 3.107 millones €).</w:t>
      </w:r>
    </w:p>
    <w:p w14:paraId="1AB69AE9" w14:textId="77777777" w:rsidR="00B96FA0" w:rsidRPr="00434898" w:rsidRDefault="00B96FA0" w:rsidP="00B96FA0">
      <w:pPr>
        <w:ind w:left="720"/>
        <w:jc w:val="both"/>
        <w:rPr>
          <w:rFonts w:ascii="Verdana" w:hAnsi="Verdana" w:cs="Verdana"/>
          <w:bCs/>
          <w:iCs/>
          <w:sz w:val="18"/>
          <w:szCs w:val="18"/>
        </w:rPr>
      </w:pPr>
    </w:p>
    <w:p w14:paraId="58EB91F7" w14:textId="77777777" w:rsidR="00434898" w:rsidRPr="00B96FA0" w:rsidRDefault="00434898" w:rsidP="00434898">
      <w:pPr>
        <w:ind w:left="142"/>
        <w:jc w:val="both"/>
        <w:rPr>
          <w:rFonts w:ascii="Verdana" w:hAnsi="Verdana" w:cs="Verdana"/>
          <w:b/>
          <w:bCs/>
          <w:iCs/>
          <w:color w:val="984806" w:themeColor="accent6" w:themeShade="80"/>
          <w:sz w:val="18"/>
          <w:szCs w:val="18"/>
        </w:rPr>
      </w:pPr>
      <w:r w:rsidRPr="00B96FA0">
        <w:rPr>
          <w:rFonts w:ascii="Verdana" w:hAnsi="Verdana" w:cs="Verdana"/>
          <w:b/>
          <w:bCs/>
          <w:iCs/>
          <w:color w:val="984806" w:themeColor="accent6" w:themeShade="80"/>
          <w:sz w:val="18"/>
          <w:szCs w:val="18"/>
        </w:rPr>
        <w:t>Impacto en autónomos</w:t>
      </w:r>
    </w:p>
    <w:p w14:paraId="604B8F37" w14:textId="5EBB5F99" w:rsidR="00434898" w:rsidRPr="00434898" w:rsidRDefault="00434898" w:rsidP="00434898">
      <w:pPr>
        <w:numPr>
          <w:ilvl w:val="0"/>
          <w:numId w:val="49"/>
        </w:numPr>
        <w:jc w:val="both"/>
        <w:rPr>
          <w:rFonts w:ascii="Verdana" w:hAnsi="Verdana" w:cs="Verdana"/>
          <w:bCs/>
          <w:iCs/>
          <w:sz w:val="18"/>
          <w:szCs w:val="18"/>
        </w:rPr>
      </w:pPr>
      <w:r w:rsidRPr="00434898">
        <w:rPr>
          <w:rFonts w:ascii="Verdana" w:hAnsi="Verdana" w:cs="Verdana"/>
          <w:bCs/>
          <w:iCs/>
          <w:sz w:val="18"/>
          <w:szCs w:val="18"/>
        </w:rPr>
        <w:lastRenderedPageBreak/>
        <w:t xml:space="preserve">Muchas entidades podrían informar </w:t>
      </w:r>
      <w:r w:rsidRPr="00434898">
        <w:rPr>
          <w:rFonts w:ascii="Verdana" w:hAnsi="Verdana" w:cs="Verdana"/>
          <w:b/>
          <w:bCs/>
          <w:iCs/>
          <w:sz w:val="18"/>
          <w:szCs w:val="18"/>
        </w:rPr>
        <w:t>todas las operaciones</w:t>
      </w:r>
      <w:r w:rsidRPr="00434898">
        <w:rPr>
          <w:rFonts w:ascii="Verdana" w:hAnsi="Verdana" w:cs="Verdana"/>
          <w:bCs/>
          <w:iCs/>
          <w:sz w:val="18"/>
          <w:szCs w:val="18"/>
        </w:rPr>
        <w:t xml:space="preserve"> (incluidas las personales) cuando </w:t>
      </w:r>
      <w:r w:rsidR="00B96FA0">
        <w:rPr>
          <w:rFonts w:ascii="Verdana" w:hAnsi="Verdana" w:cs="Verdana"/>
          <w:bCs/>
          <w:iCs/>
          <w:sz w:val="18"/>
          <w:szCs w:val="18"/>
        </w:rPr>
        <w:t xml:space="preserve">los </w:t>
      </w:r>
      <w:r w:rsidRPr="00434898">
        <w:rPr>
          <w:rFonts w:ascii="Verdana" w:hAnsi="Verdana" w:cs="Verdana"/>
          <w:bCs/>
          <w:iCs/>
          <w:sz w:val="18"/>
          <w:szCs w:val="18"/>
        </w:rPr>
        <w:t>autónomos utilizan una única cuenta para su actividad y su vida privada.</w:t>
      </w:r>
    </w:p>
    <w:p w14:paraId="4DC20CB1" w14:textId="77777777" w:rsidR="00434898" w:rsidRDefault="00434898" w:rsidP="00434898">
      <w:pPr>
        <w:numPr>
          <w:ilvl w:val="0"/>
          <w:numId w:val="49"/>
        </w:numPr>
        <w:jc w:val="both"/>
        <w:rPr>
          <w:rFonts w:ascii="Verdana" w:hAnsi="Verdana" w:cs="Verdana"/>
          <w:bCs/>
          <w:iCs/>
          <w:sz w:val="18"/>
          <w:szCs w:val="18"/>
        </w:rPr>
      </w:pPr>
      <w:r w:rsidRPr="00434898">
        <w:rPr>
          <w:rFonts w:ascii="Verdana" w:hAnsi="Verdana" w:cs="Verdana"/>
          <w:bCs/>
          <w:iCs/>
          <w:sz w:val="18"/>
          <w:szCs w:val="18"/>
        </w:rPr>
        <w:t xml:space="preserve">Esto podría generar </w:t>
      </w:r>
      <w:r w:rsidRPr="00434898">
        <w:rPr>
          <w:rFonts w:ascii="Verdana" w:hAnsi="Verdana" w:cs="Verdana"/>
          <w:b/>
          <w:bCs/>
          <w:iCs/>
          <w:sz w:val="18"/>
          <w:szCs w:val="18"/>
        </w:rPr>
        <w:t>información confusa</w:t>
      </w:r>
      <w:r w:rsidRPr="00434898">
        <w:rPr>
          <w:rFonts w:ascii="Verdana" w:hAnsi="Verdana" w:cs="Verdana"/>
          <w:bCs/>
          <w:iCs/>
          <w:sz w:val="18"/>
          <w:szCs w:val="18"/>
        </w:rPr>
        <w:t xml:space="preserve"> y dar lugar a discrepancias con Hacienda.</w:t>
      </w:r>
    </w:p>
    <w:p w14:paraId="3D1938F8" w14:textId="77777777" w:rsidR="00B96FA0" w:rsidRPr="00434898" w:rsidRDefault="00B96FA0" w:rsidP="00B96FA0">
      <w:pPr>
        <w:ind w:left="720"/>
        <w:jc w:val="both"/>
        <w:rPr>
          <w:rFonts w:ascii="Verdana" w:hAnsi="Verdana" w:cs="Verdana"/>
          <w:bCs/>
          <w:iCs/>
          <w:sz w:val="18"/>
          <w:szCs w:val="18"/>
        </w:rPr>
      </w:pPr>
    </w:p>
    <w:p w14:paraId="286DC8BB" w14:textId="77777777" w:rsidR="00434898" w:rsidRPr="00B96FA0" w:rsidRDefault="00434898" w:rsidP="00434898">
      <w:pPr>
        <w:ind w:left="142"/>
        <w:jc w:val="both"/>
        <w:rPr>
          <w:rFonts w:ascii="Verdana" w:hAnsi="Verdana" w:cs="Verdana"/>
          <w:b/>
          <w:bCs/>
          <w:iCs/>
          <w:color w:val="984806" w:themeColor="accent6" w:themeShade="80"/>
          <w:sz w:val="18"/>
          <w:szCs w:val="18"/>
        </w:rPr>
      </w:pPr>
      <w:r w:rsidRPr="00B96FA0">
        <w:rPr>
          <w:rFonts w:ascii="Verdana" w:hAnsi="Verdana" w:cs="Verdana"/>
          <w:b/>
          <w:bCs/>
          <w:iCs/>
          <w:color w:val="984806" w:themeColor="accent6" w:themeShade="80"/>
          <w:sz w:val="18"/>
          <w:szCs w:val="18"/>
        </w:rPr>
        <w:t>Más obligaciones para bancos</w:t>
      </w:r>
    </w:p>
    <w:p w14:paraId="16BA6D07" w14:textId="77777777" w:rsidR="00434898" w:rsidRPr="00434898" w:rsidRDefault="00434898" w:rsidP="00434898">
      <w:pPr>
        <w:ind w:left="142"/>
        <w:jc w:val="both"/>
        <w:rPr>
          <w:rFonts w:ascii="Verdana" w:hAnsi="Verdana" w:cs="Verdana"/>
          <w:bCs/>
          <w:iCs/>
          <w:sz w:val="18"/>
          <w:szCs w:val="18"/>
        </w:rPr>
      </w:pPr>
      <w:r w:rsidRPr="00434898">
        <w:rPr>
          <w:rFonts w:ascii="Verdana" w:hAnsi="Verdana" w:cs="Verdana"/>
          <w:bCs/>
          <w:iCs/>
          <w:sz w:val="18"/>
          <w:szCs w:val="18"/>
        </w:rPr>
        <w:t>Desde 2026 también deberán informar:</w:t>
      </w:r>
    </w:p>
    <w:p w14:paraId="08F556C6" w14:textId="77777777" w:rsidR="00434898" w:rsidRPr="00434898" w:rsidRDefault="00434898" w:rsidP="00434898">
      <w:pPr>
        <w:numPr>
          <w:ilvl w:val="0"/>
          <w:numId w:val="50"/>
        </w:numPr>
        <w:jc w:val="both"/>
        <w:rPr>
          <w:rFonts w:ascii="Verdana" w:hAnsi="Verdana" w:cs="Verdana"/>
          <w:bCs/>
          <w:iCs/>
          <w:sz w:val="18"/>
          <w:szCs w:val="18"/>
        </w:rPr>
      </w:pPr>
      <w:r w:rsidRPr="00434898">
        <w:rPr>
          <w:rFonts w:ascii="Verdana" w:hAnsi="Verdana" w:cs="Verdana"/>
          <w:b/>
          <w:bCs/>
          <w:iCs/>
          <w:sz w:val="18"/>
          <w:szCs w:val="18"/>
        </w:rPr>
        <w:t>Mensualmente</w:t>
      </w:r>
      <w:r w:rsidRPr="00434898">
        <w:rPr>
          <w:rFonts w:ascii="Verdana" w:hAnsi="Verdana" w:cs="Verdana"/>
          <w:bCs/>
          <w:iCs/>
          <w:sz w:val="18"/>
          <w:szCs w:val="18"/>
        </w:rPr>
        <w:t xml:space="preserve"> (en lugar de anualmente) sobre operaciones con Bizum.</w:t>
      </w:r>
    </w:p>
    <w:p w14:paraId="470EAA5E" w14:textId="77777777" w:rsidR="00434898" w:rsidRPr="00434898" w:rsidRDefault="00434898" w:rsidP="00434898">
      <w:pPr>
        <w:numPr>
          <w:ilvl w:val="0"/>
          <w:numId w:val="50"/>
        </w:numPr>
        <w:jc w:val="both"/>
        <w:rPr>
          <w:rFonts w:ascii="Verdana" w:hAnsi="Verdana" w:cs="Verdana"/>
          <w:bCs/>
          <w:iCs/>
          <w:sz w:val="18"/>
          <w:szCs w:val="18"/>
        </w:rPr>
      </w:pPr>
      <w:r w:rsidRPr="00434898">
        <w:rPr>
          <w:rFonts w:ascii="Verdana" w:hAnsi="Verdana" w:cs="Verdana"/>
          <w:bCs/>
          <w:iCs/>
          <w:sz w:val="18"/>
          <w:szCs w:val="18"/>
        </w:rPr>
        <w:t xml:space="preserve">Sobre </w:t>
      </w:r>
      <w:r w:rsidRPr="00434898">
        <w:rPr>
          <w:rFonts w:ascii="Verdana" w:hAnsi="Verdana" w:cs="Verdana"/>
          <w:b/>
          <w:bCs/>
          <w:iCs/>
          <w:sz w:val="18"/>
          <w:szCs w:val="18"/>
        </w:rPr>
        <w:t>cualquier operación con tarjeta</w:t>
      </w:r>
      <w:r w:rsidRPr="00434898">
        <w:rPr>
          <w:rFonts w:ascii="Verdana" w:hAnsi="Verdana" w:cs="Verdana"/>
          <w:bCs/>
          <w:iCs/>
          <w:sz w:val="18"/>
          <w:szCs w:val="18"/>
        </w:rPr>
        <w:t>: cargos, abonos, retiradas e ingresos en cajeros.</w:t>
      </w:r>
    </w:p>
    <w:p w14:paraId="18AABA15" w14:textId="77777777" w:rsidR="00434898" w:rsidRDefault="00434898" w:rsidP="00434898">
      <w:pPr>
        <w:numPr>
          <w:ilvl w:val="0"/>
          <w:numId w:val="50"/>
        </w:numPr>
        <w:jc w:val="both"/>
        <w:rPr>
          <w:rFonts w:ascii="Verdana" w:hAnsi="Verdana" w:cs="Verdana"/>
          <w:bCs/>
          <w:iCs/>
          <w:sz w:val="18"/>
          <w:szCs w:val="18"/>
        </w:rPr>
      </w:pPr>
      <w:r w:rsidRPr="00434898">
        <w:rPr>
          <w:rFonts w:ascii="Verdana" w:hAnsi="Verdana" w:cs="Verdana"/>
          <w:bCs/>
          <w:iCs/>
          <w:sz w:val="18"/>
          <w:szCs w:val="18"/>
        </w:rPr>
        <w:t xml:space="preserve">No solo entidades bancarias: también estarán obligadas las </w:t>
      </w:r>
      <w:r w:rsidRPr="00434898">
        <w:rPr>
          <w:rFonts w:ascii="Verdana" w:hAnsi="Verdana" w:cs="Verdana"/>
          <w:b/>
          <w:bCs/>
          <w:iCs/>
          <w:sz w:val="18"/>
          <w:szCs w:val="18"/>
        </w:rPr>
        <w:t>entidades de pago, dinero electrónico y entidades extranjeras</w:t>
      </w:r>
      <w:r w:rsidRPr="00434898">
        <w:rPr>
          <w:rFonts w:ascii="Verdana" w:hAnsi="Verdana" w:cs="Verdana"/>
          <w:bCs/>
          <w:iCs/>
          <w:sz w:val="18"/>
          <w:szCs w:val="18"/>
        </w:rPr>
        <w:t xml:space="preserve"> que operen en España.</w:t>
      </w:r>
    </w:p>
    <w:p w14:paraId="51AB2083" w14:textId="77777777" w:rsidR="009C410E" w:rsidRDefault="009C410E" w:rsidP="009C410E">
      <w:pPr>
        <w:jc w:val="both"/>
        <w:rPr>
          <w:rFonts w:ascii="Verdana" w:hAnsi="Verdana" w:cs="Verdana"/>
          <w:bCs/>
          <w:iCs/>
          <w:sz w:val="18"/>
          <w:szCs w:val="18"/>
        </w:rPr>
      </w:pPr>
    </w:p>
    <w:p w14:paraId="220AAFE3" w14:textId="77777777" w:rsidR="009C410E" w:rsidRDefault="009C410E" w:rsidP="009C410E">
      <w:pPr>
        <w:jc w:val="both"/>
        <w:rPr>
          <w:rFonts w:ascii="Verdana" w:hAnsi="Verdana" w:cs="Verdana"/>
          <w:bCs/>
          <w:iCs/>
          <w:sz w:val="18"/>
          <w:szCs w:val="18"/>
        </w:rPr>
      </w:pPr>
    </w:p>
    <w:tbl>
      <w:tblPr>
        <w:tblW w:w="8640" w:type="dxa"/>
        <w:tblInd w:w="-68" w:type="dxa"/>
        <w:tblCellMar>
          <w:left w:w="70" w:type="dxa"/>
          <w:right w:w="70" w:type="dxa"/>
        </w:tblCellMar>
        <w:tblLook w:val="0000" w:firstRow="0" w:lastRow="0" w:firstColumn="0" w:lastColumn="0" w:noHBand="0" w:noVBand="0"/>
      </w:tblPr>
      <w:tblGrid>
        <w:gridCol w:w="180"/>
        <w:gridCol w:w="8460"/>
      </w:tblGrid>
      <w:tr w:rsidR="009C410E" w:rsidRPr="009C410E" w14:paraId="05F4E2C6" w14:textId="77777777" w:rsidTr="009D4DEC">
        <w:trPr>
          <w:trHeight w:val="232"/>
        </w:trPr>
        <w:tc>
          <w:tcPr>
            <w:tcW w:w="180" w:type="dxa"/>
            <w:shd w:val="clear" w:color="auto" w:fill="FF6600"/>
          </w:tcPr>
          <w:p w14:paraId="5D643B68" w14:textId="77777777" w:rsidR="009C410E" w:rsidRPr="009C410E" w:rsidRDefault="009C410E" w:rsidP="009D4DEC">
            <w:pPr>
              <w:tabs>
                <w:tab w:val="num" w:pos="426"/>
              </w:tabs>
              <w:ind w:left="426"/>
              <w:jc w:val="both"/>
              <w:rPr>
                <w:rFonts w:ascii="Verdana" w:hAnsi="Verdana" w:cs="Verdana"/>
                <w:b/>
                <w:bCs/>
                <w:color w:val="800000"/>
                <w:sz w:val="18"/>
                <w:szCs w:val="18"/>
              </w:rPr>
            </w:pPr>
          </w:p>
        </w:tc>
        <w:tc>
          <w:tcPr>
            <w:tcW w:w="8460" w:type="dxa"/>
          </w:tcPr>
          <w:p w14:paraId="6947E3A3" w14:textId="238B7B34" w:rsidR="009C410E" w:rsidRPr="009C410E" w:rsidRDefault="009C410E" w:rsidP="009D4DEC">
            <w:pPr>
              <w:numPr>
                <w:ilvl w:val="0"/>
                <w:numId w:val="3"/>
              </w:numPr>
              <w:tabs>
                <w:tab w:val="num" w:pos="426"/>
              </w:tabs>
              <w:jc w:val="both"/>
              <w:rPr>
                <w:rFonts w:ascii="Verdana" w:hAnsi="Verdana" w:cs="Verdana"/>
                <w:b/>
                <w:bCs/>
                <w:color w:val="800000"/>
                <w:sz w:val="18"/>
                <w:szCs w:val="18"/>
              </w:rPr>
            </w:pPr>
            <w:r w:rsidRPr="009C410E">
              <w:rPr>
                <w:rFonts w:ascii="Verdana" w:hAnsi="Verdana" w:cs="Verdana"/>
                <w:b/>
                <w:bCs/>
                <w:color w:val="800000"/>
                <w:sz w:val="18"/>
                <w:szCs w:val="18"/>
              </w:rPr>
              <w:t xml:space="preserve">IVA. </w:t>
            </w:r>
            <w:r>
              <w:rPr>
                <w:rFonts w:ascii="Verdana" w:hAnsi="Verdana" w:cs="Verdana"/>
                <w:b/>
                <w:bCs/>
                <w:color w:val="800000"/>
                <w:sz w:val="18"/>
                <w:szCs w:val="18"/>
              </w:rPr>
              <w:t xml:space="preserve">- </w:t>
            </w:r>
            <w:r w:rsidRPr="009C410E">
              <w:rPr>
                <w:rFonts w:ascii="Verdana" w:hAnsi="Verdana" w:cs="Verdana"/>
                <w:b/>
                <w:bCs/>
                <w:color w:val="800000"/>
                <w:sz w:val="18"/>
                <w:szCs w:val="18"/>
              </w:rPr>
              <w:t>LAS RETRIBUCIONES DE UN ADMINISTRADOR ÚNICO, QUE DESEMPEÑA FUNCIONES DE DIRECCIÓN GENERAL Y QUE ESTÁ BAJO EL RETA, NO ESTÁN SUJETAS AL IVA</w:t>
            </w:r>
          </w:p>
        </w:tc>
      </w:tr>
    </w:tbl>
    <w:p w14:paraId="35FBFBE2" w14:textId="77777777" w:rsidR="009C410E" w:rsidRPr="009C410E" w:rsidRDefault="009C410E" w:rsidP="009C410E">
      <w:pPr>
        <w:spacing w:before="100" w:beforeAutospacing="1" w:after="100" w:afterAutospacing="1"/>
        <w:ind w:left="142"/>
        <w:jc w:val="both"/>
        <w:rPr>
          <w:rFonts w:ascii="Verdana" w:hAnsi="Verdana" w:cs="Times New Roman"/>
          <w:sz w:val="18"/>
          <w:szCs w:val="18"/>
        </w:rPr>
      </w:pPr>
      <w:r w:rsidRPr="009C410E">
        <w:rPr>
          <w:rFonts w:ascii="Verdana" w:hAnsi="Verdana" w:cs="Times New Roman"/>
          <w:sz w:val="18"/>
          <w:szCs w:val="18"/>
        </w:rPr>
        <w:t xml:space="preserve">La </w:t>
      </w:r>
      <w:r w:rsidRPr="009C410E">
        <w:rPr>
          <w:rFonts w:ascii="Verdana" w:hAnsi="Verdana" w:cs="Times New Roman"/>
          <w:b/>
          <w:bCs/>
          <w:sz w:val="18"/>
          <w:szCs w:val="18"/>
        </w:rPr>
        <w:t>Consulta Vinculante V1345-25 (16/07/2025)</w:t>
      </w:r>
      <w:r w:rsidRPr="009C410E">
        <w:rPr>
          <w:rFonts w:ascii="Verdana" w:hAnsi="Verdana" w:cs="Times New Roman"/>
          <w:sz w:val="18"/>
          <w:szCs w:val="18"/>
        </w:rPr>
        <w:t xml:space="preserve"> analiza si las retribuciones que percibe un contribuyente por su </w:t>
      </w:r>
      <w:r w:rsidRPr="009C410E">
        <w:rPr>
          <w:rFonts w:ascii="Verdana" w:hAnsi="Verdana" w:cs="Times New Roman"/>
          <w:b/>
          <w:bCs/>
          <w:sz w:val="18"/>
          <w:szCs w:val="18"/>
        </w:rPr>
        <w:t>cargo de administrador único</w:t>
      </w:r>
      <w:r w:rsidRPr="009C410E">
        <w:rPr>
          <w:rFonts w:ascii="Verdana" w:hAnsi="Verdana" w:cs="Times New Roman"/>
          <w:sz w:val="18"/>
          <w:szCs w:val="18"/>
        </w:rPr>
        <w:t xml:space="preserve"> de una sociedad dedicada a la elaboración de productos para alimentación animal están </w:t>
      </w:r>
      <w:r w:rsidRPr="009C410E">
        <w:rPr>
          <w:rFonts w:ascii="Verdana" w:hAnsi="Verdana" w:cs="Times New Roman"/>
          <w:b/>
          <w:bCs/>
          <w:sz w:val="18"/>
          <w:szCs w:val="18"/>
        </w:rPr>
        <w:t>sujetas al IVA</w:t>
      </w:r>
      <w:r w:rsidRPr="009C410E">
        <w:rPr>
          <w:rFonts w:ascii="Verdana" w:hAnsi="Verdana" w:cs="Times New Roman"/>
          <w:sz w:val="18"/>
          <w:szCs w:val="18"/>
        </w:rPr>
        <w:t>. El contribuyente también realiza funciones de director general, facturando honorarios como autónomo.</w:t>
      </w:r>
    </w:p>
    <w:p w14:paraId="1EFAD256" w14:textId="77777777" w:rsidR="009C410E" w:rsidRPr="009C410E" w:rsidRDefault="009C410E" w:rsidP="009C410E">
      <w:pPr>
        <w:spacing w:before="100" w:beforeAutospacing="1" w:after="100" w:afterAutospacing="1"/>
        <w:ind w:left="142"/>
        <w:jc w:val="both"/>
        <w:rPr>
          <w:rFonts w:ascii="Verdana" w:hAnsi="Verdana" w:cs="Times New Roman"/>
          <w:sz w:val="18"/>
          <w:szCs w:val="18"/>
        </w:rPr>
      </w:pPr>
      <w:r w:rsidRPr="009C410E">
        <w:rPr>
          <w:rFonts w:ascii="Verdana" w:hAnsi="Verdana" w:cs="Times New Roman"/>
          <w:sz w:val="18"/>
          <w:szCs w:val="18"/>
        </w:rPr>
        <w:t xml:space="preserve">La cuestión central es determinar si las funciones de administrador se realizan </w:t>
      </w:r>
      <w:r w:rsidRPr="009C410E">
        <w:rPr>
          <w:rFonts w:ascii="Verdana" w:hAnsi="Verdana" w:cs="Times New Roman"/>
          <w:b/>
          <w:bCs/>
          <w:sz w:val="18"/>
          <w:szCs w:val="18"/>
        </w:rPr>
        <w:t>con carácter independiente</w:t>
      </w:r>
      <w:r w:rsidRPr="009C410E">
        <w:rPr>
          <w:rFonts w:ascii="Verdana" w:hAnsi="Verdana" w:cs="Times New Roman"/>
          <w:sz w:val="18"/>
          <w:szCs w:val="18"/>
        </w:rPr>
        <w:t xml:space="preserve"> —y por tanto constituyen actividad económica sujeta a IVA— o si se ejercen bajo una </w:t>
      </w:r>
      <w:r w:rsidRPr="009C410E">
        <w:rPr>
          <w:rFonts w:ascii="Verdana" w:hAnsi="Verdana" w:cs="Times New Roman"/>
          <w:b/>
          <w:bCs/>
          <w:sz w:val="18"/>
          <w:szCs w:val="18"/>
        </w:rPr>
        <w:t>relación de dependencia</w:t>
      </w:r>
      <w:r w:rsidRPr="009C410E">
        <w:rPr>
          <w:rFonts w:ascii="Verdana" w:hAnsi="Verdana" w:cs="Times New Roman"/>
          <w:sz w:val="18"/>
          <w:szCs w:val="18"/>
        </w:rPr>
        <w:t>, lo que excluiría la sujeción al impuesto.</w:t>
      </w:r>
    </w:p>
    <w:p w14:paraId="176400CA" w14:textId="77777777" w:rsidR="009C410E" w:rsidRPr="009C410E" w:rsidRDefault="009C410E" w:rsidP="009C410E">
      <w:pPr>
        <w:spacing w:before="100" w:beforeAutospacing="1" w:after="100" w:afterAutospacing="1"/>
        <w:ind w:left="142"/>
        <w:jc w:val="both"/>
        <w:rPr>
          <w:rFonts w:ascii="Verdana" w:hAnsi="Verdana" w:cs="Times New Roman"/>
          <w:sz w:val="18"/>
          <w:szCs w:val="18"/>
        </w:rPr>
      </w:pPr>
      <w:r w:rsidRPr="009C410E">
        <w:rPr>
          <w:rFonts w:ascii="Verdana" w:hAnsi="Verdana" w:cs="Times New Roman"/>
          <w:sz w:val="18"/>
          <w:szCs w:val="18"/>
        </w:rPr>
        <w:t xml:space="preserve">A la luz de la doctrina del </w:t>
      </w:r>
      <w:r w:rsidRPr="009C410E">
        <w:rPr>
          <w:rFonts w:ascii="Verdana" w:hAnsi="Verdana" w:cs="Times New Roman"/>
          <w:b/>
          <w:bCs/>
          <w:sz w:val="18"/>
          <w:szCs w:val="18"/>
        </w:rPr>
        <w:t>TJUE (Sentencia 21-12-2023, asunto C-288/22)</w:t>
      </w:r>
      <w:r w:rsidRPr="009C410E">
        <w:rPr>
          <w:rFonts w:ascii="Verdana" w:hAnsi="Verdana" w:cs="Times New Roman"/>
          <w:sz w:val="18"/>
          <w:szCs w:val="18"/>
        </w:rPr>
        <w:t xml:space="preserve">, se considera que un administrador </w:t>
      </w:r>
      <w:r w:rsidRPr="009C410E">
        <w:rPr>
          <w:rFonts w:ascii="Verdana" w:hAnsi="Verdana" w:cs="Times New Roman"/>
          <w:b/>
          <w:bCs/>
          <w:sz w:val="18"/>
          <w:szCs w:val="18"/>
        </w:rPr>
        <w:t>no actúa por cuenta propia</w:t>
      </w:r>
      <w:r w:rsidRPr="009C410E">
        <w:rPr>
          <w:rFonts w:ascii="Verdana" w:hAnsi="Verdana" w:cs="Times New Roman"/>
          <w:sz w:val="18"/>
          <w:szCs w:val="18"/>
        </w:rPr>
        <w:t xml:space="preserve"> cuando </w:t>
      </w:r>
      <w:r w:rsidRPr="009C410E">
        <w:rPr>
          <w:rFonts w:ascii="Verdana" w:hAnsi="Verdana" w:cs="Times New Roman"/>
          <w:b/>
          <w:bCs/>
          <w:sz w:val="18"/>
          <w:szCs w:val="18"/>
        </w:rPr>
        <w:t>no asume el riesgo económico</w:t>
      </w:r>
      <w:r w:rsidRPr="009C410E">
        <w:rPr>
          <w:rFonts w:ascii="Verdana" w:hAnsi="Verdana" w:cs="Times New Roman"/>
          <w:sz w:val="18"/>
          <w:szCs w:val="18"/>
        </w:rPr>
        <w:t xml:space="preserve"> de su actividad, recayendo dicho riesgo sobre la sociedad. Esto sucede incluso si el administrador tiene libertad organizativa o si su retribución se calcula como porcentaje sobre los negocios o beneficios.</w:t>
      </w:r>
    </w:p>
    <w:p w14:paraId="727F0D29" w14:textId="77777777" w:rsidR="009C410E" w:rsidRPr="009C410E" w:rsidRDefault="009C410E" w:rsidP="009C410E">
      <w:pPr>
        <w:spacing w:before="100" w:beforeAutospacing="1" w:after="100" w:afterAutospacing="1"/>
        <w:ind w:left="142"/>
        <w:jc w:val="both"/>
        <w:rPr>
          <w:rFonts w:ascii="Verdana" w:hAnsi="Verdana" w:cs="Times New Roman"/>
          <w:sz w:val="18"/>
          <w:szCs w:val="18"/>
        </w:rPr>
      </w:pPr>
      <w:r w:rsidRPr="009C410E">
        <w:rPr>
          <w:rFonts w:ascii="Verdana" w:hAnsi="Verdana" w:cs="Times New Roman"/>
          <w:sz w:val="18"/>
          <w:szCs w:val="18"/>
        </w:rPr>
        <w:t xml:space="preserve">La </w:t>
      </w:r>
      <w:r w:rsidRPr="009C410E">
        <w:rPr>
          <w:rFonts w:ascii="Verdana" w:hAnsi="Verdana" w:cs="Times New Roman"/>
          <w:b/>
          <w:bCs/>
          <w:sz w:val="18"/>
          <w:szCs w:val="18"/>
        </w:rPr>
        <w:t>normativa societaria española</w:t>
      </w:r>
      <w:r w:rsidRPr="009C410E">
        <w:rPr>
          <w:rFonts w:ascii="Verdana" w:hAnsi="Verdana" w:cs="Times New Roman"/>
          <w:sz w:val="18"/>
          <w:szCs w:val="18"/>
        </w:rPr>
        <w:t xml:space="preserve"> confirma que los administradores solo responden de forma personal en casos de actuación dolosa o culposa, por lo que </w:t>
      </w:r>
      <w:r w:rsidRPr="009C410E">
        <w:rPr>
          <w:rFonts w:ascii="Verdana" w:hAnsi="Verdana" w:cs="Times New Roman"/>
          <w:b/>
          <w:bCs/>
          <w:sz w:val="18"/>
          <w:szCs w:val="18"/>
        </w:rPr>
        <w:t>no soportan el riesgo económico ordinario</w:t>
      </w:r>
      <w:r w:rsidRPr="009C410E">
        <w:rPr>
          <w:rFonts w:ascii="Verdana" w:hAnsi="Verdana" w:cs="Times New Roman"/>
          <w:sz w:val="18"/>
          <w:szCs w:val="18"/>
        </w:rPr>
        <w:t>.</w:t>
      </w:r>
    </w:p>
    <w:p w14:paraId="0F28DE8D" w14:textId="77777777" w:rsidR="009C410E" w:rsidRPr="009C410E" w:rsidRDefault="009C410E" w:rsidP="009C410E">
      <w:pPr>
        <w:spacing w:before="100" w:beforeAutospacing="1" w:after="100" w:afterAutospacing="1"/>
        <w:ind w:left="142"/>
        <w:jc w:val="both"/>
        <w:rPr>
          <w:rFonts w:ascii="Verdana" w:hAnsi="Verdana" w:cs="Times New Roman"/>
          <w:sz w:val="18"/>
          <w:szCs w:val="18"/>
        </w:rPr>
      </w:pPr>
      <w:r w:rsidRPr="00AB6D7D">
        <w:rPr>
          <w:rFonts w:ascii="Verdana" w:hAnsi="Verdana" w:cs="Times New Roman"/>
          <w:b/>
          <w:bCs/>
          <w:color w:val="984806" w:themeColor="accent6" w:themeShade="80"/>
          <w:sz w:val="18"/>
          <w:szCs w:val="18"/>
          <w:u w:val="single"/>
        </w:rPr>
        <w:t>Conclusión</w:t>
      </w:r>
      <w:r w:rsidRPr="009C410E">
        <w:rPr>
          <w:rFonts w:ascii="Verdana" w:hAnsi="Verdana" w:cs="Times New Roman"/>
          <w:b/>
          <w:bCs/>
          <w:color w:val="984806" w:themeColor="accent6" w:themeShade="80"/>
          <w:sz w:val="18"/>
          <w:szCs w:val="18"/>
        </w:rPr>
        <w:t>:</w:t>
      </w:r>
      <w:r w:rsidRPr="009C410E">
        <w:rPr>
          <w:rFonts w:ascii="Verdana" w:hAnsi="Verdana" w:cs="Times New Roman"/>
          <w:color w:val="984806" w:themeColor="accent6" w:themeShade="80"/>
          <w:sz w:val="18"/>
          <w:szCs w:val="18"/>
        </w:rPr>
        <w:br/>
      </w:r>
      <w:r w:rsidRPr="009C410E">
        <w:rPr>
          <w:rFonts w:ascii="Verdana" w:hAnsi="Verdana" w:cs="Times New Roman"/>
          <w:sz w:val="18"/>
          <w:szCs w:val="18"/>
        </w:rPr>
        <w:t xml:space="preserve">La retribución percibida por el cargo de </w:t>
      </w:r>
      <w:r w:rsidRPr="009C410E">
        <w:rPr>
          <w:rFonts w:ascii="Verdana" w:hAnsi="Verdana" w:cs="Times New Roman"/>
          <w:b/>
          <w:bCs/>
          <w:sz w:val="18"/>
          <w:szCs w:val="18"/>
        </w:rPr>
        <w:t>administrador único no está sujeta a IVA</w:t>
      </w:r>
      <w:r w:rsidRPr="009C410E">
        <w:rPr>
          <w:rFonts w:ascii="Verdana" w:hAnsi="Verdana" w:cs="Times New Roman"/>
          <w:sz w:val="18"/>
          <w:szCs w:val="18"/>
        </w:rPr>
        <w:t>, al no considerarse que su actividad se realice con carácter independiente.</w:t>
      </w:r>
    </w:p>
    <w:p w14:paraId="2DEE760E" w14:textId="49DD2C27" w:rsidR="009C410E" w:rsidRPr="009C410E" w:rsidRDefault="009C410E" w:rsidP="009C410E">
      <w:pPr>
        <w:spacing w:before="100" w:beforeAutospacing="1" w:after="100" w:afterAutospacing="1"/>
        <w:ind w:left="142"/>
        <w:jc w:val="both"/>
        <w:rPr>
          <w:rFonts w:ascii="Verdana" w:hAnsi="Verdana" w:cs="Times New Roman"/>
          <w:sz w:val="18"/>
          <w:szCs w:val="18"/>
        </w:rPr>
      </w:pPr>
      <w:r w:rsidRPr="009C410E">
        <w:rPr>
          <w:rFonts w:ascii="Verdana" w:hAnsi="Verdana" w:cs="Times New Roman"/>
          <w:sz w:val="18"/>
          <w:szCs w:val="18"/>
        </w:rPr>
        <w:t xml:space="preserve">No obstante, las cantidades percibidas por </w:t>
      </w:r>
      <w:r w:rsidRPr="009C410E">
        <w:rPr>
          <w:rFonts w:ascii="Verdana" w:hAnsi="Verdana" w:cs="Times New Roman"/>
          <w:b/>
          <w:bCs/>
          <w:sz w:val="18"/>
          <w:szCs w:val="18"/>
        </w:rPr>
        <w:t>servicios de dirección o gestión distintos</w:t>
      </w:r>
      <w:r w:rsidRPr="009C410E">
        <w:rPr>
          <w:rFonts w:ascii="Verdana" w:hAnsi="Verdana" w:cs="Times New Roman"/>
          <w:sz w:val="18"/>
          <w:szCs w:val="18"/>
        </w:rPr>
        <w:t xml:space="preserve"> del cargo de administrador sí pueden constituir actividad profesional autónoma y, en consecuencia, </w:t>
      </w:r>
      <w:r w:rsidRPr="009C410E">
        <w:rPr>
          <w:rFonts w:ascii="Verdana" w:hAnsi="Verdana" w:cs="Times New Roman"/>
          <w:b/>
          <w:bCs/>
          <w:sz w:val="18"/>
          <w:szCs w:val="18"/>
        </w:rPr>
        <w:t xml:space="preserve">estar sujetas al IVA </w:t>
      </w:r>
      <w:r w:rsidR="009B2235">
        <w:rPr>
          <w:rFonts w:ascii="Verdana" w:hAnsi="Verdana" w:cs="Times New Roman"/>
          <w:b/>
          <w:bCs/>
          <w:sz w:val="18"/>
          <w:szCs w:val="18"/>
        </w:rPr>
        <w:t>de</w:t>
      </w:r>
      <w:r w:rsidRPr="009C410E">
        <w:rPr>
          <w:rFonts w:ascii="Verdana" w:hAnsi="Verdana" w:cs="Times New Roman"/>
          <w:b/>
          <w:bCs/>
          <w:sz w:val="18"/>
          <w:szCs w:val="18"/>
        </w:rPr>
        <w:t>l 21%</w:t>
      </w:r>
      <w:r w:rsidRPr="009C410E">
        <w:rPr>
          <w:rFonts w:ascii="Verdana" w:hAnsi="Verdana" w:cs="Times New Roman"/>
          <w:sz w:val="18"/>
          <w:szCs w:val="18"/>
        </w:rPr>
        <w:t>, siempre que cumplan los criterios del artículo 5 de la Ley del IVA.</w:t>
      </w:r>
    </w:p>
    <w:p w14:paraId="0D5A7C1A" w14:textId="77777777" w:rsidR="009C410E" w:rsidRPr="00434898" w:rsidRDefault="009C410E" w:rsidP="009C410E">
      <w:pPr>
        <w:jc w:val="both"/>
        <w:rPr>
          <w:rFonts w:ascii="Verdana" w:hAnsi="Verdana" w:cs="Verdana"/>
          <w:bCs/>
          <w:iCs/>
          <w:sz w:val="18"/>
          <w:szCs w:val="18"/>
        </w:rPr>
      </w:pPr>
    </w:p>
    <w:p w14:paraId="10BB5410" w14:textId="77777777" w:rsidR="00434898" w:rsidRDefault="00434898" w:rsidP="00A7339B">
      <w:pPr>
        <w:ind w:left="142"/>
        <w:jc w:val="both"/>
        <w:rPr>
          <w:rFonts w:ascii="Verdana" w:hAnsi="Verdana" w:cs="Verdana"/>
          <w:bCs/>
          <w:iCs/>
          <w:sz w:val="18"/>
          <w:szCs w:val="18"/>
        </w:rPr>
      </w:pPr>
    </w:p>
    <w:p w14:paraId="0C929D5C" w14:textId="77777777" w:rsidR="00987B11" w:rsidRPr="005C5BA8" w:rsidRDefault="00987B11" w:rsidP="00A7339B">
      <w:pPr>
        <w:ind w:left="142"/>
        <w:jc w:val="both"/>
        <w:rPr>
          <w:rFonts w:ascii="Verdana" w:hAnsi="Verdana" w:cs="Verdana"/>
          <w:bCs/>
          <w:iCs/>
          <w:sz w:val="18"/>
          <w:szCs w:val="18"/>
        </w:rPr>
      </w:pPr>
    </w:p>
    <w:p w14:paraId="51003F48" w14:textId="6643028A" w:rsidR="003408C1" w:rsidRPr="0021417F" w:rsidRDefault="0009684E" w:rsidP="001E10EA">
      <w:pPr>
        <w:jc w:val="both"/>
        <w:rPr>
          <w:rFonts w:ascii="Verdana" w:hAnsi="Verdana" w:cs="Verdana"/>
          <w:b/>
          <w:bCs/>
          <w:color w:val="800000"/>
          <w:sz w:val="22"/>
          <w:szCs w:val="22"/>
        </w:rPr>
      </w:pPr>
      <w:r w:rsidRPr="00062FDE">
        <w:rPr>
          <w:rFonts w:ascii="Verdana" w:hAnsi="Verdana" w:cs="Verdana"/>
          <w:bCs/>
          <w:iCs/>
          <w:sz w:val="18"/>
          <w:szCs w:val="18"/>
        </w:rPr>
        <w:br w:type="page"/>
      </w:r>
      <w:r w:rsidR="003408C1" w:rsidRPr="0021417F">
        <w:rPr>
          <w:rFonts w:ascii="Verdana" w:hAnsi="Verdana" w:cs="Verdana"/>
          <w:b/>
          <w:bCs/>
          <w:color w:val="800000"/>
          <w:sz w:val="22"/>
          <w:szCs w:val="22"/>
        </w:rPr>
        <w:lastRenderedPageBreak/>
        <w:t xml:space="preserve">DISPOSICIONES PUBLICADAS DURANTE </w:t>
      </w:r>
      <w:r w:rsidR="00B62F1B" w:rsidRPr="0021417F">
        <w:rPr>
          <w:rFonts w:ascii="Verdana" w:hAnsi="Verdana" w:cs="Verdana"/>
          <w:b/>
          <w:bCs/>
          <w:color w:val="800000"/>
          <w:sz w:val="22"/>
          <w:szCs w:val="22"/>
        </w:rPr>
        <w:t>LOS</w:t>
      </w:r>
      <w:r w:rsidR="002609B6" w:rsidRPr="0021417F">
        <w:rPr>
          <w:rFonts w:ascii="Verdana" w:hAnsi="Verdana" w:cs="Verdana"/>
          <w:b/>
          <w:bCs/>
          <w:color w:val="800000"/>
          <w:sz w:val="22"/>
          <w:szCs w:val="22"/>
        </w:rPr>
        <w:t xml:space="preserve"> MES</w:t>
      </w:r>
      <w:r w:rsidR="00B62F1B" w:rsidRPr="0021417F">
        <w:rPr>
          <w:rFonts w:ascii="Verdana" w:hAnsi="Verdana" w:cs="Verdana"/>
          <w:b/>
          <w:bCs/>
          <w:color w:val="800000"/>
          <w:sz w:val="22"/>
          <w:szCs w:val="22"/>
        </w:rPr>
        <w:t>ES</w:t>
      </w:r>
      <w:r w:rsidR="002609B6" w:rsidRPr="0021417F">
        <w:rPr>
          <w:rFonts w:ascii="Verdana" w:hAnsi="Verdana" w:cs="Verdana"/>
          <w:b/>
          <w:bCs/>
          <w:color w:val="800000"/>
          <w:sz w:val="22"/>
          <w:szCs w:val="22"/>
        </w:rPr>
        <w:t xml:space="preserve"> DE </w:t>
      </w:r>
      <w:r w:rsidR="00B62F1B" w:rsidRPr="0021417F">
        <w:rPr>
          <w:rFonts w:ascii="Verdana" w:hAnsi="Verdana" w:cs="Verdana"/>
          <w:b/>
          <w:bCs/>
          <w:color w:val="800000"/>
          <w:sz w:val="22"/>
          <w:szCs w:val="22"/>
        </w:rPr>
        <w:t xml:space="preserve">OCTUBRE Y </w:t>
      </w:r>
      <w:r w:rsidR="003408C1" w:rsidRPr="0021417F">
        <w:rPr>
          <w:rFonts w:ascii="Verdana" w:hAnsi="Verdana" w:cs="Verdana"/>
          <w:b/>
          <w:bCs/>
          <w:color w:val="800000"/>
          <w:sz w:val="22"/>
          <w:szCs w:val="22"/>
        </w:rPr>
        <w:t xml:space="preserve">NOVIEMBRE DE </w:t>
      </w:r>
      <w:r w:rsidR="00DF4A14" w:rsidRPr="0021417F">
        <w:rPr>
          <w:rFonts w:ascii="Verdana" w:hAnsi="Verdana" w:cs="Verdana"/>
          <w:b/>
          <w:bCs/>
          <w:color w:val="800000"/>
          <w:sz w:val="22"/>
          <w:szCs w:val="22"/>
        </w:rPr>
        <w:t>202</w:t>
      </w:r>
      <w:r w:rsidR="00B3440B">
        <w:rPr>
          <w:rFonts w:ascii="Verdana" w:hAnsi="Verdana" w:cs="Verdana"/>
          <w:b/>
          <w:bCs/>
          <w:color w:val="800000"/>
          <w:sz w:val="22"/>
          <w:szCs w:val="22"/>
        </w:rPr>
        <w:t>5</w:t>
      </w:r>
    </w:p>
    <w:p w14:paraId="7BB3691C" w14:textId="0249F953" w:rsidR="00045B7C" w:rsidRPr="00045B7C" w:rsidRDefault="00045B7C" w:rsidP="00045B7C">
      <w:pPr>
        <w:pStyle w:val="NormalWeb"/>
        <w:pBdr>
          <w:bottom w:val="single" w:sz="6" w:space="12" w:color="F4F4F4"/>
        </w:pBdr>
        <w:shd w:val="clear" w:color="auto" w:fill="FFFFFF"/>
        <w:tabs>
          <w:tab w:val="left" w:pos="0"/>
        </w:tabs>
        <w:contextualSpacing/>
        <w:jc w:val="both"/>
        <w:rPr>
          <w:rFonts w:ascii="Verdana" w:hAnsi="Verdana"/>
          <w:b/>
          <w:bCs/>
          <w:color w:val="800000"/>
          <w:sz w:val="18"/>
          <w:szCs w:val="18"/>
        </w:rPr>
      </w:pPr>
      <w:bookmarkStart w:id="9" w:name="_Hlk87463952"/>
      <w:r w:rsidRPr="00045B7C">
        <w:rPr>
          <w:rFonts w:ascii="Verdana" w:hAnsi="Verdana"/>
          <w:b/>
          <w:bCs/>
          <w:color w:val="800000"/>
          <w:sz w:val="18"/>
          <w:szCs w:val="18"/>
        </w:rPr>
        <w:t>Impuestos</w:t>
      </w:r>
    </w:p>
    <w:p w14:paraId="699F2F1A" w14:textId="2CD44CA9" w:rsidR="00045B7C" w:rsidRDefault="00045B7C" w:rsidP="00045B7C">
      <w:pPr>
        <w:pStyle w:val="NormalWeb"/>
        <w:pBdr>
          <w:bottom w:val="single" w:sz="6" w:space="12" w:color="F4F4F4"/>
        </w:pBdr>
        <w:shd w:val="clear" w:color="auto" w:fill="FFFFFF"/>
        <w:tabs>
          <w:tab w:val="left" w:pos="0"/>
        </w:tabs>
        <w:contextualSpacing/>
        <w:jc w:val="both"/>
        <w:rPr>
          <w:rFonts w:ascii="Verdana" w:hAnsi="Verdana" w:cs="Verdana"/>
          <w:sz w:val="18"/>
          <w:szCs w:val="18"/>
        </w:rPr>
      </w:pPr>
      <w:r w:rsidRPr="00045B7C">
        <w:rPr>
          <w:rFonts w:ascii="Verdana" w:hAnsi="Verdana" w:cs="Verdana"/>
          <w:sz w:val="18"/>
          <w:szCs w:val="18"/>
        </w:rPr>
        <w:t>Orden HAC/1197/2025, de 21 de octubre, por la que se aprueba el modelo 185, «Declaración informativa mensual de cotizaciones de afiliados y mutualistas», y se establecen las condiciones y el procedimiento para su presentación.</w:t>
      </w:r>
    </w:p>
    <w:p w14:paraId="00C097AF" w14:textId="77777777" w:rsidR="00045B7C" w:rsidRDefault="00045B7C" w:rsidP="00045B7C">
      <w:pPr>
        <w:pStyle w:val="NormalWeb"/>
        <w:pBdr>
          <w:bottom w:val="single" w:sz="6" w:space="12" w:color="F4F4F4"/>
        </w:pBdr>
        <w:shd w:val="clear" w:color="auto" w:fill="FFFFFF"/>
        <w:tabs>
          <w:tab w:val="left" w:pos="0"/>
        </w:tabs>
        <w:contextualSpacing/>
        <w:jc w:val="both"/>
        <w:rPr>
          <w:rFonts w:ascii="Verdana" w:hAnsi="Verdana" w:cs="Verdana"/>
          <w:sz w:val="18"/>
          <w:szCs w:val="18"/>
        </w:rPr>
      </w:pPr>
    </w:p>
    <w:p w14:paraId="652BFD1A" w14:textId="77777777" w:rsidR="00045B7C" w:rsidRPr="00045B7C" w:rsidRDefault="00045B7C" w:rsidP="00045B7C">
      <w:pPr>
        <w:pStyle w:val="NormalWeb"/>
        <w:pBdr>
          <w:bottom w:val="single" w:sz="6" w:space="12" w:color="F4F4F4"/>
        </w:pBdr>
        <w:shd w:val="clear" w:color="auto" w:fill="FFFFFF"/>
        <w:tabs>
          <w:tab w:val="left" w:pos="0"/>
        </w:tabs>
        <w:contextualSpacing/>
        <w:jc w:val="both"/>
        <w:rPr>
          <w:rFonts w:ascii="Verdana" w:hAnsi="Verdana" w:cs="Verdana"/>
          <w:sz w:val="18"/>
          <w:szCs w:val="18"/>
        </w:rPr>
      </w:pPr>
      <w:r w:rsidRPr="00045B7C">
        <w:rPr>
          <w:rFonts w:ascii="Verdana" w:hAnsi="Verdana" w:cs="Verdana"/>
          <w:sz w:val="18"/>
          <w:szCs w:val="18"/>
        </w:rPr>
        <w:t>Orden HAC/1198/2025, de 21 de octubre, por la que se aprueba el modelo 240 «Comunicación de la entidad constitutiva declarante de la declaración informativa del Impuesto Complementario», el modelo 241 «Declaración informativa del Impuesto Complementario», y el modelo 242 «Autoliquidación del Impuesto Complementario» y se establecen las condiciones y el procedimiento para su presentación.</w:t>
      </w:r>
    </w:p>
    <w:p w14:paraId="2C270E06" w14:textId="04483D54" w:rsidR="00045B7C" w:rsidRDefault="00045B7C" w:rsidP="00045B7C">
      <w:pPr>
        <w:pStyle w:val="NormalWeb"/>
        <w:pBdr>
          <w:bottom w:val="single" w:sz="6" w:space="12" w:color="F4F4F4"/>
        </w:pBdr>
        <w:shd w:val="clear" w:color="auto" w:fill="FFFFFF"/>
        <w:tabs>
          <w:tab w:val="left" w:pos="0"/>
        </w:tabs>
        <w:contextualSpacing/>
        <w:jc w:val="both"/>
        <w:rPr>
          <w:rFonts w:ascii="Verdana" w:hAnsi="Verdana" w:cs="Verdana"/>
          <w:i/>
          <w:iCs/>
          <w:sz w:val="18"/>
          <w:szCs w:val="18"/>
        </w:rPr>
      </w:pPr>
      <w:r w:rsidRPr="00045B7C">
        <w:rPr>
          <w:rFonts w:ascii="Verdana" w:hAnsi="Verdana" w:cs="Verdana"/>
          <w:i/>
          <w:iCs/>
          <w:sz w:val="18"/>
          <w:szCs w:val="18"/>
        </w:rPr>
        <w:t>Ministerio de Hacienda. B.O.E. núm.2</w:t>
      </w:r>
      <w:r>
        <w:rPr>
          <w:rFonts w:ascii="Verdana" w:hAnsi="Verdana" w:cs="Verdana"/>
          <w:i/>
          <w:iCs/>
          <w:sz w:val="18"/>
          <w:szCs w:val="18"/>
        </w:rPr>
        <w:t>60</w:t>
      </w:r>
      <w:r w:rsidRPr="00045B7C">
        <w:rPr>
          <w:rFonts w:ascii="Verdana" w:hAnsi="Verdana" w:cs="Verdana"/>
          <w:i/>
          <w:iCs/>
          <w:sz w:val="18"/>
          <w:szCs w:val="18"/>
        </w:rPr>
        <w:t xml:space="preserve"> de </w:t>
      </w:r>
      <w:r>
        <w:rPr>
          <w:rFonts w:ascii="Verdana" w:hAnsi="Verdana" w:cs="Verdana"/>
          <w:i/>
          <w:iCs/>
          <w:sz w:val="18"/>
          <w:szCs w:val="18"/>
        </w:rPr>
        <w:t xml:space="preserve">29 de otubre </w:t>
      </w:r>
      <w:r w:rsidRPr="00045B7C">
        <w:rPr>
          <w:rFonts w:ascii="Verdana" w:hAnsi="Verdana" w:cs="Verdana"/>
          <w:i/>
          <w:iCs/>
          <w:sz w:val="18"/>
          <w:szCs w:val="18"/>
        </w:rPr>
        <w:t>de 2025.</w:t>
      </w:r>
    </w:p>
    <w:p w14:paraId="5B8BBE18" w14:textId="77777777" w:rsidR="001E10EA" w:rsidRDefault="001E10EA" w:rsidP="00045B7C">
      <w:pPr>
        <w:pStyle w:val="NormalWeb"/>
        <w:pBdr>
          <w:bottom w:val="single" w:sz="6" w:space="12" w:color="F4F4F4"/>
        </w:pBdr>
        <w:shd w:val="clear" w:color="auto" w:fill="FFFFFF"/>
        <w:tabs>
          <w:tab w:val="left" w:pos="0"/>
        </w:tabs>
        <w:contextualSpacing/>
        <w:jc w:val="both"/>
        <w:rPr>
          <w:rFonts w:ascii="Verdana" w:hAnsi="Verdana" w:cs="Verdana"/>
          <w:i/>
          <w:iCs/>
          <w:sz w:val="18"/>
          <w:szCs w:val="18"/>
        </w:rPr>
      </w:pPr>
    </w:p>
    <w:p w14:paraId="3045156F" w14:textId="77777777" w:rsidR="001E10EA" w:rsidRPr="001E10EA" w:rsidRDefault="001E10EA" w:rsidP="001E10EA">
      <w:pPr>
        <w:pStyle w:val="NormalWeb"/>
        <w:pBdr>
          <w:bottom w:val="single" w:sz="6" w:space="12" w:color="F4F4F4"/>
        </w:pBdr>
        <w:shd w:val="clear" w:color="auto" w:fill="FFFFFF"/>
        <w:tabs>
          <w:tab w:val="left" w:pos="0"/>
        </w:tabs>
        <w:contextualSpacing/>
        <w:jc w:val="both"/>
        <w:rPr>
          <w:rFonts w:ascii="Verdana" w:hAnsi="Verdana"/>
          <w:b/>
          <w:bCs/>
          <w:color w:val="800000"/>
          <w:sz w:val="18"/>
          <w:szCs w:val="18"/>
        </w:rPr>
      </w:pPr>
      <w:r w:rsidRPr="001E10EA">
        <w:rPr>
          <w:rFonts w:ascii="Verdana" w:hAnsi="Verdana"/>
          <w:b/>
          <w:bCs/>
          <w:color w:val="800000"/>
          <w:sz w:val="18"/>
          <w:szCs w:val="18"/>
        </w:rPr>
        <w:t>Acuerdos internacionales administrativos</w:t>
      </w:r>
    </w:p>
    <w:p w14:paraId="65540329" w14:textId="77777777" w:rsidR="001E10EA" w:rsidRPr="001E10EA" w:rsidRDefault="001E10EA" w:rsidP="001E10EA">
      <w:pPr>
        <w:pStyle w:val="NormalWeb"/>
        <w:pBdr>
          <w:bottom w:val="single" w:sz="6" w:space="12" w:color="F4F4F4"/>
        </w:pBdr>
        <w:shd w:val="clear" w:color="auto" w:fill="FFFFFF"/>
        <w:tabs>
          <w:tab w:val="left" w:pos="0"/>
        </w:tabs>
        <w:contextualSpacing/>
        <w:jc w:val="both"/>
        <w:rPr>
          <w:rFonts w:ascii="Verdana" w:hAnsi="Verdana" w:cs="Verdana"/>
          <w:sz w:val="18"/>
          <w:szCs w:val="18"/>
        </w:rPr>
      </w:pPr>
      <w:r w:rsidRPr="001E10EA">
        <w:rPr>
          <w:rFonts w:ascii="Verdana" w:hAnsi="Verdana" w:cs="Verdana"/>
          <w:sz w:val="18"/>
          <w:szCs w:val="18"/>
        </w:rPr>
        <w:t xml:space="preserve">Acuerdo Multilateral entre Autoridades competentes sobre intercambio de información </w:t>
      </w:r>
      <w:proofErr w:type="spellStart"/>
      <w:r w:rsidRPr="001E10EA">
        <w:rPr>
          <w:rFonts w:ascii="Verdana" w:hAnsi="Verdana" w:cs="Verdana"/>
          <w:sz w:val="18"/>
          <w:szCs w:val="18"/>
        </w:rPr>
        <w:t>GloBE</w:t>
      </w:r>
      <w:proofErr w:type="spellEnd"/>
      <w:r w:rsidRPr="001E10EA">
        <w:rPr>
          <w:rFonts w:ascii="Verdana" w:hAnsi="Verdana" w:cs="Verdana"/>
          <w:sz w:val="18"/>
          <w:szCs w:val="18"/>
        </w:rPr>
        <w:t>.</w:t>
      </w:r>
    </w:p>
    <w:p w14:paraId="630A32CE" w14:textId="77777777" w:rsidR="001E10EA" w:rsidRPr="001E10EA" w:rsidRDefault="001E10EA" w:rsidP="001E10EA">
      <w:pPr>
        <w:pStyle w:val="NormalWeb"/>
        <w:pBdr>
          <w:bottom w:val="single" w:sz="6" w:space="12" w:color="F4F4F4"/>
        </w:pBdr>
        <w:shd w:val="clear" w:color="auto" w:fill="FFFFFF"/>
        <w:tabs>
          <w:tab w:val="left" w:pos="0"/>
        </w:tabs>
        <w:contextualSpacing/>
        <w:jc w:val="both"/>
        <w:rPr>
          <w:rFonts w:ascii="Verdana" w:hAnsi="Verdana"/>
          <w:i/>
          <w:iCs/>
          <w:sz w:val="18"/>
          <w:szCs w:val="18"/>
        </w:rPr>
      </w:pPr>
      <w:r w:rsidRPr="001E10EA">
        <w:rPr>
          <w:rFonts w:ascii="Verdana" w:hAnsi="Verdana"/>
          <w:i/>
          <w:iCs/>
          <w:sz w:val="18"/>
          <w:szCs w:val="18"/>
        </w:rPr>
        <w:t>Ministerio de Asuntos Exteriores, Unión Europea y Cooperación. B.O.E. núm. 262 de 31 de octubre.</w:t>
      </w:r>
    </w:p>
    <w:p w14:paraId="3394E31E" w14:textId="77777777" w:rsidR="001E10EA" w:rsidRDefault="001E10EA" w:rsidP="00045B7C">
      <w:pPr>
        <w:pStyle w:val="NormalWeb"/>
        <w:pBdr>
          <w:bottom w:val="single" w:sz="6" w:space="12" w:color="F4F4F4"/>
        </w:pBdr>
        <w:shd w:val="clear" w:color="auto" w:fill="FFFFFF"/>
        <w:tabs>
          <w:tab w:val="left" w:pos="0"/>
        </w:tabs>
        <w:contextualSpacing/>
        <w:jc w:val="both"/>
        <w:rPr>
          <w:rFonts w:ascii="Verdana" w:hAnsi="Verdana" w:cs="Verdana"/>
          <w:i/>
          <w:iCs/>
          <w:sz w:val="18"/>
          <w:szCs w:val="18"/>
        </w:rPr>
      </w:pPr>
    </w:p>
    <w:p w14:paraId="68876CC1" w14:textId="0493F84A" w:rsidR="000E62CF" w:rsidRPr="000E62CF" w:rsidRDefault="000E62CF" w:rsidP="000E62CF">
      <w:pPr>
        <w:pStyle w:val="NormalWeb"/>
        <w:pBdr>
          <w:bottom w:val="single" w:sz="6" w:space="12" w:color="F4F4F4"/>
        </w:pBdr>
        <w:shd w:val="clear" w:color="auto" w:fill="FFFFFF"/>
        <w:tabs>
          <w:tab w:val="left" w:pos="0"/>
        </w:tabs>
        <w:contextualSpacing/>
        <w:jc w:val="both"/>
        <w:rPr>
          <w:rFonts w:ascii="Verdana" w:hAnsi="Verdana"/>
          <w:b/>
          <w:bCs/>
          <w:color w:val="800000"/>
          <w:sz w:val="18"/>
          <w:szCs w:val="18"/>
        </w:rPr>
      </w:pPr>
      <w:r w:rsidRPr="000E62CF">
        <w:rPr>
          <w:rFonts w:ascii="Verdana" w:hAnsi="Verdana"/>
          <w:b/>
          <w:bCs/>
          <w:color w:val="800000"/>
          <w:sz w:val="18"/>
          <w:szCs w:val="18"/>
        </w:rPr>
        <w:t>Impuestos</w:t>
      </w:r>
    </w:p>
    <w:p w14:paraId="3D0BDF5D" w14:textId="2E640C85" w:rsidR="00690579" w:rsidRDefault="000E62CF" w:rsidP="000E62CF">
      <w:pPr>
        <w:pStyle w:val="NormalWeb"/>
        <w:pBdr>
          <w:bottom w:val="single" w:sz="6" w:space="12" w:color="F4F4F4"/>
        </w:pBdr>
        <w:shd w:val="clear" w:color="auto" w:fill="FFFFFF"/>
        <w:tabs>
          <w:tab w:val="left" w:pos="0"/>
        </w:tabs>
        <w:contextualSpacing/>
        <w:jc w:val="both"/>
        <w:rPr>
          <w:rFonts w:ascii="Verdana" w:hAnsi="Verdana" w:cs="Verdana"/>
          <w:sz w:val="18"/>
          <w:szCs w:val="18"/>
        </w:rPr>
      </w:pPr>
      <w:r w:rsidRPr="000E62CF">
        <w:rPr>
          <w:rFonts w:ascii="Verdana" w:hAnsi="Verdana" w:cs="Verdana"/>
          <w:sz w:val="18"/>
          <w:szCs w:val="18"/>
        </w:rPr>
        <w:t>Corrección de errores de la Orden HAC/1198/2025, de 21 de octubre, por la que se aprueba el modelo 240 «Comunicación de la entidad constitutiva declarante de la declaración informativa del Impuesto Complementario», el modelo 241 «Declaración informativa del Impuesto Complementario», y el modelo 242 «Autoliquidación del Impuesto Complementario» y se establecen las condiciones y el procedimiento para su presentación.</w:t>
      </w:r>
    </w:p>
    <w:p w14:paraId="29B09531" w14:textId="206842A5" w:rsidR="000E62CF" w:rsidRPr="000E62CF" w:rsidRDefault="000E62CF" w:rsidP="000E62CF">
      <w:pPr>
        <w:pStyle w:val="NormalWeb"/>
        <w:pBdr>
          <w:bottom w:val="single" w:sz="6" w:space="12" w:color="F4F4F4"/>
        </w:pBdr>
        <w:shd w:val="clear" w:color="auto" w:fill="FFFFFF"/>
        <w:tabs>
          <w:tab w:val="left" w:pos="0"/>
        </w:tabs>
        <w:contextualSpacing/>
        <w:jc w:val="both"/>
        <w:rPr>
          <w:rFonts w:ascii="Verdana" w:hAnsi="Verdana" w:cs="Verdana"/>
          <w:i/>
          <w:iCs/>
          <w:sz w:val="18"/>
          <w:szCs w:val="18"/>
        </w:rPr>
      </w:pPr>
      <w:bookmarkStart w:id="10" w:name="_Hlk214186134"/>
      <w:r w:rsidRPr="000E62CF">
        <w:rPr>
          <w:rFonts w:ascii="Verdana" w:hAnsi="Verdana" w:cs="Verdana"/>
          <w:i/>
          <w:iCs/>
          <w:sz w:val="18"/>
          <w:szCs w:val="18"/>
        </w:rPr>
        <w:t>Ministerio de Hacienda. B.O.E. núm.</w:t>
      </w:r>
      <w:r>
        <w:rPr>
          <w:rFonts w:ascii="Verdana" w:hAnsi="Verdana" w:cs="Verdana"/>
          <w:i/>
          <w:iCs/>
          <w:sz w:val="18"/>
          <w:szCs w:val="18"/>
        </w:rPr>
        <w:t>274 de 14 de noviembre de 2025.</w:t>
      </w:r>
      <w:r w:rsidRPr="000E62CF">
        <w:rPr>
          <w:rFonts w:ascii="Verdana" w:hAnsi="Verdana" w:cs="Verdana"/>
          <w:i/>
          <w:iCs/>
          <w:sz w:val="18"/>
          <w:szCs w:val="18"/>
        </w:rPr>
        <w:t xml:space="preserve"> </w:t>
      </w:r>
    </w:p>
    <w:bookmarkEnd w:id="10"/>
    <w:p w14:paraId="4312F8C0" w14:textId="77777777" w:rsidR="00D9698B" w:rsidRDefault="00D9698B" w:rsidP="00D9698B">
      <w:pPr>
        <w:pStyle w:val="NormalWeb"/>
        <w:pBdr>
          <w:bottom w:val="single" w:sz="6" w:space="12" w:color="F4F4F4"/>
        </w:pBdr>
        <w:shd w:val="clear" w:color="auto" w:fill="FFFFFF"/>
        <w:tabs>
          <w:tab w:val="left" w:pos="0"/>
        </w:tabs>
        <w:contextualSpacing/>
        <w:jc w:val="both"/>
        <w:rPr>
          <w:rFonts w:ascii="Verdana" w:hAnsi="Verdana" w:cs="Verdana"/>
          <w:i/>
          <w:iCs/>
          <w:sz w:val="18"/>
          <w:szCs w:val="18"/>
        </w:rPr>
      </w:pPr>
    </w:p>
    <w:p w14:paraId="36BCCDFB" w14:textId="77777777" w:rsidR="00690579" w:rsidRDefault="00690579" w:rsidP="001C1839">
      <w:pPr>
        <w:pStyle w:val="NormalWeb"/>
        <w:pBdr>
          <w:bottom w:val="single" w:sz="6" w:space="12" w:color="F4F4F4"/>
        </w:pBdr>
        <w:shd w:val="clear" w:color="auto" w:fill="FFFFFF"/>
        <w:tabs>
          <w:tab w:val="left" w:pos="0"/>
        </w:tabs>
        <w:contextualSpacing/>
        <w:jc w:val="both"/>
        <w:rPr>
          <w:rFonts w:ascii="Verdana" w:hAnsi="Verdana" w:cs="Verdana"/>
          <w:i/>
          <w:iCs/>
          <w:sz w:val="18"/>
          <w:szCs w:val="18"/>
        </w:rPr>
      </w:pPr>
    </w:p>
    <w:bookmarkEnd w:id="9"/>
    <w:p w14:paraId="73367B06" w14:textId="02EE6DFF" w:rsidR="00F7085D" w:rsidRDefault="00F7085D" w:rsidP="00F7085D">
      <w:pPr>
        <w:pStyle w:val="NormalWeb"/>
        <w:pBdr>
          <w:bottom w:val="single" w:sz="6" w:space="12" w:color="F4F4F4"/>
        </w:pBdr>
        <w:shd w:val="clear" w:color="auto" w:fill="FFFFFF"/>
        <w:tabs>
          <w:tab w:val="left" w:pos="0"/>
        </w:tabs>
        <w:contextualSpacing/>
        <w:jc w:val="both"/>
        <w:rPr>
          <w:rFonts w:ascii="Verdana" w:hAnsi="Verdana"/>
          <w:b/>
          <w:bCs/>
          <w:color w:val="800000"/>
          <w:sz w:val="18"/>
          <w:szCs w:val="18"/>
        </w:rPr>
      </w:pPr>
      <w:r w:rsidRPr="00F7085D">
        <w:rPr>
          <w:rFonts w:ascii="Verdana" w:hAnsi="Verdana"/>
          <w:b/>
          <w:bCs/>
          <w:color w:val="800000"/>
          <w:sz w:val="18"/>
          <w:szCs w:val="18"/>
        </w:rPr>
        <w:t>COMUNIDADES AUTÓNOMAS</w:t>
      </w:r>
      <w:r w:rsidR="00E231C3">
        <w:rPr>
          <w:rFonts w:ascii="Verdana" w:hAnsi="Verdana"/>
          <w:b/>
          <w:bCs/>
          <w:color w:val="800000"/>
          <w:sz w:val="18"/>
          <w:szCs w:val="18"/>
        </w:rPr>
        <w:t xml:space="preserve"> Y FORALES</w:t>
      </w:r>
    </w:p>
    <w:p w14:paraId="69435FFC" w14:textId="77777777" w:rsidR="004D5C2A" w:rsidRDefault="004D5C2A" w:rsidP="00F7085D">
      <w:pPr>
        <w:pStyle w:val="NormalWeb"/>
        <w:pBdr>
          <w:bottom w:val="single" w:sz="6" w:space="12" w:color="F4F4F4"/>
        </w:pBdr>
        <w:shd w:val="clear" w:color="auto" w:fill="FFFFFF"/>
        <w:tabs>
          <w:tab w:val="left" w:pos="0"/>
        </w:tabs>
        <w:contextualSpacing/>
        <w:jc w:val="both"/>
        <w:rPr>
          <w:rFonts w:ascii="Verdana" w:hAnsi="Verdana"/>
          <w:b/>
          <w:bCs/>
          <w:color w:val="800000"/>
          <w:sz w:val="18"/>
          <w:szCs w:val="18"/>
        </w:rPr>
      </w:pPr>
    </w:p>
    <w:p w14:paraId="48057766" w14:textId="0542117E" w:rsidR="004D5C2A" w:rsidRDefault="004D5C2A" w:rsidP="00F7085D">
      <w:pPr>
        <w:pStyle w:val="NormalWeb"/>
        <w:pBdr>
          <w:bottom w:val="single" w:sz="6" w:space="12" w:color="F4F4F4"/>
        </w:pBdr>
        <w:shd w:val="clear" w:color="auto" w:fill="FFFFFF"/>
        <w:tabs>
          <w:tab w:val="left" w:pos="0"/>
        </w:tabs>
        <w:contextualSpacing/>
        <w:jc w:val="both"/>
        <w:rPr>
          <w:rFonts w:ascii="Verdana" w:hAnsi="Verdana"/>
          <w:b/>
          <w:bCs/>
          <w:color w:val="800000"/>
          <w:sz w:val="18"/>
          <w:szCs w:val="18"/>
        </w:rPr>
      </w:pPr>
      <w:r w:rsidRPr="004D5C2A">
        <w:rPr>
          <w:rFonts w:ascii="Verdana" w:hAnsi="Verdana"/>
          <w:b/>
          <w:bCs/>
          <w:color w:val="800000"/>
          <w:sz w:val="18"/>
          <w:szCs w:val="18"/>
        </w:rPr>
        <w:t xml:space="preserve">COMUNIDAD AUTÓNOMA DE </w:t>
      </w:r>
      <w:r w:rsidR="000E62CF">
        <w:rPr>
          <w:rFonts w:ascii="Verdana" w:hAnsi="Verdana"/>
          <w:b/>
          <w:bCs/>
          <w:color w:val="800000"/>
          <w:sz w:val="18"/>
          <w:szCs w:val="18"/>
        </w:rPr>
        <w:t>LAS ILLES BAEAR</w:t>
      </w:r>
      <w:r w:rsidRPr="004D5C2A">
        <w:rPr>
          <w:rFonts w:ascii="Verdana" w:hAnsi="Verdana"/>
          <w:b/>
          <w:bCs/>
          <w:color w:val="800000"/>
          <w:sz w:val="18"/>
          <w:szCs w:val="18"/>
        </w:rPr>
        <w:t>S</w:t>
      </w:r>
    </w:p>
    <w:p w14:paraId="32731CDB" w14:textId="77777777" w:rsidR="006A5980" w:rsidRPr="006A5980" w:rsidRDefault="006A5980" w:rsidP="006A5980">
      <w:pPr>
        <w:pStyle w:val="NormalWeb"/>
        <w:pBdr>
          <w:bottom w:val="single" w:sz="6" w:space="12" w:color="F4F4F4"/>
        </w:pBdr>
        <w:shd w:val="clear" w:color="auto" w:fill="FFFFFF"/>
        <w:tabs>
          <w:tab w:val="left" w:pos="0"/>
        </w:tabs>
        <w:contextualSpacing/>
        <w:jc w:val="both"/>
        <w:rPr>
          <w:rFonts w:ascii="Verdana" w:hAnsi="Verdana"/>
          <w:b/>
          <w:bCs/>
          <w:color w:val="800000"/>
          <w:sz w:val="18"/>
          <w:szCs w:val="18"/>
        </w:rPr>
      </w:pPr>
      <w:r w:rsidRPr="006A5980">
        <w:rPr>
          <w:rFonts w:ascii="Verdana" w:hAnsi="Verdana"/>
          <w:b/>
          <w:bCs/>
          <w:color w:val="800000"/>
          <w:sz w:val="18"/>
          <w:szCs w:val="18"/>
        </w:rPr>
        <w:t>Presupuestos</w:t>
      </w:r>
    </w:p>
    <w:p w14:paraId="288869D4" w14:textId="77777777" w:rsidR="006A5980" w:rsidRDefault="006A5980" w:rsidP="006A5980">
      <w:pPr>
        <w:pStyle w:val="NormalWeb"/>
        <w:pBdr>
          <w:bottom w:val="single" w:sz="6" w:space="12" w:color="F4F4F4"/>
        </w:pBdr>
        <w:shd w:val="clear" w:color="auto" w:fill="FFFFFF"/>
        <w:tabs>
          <w:tab w:val="left" w:pos="0"/>
        </w:tabs>
        <w:contextualSpacing/>
        <w:jc w:val="both"/>
        <w:rPr>
          <w:rFonts w:ascii="Verdana" w:hAnsi="Verdana" w:cs="Verdana"/>
          <w:sz w:val="18"/>
          <w:szCs w:val="18"/>
        </w:rPr>
      </w:pPr>
      <w:r w:rsidRPr="006A5980">
        <w:rPr>
          <w:rFonts w:ascii="Verdana" w:hAnsi="Verdana" w:cs="Verdana"/>
          <w:sz w:val="18"/>
          <w:szCs w:val="18"/>
        </w:rPr>
        <w:t>Ley 6/2025, de 23 de julio, de presupuestos generales de la Comunidad Autónoma de las Illes Balears para el año 2025.</w:t>
      </w:r>
    </w:p>
    <w:p w14:paraId="1486A653" w14:textId="0595CA88" w:rsidR="006A5980" w:rsidRDefault="006A5980" w:rsidP="006A5980">
      <w:pPr>
        <w:pStyle w:val="NormalWeb"/>
        <w:pBdr>
          <w:bottom w:val="single" w:sz="6" w:space="12" w:color="F4F4F4"/>
        </w:pBdr>
        <w:shd w:val="clear" w:color="auto" w:fill="FFFFFF"/>
        <w:tabs>
          <w:tab w:val="left" w:pos="0"/>
        </w:tabs>
        <w:contextualSpacing/>
        <w:jc w:val="both"/>
        <w:rPr>
          <w:rFonts w:ascii="Verdana" w:hAnsi="Verdana" w:cs="Verdana"/>
          <w:i/>
          <w:iCs/>
          <w:sz w:val="18"/>
          <w:szCs w:val="18"/>
        </w:rPr>
      </w:pPr>
      <w:bookmarkStart w:id="11" w:name="_Hlk214184897"/>
      <w:r w:rsidRPr="00D355E2">
        <w:rPr>
          <w:rFonts w:ascii="Verdana" w:hAnsi="Verdana" w:cs="Verdana"/>
          <w:i/>
          <w:iCs/>
          <w:sz w:val="18"/>
          <w:szCs w:val="18"/>
        </w:rPr>
        <w:t>B.O.E. núm. 26</w:t>
      </w:r>
      <w:r>
        <w:rPr>
          <w:rFonts w:ascii="Verdana" w:hAnsi="Verdana" w:cs="Verdana"/>
          <w:i/>
          <w:iCs/>
          <w:sz w:val="18"/>
          <w:szCs w:val="18"/>
        </w:rPr>
        <w:t>3</w:t>
      </w:r>
      <w:r w:rsidRPr="00D355E2">
        <w:rPr>
          <w:rFonts w:ascii="Verdana" w:hAnsi="Verdana" w:cs="Verdana"/>
          <w:i/>
          <w:iCs/>
          <w:sz w:val="18"/>
          <w:szCs w:val="18"/>
        </w:rPr>
        <w:t xml:space="preserve"> de </w:t>
      </w:r>
      <w:r>
        <w:rPr>
          <w:rFonts w:ascii="Verdana" w:hAnsi="Verdana" w:cs="Verdana"/>
          <w:i/>
          <w:iCs/>
          <w:sz w:val="18"/>
          <w:szCs w:val="18"/>
        </w:rPr>
        <w:t>1 de noviembre de 2025.</w:t>
      </w:r>
    </w:p>
    <w:bookmarkEnd w:id="11"/>
    <w:p w14:paraId="1D4066E0" w14:textId="77777777" w:rsidR="000E62CF" w:rsidRDefault="000E62CF" w:rsidP="006A5980">
      <w:pPr>
        <w:pStyle w:val="NormalWeb"/>
        <w:pBdr>
          <w:bottom w:val="single" w:sz="6" w:space="12" w:color="F4F4F4"/>
        </w:pBdr>
        <w:shd w:val="clear" w:color="auto" w:fill="FFFFFF"/>
        <w:tabs>
          <w:tab w:val="left" w:pos="0"/>
        </w:tabs>
        <w:contextualSpacing/>
        <w:jc w:val="both"/>
        <w:rPr>
          <w:rFonts w:ascii="Verdana" w:hAnsi="Verdana" w:cs="Verdana"/>
          <w:i/>
          <w:iCs/>
          <w:sz w:val="18"/>
          <w:szCs w:val="18"/>
        </w:rPr>
      </w:pPr>
    </w:p>
    <w:p w14:paraId="7ABACFC5" w14:textId="77777777" w:rsidR="000E62CF" w:rsidRPr="000E62CF" w:rsidRDefault="000E62CF" w:rsidP="006A5980">
      <w:pPr>
        <w:pStyle w:val="NormalWeb"/>
        <w:pBdr>
          <w:bottom w:val="single" w:sz="6" w:space="12" w:color="F4F4F4"/>
        </w:pBdr>
        <w:shd w:val="clear" w:color="auto" w:fill="FFFFFF"/>
        <w:tabs>
          <w:tab w:val="left" w:pos="0"/>
        </w:tabs>
        <w:contextualSpacing/>
        <w:jc w:val="both"/>
        <w:rPr>
          <w:rFonts w:ascii="Verdana" w:hAnsi="Verdana"/>
          <w:b/>
          <w:bCs/>
          <w:color w:val="800000"/>
          <w:sz w:val="18"/>
          <w:szCs w:val="18"/>
        </w:rPr>
      </w:pPr>
      <w:r w:rsidRPr="000E62CF">
        <w:rPr>
          <w:rFonts w:ascii="Verdana" w:hAnsi="Verdana"/>
          <w:b/>
          <w:bCs/>
          <w:color w:val="800000"/>
          <w:sz w:val="18"/>
          <w:szCs w:val="18"/>
        </w:rPr>
        <w:t>COMUNIDAD AUTÓNOMA DE CATALUÑA</w:t>
      </w:r>
    </w:p>
    <w:p w14:paraId="381F878B" w14:textId="77777777" w:rsidR="000E62CF" w:rsidRPr="000E62CF" w:rsidRDefault="000E62CF" w:rsidP="000E62CF">
      <w:pPr>
        <w:pStyle w:val="NormalWeb"/>
        <w:pBdr>
          <w:bottom w:val="single" w:sz="6" w:space="12" w:color="F4F4F4"/>
        </w:pBdr>
        <w:shd w:val="clear" w:color="auto" w:fill="FFFFFF"/>
        <w:tabs>
          <w:tab w:val="left" w:pos="0"/>
        </w:tabs>
        <w:contextualSpacing/>
        <w:jc w:val="both"/>
        <w:rPr>
          <w:rFonts w:ascii="Verdana" w:hAnsi="Verdana"/>
          <w:b/>
          <w:bCs/>
          <w:color w:val="800000"/>
          <w:sz w:val="18"/>
          <w:szCs w:val="18"/>
        </w:rPr>
      </w:pPr>
      <w:r w:rsidRPr="000E62CF">
        <w:rPr>
          <w:rFonts w:ascii="Verdana" w:hAnsi="Verdana"/>
          <w:b/>
          <w:bCs/>
          <w:color w:val="800000"/>
          <w:sz w:val="18"/>
          <w:szCs w:val="18"/>
        </w:rPr>
        <w:t>Impuestos</w:t>
      </w:r>
    </w:p>
    <w:p w14:paraId="0327A051" w14:textId="2C9FAF39" w:rsidR="000E62CF" w:rsidRDefault="000E62CF" w:rsidP="000E62CF">
      <w:pPr>
        <w:pStyle w:val="NormalWeb"/>
        <w:pBdr>
          <w:bottom w:val="single" w:sz="6" w:space="12" w:color="F4F4F4"/>
        </w:pBdr>
        <w:shd w:val="clear" w:color="auto" w:fill="FFFFFF"/>
        <w:tabs>
          <w:tab w:val="left" w:pos="0"/>
        </w:tabs>
        <w:contextualSpacing/>
        <w:jc w:val="both"/>
        <w:rPr>
          <w:rFonts w:ascii="Verdana" w:hAnsi="Verdana" w:cs="Verdana"/>
          <w:sz w:val="18"/>
          <w:szCs w:val="18"/>
        </w:rPr>
      </w:pPr>
      <w:r w:rsidRPr="000E62CF">
        <w:rPr>
          <w:rFonts w:ascii="Verdana" w:hAnsi="Verdana" w:cs="Verdana"/>
          <w:sz w:val="18"/>
          <w:szCs w:val="18"/>
        </w:rPr>
        <w:t>Decreto-ley 19/2025, de 30 de septiembre, de medidas extraordinarias en el ámbito del impuesto sobre las instalaciones que inciden en el medio ambiente.</w:t>
      </w:r>
    </w:p>
    <w:p w14:paraId="0ABABEE9" w14:textId="26E950C6" w:rsidR="000E62CF" w:rsidRPr="000E62CF" w:rsidRDefault="000E62CF" w:rsidP="000E62CF">
      <w:pPr>
        <w:pStyle w:val="NormalWeb"/>
        <w:pBdr>
          <w:bottom w:val="single" w:sz="6" w:space="12" w:color="F4F4F4"/>
        </w:pBdr>
        <w:shd w:val="clear" w:color="auto" w:fill="FFFFFF"/>
        <w:tabs>
          <w:tab w:val="left" w:pos="0"/>
        </w:tabs>
        <w:contextualSpacing/>
        <w:jc w:val="both"/>
        <w:rPr>
          <w:rFonts w:ascii="Verdana" w:hAnsi="Verdana" w:cs="Verdana"/>
          <w:i/>
          <w:iCs/>
          <w:sz w:val="18"/>
          <w:szCs w:val="18"/>
        </w:rPr>
      </w:pPr>
      <w:r w:rsidRPr="000E62CF">
        <w:rPr>
          <w:rFonts w:ascii="Verdana" w:hAnsi="Verdana" w:cs="Verdana"/>
          <w:i/>
          <w:iCs/>
          <w:sz w:val="18"/>
          <w:szCs w:val="18"/>
        </w:rPr>
        <w:t>B.O.E. núm. 2</w:t>
      </w:r>
      <w:r>
        <w:rPr>
          <w:rFonts w:ascii="Verdana" w:hAnsi="Verdana" w:cs="Verdana"/>
          <w:i/>
          <w:iCs/>
          <w:sz w:val="18"/>
          <w:szCs w:val="18"/>
        </w:rPr>
        <w:t>75</w:t>
      </w:r>
      <w:r w:rsidRPr="000E62CF">
        <w:rPr>
          <w:rFonts w:ascii="Verdana" w:hAnsi="Verdana" w:cs="Verdana"/>
          <w:i/>
          <w:iCs/>
          <w:sz w:val="18"/>
          <w:szCs w:val="18"/>
        </w:rPr>
        <w:t xml:space="preserve"> de 1</w:t>
      </w:r>
      <w:r>
        <w:rPr>
          <w:rFonts w:ascii="Verdana" w:hAnsi="Verdana" w:cs="Verdana"/>
          <w:i/>
          <w:iCs/>
          <w:sz w:val="18"/>
          <w:szCs w:val="18"/>
        </w:rPr>
        <w:t>5</w:t>
      </w:r>
      <w:r w:rsidRPr="000E62CF">
        <w:rPr>
          <w:rFonts w:ascii="Verdana" w:hAnsi="Verdana" w:cs="Verdana"/>
          <w:i/>
          <w:iCs/>
          <w:sz w:val="18"/>
          <w:szCs w:val="18"/>
        </w:rPr>
        <w:t xml:space="preserve"> de noviembre de 2025.</w:t>
      </w:r>
    </w:p>
    <w:p w14:paraId="5FEBAA89" w14:textId="4AB772C5" w:rsidR="00987982" w:rsidRPr="006A5980" w:rsidRDefault="00987982" w:rsidP="006A5980">
      <w:pPr>
        <w:pStyle w:val="NormalWeb"/>
        <w:pBdr>
          <w:bottom w:val="single" w:sz="6" w:space="12" w:color="F4F4F4"/>
        </w:pBdr>
        <w:shd w:val="clear" w:color="auto" w:fill="FFFFFF"/>
        <w:tabs>
          <w:tab w:val="left" w:pos="0"/>
        </w:tabs>
        <w:contextualSpacing/>
        <w:jc w:val="both"/>
        <w:rPr>
          <w:rFonts w:ascii="Verdana" w:hAnsi="Verdana" w:cs="Verdana"/>
          <w:sz w:val="18"/>
          <w:szCs w:val="18"/>
        </w:rPr>
      </w:pPr>
      <w:r w:rsidRPr="006A5980">
        <w:rPr>
          <w:rFonts w:ascii="Verdana" w:hAnsi="Verdana" w:cs="Verdana"/>
          <w:sz w:val="18"/>
          <w:szCs w:val="18"/>
        </w:rPr>
        <w:br w:type="page"/>
      </w:r>
    </w:p>
    <w:p w14:paraId="28566E45" w14:textId="496D0DAE" w:rsidR="003408C1" w:rsidRDefault="003408C1" w:rsidP="00B3440B">
      <w:pPr>
        <w:pStyle w:val="Ttulo6"/>
        <w:shd w:val="clear" w:color="auto" w:fill="FFFFFF"/>
        <w:rPr>
          <w:rFonts w:ascii="Verdana" w:hAnsi="Verdana" w:cs="Verdana"/>
          <w:b/>
          <w:bCs/>
          <w:color w:val="800000"/>
          <w:sz w:val="22"/>
          <w:szCs w:val="22"/>
          <w:u w:val="none"/>
        </w:rPr>
      </w:pPr>
      <w:r w:rsidRPr="005C6CF8">
        <w:rPr>
          <w:rFonts w:ascii="Verdana" w:hAnsi="Verdana" w:cs="Verdana"/>
          <w:b/>
          <w:bCs/>
          <w:color w:val="800000"/>
          <w:sz w:val="22"/>
          <w:szCs w:val="22"/>
          <w:u w:val="none"/>
        </w:rPr>
        <w:lastRenderedPageBreak/>
        <w:t xml:space="preserve">CALENDARIO FISCAL PARA EL MES DE DICIEMBRE DE </w:t>
      </w:r>
      <w:r w:rsidR="00B3440B">
        <w:rPr>
          <w:rFonts w:ascii="Verdana" w:hAnsi="Verdana" w:cs="Verdana"/>
          <w:b/>
          <w:bCs/>
          <w:color w:val="800000"/>
          <w:sz w:val="22"/>
          <w:szCs w:val="22"/>
          <w:u w:val="none"/>
        </w:rPr>
        <w:t>2025</w:t>
      </w:r>
    </w:p>
    <w:p w14:paraId="2A9815F5" w14:textId="77777777" w:rsidR="00E6619E" w:rsidRDefault="00E6619E" w:rsidP="00E6619E"/>
    <w:p w14:paraId="385DDD4A" w14:textId="77777777" w:rsidR="00E6619E" w:rsidRPr="00827D58" w:rsidRDefault="00E6619E" w:rsidP="00E6619E">
      <w:pPr>
        <w:rPr>
          <w:b/>
          <w:bCs/>
          <w:color w:val="800000"/>
        </w:rPr>
      </w:pPr>
      <w:r w:rsidRPr="00827D58">
        <w:rPr>
          <w:b/>
          <w:bCs/>
          <w:color w:val="800000"/>
        </w:rPr>
        <w:t>Hasta el 1 de diciembre</w:t>
      </w:r>
    </w:p>
    <w:p w14:paraId="03FF354E" w14:textId="77777777" w:rsidR="00E6619E" w:rsidRPr="00827D58" w:rsidRDefault="00E6619E" w:rsidP="00E6619E">
      <w:pPr>
        <w:rPr>
          <w:color w:val="800000"/>
        </w:rPr>
      </w:pPr>
      <w:r w:rsidRPr="00827D58">
        <w:rPr>
          <w:color w:val="800000"/>
        </w:rPr>
        <w:t>IVA</w:t>
      </w:r>
    </w:p>
    <w:p w14:paraId="70ACA782" w14:textId="77777777" w:rsidR="00E6619E" w:rsidRPr="00E6619E" w:rsidRDefault="00E6619E">
      <w:pPr>
        <w:numPr>
          <w:ilvl w:val="0"/>
          <w:numId w:val="24"/>
        </w:numPr>
      </w:pPr>
      <w:r w:rsidRPr="00E6619E">
        <w:t>Octubre 2025. Autoliquidación: 303</w:t>
      </w:r>
    </w:p>
    <w:p w14:paraId="2AA30C95" w14:textId="77777777" w:rsidR="00E6619E" w:rsidRPr="00E6619E" w:rsidRDefault="00E6619E">
      <w:pPr>
        <w:numPr>
          <w:ilvl w:val="0"/>
          <w:numId w:val="24"/>
        </w:numPr>
      </w:pPr>
      <w:r w:rsidRPr="00E6619E">
        <w:t>Octubre 2025. Grupo de entidades, modelo individual: 322</w:t>
      </w:r>
    </w:p>
    <w:p w14:paraId="4C266866" w14:textId="77777777" w:rsidR="00E6619E" w:rsidRPr="00E6619E" w:rsidRDefault="00E6619E">
      <w:pPr>
        <w:numPr>
          <w:ilvl w:val="0"/>
          <w:numId w:val="24"/>
        </w:numPr>
      </w:pPr>
      <w:r w:rsidRPr="00E6619E">
        <w:t>Octubre 2025. Grupo de entidades, modelo agregado: 353</w:t>
      </w:r>
    </w:p>
    <w:p w14:paraId="787FFAB3" w14:textId="77777777" w:rsidR="00E6619E" w:rsidRPr="00E6619E" w:rsidRDefault="00E6619E">
      <w:pPr>
        <w:numPr>
          <w:ilvl w:val="0"/>
          <w:numId w:val="24"/>
        </w:numPr>
      </w:pPr>
      <w:r w:rsidRPr="00E6619E">
        <w:t>Octubre 2025. Operaciones asimiladas a las importaciones: 380</w:t>
      </w:r>
    </w:p>
    <w:p w14:paraId="60C1A993" w14:textId="77777777" w:rsidR="00E6619E" w:rsidRPr="00E6619E" w:rsidRDefault="00E6619E">
      <w:pPr>
        <w:numPr>
          <w:ilvl w:val="0"/>
          <w:numId w:val="24"/>
        </w:numPr>
      </w:pPr>
      <w:r w:rsidRPr="00E6619E">
        <w:t>Solicitud de inscripción/baja. Registro de devolución mensual: 036</w:t>
      </w:r>
    </w:p>
    <w:p w14:paraId="009352AF" w14:textId="77777777" w:rsidR="00E6619E" w:rsidRPr="00E6619E" w:rsidRDefault="00E6619E">
      <w:pPr>
        <w:numPr>
          <w:ilvl w:val="0"/>
          <w:numId w:val="24"/>
        </w:numPr>
      </w:pPr>
      <w:r w:rsidRPr="00E6619E">
        <w:t>Solicitud aplicación régimen de deducción común para sectores diferenciados para 2026: sin modelo</w:t>
      </w:r>
    </w:p>
    <w:p w14:paraId="2ED7B4BB" w14:textId="77777777" w:rsidR="00E6619E" w:rsidRPr="00E6619E" w:rsidRDefault="00E6619E">
      <w:pPr>
        <w:numPr>
          <w:ilvl w:val="0"/>
          <w:numId w:val="24"/>
        </w:numPr>
      </w:pPr>
      <w:r w:rsidRPr="00E6619E">
        <w:t>SII. Renuncia a la llevanza electrónica de los libros registro: 036</w:t>
      </w:r>
    </w:p>
    <w:p w14:paraId="243D2368" w14:textId="77777777" w:rsidR="00E6619E" w:rsidRPr="00827D58" w:rsidRDefault="00E6619E" w:rsidP="00E6619E">
      <w:pPr>
        <w:rPr>
          <w:color w:val="800000"/>
        </w:rPr>
      </w:pPr>
      <w:r w:rsidRPr="00827D58">
        <w:rPr>
          <w:color w:val="800000"/>
        </w:rPr>
        <w:t>Impuestos Medioambientales</w:t>
      </w:r>
    </w:p>
    <w:p w14:paraId="588417F8" w14:textId="77777777" w:rsidR="00E6619E" w:rsidRPr="00E6619E" w:rsidRDefault="00E6619E">
      <w:pPr>
        <w:numPr>
          <w:ilvl w:val="0"/>
          <w:numId w:val="25"/>
        </w:numPr>
      </w:pPr>
      <w:r w:rsidRPr="00E6619E">
        <w:t>Octubre 2025. Impuesto especial sobre los envases de plástico no reutilizables. Presentación contabilidad y libro registro de existencias</w:t>
      </w:r>
    </w:p>
    <w:p w14:paraId="5E987CB7" w14:textId="77777777" w:rsidR="00E6619E" w:rsidRPr="00E6619E" w:rsidRDefault="00E6619E">
      <w:pPr>
        <w:numPr>
          <w:ilvl w:val="0"/>
          <w:numId w:val="25"/>
        </w:numPr>
      </w:pPr>
      <w:r w:rsidRPr="00E6619E">
        <w:t>Año 2024. Impuesto sobre el valor de la producción de la energía eléctrica. Autoliquidación anual: 583</w:t>
      </w:r>
    </w:p>
    <w:p w14:paraId="1AF56521" w14:textId="77777777" w:rsidR="00E6619E" w:rsidRPr="00E6619E" w:rsidRDefault="00E6619E">
      <w:pPr>
        <w:numPr>
          <w:ilvl w:val="0"/>
          <w:numId w:val="25"/>
        </w:numPr>
      </w:pPr>
      <w:r w:rsidRPr="00E6619E">
        <w:t>Año 2025: Impuesto sobre el valor de la producción de la energía eléctrica. Autoliquidación anual por cese de actividad de enero a octubre de 2024: 588</w:t>
      </w:r>
    </w:p>
    <w:p w14:paraId="53356500" w14:textId="77777777" w:rsidR="00E6619E" w:rsidRPr="00827D58" w:rsidRDefault="00E6619E" w:rsidP="00E6619E">
      <w:pPr>
        <w:rPr>
          <w:color w:val="800000"/>
        </w:rPr>
      </w:pPr>
      <w:r w:rsidRPr="00827D58">
        <w:rPr>
          <w:color w:val="800000"/>
        </w:rPr>
        <w:t>Declaración informativa de operaciones vinculadas y de operaciones y situaciones relacionadas con países o territorios calificados como paraísos fiscales</w:t>
      </w:r>
    </w:p>
    <w:p w14:paraId="42708BD0" w14:textId="77777777" w:rsidR="00E6619E" w:rsidRPr="00E6619E" w:rsidRDefault="00E6619E">
      <w:pPr>
        <w:numPr>
          <w:ilvl w:val="0"/>
          <w:numId w:val="26"/>
        </w:numPr>
      </w:pPr>
      <w:r w:rsidRPr="00E6619E">
        <w:t>Año 2024: Entidades cuyo período impositivo coincida con el año natural: 232</w:t>
      </w:r>
    </w:p>
    <w:p w14:paraId="72B08A18" w14:textId="77777777" w:rsidR="00E6619E" w:rsidRDefault="00E6619E" w:rsidP="00E6619E">
      <w:r w:rsidRPr="00E6619E">
        <w:t>Resto de entidades: en el mes siguiente a los diez meses posteriores al fin del período impositivo.</w:t>
      </w:r>
    </w:p>
    <w:p w14:paraId="2ADC5B45" w14:textId="77777777" w:rsidR="00E6619E" w:rsidRPr="00827D58" w:rsidRDefault="00E6619E" w:rsidP="00E6619E">
      <w:pPr>
        <w:rPr>
          <w:color w:val="800000"/>
        </w:rPr>
      </w:pPr>
    </w:p>
    <w:p w14:paraId="570CF045" w14:textId="77777777" w:rsidR="00E6619E" w:rsidRPr="00827D58" w:rsidRDefault="00E6619E" w:rsidP="00E6619E">
      <w:pPr>
        <w:rPr>
          <w:b/>
          <w:bCs/>
          <w:color w:val="800000"/>
        </w:rPr>
      </w:pPr>
      <w:r w:rsidRPr="00827D58">
        <w:rPr>
          <w:b/>
          <w:bCs/>
          <w:color w:val="800000"/>
        </w:rPr>
        <w:t>Hasta el 12 de diciembre</w:t>
      </w:r>
    </w:p>
    <w:p w14:paraId="266A5CB6" w14:textId="77777777" w:rsidR="00E6619E" w:rsidRPr="00827D58" w:rsidRDefault="00E6619E" w:rsidP="00E6619E">
      <w:pPr>
        <w:rPr>
          <w:color w:val="800000"/>
        </w:rPr>
      </w:pPr>
      <w:r w:rsidRPr="00827D58">
        <w:rPr>
          <w:color w:val="800000"/>
        </w:rPr>
        <w:t>INTRASTAT - Estadística Comercio Intracomunitario</w:t>
      </w:r>
    </w:p>
    <w:p w14:paraId="59737D32" w14:textId="32C49041" w:rsidR="00E6619E" w:rsidRDefault="00E6619E">
      <w:pPr>
        <w:numPr>
          <w:ilvl w:val="0"/>
          <w:numId w:val="27"/>
        </w:numPr>
      </w:pPr>
      <w:r w:rsidRPr="00E6619E">
        <w:t>Noviembre 2025. Obligados a suministrar información estadística</w:t>
      </w:r>
      <w:r>
        <w:t>.</w:t>
      </w:r>
    </w:p>
    <w:p w14:paraId="37314103" w14:textId="77777777" w:rsidR="00E6619E" w:rsidRDefault="00E6619E" w:rsidP="00E6619E"/>
    <w:p w14:paraId="78947C1A" w14:textId="77777777" w:rsidR="00E6619E" w:rsidRPr="00827D58" w:rsidRDefault="00E6619E" w:rsidP="00E6619E">
      <w:pPr>
        <w:rPr>
          <w:b/>
          <w:bCs/>
          <w:color w:val="800000"/>
        </w:rPr>
      </w:pPr>
      <w:r w:rsidRPr="00827D58">
        <w:rPr>
          <w:b/>
          <w:bCs/>
          <w:color w:val="800000"/>
        </w:rPr>
        <w:t>Hasta el 22 de diciembre</w:t>
      </w:r>
    </w:p>
    <w:p w14:paraId="7369F910" w14:textId="77777777" w:rsidR="00E6619E" w:rsidRPr="00827D58" w:rsidRDefault="00E6619E" w:rsidP="00E6619E">
      <w:pPr>
        <w:rPr>
          <w:color w:val="800000"/>
        </w:rPr>
      </w:pPr>
      <w:r w:rsidRPr="00827D58">
        <w:rPr>
          <w:color w:val="800000"/>
        </w:rPr>
        <w:t>Renta y Sociedades</w:t>
      </w:r>
    </w:p>
    <w:p w14:paraId="4384D253" w14:textId="77777777" w:rsidR="00E6619E" w:rsidRPr="00E6619E" w:rsidRDefault="00E6619E" w:rsidP="00E6619E">
      <w:r w:rsidRPr="00E6619E">
        <w:t>Retenciones e ingresos a cuenta de rendimientos del trabajo, actividades económicas, premios y determinadas ganancias patrimoniales e imputaciones de renta, ganancias derivadas de acciones y participaciones de las Instituciones de Inversión Colectiva, rentas de arrendamiento de inmuebles urbanos, capital mobiliario, personas autorizadas y saldos en cuentas y, de rentas de no residentes obtenidas sin establecimiento permanente.</w:t>
      </w:r>
    </w:p>
    <w:p w14:paraId="59858933" w14:textId="77777777" w:rsidR="00E6619E" w:rsidRPr="00E6619E" w:rsidRDefault="00E6619E">
      <w:pPr>
        <w:numPr>
          <w:ilvl w:val="0"/>
          <w:numId w:val="28"/>
        </w:numPr>
      </w:pPr>
      <w:r w:rsidRPr="00E6619E">
        <w:t>Noviembre 2025. Grandes empresas: 111, 115, 117, 123, 124, 126, 128, 216, 230</w:t>
      </w:r>
    </w:p>
    <w:p w14:paraId="72ED5B91" w14:textId="77777777" w:rsidR="00E6619E" w:rsidRPr="00E6619E" w:rsidRDefault="00E6619E" w:rsidP="00E6619E">
      <w:r w:rsidRPr="00E6619E">
        <w:t>Pagos fraccionados Sociedades y establecimientos permanentes de no residentes</w:t>
      </w:r>
    </w:p>
    <w:p w14:paraId="16DEB50D" w14:textId="77777777" w:rsidR="00E6619E" w:rsidRPr="00E6619E" w:rsidRDefault="00E6619E">
      <w:pPr>
        <w:numPr>
          <w:ilvl w:val="0"/>
          <w:numId w:val="29"/>
        </w:numPr>
      </w:pPr>
      <w:r w:rsidRPr="00E6619E">
        <w:t>Ejercicio en curso:</w:t>
      </w:r>
    </w:p>
    <w:p w14:paraId="78D4726F" w14:textId="77777777" w:rsidR="00E6619E" w:rsidRPr="00E6619E" w:rsidRDefault="00E6619E">
      <w:pPr>
        <w:numPr>
          <w:ilvl w:val="1"/>
          <w:numId w:val="29"/>
        </w:numPr>
      </w:pPr>
      <w:r w:rsidRPr="00E6619E">
        <w:t>Régimen general: 202</w:t>
      </w:r>
    </w:p>
    <w:p w14:paraId="09370DCE" w14:textId="77777777" w:rsidR="00E6619E" w:rsidRPr="00E6619E" w:rsidRDefault="00E6619E">
      <w:pPr>
        <w:numPr>
          <w:ilvl w:val="1"/>
          <w:numId w:val="29"/>
        </w:numPr>
      </w:pPr>
      <w:r w:rsidRPr="00E6619E">
        <w:t>Régimen de consolidación fiscal (grupos fiscales): 222</w:t>
      </w:r>
    </w:p>
    <w:p w14:paraId="20194685" w14:textId="77777777" w:rsidR="00E6619E" w:rsidRPr="00827D58" w:rsidRDefault="00E6619E" w:rsidP="00E6619E">
      <w:pPr>
        <w:rPr>
          <w:color w:val="800000"/>
        </w:rPr>
      </w:pPr>
      <w:r w:rsidRPr="00827D58">
        <w:rPr>
          <w:color w:val="800000"/>
        </w:rPr>
        <w:t>IVA</w:t>
      </w:r>
    </w:p>
    <w:p w14:paraId="04B31604" w14:textId="77777777" w:rsidR="00E6619E" w:rsidRPr="00E6619E" w:rsidRDefault="00E6619E">
      <w:pPr>
        <w:numPr>
          <w:ilvl w:val="0"/>
          <w:numId w:val="30"/>
        </w:numPr>
      </w:pPr>
      <w:r w:rsidRPr="00E6619E">
        <w:t>Noviembre 2025. Declaración recapitulativa de operaciones intracomunitarias: 349</w:t>
      </w:r>
    </w:p>
    <w:p w14:paraId="656045AF" w14:textId="77777777" w:rsidR="00E6619E" w:rsidRPr="00E6619E" w:rsidRDefault="00E6619E">
      <w:pPr>
        <w:numPr>
          <w:ilvl w:val="0"/>
          <w:numId w:val="30"/>
        </w:numPr>
      </w:pPr>
      <w:r w:rsidRPr="00E6619E">
        <w:t>Solicitud de devolución por sujetos pasivos en el régimen simplificado del IVA y que ejerzan la actividad de transporte de viajeros o de mercancías por carretera, por adquirir determinados medios de transporte: 308</w:t>
      </w:r>
    </w:p>
    <w:p w14:paraId="395E2730" w14:textId="77777777" w:rsidR="00E6619E" w:rsidRPr="00827D58" w:rsidRDefault="00E6619E" w:rsidP="00E6619E">
      <w:pPr>
        <w:rPr>
          <w:color w:val="800000"/>
        </w:rPr>
      </w:pPr>
      <w:r w:rsidRPr="00827D58">
        <w:rPr>
          <w:color w:val="800000"/>
        </w:rPr>
        <w:t>Impuesto sobre las Primas de Seguros</w:t>
      </w:r>
    </w:p>
    <w:p w14:paraId="6C122364" w14:textId="77777777" w:rsidR="00E6619E" w:rsidRPr="00E6619E" w:rsidRDefault="00E6619E">
      <w:pPr>
        <w:numPr>
          <w:ilvl w:val="0"/>
          <w:numId w:val="31"/>
        </w:numPr>
      </w:pPr>
      <w:r w:rsidRPr="00E6619E">
        <w:t>Noviembre 2025: 430</w:t>
      </w:r>
    </w:p>
    <w:p w14:paraId="0EE4B40F" w14:textId="77777777" w:rsidR="00E6619E" w:rsidRPr="00827D58" w:rsidRDefault="00E6619E" w:rsidP="00E6619E">
      <w:pPr>
        <w:rPr>
          <w:color w:val="800000"/>
        </w:rPr>
      </w:pPr>
      <w:r w:rsidRPr="00827D58">
        <w:rPr>
          <w:color w:val="800000"/>
        </w:rPr>
        <w:t>Impuestos Especiales de Fabricación</w:t>
      </w:r>
    </w:p>
    <w:p w14:paraId="76DC5952" w14:textId="77777777" w:rsidR="00E6619E" w:rsidRPr="00E6619E" w:rsidRDefault="00E6619E">
      <w:pPr>
        <w:numPr>
          <w:ilvl w:val="0"/>
          <w:numId w:val="32"/>
        </w:numPr>
      </w:pPr>
      <w:r w:rsidRPr="00E6619E">
        <w:t>Septiembre 2025. Grandes empresas: 561, 562, 563</w:t>
      </w:r>
    </w:p>
    <w:p w14:paraId="7E5B8FA1" w14:textId="77777777" w:rsidR="00E6619E" w:rsidRPr="00E6619E" w:rsidRDefault="00E6619E">
      <w:pPr>
        <w:numPr>
          <w:ilvl w:val="0"/>
          <w:numId w:val="32"/>
        </w:numPr>
      </w:pPr>
      <w:r w:rsidRPr="00E6619E">
        <w:t>Noviembre 2025: 548, 566, 581</w:t>
      </w:r>
    </w:p>
    <w:p w14:paraId="19A2029C" w14:textId="77777777" w:rsidR="00E6619E" w:rsidRPr="00E6619E" w:rsidRDefault="00E6619E">
      <w:pPr>
        <w:numPr>
          <w:ilvl w:val="0"/>
          <w:numId w:val="32"/>
        </w:numPr>
      </w:pPr>
      <w:r w:rsidRPr="00E6619E">
        <w:t>Noviembre 2025: 573 (Autoliquidación), A24 (Solicitud de devolución)</w:t>
      </w:r>
    </w:p>
    <w:p w14:paraId="774ADC88" w14:textId="77777777" w:rsidR="00E6619E" w:rsidRPr="00E6619E" w:rsidRDefault="00E6619E">
      <w:pPr>
        <w:numPr>
          <w:ilvl w:val="0"/>
          <w:numId w:val="32"/>
        </w:numPr>
      </w:pPr>
      <w:r w:rsidRPr="00E6619E">
        <w:t>Declaración de operaciones por los destinatarios registrados y representantes fiscales: 510</w:t>
      </w:r>
    </w:p>
    <w:p w14:paraId="0DFB40A6" w14:textId="77777777" w:rsidR="00E6619E" w:rsidRPr="00827D58" w:rsidRDefault="00E6619E" w:rsidP="00E6619E">
      <w:pPr>
        <w:rPr>
          <w:color w:val="800000"/>
        </w:rPr>
      </w:pPr>
      <w:r w:rsidRPr="00827D58">
        <w:rPr>
          <w:color w:val="800000"/>
        </w:rPr>
        <w:t>Impuesto Especial sobre la Electricidad</w:t>
      </w:r>
    </w:p>
    <w:p w14:paraId="7AEBE1DD" w14:textId="77777777" w:rsidR="00E6619E" w:rsidRPr="00E6619E" w:rsidRDefault="00E6619E">
      <w:pPr>
        <w:numPr>
          <w:ilvl w:val="0"/>
          <w:numId w:val="33"/>
        </w:numPr>
      </w:pPr>
      <w:r w:rsidRPr="00E6619E">
        <w:lastRenderedPageBreak/>
        <w:t>Noviembre 2025. Grandes empresas: 560 </w:t>
      </w:r>
    </w:p>
    <w:p w14:paraId="4644D904" w14:textId="77777777" w:rsidR="00E6619E" w:rsidRPr="00827D58" w:rsidRDefault="00E6619E" w:rsidP="00E6619E">
      <w:pPr>
        <w:rPr>
          <w:color w:val="800000"/>
        </w:rPr>
      </w:pPr>
      <w:r w:rsidRPr="00827D58">
        <w:rPr>
          <w:color w:val="800000"/>
        </w:rPr>
        <w:t>Impuestos Medioambientales</w:t>
      </w:r>
    </w:p>
    <w:p w14:paraId="5A464080" w14:textId="77777777" w:rsidR="00E6619E" w:rsidRPr="00E6619E" w:rsidRDefault="00E6619E">
      <w:pPr>
        <w:numPr>
          <w:ilvl w:val="0"/>
          <w:numId w:val="34"/>
        </w:numPr>
      </w:pPr>
      <w:r w:rsidRPr="00E6619E">
        <w:t>Noviembre 2025. Impuesto especial sobre los envases de plástico no reutilizables. Autoliquidación: 592</w:t>
      </w:r>
    </w:p>
    <w:p w14:paraId="5425445E" w14:textId="77777777" w:rsidR="00E6619E" w:rsidRPr="00E6619E" w:rsidRDefault="00E6619E">
      <w:pPr>
        <w:numPr>
          <w:ilvl w:val="0"/>
          <w:numId w:val="34"/>
        </w:numPr>
      </w:pPr>
      <w:r w:rsidRPr="00E6619E">
        <w:t>Año 2024. Impuesto sobre el valor de la producción de la energía eléctrica. Declaración informativa anual de operaciones con contribuyentes: 591</w:t>
      </w:r>
    </w:p>
    <w:p w14:paraId="34BCAA22" w14:textId="77777777" w:rsidR="00E6619E" w:rsidRPr="00E6619E" w:rsidRDefault="00E6619E">
      <w:pPr>
        <w:numPr>
          <w:ilvl w:val="0"/>
          <w:numId w:val="34"/>
        </w:numPr>
      </w:pPr>
      <w:r w:rsidRPr="00E6619E">
        <w:t>Año 2025. Impuesto sobre la producción de combustible nuclear gastado y residuos radiactivos resultantes de la generación de energía nucleoeléctrica. Segundo pago fraccionado: 584</w:t>
      </w:r>
    </w:p>
    <w:p w14:paraId="44D7A7FA" w14:textId="77777777" w:rsidR="00E6619E" w:rsidRPr="00827D58" w:rsidRDefault="00E6619E" w:rsidP="00E6619E">
      <w:pPr>
        <w:rPr>
          <w:color w:val="800000"/>
        </w:rPr>
      </w:pPr>
      <w:r w:rsidRPr="00827D58">
        <w:rPr>
          <w:color w:val="800000"/>
        </w:rPr>
        <w:t>Impuesto sobre las Transacciones Financieras</w:t>
      </w:r>
    </w:p>
    <w:p w14:paraId="2054028E" w14:textId="77777777" w:rsidR="00E6619E" w:rsidRPr="00E6619E" w:rsidRDefault="00E6619E">
      <w:pPr>
        <w:numPr>
          <w:ilvl w:val="0"/>
          <w:numId w:val="35"/>
        </w:numPr>
      </w:pPr>
      <w:r w:rsidRPr="00E6619E">
        <w:t>Noviembre 2025: 604</w:t>
      </w:r>
    </w:p>
    <w:p w14:paraId="18E50D6C" w14:textId="77777777" w:rsidR="00E6619E" w:rsidRDefault="00E6619E" w:rsidP="00E6619E"/>
    <w:p w14:paraId="2961F215" w14:textId="77777777" w:rsidR="00E6619E" w:rsidRPr="00827D58" w:rsidRDefault="00E6619E" w:rsidP="00E6619E">
      <w:pPr>
        <w:rPr>
          <w:b/>
          <w:bCs/>
          <w:color w:val="800000"/>
        </w:rPr>
      </w:pPr>
      <w:r w:rsidRPr="00827D58">
        <w:rPr>
          <w:b/>
          <w:bCs/>
          <w:color w:val="800000"/>
        </w:rPr>
        <w:t>Hasta el 30 de diciembre</w:t>
      </w:r>
    </w:p>
    <w:p w14:paraId="2D90E3A0" w14:textId="77777777" w:rsidR="00E6619E" w:rsidRPr="00827D58" w:rsidRDefault="00E6619E" w:rsidP="00E6619E">
      <w:pPr>
        <w:rPr>
          <w:color w:val="800000"/>
        </w:rPr>
      </w:pPr>
      <w:r w:rsidRPr="00827D58">
        <w:rPr>
          <w:color w:val="800000"/>
        </w:rPr>
        <w:t>IVA</w:t>
      </w:r>
    </w:p>
    <w:p w14:paraId="2A793C5B" w14:textId="77777777" w:rsidR="00E6619E" w:rsidRPr="00E6619E" w:rsidRDefault="00E6619E">
      <w:pPr>
        <w:numPr>
          <w:ilvl w:val="0"/>
          <w:numId w:val="36"/>
        </w:numPr>
      </w:pPr>
      <w:r w:rsidRPr="00E6619E">
        <w:t>Noviembre 2025. Autoliquidación: 303</w:t>
      </w:r>
    </w:p>
    <w:p w14:paraId="080D30A0" w14:textId="77777777" w:rsidR="00E6619E" w:rsidRPr="00E6619E" w:rsidRDefault="00E6619E">
      <w:pPr>
        <w:numPr>
          <w:ilvl w:val="0"/>
          <w:numId w:val="36"/>
        </w:numPr>
      </w:pPr>
      <w:r w:rsidRPr="00E6619E">
        <w:t>Noviembre 2025. Grupo de entidades, modelo individual: 322</w:t>
      </w:r>
    </w:p>
    <w:p w14:paraId="7D0F1B20" w14:textId="77777777" w:rsidR="00E6619E" w:rsidRPr="00E6619E" w:rsidRDefault="00E6619E">
      <w:pPr>
        <w:numPr>
          <w:ilvl w:val="0"/>
          <w:numId w:val="36"/>
        </w:numPr>
      </w:pPr>
      <w:r w:rsidRPr="00E6619E">
        <w:t>Noviembre 2025. Grupo de entidades, modelo agregado: 353</w:t>
      </w:r>
    </w:p>
    <w:p w14:paraId="479092E3" w14:textId="77777777" w:rsidR="00E6619E" w:rsidRDefault="00E6619E">
      <w:pPr>
        <w:numPr>
          <w:ilvl w:val="0"/>
          <w:numId w:val="36"/>
        </w:numPr>
      </w:pPr>
      <w:r w:rsidRPr="00E6619E">
        <w:t>Noviembre 2025. Operaciones asimiladas a las importaciones: 380</w:t>
      </w:r>
    </w:p>
    <w:p w14:paraId="5A6E5A15" w14:textId="77777777" w:rsidR="00E6619E" w:rsidRDefault="00E6619E" w:rsidP="00E6619E"/>
    <w:p w14:paraId="00F87276" w14:textId="77777777" w:rsidR="00873351" w:rsidRPr="00827D58" w:rsidRDefault="00873351" w:rsidP="00873351">
      <w:pPr>
        <w:rPr>
          <w:b/>
          <w:bCs/>
          <w:color w:val="800000"/>
        </w:rPr>
      </w:pPr>
      <w:r w:rsidRPr="00827D58">
        <w:rPr>
          <w:b/>
          <w:bCs/>
          <w:color w:val="800000"/>
        </w:rPr>
        <w:t>Hasta el 31 de diciembre</w:t>
      </w:r>
    </w:p>
    <w:p w14:paraId="564BCAFE" w14:textId="77777777" w:rsidR="00873351" w:rsidRPr="00827D58" w:rsidRDefault="00873351" w:rsidP="00873351">
      <w:pPr>
        <w:rPr>
          <w:color w:val="800000"/>
        </w:rPr>
      </w:pPr>
      <w:r w:rsidRPr="00827D58">
        <w:rPr>
          <w:color w:val="800000"/>
        </w:rPr>
        <w:t>Renta</w:t>
      </w:r>
    </w:p>
    <w:p w14:paraId="34B75FF8" w14:textId="77777777" w:rsidR="00873351" w:rsidRPr="00873351" w:rsidRDefault="00873351">
      <w:pPr>
        <w:numPr>
          <w:ilvl w:val="0"/>
          <w:numId w:val="37"/>
        </w:numPr>
      </w:pPr>
      <w:r w:rsidRPr="00873351">
        <w:t>Renuncia o revocación estimación directa simplificada y estimación objetiva para 2026 y sucesivos: 036</w:t>
      </w:r>
    </w:p>
    <w:p w14:paraId="79E98F65" w14:textId="77777777" w:rsidR="00873351" w:rsidRPr="00827D58" w:rsidRDefault="00873351" w:rsidP="00873351">
      <w:pPr>
        <w:rPr>
          <w:color w:val="800000"/>
        </w:rPr>
      </w:pPr>
      <w:r w:rsidRPr="00827D58">
        <w:rPr>
          <w:color w:val="800000"/>
        </w:rPr>
        <w:t>IVA</w:t>
      </w:r>
    </w:p>
    <w:p w14:paraId="102F21E3" w14:textId="77777777" w:rsidR="00873351" w:rsidRPr="00873351" w:rsidRDefault="00873351">
      <w:pPr>
        <w:numPr>
          <w:ilvl w:val="0"/>
          <w:numId w:val="38"/>
        </w:numPr>
      </w:pPr>
      <w:r w:rsidRPr="00873351">
        <w:t>Noviembre 2025. Ventanilla única - Régimen de importación: 369</w:t>
      </w:r>
    </w:p>
    <w:p w14:paraId="7B33AF3E" w14:textId="77777777" w:rsidR="00873351" w:rsidRPr="00873351" w:rsidRDefault="00873351">
      <w:pPr>
        <w:numPr>
          <w:ilvl w:val="0"/>
          <w:numId w:val="38"/>
        </w:numPr>
      </w:pPr>
      <w:r w:rsidRPr="00873351">
        <w:t>Segundo trimestre 2025: solicitud de reembolso de las cuotas tributarias soportadas relativas a la Organización del Tratado del Atlántico Norte, a los Cuarteles Generales Internacionales de dicha Organización y a los Estados parte en dicho Tratado: 364</w:t>
      </w:r>
    </w:p>
    <w:p w14:paraId="08D6DD0E" w14:textId="77777777" w:rsidR="00873351" w:rsidRPr="00873351" w:rsidRDefault="00873351">
      <w:pPr>
        <w:numPr>
          <w:ilvl w:val="0"/>
          <w:numId w:val="38"/>
        </w:numPr>
      </w:pPr>
      <w:r w:rsidRPr="00873351">
        <w:t>Segundo trimestre 2025: solicitud de reembolso de las cuotas tributarias soportadas por las fuerzas armadas de los Estados miembros de la UE: 381</w:t>
      </w:r>
    </w:p>
    <w:p w14:paraId="35EB1B8F" w14:textId="77777777" w:rsidR="00873351" w:rsidRPr="00873351" w:rsidRDefault="00873351">
      <w:pPr>
        <w:numPr>
          <w:ilvl w:val="0"/>
          <w:numId w:val="38"/>
        </w:numPr>
      </w:pPr>
      <w:r w:rsidRPr="00873351">
        <w:t>Renuncia o revocación regímenes simplificado y agricultura, ganadería y pesca para 2026 y sucesivos: 036</w:t>
      </w:r>
    </w:p>
    <w:p w14:paraId="178CFCA4" w14:textId="77777777" w:rsidR="00873351" w:rsidRPr="00873351" w:rsidRDefault="00873351">
      <w:pPr>
        <w:numPr>
          <w:ilvl w:val="0"/>
          <w:numId w:val="38"/>
        </w:numPr>
      </w:pPr>
      <w:r w:rsidRPr="00873351">
        <w:t>Opción o revocación por la determinación de la base imponible mediante el margen de beneficio global en el régimen especial de los bienes usados, objetos de arte, antigüedades y objetos de colección para 2026 y sucesivos: 036</w:t>
      </w:r>
    </w:p>
    <w:p w14:paraId="16C4E231" w14:textId="77777777" w:rsidR="00873351" w:rsidRPr="00873351" w:rsidRDefault="00873351">
      <w:pPr>
        <w:numPr>
          <w:ilvl w:val="0"/>
          <w:numId w:val="38"/>
        </w:numPr>
      </w:pPr>
      <w:r w:rsidRPr="00873351">
        <w:t>Opción tributación en destino ventas a distancia a otros países de la Unión Europea para 2026 y 2027: 036</w:t>
      </w:r>
    </w:p>
    <w:p w14:paraId="1A2637A3" w14:textId="77777777" w:rsidR="00873351" w:rsidRPr="00873351" w:rsidRDefault="00873351">
      <w:pPr>
        <w:numPr>
          <w:ilvl w:val="0"/>
          <w:numId w:val="38"/>
        </w:numPr>
      </w:pPr>
      <w:r w:rsidRPr="00873351">
        <w:t>Renuncia régimen de deducción común para sectores diferenciados para 2026: sin modelo</w:t>
      </w:r>
    </w:p>
    <w:p w14:paraId="473126C8" w14:textId="77777777" w:rsidR="00873351" w:rsidRPr="00873351" w:rsidRDefault="00873351">
      <w:pPr>
        <w:numPr>
          <w:ilvl w:val="0"/>
          <w:numId w:val="38"/>
        </w:numPr>
      </w:pPr>
      <w:r w:rsidRPr="00873351">
        <w:t>Comunicación de alta en el régimen especial del grupo de entidades: 039</w:t>
      </w:r>
    </w:p>
    <w:p w14:paraId="43A993D5" w14:textId="77777777" w:rsidR="00873351" w:rsidRPr="00873351" w:rsidRDefault="00873351">
      <w:pPr>
        <w:numPr>
          <w:ilvl w:val="0"/>
          <w:numId w:val="38"/>
        </w:numPr>
      </w:pPr>
      <w:r w:rsidRPr="00873351">
        <w:t>Opción o renuncia por la modalidad avanzada del régimen especial del grupo de entidades: 039</w:t>
      </w:r>
    </w:p>
    <w:p w14:paraId="5B992FAA" w14:textId="77777777" w:rsidR="00873351" w:rsidRPr="00873351" w:rsidRDefault="00873351">
      <w:pPr>
        <w:numPr>
          <w:ilvl w:val="0"/>
          <w:numId w:val="38"/>
        </w:numPr>
      </w:pPr>
      <w:r w:rsidRPr="00873351">
        <w:t>Comunicación anual relativa al régimen especial del grupo de entidades: 039</w:t>
      </w:r>
    </w:p>
    <w:p w14:paraId="1EC66C12" w14:textId="77777777" w:rsidR="00873351" w:rsidRPr="00873351" w:rsidRDefault="00873351">
      <w:pPr>
        <w:numPr>
          <w:ilvl w:val="0"/>
          <w:numId w:val="38"/>
        </w:numPr>
      </w:pPr>
      <w:r w:rsidRPr="00873351">
        <w:t>Opción por el régimen especial del criterio de caja para 2026: 036</w:t>
      </w:r>
    </w:p>
    <w:p w14:paraId="3D2CA3D0" w14:textId="77777777" w:rsidR="00873351" w:rsidRPr="00873351" w:rsidRDefault="00873351">
      <w:pPr>
        <w:numPr>
          <w:ilvl w:val="0"/>
          <w:numId w:val="38"/>
        </w:numPr>
      </w:pPr>
      <w:r w:rsidRPr="00873351">
        <w:t>Renuncia al régimen especial del criterio de caja para 2026, 2027 y 2028: 036</w:t>
      </w:r>
    </w:p>
    <w:p w14:paraId="74954205" w14:textId="77777777" w:rsidR="00873351" w:rsidRPr="00827D58" w:rsidRDefault="00873351" w:rsidP="00873351">
      <w:pPr>
        <w:rPr>
          <w:color w:val="800000"/>
        </w:rPr>
      </w:pPr>
      <w:r w:rsidRPr="00827D58">
        <w:rPr>
          <w:color w:val="800000"/>
        </w:rPr>
        <w:t>Impuestos Medioambientales</w:t>
      </w:r>
    </w:p>
    <w:p w14:paraId="1D12A365" w14:textId="77777777" w:rsidR="00873351" w:rsidRPr="00873351" w:rsidRDefault="00873351">
      <w:pPr>
        <w:numPr>
          <w:ilvl w:val="0"/>
          <w:numId w:val="39"/>
        </w:numPr>
      </w:pPr>
      <w:r w:rsidRPr="00873351">
        <w:t>Noviembre 2025. Impuesto especial sobre los envases de plástico no reutilizables. Presentación contabilidad y libro registro de existencias</w:t>
      </w:r>
    </w:p>
    <w:p w14:paraId="6F130A9E" w14:textId="77777777" w:rsidR="00873351" w:rsidRPr="00827D58" w:rsidRDefault="00873351" w:rsidP="00873351">
      <w:pPr>
        <w:rPr>
          <w:color w:val="800000"/>
        </w:rPr>
      </w:pPr>
      <w:r w:rsidRPr="00827D58">
        <w:rPr>
          <w:color w:val="800000"/>
        </w:rPr>
        <w:t>Declaración de información de la utilización de determinados mecanismos transfronterizos de planificación fiscal</w:t>
      </w:r>
    </w:p>
    <w:p w14:paraId="488B40B1" w14:textId="77777777" w:rsidR="00873351" w:rsidRPr="00873351" w:rsidRDefault="00873351">
      <w:pPr>
        <w:numPr>
          <w:ilvl w:val="0"/>
          <w:numId w:val="40"/>
        </w:numPr>
      </w:pPr>
      <w:r w:rsidRPr="00873351">
        <w:t>Año 2024: 236</w:t>
      </w:r>
    </w:p>
    <w:p w14:paraId="7229545F" w14:textId="77777777" w:rsidR="00E6619E" w:rsidRPr="00E6619E" w:rsidRDefault="00E6619E" w:rsidP="00E6619E"/>
    <w:p w14:paraId="5FE32900" w14:textId="77777777" w:rsidR="00E6619E" w:rsidRPr="00E6619E" w:rsidRDefault="00E6619E" w:rsidP="00E6619E"/>
    <w:p w14:paraId="1F2DB61C" w14:textId="77777777" w:rsidR="00E6619E" w:rsidRPr="00E6619E" w:rsidRDefault="00E6619E" w:rsidP="00E6619E"/>
    <w:p w14:paraId="3A3EAB3D" w14:textId="77777777" w:rsidR="00E6619E" w:rsidRPr="00E6619E" w:rsidRDefault="00E6619E" w:rsidP="00E6619E"/>
    <w:sectPr w:rsidR="00E6619E" w:rsidRPr="00E6619E" w:rsidSect="009C410E">
      <w:type w:val="continuous"/>
      <w:pgSz w:w="11906" w:h="16838" w:code="9"/>
      <w:pgMar w:top="2127" w:right="1701" w:bottom="1702" w:left="1701" w:header="709" w:footer="964" w:gutter="0"/>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95F4E" w14:textId="77777777" w:rsidR="004F20FD" w:rsidRDefault="004F20FD">
      <w:r>
        <w:separator/>
      </w:r>
    </w:p>
  </w:endnote>
  <w:endnote w:type="continuationSeparator" w:id="0">
    <w:p w14:paraId="17A5B5C5" w14:textId="77777777" w:rsidR="004F20FD" w:rsidRDefault="004F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2BFA" w14:textId="77777777" w:rsidR="004F20FD" w:rsidRDefault="004F20FD">
      <w:r>
        <w:separator/>
      </w:r>
    </w:p>
  </w:footnote>
  <w:footnote w:type="continuationSeparator" w:id="0">
    <w:p w14:paraId="1706C551" w14:textId="77777777" w:rsidR="004F20FD" w:rsidRDefault="004F2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D0270DE"/>
    <w:lvl w:ilvl="0">
      <w:start w:val="1"/>
      <w:numFmt w:val="bullet"/>
      <w:pStyle w:val="Listaconvietas2"/>
      <w:lvlText w:val=""/>
      <w:lvlJc w:val="left"/>
      <w:pPr>
        <w:tabs>
          <w:tab w:val="num" w:pos="643"/>
        </w:tabs>
        <w:ind w:left="643" w:hanging="360"/>
      </w:pPr>
      <w:rPr>
        <w:rFonts w:ascii="Symbol" w:hAnsi="Symbol" w:cs="Symbol" w:hint="default"/>
      </w:rPr>
    </w:lvl>
  </w:abstractNum>
  <w:abstractNum w:abstractNumId="1" w15:restartNumberingAfterBreak="0">
    <w:nsid w:val="FFFFFF89"/>
    <w:multiLevelType w:val="singleLevel"/>
    <w:tmpl w:val="7BD881A2"/>
    <w:lvl w:ilvl="0">
      <w:start w:val="1"/>
      <w:numFmt w:val="bullet"/>
      <w:pStyle w:val="Listaconvietas"/>
      <w:lvlText w:val=""/>
      <w:lvlJc w:val="left"/>
      <w:pPr>
        <w:tabs>
          <w:tab w:val="num" w:pos="360"/>
        </w:tabs>
        <w:ind w:left="360" w:hanging="360"/>
      </w:pPr>
      <w:rPr>
        <w:rFonts w:ascii="Symbol" w:hAnsi="Symbol" w:cs="Symbol" w:hint="default"/>
      </w:rPr>
    </w:lvl>
  </w:abstractNum>
  <w:abstractNum w:abstractNumId="2" w15:restartNumberingAfterBreak="0">
    <w:nsid w:val="02047F70"/>
    <w:multiLevelType w:val="multilevel"/>
    <w:tmpl w:val="8114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D18D7"/>
    <w:multiLevelType w:val="multilevel"/>
    <w:tmpl w:val="35EC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F5848"/>
    <w:multiLevelType w:val="multilevel"/>
    <w:tmpl w:val="1E96E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7C05F8"/>
    <w:multiLevelType w:val="multilevel"/>
    <w:tmpl w:val="3444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00F6C"/>
    <w:multiLevelType w:val="multilevel"/>
    <w:tmpl w:val="B65C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87F8B"/>
    <w:multiLevelType w:val="multilevel"/>
    <w:tmpl w:val="BD1C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07F27"/>
    <w:multiLevelType w:val="multilevel"/>
    <w:tmpl w:val="9226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B6AB6"/>
    <w:multiLevelType w:val="multilevel"/>
    <w:tmpl w:val="2466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C237C"/>
    <w:multiLevelType w:val="multilevel"/>
    <w:tmpl w:val="22F6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11A00"/>
    <w:multiLevelType w:val="multilevel"/>
    <w:tmpl w:val="46C6A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70F29"/>
    <w:multiLevelType w:val="multilevel"/>
    <w:tmpl w:val="B1C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7C3F62"/>
    <w:multiLevelType w:val="multilevel"/>
    <w:tmpl w:val="8E42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C43F7"/>
    <w:multiLevelType w:val="multilevel"/>
    <w:tmpl w:val="4DD8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9306C"/>
    <w:multiLevelType w:val="multilevel"/>
    <w:tmpl w:val="91F4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626235"/>
    <w:multiLevelType w:val="multilevel"/>
    <w:tmpl w:val="B6E6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E6021D"/>
    <w:multiLevelType w:val="multilevel"/>
    <w:tmpl w:val="74A8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F47E96"/>
    <w:multiLevelType w:val="multilevel"/>
    <w:tmpl w:val="4572B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C7264"/>
    <w:multiLevelType w:val="multilevel"/>
    <w:tmpl w:val="7516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D4B23"/>
    <w:multiLevelType w:val="multilevel"/>
    <w:tmpl w:val="81E6E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AE2A67"/>
    <w:multiLevelType w:val="multilevel"/>
    <w:tmpl w:val="E60CD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03167A"/>
    <w:multiLevelType w:val="multilevel"/>
    <w:tmpl w:val="D27C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9F0728"/>
    <w:multiLevelType w:val="multilevel"/>
    <w:tmpl w:val="78F0F7AA"/>
    <w:lvl w:ilvl="0">
      <w:start w:val="1"/>
      <w:numFmt w:val="decimal"/>
      <w:lvlText w:val="%1."/>
      <w:lvlJc w:val="left"/>
      <w:pPr>
        <w:tabs>
          <w:tab w:val="num" w:pos="360"/>
        </w:tabs>
        <w:ind w:left="360" w:hanging="360"/>
      </w:p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24" w15:restartNumberingAfterBreak="0">
    <w:nsid w:val="42532A45"/>
    <w:multiLevelType w:val="multilevel"/>
    <w:tmpl w:val="CC625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DE5B60"/>
    <w:multiLevelType w:val="multilevel"/>
    <w:tmpl w:val="5FDE3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EF34BE"/>
    <w:multiLevelType w:val="multilevel"/>
    <w:tmpl w:val="2098EA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F35586"/>
    <w:multiLevelType w:val="multilevel"/>
    <w:tmpl w:val="6ADAA4B4"/>
    <w:lvl w:ilvl="0">
      <w:start w:val="1"/>
      <w:numFmt w:val="bullet"/>
      <w:lvlText w:val=""/>
      <w:lvlJc w:val="left"/>
      <w:pPr>
        <w:tabs>
          <w:tab w:val="num" w:pos="862"/>
        </w:tabs>
        <w:ind w:left="862" w:hanging="360"/>
      </w:pPr>
      <w:rPr>
        <w:rFonts w:ascii="Symbol" w:hAnsi="Symbol" w:hint="default"/>
        <w:sz w:val="20"/>
      </w:rPr>
    </w:lvl>
    <w:lvl w:ilvl="1" w:tentative="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28" w15:restartNumberingAfterBreak="0">
    <w:nsid w:val="485A64BB"/>
    <w:multiLevelType w:val="multilevel"/>
    <w:tmpl w:val="27D2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C9690B"/>
    <w:multiLevelType w:val="multilevel"/>
    <w:tmpl w:val="52A6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B71BB4"/>
    <w:multiLevelType w:val="multilevel"/>
    <w:tmpl w:val="ECFA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150C84"/>
    <w:multiLevelType w:val="multilevel"/>
    <w:tmpl w:val="B3D8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450B26"/>
    <w:multiLevelType w:val="multilevel"/>
    <w:tmpl w:val="ADD8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CA2435"/>
    <w:multiLevelType w:val="hybridMultilevel"/>
    <w:tmpl w:val="F31C4294"/>
    <w:lvl w:ilvl="0" w:tplc="0C0A000F">
      <w:start w:val="1"/>
      <w:numFmt w:val="decimal"/>
      <w:lvlText w:val="%1."/>
      <w:lvlJc w:val="left"/>
      <w:pPr>
        <w:tabs>
          <w:tab w:val="num" w:pos="720"/>
        </w:tabs>
        <w:ind w:left="720" w:hanging="360"/>
      </w:pPr>
      <w:rPr>
        <w:rFonts w:hint="default"/>
      </w:rPr>
    </w:lvl>
    <w:lvl w:ilvl="1" w:tplc="FFFFFFFF">
      <w:start w:val="1"/>
      <w:numFmt w:val="bullet"/>
      <w:lvlText w:val=""/>
      <w:lvlJc w:val="left"/>
      <w:pPr>
        <w:ind w:left="1440" w:hanging="360"/>
      </w:pPr>
      <w:rPr>
        <w:rFonts w:ascii="Symbol" w:hAnsi="Symbol" w:hint="default"/>
      </w:rPr>
    </w:lvl>
    <w:lvl w:ilvl="2" w:tplc="4F48EB20">
      <w:numFmt w:val="bullet"/>
      <w:lvlText w:val="-"/>
      <w:lvlJc w:val="left"/>
      <w:pPr>
        <w:tabs>
          <w:tab w:val="num" w:pos="2340"/>
        </w:tabs>
        <w:ind w:left="2340" w:hanging="360"/>
      </w:pPr>
      <w:rPr>
        <w:rFonts w:ascii="Times New Roman" w:eastAsia="Times New Roman" w:hAnsi="Times New Roman" w:hint="default"/>
      </w:rPr>
    </w:lvl>
    <w:lvl w:ilvl="3" w:tplc="6DF4CB78">
      <w:start w:val="1"/>
      <w:numFmt w:val="lowerLetter"/>
      <w:lvlText w:val="%4)"/>
      <w:lvlJc w:val="left"/>
      <w:pPr>
        <w:tabs>
          <w:tab w:val="num" w:pos="2880"/>
        </w:tabs>
        <w:ind w:left="2880" w:hanging="360"/>
      </w:pPr>
      <w:rPr>
        <w:rFonts w:hint="default"/>
      </w:rPr>
    </w:lvl>
    <w:lvl w:ilvl="4" w:tplc="972CD7B2">
      <w:start w:val="1"/>
      <w:numFmt w:val="upperLetter"/>
      <w:lvlText w:val="%5."/>
      <w:lvlJc w:val="left"/>
      <w:pPr>
        <w:tabs>
          <w:tab w:val="num" w:pos="3600"/>
        </w:tabs>
        <w:ind w:left="3600" w:hanging="360"/>
      </w:pPr>
      <w:rPr>
        <w:rFonts w:hint="default"/>
      </w:r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4" w15:restartNumberingAfterBreak="0">
    <w:nsid w:val="5C6F5ABA"/>
    <w:multiLevelType w:val="multilevel"/>
    <w:tmpl w:val="95E8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FC72DD"/>
    <w:multiLevelType w:val="multilevel"/>
    <w:tmpl w:val="98F44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EA6998"/>
    <w:multiLevelType w:val="multilevel"/>
    <w:tmpl w:val="5B8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47671A"/>
    <w:multiLevelType w:val="multilevel"/>
    <w:tmpl w:val="1690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2222C2"/>
    <w:multiLevelType w:val="multilevel"/>
    <w:tmpl w:val="5558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356749"/>
    <w:multiLevelType w:val="multilevel"/>
    <w:tmpl w:val="760A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467ABB"/>
    <w:multiLevelType w:val="multilevel"/>
    <w:tmpl w:val="753C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2D7E1C"/>
    <w:multiLevelType w:val="multilevel"/>
    <w:tmpl w:val="73C0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763273"/>
    <w:multiLevelType w:val="multilevel"/>
    <w:tmpl w:val="2996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FF24D0"/>
    <w:multiLevelType w:val="multilevel"/>
    <w:tmpl w:val="E55E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5D4DC8"/>
    <w:multiLevelType w:val="multilevel"/>
    <w:tmpl w:val="72C21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832369"/>
    <w:multiLevelType w:val="multilevel"/>
    <w:tmpl w:val="5226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E2080C"/>
    <w:multiLevelType w:val="multilevel"/>
    <w:tmpl w:val="E5A4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FF413D"/>
    <w:multiLevelType w:val="multilevel"/>
    <w:tmpl w:val="FEC6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BC614D"/>
    <w:multiLevelType w:val="multilevel"/>
    <w:tmpl w:val="2C06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231C7"/>
    <w:multiLevelType w:val="multilevel"/>
    <w:tmpl w:val="A210A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177727">
    <w:abstractNumId w:val="1"/>
  </w:num>
  <w:num w:numId="2" w16cid:durableId="1928032408">
    <w:abstractNumId w:val="0"/>
  </w:num>
  <w:num w:numId="3" w16cid:durableId="355737201">
    <w:abstractNumId w:val="23"/>
  </w:num>
  <w:num w:numId="4" w16cid:durableId="1004472359">
    <w:abstractNumId w:val="33"/>
  </w:num>
  <w:num w:numId="5" w16cid:durableId="801650415">
    <w:abstractNumId w:val="21"/>
  </w:num>
  <w:num w:numId="6" w16cid:durableId="1316959526">
    <w:abstractNumId w:val="14"/>
  </w:num>
  <w:num w:numId="7" w16cid:durableId="72237945">
    <w:abstractNumId w:val="16"/>
  </w:num>
  <w:num w:numId="8" w16cid:durableId="1443262211">
    <w:abstractNumId w:val="15"/>
  </w:num>
  <w:num w:numId="9" w16cid:durableId="1218666679">
    <w:abstractNumId w:val="22"/>
  </w:num>
  <w:num w:numId="10" w16cid:durableId="1777091719">
    <w:abstractNumId w:val="8"/>
  </w:num>
  <w:num w:numId="11" w16cid:durableId="1088892520">
    <w:abstractNumId w:val="26"/>
  </w:num>
  <w:num w:numId="12" w16cid:durableId="781462252">
    <w:abstractNumId w:val="46"/>
  </w:num>
  <w:num w:numId="13" w16cid:durableId="389116271">
    <w:abstractNumId w:val="30"/>
  </w:num>
  <w:num w:numId="14" w16cid:durableId="1148278754">
    <w:abstractNumId w:val="10"/>
  </w:num>
  <w:num w:numId="15" w16cid:durableId="1894196616">
    <w:abstractNumId w:val="24"/>
  </w:num>
  <w:num w:numId="16" w16cid:durableId="904687427">
    <w:abstractNumId w:val="7"/>
  </w:num>
  <w:num w:numId="17" w16cid:durableId="1618829859">
    <w:abstractNumId w:val="17"/>
  </w:num>
  <w:num w:numId="18" w16cid:durableId="2129467882">
    <w:abstractNumId w:val="48"/>
  </w:num>
  <w:num w:numId="19" w16cid:durableId="204686649">
    <w:abstractNumId w:val="31"/>
  </w:num>
  <w:num w:numId="20" w16cid:durableId="1336150515">
    <w:abstractNumId w:val="4"/>
  </w:num>
  <w:num w:numId="21" w16cid:durableId="695468033">
    <w:abstractNumId w:val="35"/>
  </w:num>
  <w:num w:numId="22" w16cid:durableId="1523129835">
    <w:abstractNumId w:val="25"/>
  </w:num>
  <w:num w:numId="23" w16cid:durableId="173112606">
    <w:abstractNumId w:val="41"/>
  </w:num>
  <w:num w:numId="24" w16cid:durableId="1527907296">
    <w:abstractNumId w:val="28"/>
  </w:num>
  <w:num w:numId="25" w16cid:durableId="1751080301">
    <w:abstractNumId w:val="32"/>
  </w:num>
  <w:num w:numId="26" w16cid:durableId="851378221">
    <w:abstractNumId w:val="40"/>
  </w:num>
  <w:num w:numId="27" w16cid:durableId="1569146896">
    <w:abstractNumId w:val="44"/>
  </w:num>
  <w:num w:numId="28" w16cid:durableId="381560687">
    <w:abstractNumId w:val="47"/>
  </w:num>
  <w:num w:numId="29" w16cid:durableId="944925385">
    <w:abstractNumId w:val="49"/>
  </w:num>
  <w:num w:numId="30" w16cid:durableId="2104262055">
    <w:abstractNumId w:val="42"/>
  </w:num>
  <w:num w:numId="31" w16cid:durableId="405686255">
    <w:abstractNumId w:val="19"/>
  </w:num>
  <w:num w:numId="32" w16cid:durableId="1164005397">
    <w:abstractNumId w:val="38"/>
  </w:num>
  <w:num w:numId="33" w16cid:durableId="787435602">
    <w:abstractNumId w:val="39"/>
  </w:num>
  <w:num w:numId="34" w16cid:durableId="1292905931">
    <w:abstractNumId w:val="6"/>
  </w:num>
  <w:num w:numId="35" w16cid:durableId="1092897068">
    <w:abstractNumId w:val="2"/>
  </w:num>
  <w:num w:numId="36" w16cid:durableId="1164202436">
    <w:abstractNumId w:val="29"/>
  </w:num>
  <w:num w:numId="37" w16cid:durableId="1248809619">
    <w:abstractNumId w:val="18"/>
  </w:num>
  <w:num w:numId="38" w16cid:durableId="802969876">
    <w:abstractNumId w:val="3"/>
  </w:num>
  <w:num w:numId="39" w16cid:durableId="2081632551">
    <w:abstractNumId w:val="9"/>
  </w:num>
  <w:num w:numId="40" w16cid:durableId="234121776">
    <w:abstractNumId w:val="36"/>
  </w:num>
  <w:num w:numId="41" w16cid:durableId="770860119">
    <w:abstractNumId w:val="5"/>
  </w:num>
  <w:num w:numId="42" w16cid:durableId="570778906">
    <w:abstractNumId w:val="20"/>
  </w:num>
  <w:num w:numId="43" w16cid:durableId="109788537">
    <w:abstractNumId w:val="43"/>
  </w:num>
  <w:num w:numId="44" w16cid:durableId="1898468692">
    <w:abstractNumId w:val="11"/>
  </w:num>
  <w:num w:numId="45" w16cid:durableId="387849567">
    <w:abstractNumId w:val="27"/>
  </w:num>
  <w:num w:numId="46" w16cid:durableId="1727950282">
    <w:abstractNumId w:val="45"/>
  </w:num>
  <w:num w:numId="47" w16cid:durableId="2039353268">
    <w:abstractNumId w:val="12"/>
  </w:num>
  <w:num w:numId="48" w16cid:durableId="1797331087">
    <w:abstractNumId w:val="13"/>
  </w:num>
  <w:num w:numId="49" w16cid:durableId="2008902375">
    <w:abstractNumId w:val="37"/>
  </w:num>
  <w:num w:numId="50" w16cid:durableId="88737685">
    <w:abstractNumId w:val="3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proofState w:spelling="clean" w:grammar="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B0D"/>
    <w:rsid w:val="00001F31"/>
    <w:rsid w:val="00004B27"/>
    <w:rsid w:val="00004C0C"/>
    <w:rsid w:val="00004E43"/>
    <w:rsid w:val="00011D45"/>
    <w:rsid w:val="00012432"/>
    <w:rsid w:val="000173A4"/>
    <w:rsid w:val="000205FF"/>
    <w:rsid w:val="00023BC0"/>
    <w:rsid w:val="00024A55"/>
    <w:rsid w:val="000256FD"/>
    <w:rsid w:val="00027A3B"/>
    <w:rsid w:val="00027F9C"/>
    <w:rsid w:val="000304FA"/>
    <w:rsid w:val="00030942"/>
    <w:rsid w:val="000337E7"/>
    <w:rsid w:val="0003716C"/>
    <w:rsid w:val="00037201"/>
    <w:rsid w:val="00037986"/>
    <w:rsid w:val="00043DB6"/>
    <w:rsid w:val="000442F4"/>
    <w:rsid w:val="00044308"/>
    <w:rsid w:val="00044BB3"/>
    <w:rsid w:val="00045B7C"/>
    <w:rsid w:val="000479B8"/>
    <w:rsid w:val="00051CBD"/>
    <w:rsid w:val="000523CF"/>
    <w:rsid w:val="000534BA"/>
    <w:rsid w:val="00053BA6"/>
    <w:rsid w:val="000545CD"/>
    <w:rsid w:val="00057E99"/>
    <w:rsid w:val="0006057B"/>
    <w:rsid w:val="00062126"/>
    <w:rsid w:val="00062FDE"/>
    <w:rsid w:val="000636DD"/>
    <w:rsid w:val="000650B8"/>
    <w:rsid w:val="000655D0"/>
    <w:rsid w:val="00067104"/>
    <w:rsid w:val="00071C63"/>
    <w:rsid w:val="0007345C"/>
    <w:rsid w:val="00074947"/>
    <w:rsid w:val="000759F2"/>
    <w:rsid w:val="00075E23"/>
    <w:rsid w:val="000768AC"/>
    <w:rsid w:val="00076E4F"/>
    <w:rsid w:val="00083FF6"/>
    <w:rsid w:val="00092187"/>
    <w:rsid w:val="0009400A"/>
    <w:rsid w:val="000947A4"/>
    <w:rsid w:val="00095DFF"/>
    <w:rsid w:val="000962A4"/>
    <w:rsid w:val="0009684E"/>
    <w:rsid w:val="00096D18"/>
    <w:rsid w:val="000A0676"/>
    <w:rsid w:val="000A0AAD"/>
    <w:rsid w:val="000A0DC6"/>
    <w:rsid w:val="000A1B68"/>
    <w:rsid w:val="000A3B06"/>
    <w:rsid w:val="000A40F2"/>
    <w:rsid w:val="000A7F22"/>
    <w:rsid w:val="000B01AE"/>
    <w:rsid w:val="000B34E7"/>
    <w:rsid w:val="000B4C0D"/>
    <w:rsid w:val="000B5554"/>
    <w:rsid w:val="000B589A"/>
    <w:rsid w:val="000B658B"/>
    <w:rsid w:val="000C3108"/>
    <w:rsid w:val="000C66F6"/>
    <w:rsid w:val="000C73D4"/>
    <w:rsid w:val="000C7A3A"/>
    <w:rsid w:val="000D19E5"/>
    <w:rsid w:val="000D2948"/>
    <w:rsid w:val="000D2F16"/>
    <w:rsid w:val="000D30DD"/>
    <w:rsid w:val="000E0087"/>
    <w:rsid w:val="000E33E3"/>
    <w:rsid w:val="000E3560"/>
    <w:rsid w:val="000E62CF"/>
    <w:rsid w:val="000E6390"/>
    <w:rsid w:val="000F0469"/>
    <w:rsid w:val="000F0478"/>
    <w:rsid w:val="000F1831"/>
    <w:rsid w:val="000F49DB"/>
    <w:rsid w:val="00100524"/>
    <w:rsid w:val="00101AFC"/>
    <w:rsid w:val="00103372"/>
    <w:rsid w:val="00105C70"/>
    <w:rsid w:val="00107B28"/>
    <w:rsid w:val="00107CB8"/>
    <w:rsid w:val="00110314"/>
    <w:rsid w:val="00110FD7"/>
    <w:rsid w:val="0011149D"/>
    <w:rsid w:val="001131EF"/>
    <w:rsid w:val="0011357D"/>
    <w:rsid w:val="00114856"/>
    <w:rsid w:val="00114C00"/>
    <w:rsid w:val="001159C7"/>
    <w:rsid w:val="00120B9F"/>
    <w:rsid w:val="00121917"/>
    <w:rsid w:val="00130BC9"/>
    <w:rsid w:val="001326D7"/>
    <w:rsid w:val="00133D9C"/>
    <w:rsid w:val="00135A19"/>
    <w:rsid w:val="001401E4"/>
    <w:rsid w:val="00140E73"/>
    <w:rsid w:val="001428CD"/>
    <w:rsid w:val="001439D6"/>
    <w:rsid w:val="001440CB"/>
    <w:rsid w:val="001449B8"/>
    <w:rsid w:val="00145A83"/>
    <w:rsid w:val="00145D35"/>
    <w:rsid w:val="00147735"/>
    <w:rsid w:val="00150101"/>
    <w:rsid w:val="00152AFA"/>
    <w:rsid w:val="00153560"/>
    <w:rsid w:val="00156C14"/>
    <w:rsid w:val="00157D3D"/>
    <w:rsid w:val="0016027E"/>
    <w:rsid w:val="001605CD"/>
    <w:rsid w:val="001623E6"/>
    <w:rsid w:val="001633AD"/>
    <w:rsid w:val="0016534C"/>
    <w:rsid w:val="00170BFC"/>
    <w:rsid w:val="001724D0"/>
    <w:rsid w:val="00177251"/>
    <w:rsid w:val="0017740E"/>
    <w:rsid w:val="0017768C"/>
    <w:rsid w:val="00180806"/>
    <w:rsid w:val="001808EF"/>
    <w:rsid w:val="00181DB7"/>
    <w:rsid w:val="00181E6E"/>
    <w:rsid w:val="0018216F"/>
    <w:rsid w:val="00182D90"/>
    <w:rsid w:val="00182D98"/>
    <w:rsid w:val="00182FBB"/>
    <w:rsid w:val="00183036"/>
    <w:rsid w:val="00184874"/>
    <w:rsid w:val="001850D4"/>
    <w:rsid w:val="0019073E"/>
    <w:rsid w:val="00191EA1"/>
    <w:rsid w:val="0019202F"/>
    <w:rsid w:val="00193018"/>
    <w:rsid w:val="00194D2E"/>
    <w:rsid w:val="00195163"/>
    <w:rsid w:val="001974EB"/>
    <w:rsid w:val="001976E2"/>
    <w:rsid w:val="001A1C90"/>
    <w:rsid w:val="001A3B80"/>
    <w:rsid w:val="001A5088"/>
    <w:rsid w:val="001A5B41"/>
    <w:rsid w:val="001A666E"/>
    <w:rsid w:val="001A6D93"/>
    <w:rsid w:val="001A771F"/>
    <w:rsid w:val="001B0330"/>
    <w:rsid w:val="001B1878"/>
    <w:rsid w:val="001B2710"/>
    <w:rsid w:val="001B38FD"/>
    <w:rsid w:val="001B57F8"/>
    <w:rsid w:val="001B7826"/>
    <w:rsid w:val="001B7FDD"/>
    <w:rsid w:val="001C0A7E"/>
    <w:rsid w:val="001C1839"/>
    <w:rsid w:val="001C1CE5"/>
    <w:rsid w:val="001C22E8"/>
    <w:rsid w:val="001C58C2"/>
    <w:rsid w:val="001D0589"/>
    <w:rsid w:val="001D09D2"/>
    <w:rsid w:val="001D5329"/>
    <w:rsid w:val="001E0DF0"/>
    <w:rsid w:val="001E10EA"/>
    <w:rsid w:val="001E1CAF"/>
    <w:rsid w:val="001E3EA2"/>
    <w:rsid w:val="001F0416"/>
    <w:rsid w:val="001F19DF"/>
    <w:rsid w:val="001F3ACD"/>
    <w:rsid w:val="001F45EC"/>
    <w:rsid w:val="001F4BC7"/>
    <w:rsid w:val="001F5E64"/>
    <w:rsid w:val="001F6B90"/>
    <w:rsid w:val="001F6BC6"/>
    <w:rsid w:val="001F7741"/>
    <w:rsid w:val="001F7B65"/>
    <w:rsid w:val="001F7C32"/>
    <w:rsid w:val="001F7DFE"/>
    <w:rsid w:val="00201F12"/>
    <w:rsid w:val="002026D2"/>
    <w:rsid w:val="00203A9E"/>
    <w:rsid w:val="00203D02"/>
    <w:rsid w:val="00207CE4"/>
    <w:rsid w:val="00211129"/>
    <w:rsid w:val="0021160E"/>
    <w:rsid w:val="00212406"/>
    <w:rsid w:val="00212AB5"/>
    <w:rsid w:val="0021417F"/>
    <w:rsid w:val="00214682"/>
    <w:rsid w:val="00214B3F"/>
    <w:rsid w:val="002150B7"/>
    <w:rsid w:val="00215CB1"/>
    <w:rsid w:val="00222086"/>
    <w:rsid w:val="00231165"/>
    <w:rsid w:val="002325FB"/>
    <w:rsid w:val="00234A9C"/>
    <w:rsid w:val="0023644C"/>
    <w:rsid w:val="00236869"/>
    <w:rsid w:val="00240E39"/>
    <w:rsid w:val="0024445E"/>
    <w:rsid w:val="00245078"/>
    <w:rsid w:val="00246CAE"/>
    <w:rsid w:val="00247FEE"/>
    <w:rsid w:val="002508C1"/>
    <w:rsid w:val="0025111D"/>
    <w:rsid w:val="002520F1"/>
    <w:rsid w:val="00260111"/>
    <w:rsid w:val="002609B6"/>
    <w:rsid w:val="00263BF0"/>
    <w:rsid w:val="00263F5C"/>
    <w:rsid w:val="00265CAE"/>
    <w:rsid w:val="002709B8"/>
    <w:rsid w:val="002716FA"/>
    <w:rsid w:val="00273B24"/>
    <w:rsid w:val="00276140"/>
    <w:rsid w:val="00276EC9"/>
    <w:rsid w:val="002779D6"/>
    <w:rsid w:val="002779D7"/>
    <w:rsid w:val="00281474"/>
    <w:rsid w:val="002818E7"/>
    <w:rsid w:val="00286277"/>
    <w:rsid w:val="00286D15"/>
    <w:rsid w:val="002921D6"/>
    <w:rsid w:val="002928B2"/>
    <w:rsid w:val="00294301"/>
    <w:rsid w:val="002A05E5"/>
    <w:rsid w:val="002A0A79"/>
    <w:rsid w:val="002A2E40"/>
    <w:rsid w:val="002A46EC"/>
    <w:rsid w:val="002A5F42"/>
    <w:rsid w:val="002A6434"/>
    <w:rsid w:val="002A78B3"/>
    <w:rsid w:val="002B1359"/>
    <w:rsid w:val="002B3961"/>
    <w:rsid w:val="002B6680"/>
    <w:rsid w:val="002B7927"/>
    <w:rsid w:val="002B7C55"/>
    <w:rsid w:val="002C243A"/>
    <w:rsid w:val="002C5147"/>
    <w:rsid w:val="002C561C"/>
    <w:rsid w:val="002C60FC"/>
    <w:rsid w:val="002C61F3"/>
    <w:rsid w:val="002C6C4F"/>
    <w:rsid w:val="002D0408"/>
    <w:rsid w:val="002D180C"/>
    <w:rsid w:val="002D2C93"/>
    <w:rsid w:val="002D4638"/>
    <w:rsid w:val="002D51BC"/>
    <w:rsid w:val="002D595D"/>
    <w:rsid w:val="002D617A"/>
    <w:rsid w:val="002D628B"/>
    <w:rsid w:val="002E27FA"/>
    <w:rsid w:val="002E2BB2"/>
    <w:rsid w:val="002E2D8D"/>
    <w:rsid w:val="002E3860"/>
    <w:rsid w:val="002E3B7C"/>
    <w:rsid w:val="002E592C"/>
    <w:rsid w:val="002F09A3"/>
    <w:rsid w:val="002F125D"/>
    <w:rsid w:val="00301362"/>
    <w:rsid w:val="003015CC"/>
    <w:rsid w:val="00301D9D"/>
    <w:rsid w:val="003023AE"/>
    <w:rsid w:val="00303B69"/>
    <w:rsid w:val="00303C2D"/>
    <w:rsid w:val="00305B14"/>
    <w:rsid w:val="00306C2A"/>
    <w:rsid w:val="00307233"/>
    <w:rsid w:val="00317235"/>
    <w:rsid w:val="003206CA"/>
    <w:rsid w:val="00323A5E"/>
    <w:rsid w:val="00325881"/>
    <w:rsid w:val="003264F4"/>
    <w:rsid w:val="00334E01"/>
    <w:rsid w:val="003408C1"/>
    <w:rsid w:val="00341015"/>
    <w:rsid w:val="00341BB2"/>
    <w:rsid w:val="003430FD"/>
    <w:rsid w:val="003441ED"/>
    <w:rsid w:val="003450E6"/>
    <w:rsid w:val="00346C28"/>
    <w:rsid w:val="003476DE"/>
    <w:rsid w:val="0035090F"/>
    <w:rsid w:val="00352CE3"/>
    <w:rsid w:val="00360AE6"/>
    <w:rsid w:val="00360DEB"/>
    <w:rsid w:val="00362CB6"/>
    <w:rsid w:val="0036479C"/>
    <w:rsid w:val="00365421"/>
    <w:rsid w:val="0036760A"/>
    <w:rsid w:val="003705A3"/>
    <w:rsid w:val="00370B78"/>
    <w:rsid w:val="0037101A"/>
    <w:rsid w:val="0037222F"/>
    <w:rsid w:val="003765A8"/>
    <w:rsid w:val="00377273"/>
    <w:rsid w:val="00381C66"/>
    <w:rsid w:val="00383A23"/>
    <w:rsid w:val="003853EB"/>
    <w:rsid w:val="00386C09"/>
    <w:rsid w:val="00387FA0"/>
    <w:rsid w:val="00390027"/>
    <w:rsid w:val="00390F1C"/>
    <w:rsid w:val="00391969"/>
    <w:rsid w:val="00393D16"/>
    <w:rsid w:val="00394543"/>
    <w:rsid w:val="00394A1C"/>
    <w:rsid w:val="003971F9"/>
    <w:rsid w:val="003978D9"/>
    <w:rsid w:val="00397D41"/>
    <w:rsid w:val="003A1396"/>
    <w:rsid w:val="003A44C9"/>
    <w:rsid w:val="003A4937"/>
    <w:rsid w:val="003B38DA"/>
    <w:rsid w:val="003B477A"/>
    <w:rsid w:val="003B4B2E"/>
    <w:rsid w:val="003B4E14"/>
    <w:rsid w:val="003B7691"/>
    <w:rsid w:val="003B76BB"/>
    <w:rsid w:val="003B7D5C"/>
    <w:rsid w:val="003B7E4D"/>
    <w:rsid w:val="003C07FD"/>
    <w:rsid w:val="003C62A3"/>
    <w:rsid w:val="003C64DA"/>
    <w:rsid w:val="003C6E3C"/>
    <w:rsid w:val="003C6E87"/>
    <w:rsid w:val="003C6F2E"/>
    <w:rsid w:val="003D1402"/>
    <w:rsid w:val="003D1690"/>
    <w:rsid w:val="003D4FBA"/>
    <w:rsid w:val="003E194E"/>
    <w:rsid w:val="003E3D31"/>
    <w:rsid w:val="003E419D"/>
    <w:rsid w:val="003E5BFC"/>
    <w:rsid w:val="003F4AC0"/>
    <w:rsid w:val="003F78C6"/>
    <w:rsid w:val="00400C60"/>
    <w:rsid w:val="0040352E"/>
    <w:rsid w:val="00404D27"/>
    <w:rsid w:val="004053E2"/>
    <w:rsid w:val="00405770"/>
    <w:rsid w:val="004063D5"/>
    <w:rsid w:val="004071B9"/>
    <w:rsid w:val="00407F90"/>
    <w:rsid w:val="004110C8"/>
    <w:rsid w:val="004128A0"/>
    <w:rsid w:val="00413A03"/>
    <w:rsid w:val="00417265"/>
    <w:rsid w:val="00417FDC"/>
    <w:rsid w:val="00420768"/>
    <w:rsid w:val="004223A4"/>
    <w:rsid w:val="004233A3"/>
    <w:rsid w:val="00424215"/>
    <w:rsid w:val="004244ED"/>
    <w:rsid w:val="004247F6"/>
    <w:rsid w:val="004250CB"/>
    <w:rsid w:val="004251CC"/>
    <w:rsid w:val="004329C7"/>
    <w:rsid w:val="00434293"/>
    <w:rsid w:val="00434898"/>
    <w:rsid w:val="00434D05"/>
    <w:rsid w:val="004351F8"/>
    <w:rsid w:val="00436539"/>
    <w:rsid w:val="00440084"/>
    <w:rsid w:val="00440A3B"/>
    <w:rsid w:val="00440DE0"/>
    <w:rsid w:val="004422B3"/>
    <w:rsid w:val="00443246"/>
    <w:rsid w:val="00446AB1"/>
    <w:rsid w:val="00451481"/>
    <w:rsid w:val="00451EDD"/>
    <w:rsid w:val="00453C8E"/>
    <w:rsid w:val="00454BA8"/>
    <w:rsid w:val="00460BBC"/>
    <w:rsid w:val="00460E10"/>
    <w:rsid w:val="00461EF1"/>
    <w:rsid w:val="0046209E"/>
    <w:rsid w:val="004646F1"/>
    <w:rsid w:val="00464CFA"/>
    <w:rsid w:val="0046578E"/>
    <w:rsid w:val="00467016"/>
    <w:rsid w:val="0047106A"/>
    <w:rsid w:val="004711C3"/>
    <w:rsid w:val="004723F5"/>
    <w:rsid w:val="00474E38"/>
    <w:rsid w:val="004756BC"/>
    <w:rsid w:val="00476EB1"/>
    <w:rsid w:val="00480511"/>
    <w:rsid w:val="004805CB"/>
    <w:rsid w:val="00482044"/>
    <w:rsid w:val="0048378A"/>
    <w:rsid w:val="00484BE3"/>
    <w:rsid w:val="00485802"/>
    <w:rsid w:val="00485EF2"/>
    <w:rsid w:val="00490BAD"/>
    <w:rsid w:val="004929DE"/>
    <w:rsid w:val="00495249"/>
    <w:rsid w:val="00495A53"/>
    <w:rsid w:val="00497E30"/>
    <w:rsid w:val="004A0056"/>
    <w:rsid w:val="004A6E13"/>
    <w:rsid w:val="004A72BC"/>
    <w:rsid w:val="004A75F7"/>
    <w:rsid w:val="004B02FB"/>
    <w:rsid w:val="004B0E61"/>
    <w:rsid w:val="004B2F12"/>
    <w:rsid w:val="004B3DC9"/>
    <w:rsid w:val="004B429D"/>
    <w:rsid w:val="004B5A0A"/>
    <w:rsid w:val="004B5D3C"/>
    <w:rsid w:val="004B63FD"/>
    <w:rsid w:val="004B681A"/>
    <w:rsid w:val="004B771B"/>
    <w:rsid w:val="004B7F48"/>
    <w:rsid w:val="004C2E73"/>
    <w:rsid w:val="004C7144"/>
    <w:rsid w:val="004C7B70"/>
    <w:rsid w:val="004D3002"/>
    <w:rsid w:val="004D4529"/>
    <w:rsid w:val="004D5313"/>
    <w:rsid w:val="004D5C2A"/>
    <w:rsid w:val="004D6174"/>
    <w:rsid w:val="004D69A0"/>
    <w:rsid w:val="004D6E0D"/>
    <w:rsid w:val="004D7DBF"/>
    <w:rsid w:val="004E0F68"/>
    <w:rsid w:val="004E1BA6"/>
    <w:rsid w:val="004E2BDE"/>
    <w:rsid w:val="004E3E70"/>
    <w:rsid w:val="004F20FD"/>
    <w:rsid w:val="00500E12"/>
    <w:rsid w:val="00501AB2"/>
    <w:rsid w:val="005032C5"/>
    <w:rsid w:val="00503D01"/>
    <w:rsid w:val="00504991"/>
    <w:rsid w:val="00504C48"/>
    <w:rsid w:val="00505FE0"/>
    <w:rsid w:val="00507C7E"/>
    <w:rsid w:val="0051224B"/>
    <w:rsid w:val="005124D9"/>
    <w:rsid w:val="00513E09"/>
    <w:rsid w:val="00514084"/>
    <w:rsid w:val="00515C1D"/>
    <w:rsid w:val="0051695A"/>
    <w:rsid w:val="005176DD"/>
    <w:rsid w:val="00522974"/>
    <w:rsid w:val="005240BF"/>
    <w:rsid w:val="0052649E"/>
    <w:rsid w:val="005272D1"/>
    <w:rsid w:val="005301CB"/>
    <w:rsid w:val="0053048C"/>
    <w:rsid w:val="00533A93"/>
    <w:rsid w:val="00537296"/>
    <w:rsid w:val="00541B3C"/>
    <w:rsid w:val="00542CBD"/>
    <w:rsid w:val="00543EC2"/>
    <w:rsid w:val="00543F71"/>
    <w:rsid w:val="0054402E"/>
    <w:rsid w:val="00544990"/>
    <w:rsid w:val="00544CDA"/>
    <w:rsid w:val="00547210"/>
    <w:rsid w:val="00547FDC"/>
    <w:rsid w:val="00551588"/>
    <w:rsid w:val="0055293E"/>
    <w:rsid w:val="00552F49"/>
    <w:rsid w:val="00554E44"/>
    <w:rsid w:val="00556DEF"/>
    <w:rsid w:val="00557C3F"/>
    <w:rsid w:val="005602FE"/>
    <w:rsid w:val="005635B0"/>
    <w:rsid w:val="0056395D"/>
    <w:rsid w:val="005643AB"/>
    <w:rsid w:val="00564402"/>
    <w:rsid w:val="005649D2"/>
    <w:rsid w:val="00566B58"/>
    <w:rsid w:val="0056758A"/>
    <w:rsid w:val="0057222D"/>
    <w:rsid w:val="005726F5"/>
    <w:rsid w:val="005739B8"/>
    <w:rsid w:val="005757CA"/>
    <w:rsid w:val="0057623A"/>
    <w:rsid w:val="0058132D"/>
    <w:rsid w:val="00586D06"/>
    <w:rsid w:val="00590C0F"/>
    <w:rsid w:val="0059237E"/>
    <w:rsid w:val="005934B9"/>
    <w:rsid w:val="0059434D"/>
    <w:rsid w:val="005951FA"/>
    <w:rsid w:val="00597428"/>
    <w:rsid w:val="00597646"/>
    <w:rsid w:val="005A0D84"/>
    <w:rsid w:val="005A0EA2"/>
    <w:rsid w:val="005A38EE"/>
    <w:rsid w:val="005A50B5"/>
    <w:rsid w:val="005A51DB"/>
    <w:rsid w:val="005A7A71"/>
    <w:rsid w:val="005B1F7C"/>
    <w:rsid w:val="005B40EE"/>
    <w:rsid w:val="005B5194"/>
    <w:rsid w:val="005B55D7"/>
    <w:rsid w:val="005B6757"/>
    <w:rsid w:val="005B6E7A"/>
    <w:rsid w:val="005C1151"/>
    <w:rsid w:val="005C14D4"/>
    <w:rsid w:val="005C183E"/>
    <w:rsid w:val="005C272D"/>
    <w:rsid w:val="005C407B"/>
    <w:rsid w:val="005C5BA8"/>
    <w:rsid w:val="005C6A34"/>
    <w:rsid w:val="005C6CF8"/>
    <w:rsid w:val="005D3164"/>
    <w:rsid w:val="005D464F"/>
    <w:rsid w:val="005D64CD"/>
    <w:rsid w:val="005D76EF"/>
    <w:rsid w:val="005E1D9A"/>
    <w:rsid w:val="005E2339"/>
    <w:rsid w:val="005E2E93"/>
    <w:rsid w:val="005E357D"/>
    <w:rsid w:val="005E39B4"/>
    <w:rsid w:val="005E4441"/>
    <w:rsid w:val="005E4811"/>
    <w:rsid w:val="005E5AE5"/>
    <w:rsid w:val="005E677F"/>
    <w:rsid w:val="005F0F08"/>
    <w:rsid w:val="005F2EC0"/>
    <w:rsid w:val="005F34B7"/>
    <w:rsid w:val="005F3F15"/>
    <w:rsid w:val="005F56DA"/>
    <w:rsid w:val="005F74A0"/>
    <w:rsid w:val="005F7595"/>
    <w:rsid w:val="005F7864"/>
    <w:rsid w:val="0060053E"/>
    <w:rsid w:val="0060260D"/>
    <w:rsid w:val="00604107"/>
    <w:rsid w:val="00606034"/>
    <w:rsid w:val="00606174"/>
    <w:rsid w:val="0060656B"/>
    <w:rsid w:val="00606572"/>
    <w:rsid w:val="00607D6B"/>
    <w:rsid w:val="0061060E"/>
    <w:rsid w:val="006133D2"/>
    <w:rsid w:val="0061467E"/>
    <w:rsid w:val="00616FD9"/>
    <w:rsid w:val="0061705D"/>
    <w:rsid w:val="00623571"/>
    <w:rsid w:val="00625A3A"/>
    <w:rsid w:val="00626593"/>
    <w:rsid w:val="006268C9"/>
    <w:rsid w:val="006269A5"/>
    <w:rsid w:val="00626B78"/>
    <w:rsid w:val="00630511"/>
    <w:rsid w:val="006341E7"/>
    <w:rsid w:val="00634BB6"/>
    <w:rsid w:val="00634F88"/>
    <w:rsid w:val="006354F6"/>
    <w:rsid w:val="00636020"/>
    <w:rsid w:val="006362B8"/>
    <w:rsid w:val="00641F91"/>
    <w:rsid w:val="00642F76"/>
    <w:rsid w:val="006444E4"/>
    <w:rsid w:val="006450FD"/>
    <w:rsid w:val="006460E6"/>
    <w:rsid w:val="00646947"/>
    <w:rsid w:val="00646FF2"/>
    <w:rsid w:val="0064736C"/>
    <w:rsid w:val="0065011B"/>
    <w:rsid w:val="00650B2C"/>
    <w:rsid w:val="00652C97"/>
    <w:rsid w:val="00653787"/>
    <w:rsid w:val="00655198"/>
    <w:rsid w:val="00655CB1"/>
    <w:rsid w:val="00656EE9"/>
    <w:rsid w:val="0065723E"/>
    <w:rsid w:val="00660818"/>
    <w:rsid w:val="00662992"/>
    <w:rsid w:val="00662AC3"/>
    <w:rsid w:val="00663CE3"/>
    <w:rsid w:val="0066417B"/>
    <w:rsid w:val="00665848"/>
    <w:rsid w:val="00665DB1"/>
    <w:rsid w:val="00666851"/>
    <w:rsid w:val="006701FE"/>
    <w:rsid w:val="00672C47"/>
    <w:rsid w:val="00676388"/>
    <w:rsid w:val="006774B4"/>
    <w:rsid w:val="00680D1E"/>
    <w:rsid w:val="00683D65"/>
    <w:rsid w:val="00684B16"/>
    <w:rsid w:val="00684BB5"/>
    <w:rsid w:val="0068628A"/>
    <w:rsid w:val="0068685E"/>
    <w:rsid w:val="00687974"/>
    <w:rsid w:val="00687C68"/>
    <w:rsid w:val="00690184"/>
    <w:rsid w:val="00690579"/>
    <w:rsid w:val="00690C68"/>
    <w:rsid w:val="00694F6E"/>
    <w:rsid w:val="0069553C"/>
    <w:rsid w:val="006A0B39"/>
    <w:rsid w:val="006A13FC"/>
    <w:rsid w:val="006A1F5E"/>
    <w:rsid w:val="006A20C9"/>
    <w:rsid w:val="006A2ECE"/>
    <w:rsid w:val="006A3744"/>
    <w:rsid w:val="006A3C42"/>
    <w:rsid w:val="006A559A"/>
    <w:rsid w:val="006A5980"/>
    <w:rsid w:val="006A5DFE"/>
    <w:rsid w:val="006A6627"/>
    <w:rsid w:val="006A73E1"/>
    <w:rsid w:val="006B028E"/>
    <w:rsid w:val="006B0EE9"/>
    <w:rsid w:val="006B51C6"/>
    <w:rsid w:val="006B6B57"/>
    <w:rsid w:val="006B7DB4"/>
    <w:rsid w:val="006C1F7A"/>
    <w:rsid w:val="006C340C"/>
    <w:rsid w:val="006C388A"/>
    <w:rsid w:val="006C42B3"/>
    <w:rsid w:val="006C6142"/>
    <w:rsid w:val="006C67BD"/>
    <w:rsid w:val="006C6CF7"/>
    <w:rsid w:val="006C6E2B"/>
    <w:rsid w:val="006D0CA3"/>
    <w:rsid w:val="006D294E"/>
    <w:rsid w:val="006D6A6B"/>
    <w:rsid w:val="006D6F69"/>
    <w:rsid w:val="006D73A1"/>
    <w:rsid w:val="006D7FC1"/>
    <w:rsid w:val="006E0A5A"/>
    <w:rsid w:val="006E2E7A"/>
    <w:rsid w:val="006E2FAE"/>
    <w:rsid w:val="006E4034"/>
    <w:rsid w:val="006E4A3D"/>
    <w:rsid w:val="006E4BA4"/>
    <w:rsid w:val="006E4FFF"/>
    <w:rsid w:val="006E5FA5"/>
    <w:rsid w:val="006F0D82"/>
    <w:rsid w:val="006F2059"/>
    <w:rsid w:val="006F3419"/>
    <w:rsid w:val="006F34A8"/>
    <w:rsid w:val="006F43A2"/>
    <w:rsid w:val="006F450F"/>
    <w:rsid w:val="006F6DB4"/>
    <w:rsid w:val="00702296"/>
    <w:rsid w:val="00702303"/>
    <w:rsid w:val="0070626A"/>
    <w:rsid w:val="00707DBB"/>
    <w:rsid w:val="007117D7"/>
    <w:rsid w:val="00711CCD"/>
    <w:rsid w:val="0071241C"/>
    <w:rsid w:val="00713042"/>
    <w:rsid w:val="00715879"/>
    <w:rsid w:val="0071773F"/>
    <w:rsid w:val="007178AD"/>
    <w:rsid w:val="00720332"/>
    <w:rsid w:val="00720787"/>
    <w:rsid w:val="00721E54"/>
    <w:rsid w:val="00726EE0"/>
    <w:rsid w:val="0073044E"/>
    <w:rsid w:val="007311D3"/>
    <w:rsid w:val="007326EE"/>
    <w:rsid w:val="007347B5"/>
    <w:rsid w:val="00736085"/>
    <w:rsid w:val="007372C0"/>
    <w:rsid w:val="00741C1C"/>
    <w:rsid w:val="00742F08"/>
    <w:rsid w:val="00743927"/>
    <w:rsid w:val="00743BD6"/>
    <w:rsid w:val="00744860"/>
    <w:rsid w:val="0074788B"/>
    <w:rsid w:val="0075020A"/>
    <w:rsid w:val="0075032D"/>
    <w:rsid w:val="00750C09"/>
    <w:rsid w:val="00751DF3"/>
    <w:rsid w:val="0075275B"/>
    <w:rsid w:val="00752AC5"/>
    <w:rsid w:val="00754B91"/>
    <w:rsid w:val="00756A5B"/>
    <w:rsid w:val="0076083E"/>
    <w:rsid w:val="00760E4C"/>
    <w:rsid w:val="00761209"/>
    <w:rsid w:val="00762E9A"/>
    <w:rsid w:val="0076350D"/>
    <w:rsid w:val="00764B85"/>
    <w:rsid w:val="00765980"/>
    <w:rsid w:val="00767F08"/>
    <w:rsid w:val="00770606"/>
    <w:rsid w:val="0077101F"/>
    <w:rsid w:val="00771E21"/>
    <w:rsid w:val="0077279B"/>
    <w:rsid w:val="00773071"/>
    <w:rsid w:val="007732ED"/>
    <w:rsid w:val="00773460"/>
    <w:rsid w:val="0077485C"/>
    <w:rsid w:val="00775DD9"/>
    <w:rsid w:val="00775F52"/>
    <w:rsid w:val="00776F69"/>
    <w:rsid w:val="007772DE"/>
    <w:rsid w:val="007774BF"/>
    <w:rsid w:val="00777A53"/>
    <w:rsid w:val="00780C15"/>
    <w:rsid w:val="00781623"/>
    <w:rsid w:val="0078192F"/>
    <w:rsid w:val="00782214"/>
    <w:rsid w:val="007834C5"/>
    <w:rsid w:val="00786637"/>
    <w:rsid w:val="00786A20"/>
    <w:rsid w:val="0079143E"/>
    <w:rsid w:val="0079272E"/>
    <w:rsid w:val="00794FB3"/>
    <w:rsid w:val="00795EF9"/>
    <w:rsid w:val="007973A1"/>
    <w:rsid w:val="007A11D3"/>
    <w:rsid w:val="007A1A17"/>
    <w:rsid w:val="007A2561"/>
    <w:rsid w:val="007A2C87"/>
    <w:rsid w:val="007A3096"/>
    <w:rsid w:val="007A489D"/>
    <w:rsid w:val="007A4B37"/>
    <w:rsid w:val="007A5102"/>
    <w:rsid w:val="007B00D3"/>
    <w:rsid w:val="007B044C"/>
    <w:rsid w:val="007B6B6B"/>
    <w:rsid w:val="007B6D27"/>
    <w:rsid w:val="007B7301"/>
    <w:rsid w:val="007C0C4E"/>
    <w:rsid w:val="007C19A4"/>
    <w:rsid w:val="007C2EA9"/>
    <w:rsid w:val="007C3292"/>
    <w:rsid w:val="007C3AA0"/>
    <w:rsid w:val="007C5709"/>
    <w:rsid w:val="007C6F4C"/>
    <w:rsid w:val="007D0884"/>
    <w:rsid w:val="007D1059"/>
    <w:rsid w:val="007D1EC7"/>
    <w:rsid w:val="007D329F"/>
    <w:rsid w:val="007D5C57"/>
    <w:rsid w:val="007D7280"/>
    <w:rsid w:val="007E0114"/>
    <w:rsid w:val="007E39BB"/>
    <w:rsid w:val="007E4E8C"/>
    <w:rsid w:val="007E738C"/>
    <w:rsid w:val="007F3D16"/>
    <w:rsid w:val="007F4F3C"/>
    <w:rsid w:val="007F58C1"/>
    <w:rsid w:val="007F6103"/>
    <w:rsid w:val="007F7C9D"/>
    <w:rsid w:val="008001B7"/>
    <w:rsid w:val="008001EF"/>
    <w:rsid w:val="008005A9"/>
    <w:rsid w:val="008014BA"/>
    <w:rsid w:val="008039DB"/>
    <w:rsid w:val="00803B41"/>
    <w:rsid w:val="0080464E"/>
    <w:rsid w:val="008171FE"/>
    <w:rsid w:val="00817477"/>
    <w:rsid w:val="00820495"/>
    <w:rsid w:val="00822463"/>
    <w:rsid w:val="008247D8"/>
    <w:rsid w:val="0082731C"/>
    <w:rsid w:val="00827D58"/>
    <w:rsid w:val="00830323"/>
    <w:rsid w:val="008344EF"/>
    <w:rsid w:val="0083639B"/>
    <w:rsid w:val="008370ED"/>
    <w:rsid w:val="0084077F"/>
    <w:rsid w:val="0084558F"/>
    <w:rsid w:val="0084562C"/>
    <w:rsid w:val="00847463"/>
    <w:rsid w:val="0084771F"/>
    <w:rsid w:val="00850828"/>
    <w:rsid w:val="0085369C"/>
    <w:rsid w:val="00853923"/>
    <w:rsid w:val="00861F98"/>
    <w:rsid w:val="008623AF"/>
    <w:rsid w:val="00863150"/>
    <w:rsid w:val="0086399B"/>
    <w:rsid w:val="00863A48"/>
    <w:rsid w:val="00864933"/>
    <w:rsid w:val="008658FB"/>
    <w:rsid w:val="008709A9"/>
    <w:rsid w:val="00870EA8"/>
    <w:rsid w:val="00873351"/>
    <w:rsid w:val="00873C09"/>
    <w:rsid w:val="00874A95"/>
    <w:rsid w:val="00876CF7"/>
    <w:rsid w:val="008773DF"/>
    <w:rsid w:val="0088063C"/>
    <w:rsid w:val="00880C9E"/>
    <w:rsid w:val="00882039"/>
    <w:rsid w:val="008822A4"/>
    <w:rsid w:val="00882402"/>
    <w:rsid w:val="00882705"/>
    <w:rsid w:val="00884F37"/>
    <w:rsid w:val="0088511D"/>
    <w:rsid w:val="00885AAE"/>
    <w:rsid w:val="00885B9D"/>
    <w:rsid w:val="00887274"/>
    <w:rsid w:val="008911BA"/>
    <w:rsid w:val="00893099"/>
    <w:rsid w:val="008945F0"/>
    <w:rsid w:val="00897880"/>
    <w:rsid w:val="008A23E7"/>
    <w:rsid w:val="008A577D"/>
    <w:rsid w:val="008A5867"/>
    <w:rsid w:val="008A6B80"/>
    <w:rsid w:val="008A7123"/>
    <w:rsid w:val="008B1B0D"/>
    <w:rsid w:val="008B1C64"/>
    <w:rsid w:val="008B25CD"/>
    <w:rsid w:val="008B2929"/>
    <w:rsid w:val="008B3102"/>
    <w:rsid w:val="008B543D"/>
    <w:rsid w:val="008B7358"/>
    <w:rsid w:val="008B75EB"/>
    <w:rsid w:val="008C2D95"/>
    <w:rsid w:val="008C2E0B"/>
    <w:rsid w:val="008C31C0"/>
    <w:rsid w:val="008C335F"/>
    <w:rsid w:val="008C608E"/>
    <w:rsid w:val="008C7F8E"/>
    <w:rsid w:val="008D1E53"/>
    <w:rsid w:val="008D1F92"/>
    <w:rsid w:val="008D2A30"/>
    <w:rsid w:val="008D6696"/>
    <w:rsid w:val="008D686D"/>
    <w:rsid w:val="008D77B2"/>
    <w:rsid w:val="008E0F9F"/>
    <w:rsid w:val="008E2BCF"/>
    <w:rsid w:val="008E363E"/>
    <w:rsid w:val="008E4223"/>
    <w:rsid w:val="008E517B"/>
    <w:rsid w:val="008E51EC"/>
    <w:rsid w:val="008E620D"/>
    <w:rsid w:val="008E6B45"/>
    <w:rsid w:val="008F059D"/>
    <w:rsid w:val="008F06B8"/>
    <w:rsid w:val="008F0F39"/>
    <w:rsid w:val="008F1EAD"/>
    <w:rsid w:val="008F3185"/>
    <w:rsid w:val="008F42D2"/>
    <w:rsid w:val="008F62E7"/>
    <w:rsid w:val="008F66EF"/>
    <w:rsid w:val="008F7A0E"/>
    <w:rsid w:val="009014C6"/>
    <w:rsid w:val="00902BE7"/>
    <w:rsid w:val="0090455C"/>
    <w:rsid w:val="00904E95"/>
    <w:rsid w:val="0090507A"/>
    <w:rsid w:val="00910C29"/>
    <w:rsid w:val="00911266"/>
    <w:rsid w:val="0091254E"/>
    <w:rsid w:val="00913580"/>
    <w:rsid w:val="00913E1B"/>
    <w:rsid w:val="00913E8F"/>
    <w:rsid w:val="0091414F"/>
    <w:rsid w:val="009143C8"/>
    <w:rsid w:val="0091478E"/>
    <w:rsid w:val="009165A4"/>
    <w:rsid w:val="00917B6D"/>
    <w:rsid w:val="00920934"/>
    <w:rsid w:val="00920A5E"/>
    <w:rsid w:val="00920B85"/>
    <w:rsid w:val="00922C5A"/>
    <w:rsid w:val="00924D44"/>
    <w:rsid w:val="00925A7F"/>
    <w:rsid w:val="00926A9E"/>
    <w:rsid w:val="009270FC"/>
    <w:rsid w:val="00927F83"/>
    <w:rsid w:val="00930B50"/>
    <w:rsid w:val="009376FF"/>
    <w:rsid w:val="00940ACB"/>
    <w:rsid w:val="00940D9C"/>
    <w:rsid w:val="009410B7"/>
    <w:rsid w:val="00941AE9"/>
    <w:rsid w:val="0094403B"/>
    <w:rsid w:val="00947292"/>
    <w:rsid w:val="00947835"/>
    <w:rsid w:val="009503C6"/>
    <w:rsid w:val="0095298A"/>
    <w:rsid w:val="00953027"/>
    <w:rsid w:val="009630D1"/>
    <w:rsid w:val="0096322C"/>
    <w:rsid w:val="009644AD"/>
    <w:rsid w:val="00965B42"/>
    <w:rsid w:val="00965B98"/>
    <w:rsid w:val="00967278"/>
    <w:rsid w:val="00967286"/>
    <w:rsid w:val="00967D19"/>
    <w:rsid w:val="00967D29"/>
    <w:rsid w:val="0097037F"/>
    <w:rsid w:val="00970926"/>
    <w:rsid w:val="009709CA"/>
    <w:rsid w:val="00970CE4"/>
    <w:rsid w:val="00971C6B"/>
    <w:rsid w:val="00975FA1"/>
    <w:rsid w:val="00976035"/>
    <w:rsid w:val="0097650F"/>
    <w:rsid w:val="00977C7A"/>
    <w:rsid w:val="00980434"/>
    <w:rsid w:val="00981085"/>
    <w:rsid w:val="009813F9"/>
    <w:rsid w:val="00981619"/>
    <w:rsid w:val="009859CC"/>
    <w:rsid w:val="00986AD5"/>
    <w:rsid w:val="00987982"/>
    <w:rsid w:val="00987B11"/>
    <w:rsid w:val="00990C8F"/>
    <w:rsid w:val="00991C40"/>
    <w:rsid w:val="009926B5"/>
    <w:rsid w:val="009938F2"/>
    <w:rsid w:val="009A0EC3"/>
    <w:rsid w:val="009A25D5"/>
    <w:rsid w:val="009A44BD"/>
    <w:rsid w:val="009A55F1"/>
    <w:rsid w:val="009A6AD3"/>
    <w:rsid w:val="009A75E6"/>
    <w:rsid w:val="009B0EF2"/>
    <w:rsid w:val="009B2235"/>
    <w:rsid w:val="009B4B1F"/>
    <w:rsid w:val="009B6F41"/>
    <w:rsid w:val="009C2563"/>
    <w:rsid w:val="009C410E"/>
    <w:rsid w:val="009C6008"/>
    <w:rsid w:val="009C7968"/>
    <w:rsid w:val="009D00AF"/>
    <w:rsid w:val="009D17C5"/>
    <w:rsid w:val="009D39B6"/>
    <w:rsid w:val="009D49F2"/>
    <w:rsid w:val="009D5512"/>
    <w:rsid w:val="009D7631"/>
    <w:rsid w:val="009E1A84"/>
    <w:rsid w:val="009E35AA"/>
    <w:rsid w:val="009E3E39"/>
    <w:rsid w:val="009E4A24"/>
    <w:rsid w:val="009E4C8B"/>
    <w:rsid w:val="009E6E45"/>
    <w:rsid w:val="009E7AE2"/>
    <w:rsid w:val="009F27CF"/>
    <w:rsid w:val="009F5CD3"/>
    <w:rsid w:val="00A02AE9"/>
    <w:rsid w:val="00A035AE"/>
    <w:rsid w:val="00A06774"/>
    <w:rsid w:val="00A07416"/>
    <w:rsid w:val="00A07828"/>
    <w:rsid w:val="00A104FE"/>
    <w:rsid w:val="00A1137D"/>
    <w:rsid w:val="00A14DAE"/>
    <w:rsid w:val="00A14F54"/>
    <w:rsid w:val="00A16CC9"/>
    <w:rsid w:val="00A2029E"/>
    <w:rsid w:val="00A221CD"/>
    <w:rsid w:val="00A231B2"/>
    <w:rsid w:val="00A24AC0"/>
    <w:rsid w:val="00A24F4B"/>
    <w:rsid w:val="00A2627E"/>
    <w:rsid w:val="00A26BF6"/>
    <w:rsid w:val="00A2758C"/>
    <w:rsid w:val="00A27762"/>
    <w:rsid w:val="00A277EE"/>
    <w:rsid w:val="00A304B9"/>
    <w:rsid w:val="00A30F77"/>
    <w:rsid w:val="00A314FA"/>
    <w:rsid w:val="00A32290"/>
    <w:rsid w:val="00A33927"/>
    <w:rsid w:val="00A34514"/>
    <w:rsid w:val="00A363B5"/>
    <w:rsid w:val="00A364A8"/>
    <w:rsid w:val="00A36F28"/>
    <w:rsid w:val="00A40064"/>
    <w:rsid w:val="00A41164"/>
    <w:rsid w:val="00A41C7E"/>
    <w:rsid w:val="00A436A4"/>
    <w:rsid w:val="00A45C79"/>
    <w:rsid w:val="00A53125"/>
    <w:rsid w:val="00A532B3"/>
    <w:rsid w:val="00A55FCC"/>
    <w:rsid w:val="00A5671E"/>
    <w:rsid w:val="00A57CF1"/>
    <w:rsid w:val="00A610AF"/>
    <w:rsid w:val="00A617BB"/>
    <w:rsid w:val="00A619E1"/>
    <w:rsid w:val="00A634F1"/>
    <w:rsid w:val="00A642C4"/>
    <w:rsid w:val="00A65447"/>
    <w:rsid w:val="00A71A0B"/>
    <w:rsid w:val="00A7339B"/>
    <w:rsid w:val="00A76B5E"/>
    <w:rsid w:val="00A7737B"/>
    <w:rsid w:val="00A80D95"/>
    <w:rsid w:val="00A81517"/>
    <w:rsid w:val="00A81717"/>
    <w:rsid w:val="00A81E8E"/>
    <w:rsid w:val="00A82089"/>
    <w:rsid w:val="00A84D80"/>
    <w:rsid w:val="00A9019C"/>
    <w:rsid w:val="00A912B4"/>
    <w:rsid w:val="00A91C9E"/>
    <w:rsid w:val="00A9302B"/>
    <w:rsid w:val="00A9598C"/>
    <w:rsid w:val="00A97DB4"/>
    <w:rsid w:val="00AA107A"/>
    <w:rsid w:val="00AA45BF"/>
    <w:rsid w:val="00AB00FA"/>
    <w:rsid w:val="00AB0DA1"/>
    <w:rsid w:val="00AB1B52"/>
    <w:rsid w:val="00AB20A5"/>
    <w:rsid w:val="00AB486A"/>
    <w:rsid w:val="00AB52B5"/>
    <w:rsid w:val="00AB5DE4"/>
    <w:rsid w:val="00AB62AB"/>
    <w:rsid w:val="00AB6A2A"/>
    <w:rsid w:val="00AB6D7D"/>
    <w:rsid w:val="00AC0185"/>
    <w:rsid w:val="00AC043E"/>
    <w:rsid w:val="00AC0A2F"/>
    <w:rsid w:val="00AC18D7"/>
    <w:rsid w:val="00AC18F6"/>
    <w:rsid w:val="00AC2211"/>
    <w:rsid w:val="00AC4034"/>
    <w:rsid w:val="00AC45B0"/>
    <w:rsid w:val="00AC67C6"/>
    <w:rsid w:val="00AC732D"/>
    <w:rsid w:val="00AD0032"/>
    <w:rsid w:val="00AD0FA7"/>
    <w:rsid w:val="00AD3BD9"/>
    <w:rsid w:val="00AD6C6C"/>
    <w:rsid w:val="00AD7BDF"/>
    <w:rsid w:val="00AE3251"/>
    <w:rsid w:val="00AE3EC5"/>
    <w:rsid w:val="00AF41C6"/>
    <w:rsid w:val="00B0049B"/>
    <w:rsid w:val="00B01EA9"/>
    <w:rsid w:val="00B02F1F"/>
    <w:rsid w:val="00B04403"/>
    <w:rsid w:val="00B04EEA"/>
    <w:rsid w:val="00B06451"/>
    <w:rsid w:val="00B1281D"/>
    <w:rsid w:val="00B15A10"/>
    <w:rsid w:val="00B2258E"/>
    <w:rsid w:val="00B23517"/>
    <w:rsid w:val="00B23DA6"/>
    <w:rsid w:val="00B241DB"/>
    <w:rsid w:val="00B26210"/>
    <w:rsid w:val="00B26D5E"/>
    <w:rsid w:val="00B31DE3"/>
    <w:rsid w:val="00B32CF3"/>
    <w:rsid w:val="00B33591"/>
    <w:rsid w:val="00B3440B"/>
    <w:rsid w:val="00B35157"/>
    <w:rsid w:val="00B413BC"/>
    <w:rsid w:val="00B43715"/>
    <w:rsid w:val="00B43A23"/>
    <w:rsid w:val="00B50674"/>
    <w:rsid w:val="00B508A5"/>
    <w:rsid w:val="00B516AE"/>
    <w:rsid w:val="00B52C1A"/>
    <w:rsid w:val="00B52C6A"/>
    <w:rsid w:val="00B5365D"/>
    <w:rsid w:val="00B545EA"/>
    <w:rsid w:val="00B56147"/>
    <w:rsid w:val="00B60A54"/>
    <w:rsid w:val="00B619D4"/>
    <w:rsid w:val="00B61ED3"/>
    <w:rsid w:val="00B62F1B"/>
    <w:rsid w:val="00B6413B"/>
    <w:rsid w:val="00B654C4"/>
    <w:rsid w:val="00B65A3B"/>
    <w:rsid w:val="00B663DC"/>
    <w:rsid w:val="00B669D3"/>
    <w:rsid w:val="00B677D8"/>
    <w:rsid w:val="00B7189A"/>
    <w:rsid w:val="00B71AF1"/>
    <w:rsid w:val="00B720FC"/>
    <w:rsid w:val="00B74118"/>
    <w:rsid w:val="00B7470F"/>
    <w:rsid w:val="00B74F2B"/>
    <w:rsid w:val="00B831F1"/>
    <w:rsid w:val="00B9033F"/>
    <w:rsid w:val="00B9135F"/>
    <w:rsid w:val="00B9161F"/>
    <w:rsid w:val="00B922C2"/>
    <w:rsid w:val="00B92948"/>
    <w:rsid w:val="00B947AA"/>
    <w:rsid w:val="00B95C35"/>
    <w:rsid w:val="00B96FA0"/>
    <w:rsid w:val="00BA0407"/>
    <w:rsid w:val="00BA0E86"/>
    <w:rsid w:val="00BA2D1A"/>
    <w:rsid w:val="00BA4143"/>
    <w:rsid w:val="00BA4B40"/>
    <w:rsid w:val="00BA5870"/>
    <w:rsid w:val="00BA5B8F"/>
    <w:rsid w:val="00BA6C8E"/>
    <w:rsid w:val="00BA7195"/>
    <w:rsid w:val="00BB00D7"/>
    <w:rsid w:val="00BB1412"/>
    <w:rsid w:val="00BB2590"/>
    <w:rsid w:val="00BB46FE"/>
    <w:rsid w:val="00BB5508"/>
    <w:rsid w:val="00BB6B83"/>
    <w:rsid w:val="00BB70B8"/>
    <w:rsid w:val="00BB7340"/>
    <w:rsid w:val="00BC02B6"/>
    <w:rsid w:val="00BC1C7C"/>
    <w:rsid w:val="00BC21C9"/>
    <w:rsid w:val="00BC4FCB"/>
    <w:rsid w:val="00BC5184"/>
    <w:rsid w:val="00BC51A8"/>
    <w:rsid w:val="00BC6710"/>
    <w:rsid w:val="00BD07FE"/>
    <w:rsid w:val="00BD0FD3"/>
    <w:rsid w:val="00BD1A81"/>
    <w:rsid w:val="00BD2417"/>
    <w:rsid w:val="00BD30EF"/>
    <w:rsid w:val="00BD3ABA"/>
    <w:rsid w:val="00BD3B51"/>
    <w:rsid w:val="00BD3C8B"/>
    <w:rsid w:val="00BD45AE"/>
    <w:rsid w:val="00BD5162"/>
    <w:rsid w:val="00BD7983"/>
    <w:rsid w:val="00BD79FD"/>
    <w:rsid w:val="00BE0CD3"/>
    <w:rsid w:val="00BE48C6"/>
    <w:rsid w:val="00BE5A1C"/>
    <w:rsid w:val="00BE6B28"/>
    <w:rsid w:val="00BF09B7"/>
    <w:rsid w:val="00BF0E2A"/>
    <w:rsid w:val="00BF2AA4"/>
    <w:rsid w:val="00BF3551"/>
    <w:rsid w:val="00BF35C7"/>
    <w:rsid w:val="00BF455B"/>
    <w:rsid w:val="00BF67DA"/>
    <w:rsid w:val="00C00A8F"/>
    <w:rsid w:val="00C04BC7"/>
    <w:rsid w:val="00C05845"/>
    <w:rsid w:val="00C063CE"/>
    <w:rsid w:val="00C073DB"/>
    <w:rsid w:val="00C111F1"/>
    <w:rsid w:val="00C11DB7"/>
    <w:rsid w:val="00C13880"/>
    <w:rsid w:val="00C13ABC"/>
    <w:rsid w:val="00C145E4"/>
    <w:rsid w:val="00C16EAC"/>
    <w:rsid w:val="00C17A20"/>
    <w:rsid w:val="00C17ABB"/>
    <w:rsid w:val="00C20AFB"/>
    <w:rsid w:val="00C20F64"/>
    <w:rsid w:val="00C21536"/>
    <w:rsid w:val="00C21A11"/>
    <w:rsid w:val="00C25736"/>
    <w:rsid w:val="00C25A16"/>
    <w:rsid w:val="00C30401"/>
    <w:rsid w:val="00C351DA"/>
    <w:rsid w:val="00C35FC2"/>
    <w:rsid w:val="00C37732"/>
    <w:rsid w:val="00C37D73"/>
    <w:rsid w:val="00C40AEF"/>
    <w:rsid w:val="00C415C4"/>
    <w:rsid w:val="00C447E3"/>
    <w:rsid w:val="00C44D7E"/>
    <w:rsid w:val="00C44DFF"/>
    <w:rsid w:val="00C45144"/>
    <w:rsid w:val="00C469B8"/>
    <w:rsid w:val="00C53143"/>
    <w:rsid w:val="00C54EF6"/>
    <w:rsid w:val="00C62C89"/>
    <w:rsid w:val="00C63226"/>
    <w:rsid w:val="00C652BE"/>
    <w:rsid w:val="00C65347"/>
    <w:rsid w:val="00C65C39"/>
    <w:rsid w:val="00C705A8"/>
    <w:rsid w:val="00C7365A"/>
    <w:rsid w:val="00C74BE4"/>
    <w:rsid w:val="00C74C96"/>
    <w:rsid w:val="00C754D5"/>
    <w:rsid w:val="00C763F7"/>
    <w:rsid w:val="00C824FC"/>
    <w:rsid w:val="00C826CD"/>
    <w:rsid w:val="00C82703"/>
    <w:rsid w:val="00C83B9B"/>
    <w:rsid w:val="00C843BA"/>
    <w:rsid w:val="00C847F4"/>
    <w:rsid w:val="00C8576D"/>
    <w:rsid w:val="00C91100"/>
    <w:rsid w:val="00C9220E"/>
    <w:rsid w:val="00C92DDF"/>
    <w:rsid w:val="00CA0894"/>
    <w:rsid w:val="00CA16B6"/>
    <w:rsid w:val="00CA27DD"/>
    <w:rsid w:val="00CA2AB0"/>
    <w:rsid w:val="00CA2DF5"/>
    <w:rsid w:val="00CA4437"/>
    <w:rsid w:val="00CA565C"/>
    <w:rsid w:val="00CA71D2"/>
    <w:rsid w:val="00CA73EF"/>
    <w:rsid w:val="00CA7B9C"/>
    <w:rsid w:val="00CB1A71"/>
    <w:rsid w:val="00CB3771"/>
    <w:rsid w:val="00CB6E17"/>
    <w:rsid w:val="00CC0D6E"/>
    <w:rsid w:val="00CC3973"/>
    <w:rsid w:val="00CC498B"/>
    <w:rsid w:val="00CD22B6"/>
    <w:rsid w:val="00CD5C9D"/>
    <w:rsid w:val="00CD7AC3"/>
    <w:rsid w:val="00CE1CA6"/>
    <w:rsid w:val="00CE3758"/>
    <w:rsid w:val="00CE4DBC"/>
    <w:rsid w:val="00CE658C"/>
    <w:rsid w:val="00CF2146"/>
    <w:rsid w:val="00CF2BAC"/>
    <w:rsid w:val="00CF2E6B"/>
    <w:rsid w:val="00CF34B1"/>
    <w:rsid w:val="00CF36E0"/>
    <w:rsid w:val="00D030C2"/>
    <w:rsid w:val="00D05FCA"/>
    <w:rsid w:val="00D07257"/>
    <w:rsid w:val="00D11941"/>
    <w:rsid w:val="00D128B9"/>
    <w:rsid w:val="00D14E70"/>
    <w:rsid w:val="00D1545E"/>
    <w:rsid w:val="00D204B0"/>
    <w:rsid w:val="00D22ADA"/>
    <w:rsid w:val="00D22C29"/>
    <w:rsid w:val="00D234EE"/>
    <w:rsid w:val="00D2413A"/>
    <w:rsid w:val="00D264BB"/>
    <w:rsid w:val="00D270F7"/>
    <w:rsid w:val="00D355E2"/>
    <w:rsid w:val="00D406C2"/>
    <w:rsid w:val="00D42C2B"/>
    <w:rsid w:val="00D437A4"/>
    <w:rsid w:val="00D500C8"/>
    <w:rsid w:val="00D51989"/>
    <w:rsid w:val="00D520B6"/>
    <w:rsid w:val="00D53608"/>
    <w:rsid w:val="00D5393C"/>
    <w:rsid w:val="00D545C5"/>
    <w:rsid w:val="00D55B44"/>
    <w:rsid w:val="00D560A9"/>
    <w:rsid w:val="00D64CB3"/>
    <w:rsid w:val="00D67D67"/>
    <w:rsid w:val="00D7005F"/>
    <w:rsid w:val="00D70286"/>
    <w:rsid w:val="00D7029A"/>
    <w:rsid w:val="00D72456"/>
    <w:rsid w:val="00D72899"/>
    <w:rsid w:val="00D73F5B"/>
    <w:rsid w:val="00D75680"/>
    <w:rsid w:val="00D819B3"/>
    <w:rsid w:val="00D81A94"/>
    <w:rsid w:val="00D841EA"/>
    <w:rsid w:val="00D84E00"/>
    <w:rsid w:val="00D84F40"/>
    <w:rsid w:val="00D86182"/>
    <w:rsid w:val="00D869FA"/>
    <w:rsid w:val="00D87C5C"/>
    <w:rsid w:val="00D91B26"/>
    <w:rsid w:val="00D927FD"/>
    <w:rsid w:val="00D9481E"/>
    <w:rsid w:val="00D95FEF"/>
    <w:rsid w:val="00D9698B"/>
    <w:rsid w:val="00D97990"/>
    <w:rsid w:val="00DA2A56"/>
    <w:rsid w:val="00DA5584"/>
    <w:rsid w:val="00DA6D7E"/>
    <w:rsid w:val="00DB08A8"/>
    <w:rsid w:val="00DB1B29"/>
    <w:rsid w:val="00DB1FA9"/>
    <w:rsid w:val="00DB2F1E"/>
    <w:rsid w:val="00DB38C9"/>
    <w:rsid w:val="00DB4080"/>
    <w:rsid w:val="00DC009D"/>
    <w:rsid w:val="00DC023F"/>
    <w:rsid w:val="00DC313C"/>
    <w:rsid w:val="00DC4313"/>
    <w:rsid w:val="00DC49A5"/>
    <w:rsid w:val="00DC72DD"/>
    <w:rsid w:val="00DD0537"/>
    <w:rsid w:val="00DD11E5"/>
    <w:rsid w:val="00DD28E8"/>
    <w:rsid w:val="00DD30A4"/>
    <w:rsid w:val="00DD3160"/>
    <w:rsid w:val="00DD3DAC"/>
    <w:rsid w:val="00DD5403"/>
    <w:rsid w:val="00DD70F8"/>
    <w:rsid w:val="00DE1563"/>
    <w:rsid w:val="00DE3D15"/>
    <w:rsid w:val="00DE59B4"/>
    <w:rsid w:val="00DE6794"/>
    <w:rsid w:val="00DE7081"/>
    <w:rsid w:val="00DE7A76"/>
    <w:rsid w:val="00DF1937"/>
    <w:rsid w:val="00DF1DB3"/>
    <w:rsid w:val="00DF26AC"/>
    <w:rsid w:val="00DF2720"/>
    <w:rsid w:val="00DF2DB6"/>
    <w:rsid w:val="00DF31E2"/>
    <w:rsid w:val="00DF423A"/>
    <w:rsid w:val="00DF44E2"/>
    <w:rsid w:val="00DF44FD"/>
    <w:rsid w:val="00DF4A14"/>
    <w:rsid w:val="00E00422"/>
    <w:rsid w:val="00E01978"/>
    <w:rsid w:val="00E01C4E"/>
    <w:rsid w:val="00E04418"/>
    <w:rsid w:val="00E05DAC"/>
    <w:rsid w:val="00E05E53"/>
    <w:rsid w:val="00E06260"/>
    <w:rsid w:val="00E078FC"/>
    <w:rsid w:val="00E07996"/>
    <w:rsid w:val="00E07CAE"/>
    <w:rsid w:val="00E11AC1"/>
    <w:rsid w:val="00E12E65"/>
    <w:rsid w:val="00E12E79"/>
    <w:rsid w:val="00E13296"/>
    <w:rsid w:val="00E14D8A"/>
    <w:rsid w:val="00E20CEC"/>
    <w:rsid w:val="00E21309"/>
    <w:rsid w:val="00E227E3"/>
    <w:rsid w:val="00E231C3"/>
    <w:rsid w:val="00E25922"/>
    <w:rsid w:val="00E27227"/>
    <w:rsid w:val="00E27892"/>
    <w:rsid w:val="00E303CB"/>
    <w:rsid w:val="00E3151C"/>
    <w:rsid w:val="00E32955"/>
    <w:rsid w:val="00E3374D"/>
    <w:rsid w:val="00E33AA1"/>
    <w:rsid w:val="00E34B3C"/>
    <w:rsid w:val="00E36E69"/>
    <w:rsid w:val="00E41599"/>
    <w:rsid w:val="00E41E0A"/>
    <w:rsid w:val="00E44502"/>
    <w:rsid w:val="00E4506E"/>
    <w:rsid w:val="00E4581A"/>
    <w:rsid w:val="00E46BFE"/>
    <w:rsid w:val="00E50957"/>
    <w:rsid w:val="00E5219F"/>
    <w:rsid w:val="00E60464"/>
    <w:rsid w:val="00E6077A"/>
    <w:rsid w:val="00E60D7B"/>
    <w:rsid w:val="00E617AC"/>
    <w:rsid w:val="00E61896"/>
    <w:rsid w:val="00E6241A"/>
    <w:rsid w:val="00E631F7"/>
    <w:rsid w:val="00E644C3"/>
    <w:rsid w:val="00E6619E"/>
    <w:rsid w:val="00E67167"/>
    <w:rsid w:val="00E720FE"/>
    <w:rsid w:val="00E73012"/>
    <w:rsid w:val="00E734BE"/>
    <w:rsid w:val="00E73BF2"/>
    <w:rsid w:val="00E743E4"/>
    <w:rsid w:val="00E765D5"/>
    <w:rsid w:val="00E765E6"/>
    <w:rsid w:val="00E77368"/>
    <w:rsid w:val="00E7756A"/>
    <w:rsid w:val="00E85A19"/>
    <w:rsid w:val="00E868DE"/>
    <w:rsid w:val="00E86938"/>
    <w:rsid w:val="00E91AC3"/>
    <w:rsid w:val="00E91D08"/>
    <w:rsid w:val="00E922D7"/>
    <w:rsid w:val="00E94998"/>
    <w:rsid w:val="00EA1FF2"/>
    <w:rsid w:val="00EA2B04"/>
    <w:rsid w:val="00EA56CB"/>
    <w:rsid w:val="00EA56F3"/>
    <w:rsid w:val="00EA6A79"/>
    <w:rsid w:val="00EA7B60"/>
    <w:rsid w:val="00EB1135"/>
    <w:rsid w:val="00EB2D87"/>
    <w:rsid w:val="00EB3107"/>
    <w:rsid w:val="00EB3DE6"/>
    <w:rsid w:val="00EB4237"/>
    <w:rsid w:val="00EB4811"/>
    <w:rsid w:val="00EC4441"/>
    <w:rsid w:val="00EC6387"/>
    <w:rsid w:val="00EC68E6"/>
    <w:rsid w:val="00EC7B66"/>
    <w:rsid w:val="00ED0596"/>
    <w:rsid w:val="00ED2D1B"/>
    <w:rsid w:val="00ED2DF6"/>
    <w:rsid w:val="00ED6A84"/>
    <w:rsid w:val="00ED75D5"/>
    <w:rsid w:val="00EE092D"/>
    <w:rsid w:val="00EE1643"/>
    <w:rsid w:val="00EE64C5"/>
    <w:rsid w:val="00EF0F92"/>
    <w:rsid w:val="00EF1242"/>
    <w:rsid w:val="00EF1393"/>
    <w:rsid w:val="00EF2C8B"/>
    <w:rsid w:val="00EF41C0"/>
    <w:rsid w:val="00EF4676"/>
    <w:rsid w:val="00EF4AEB"/>
    <w:rsid w:val="00EF5E30"/>
    <w:rsid w:val="00F028B2"/>
    <w:rsid w:val="00F04FA7"/>
    <w:rsid w:val="00F10AF0"/>
    <w:rsid w:val="00F11165"/>
    <w:rsid w:val="00F12BF5"/>
    <w:rsid w:val="00F143EA"/>
    <w:rsid w:val="00F149CC"/>
    <w:rsid w:val="00F17BE8"/>
    <w:rsid w:val="00F20177"/>
    <w:rsid w:val="00F213D5"/>
    <w:rsid w:val="00F22B4F"/>
    <w:rsid w:val="00F23F3F"/>
    <w:rsid w:val="00F250EC"/>
    <w:rsid w:val="00F2611C"/>
    <w:rsid w:val="00F2676F"/>
    <w:rsid w:val="00F3077B"/>
    <w:rsid w:val="00F30F36"/>
    <w:rsid w:val="00F31069"/>
    <w:rsid w:val="00F31259"/>
    <w:rsid w:val="00F32A45"/>
    <w:rsid w:val="00F333AC"/>
    <w:rsid w:val="00F343EB"/>
    <w:rsid w:val="00F34E98"/>
    <w:rsid w:val="00F367A0"/>
    <w:rsid w:val="00F373F5"/>
    <w:rsid w:val="00F40B58"/>
    <w:rsid w:val="00F45770"/>
    <w:rsid w:val="00F5086B"/>
    <w:rsid w:val="00F50E9A"/>
    <w:rsid w:val="00F511AC"/>
    <w:rsid w:val="00F52265"/>
    <w:rsid w:val="00F52284"/>
    <w:rsid w:val="00F529FF"/>
    <w:rsid w:val="00F5563E"/>
    <w:rsid w:val="00F55CE7"/>
    <w:rsid w:val="00F61046"/>
    <w:rsid w:val="00F61121"/>
    <w:rsid w:val="00F627A9"/>
    <w:rsid w:val="00F6551E"/>
    <w:rsid w:val="00F670DB"/>
    <w:rsid w:val="00F7085D"/>
    <w:rsid w:val="00F7223D"/>
    <w:rsid w:val="00F7723A"/>
    <w:rsid w:val="00F77725"/>
    <w:rsid w:val="00F816D4"/>
    <w:rsid w:val="00F83585"/>
    <w:rsid w:val="00F83882"/>
    <w:rsid w:val="00F8553F"/>
    <w:rsid w:val="00F85850"/>
    <w:rsid w:val="00F92797"/>
    <w:rsid w:val="00F956CC"/>
    <w:rsid w:val="00F95E06"/>
    <w:rsid w:val="00FA06AD"/>
    <w:rsid w:val="00FA07E4"/>
    <w:rsid w:val="00FA1450"/>
    <w:rsid w:val="00FA17E5"/>
    <w:rsid w:val="00FA2B09"/>
    <w:rsid w:val="00FA417B"/>
    <w:rsid w:val="00FB00C3"/>
    <w:rsid w:val="00FB1EE9"/>
    <w:rsid w:val="00FB2A1F"/>
    <w:rsid w:val="00FB374D"/>
    <w:rsid w:val="00FB424F"/>
    <w:rsid w:val="00FB5360"/>
    <w:rsid w:val="00FB6107"/>
    <w:rsid w:val="00FB6A85"/>
    <w:rsid w:val="00FB6C0D"/>
    <w:rsid w:val="00FB7276"/>
    <w:rsid w:val="00FB745F"/>
    <w:rsid w:val="00FC0D00"/>
    <w:rsid w:val="00FC13D6"/>
    <w:rsid w:val="00FC32D5"/>
    <w:rsid w:val="00FC3647"/>
    <w:rsid w:val="00FC54FE"/>
    <w:rsid w:val="00FC6270"/>
    <w:rsid w:val="00FC65A4"/>
    <w:rsid w:val="00FC6E2F"/>
    <w:rsid w:val="00FD1F60"/>
    <w:rsid w:val="00FD410F"/>
    <w:rsid w:val="00FE09AF"/>
    <w:rsid w:val="00FE36FF"/>
    <w:rsid w:val="00FE3DD4"/>
    <w:rsid w:val="00FE6EF9"/>
    <w:rsid w:val="00FF2689"/>
    <w:rsid w:val="00FF35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CB0ED3"/>
  <w15:docId w15:val="{0CBF7544-BC4C-4E63-839B-97E6A577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BB6"/>
    <w:rPr>
      <w:rFonts w:ascii="Arial" w:hAnsi="Arial" w:cs="Arial"/>
    </w:rPr>
  </w:style>
  <w:style w:type="paragraph" w:styleId="Ttulo1">
    <w:name w:val="heading 1"/>
    <w:basedOn w:val="Normal"/>
    <w:next w:val="Normal"/>
    <w:link w:val="Ttulo1Car"/>
    <w:uiPriority w:val="99"/>
    <w:qFormat/>
    <w:rsid w:val="00E01978"/>
    <w:pPr>
      <w:keepNext/>
      <w:tabs>
        <w:tab w:val="left" w:pos="5739"/>
      </w:tabs>
      <w:jc w:val="both"/>
      <w:outlineLvl w:val="0"/>
    </w:pPr>
    <w:rPr>
      <w:rFonts w:cs="Times New Roman"/>
      <w:b/>
      <w:bCs/>
      <w:i/>
      <w:iCs/>
      <w:sz w:val="22"/>
      <w:szCs w:val="22"/>
    </w:rPr>
  </w:style>
  <w:style w:type="paragraph" w:styleId="Ttulo2">
    <w:name w:val="heading 2"/>
    <w:basedOn w:val="Normal"/>
    <w:next w:val="Normal"/>
    <w:link w:val="Ttulo2Car"/>
    <w:uiPriority w:val="99"/>
    <w:qFormat/>
    <w:rsid w:val="00E01978"/>
    <w:pPr>
      <w:keepNext/>
      <w:widowControl w:val="0"/>
      <w:autoSpaceDE w:val="0"/>
      <w:autoSpaceDN w:val="0"/>
      <w:adjustRightInd w:val="0"/>
      <w:jc w:val="both"/>
      <w:outlineLvl w:val="1"/>
    </w:pPr>
    <w:rPr>
      <w:rFonts w:cs="Times New Roman"/>
      <w:b/>
      <w:bCs/>
      <w:sz w:val="22"/>
      <w:szCs w:val="22"/>
      <w:lang w:val="es-ES_tradnl"/>
    </w:rPr>
  </w:style>
  <w:style w:type="paragraph" w:styleId="Ttulo3">
    <w:name w:val="heading 3"/>
    <w:basedOn w:val="Normal"/>
    <w:next w:val="Normal"/>
    <w:link w:val="Ttulo3Car"/>
    <w:uiPriority w:val="99"/>
    <w:qFormat/>
    <w:rsid w:val="00E01978"/>
    <w:pPr>
      <w:keepNext/>
      <w:widowControl w:val="0"/>
      <w:autoSpaceDE w:val="0"/>
      <w:autoSpaceDN w:val="0"/>
      <w:adjustRightInd w:val="0"/>
      <w:jc w:val="center"/>
      <w:outlineLvl w:val="2"/>
    </w:pPr>
    <w:rPr>
      <w:rFonts w:cs="Times New Roman"/>
      <w:b/>
      <w:bCs/>
      <w:i/>
      <w:iCs/>
      <w:u w:val="single"/>
    </w:rPr>
  </w:style>
  <w:style w:type="paragraph" w:styleId="Ttulo4">
    <w:name w:val="heading 4"/>
    <w:basedOn w:val="Normal"/>
    <w:next w:val="Normal"/>
    <w:link w:val="Ttulo4Car"/>
    <w:uiPriority w:val="99"/>
    <w:qFormat/>
    <w:rsid w:val="00E01978"/>
    <w:pPr>
      <w:keepNext/>
      <w:widowControl w:val="0"/>
      <w:pBdr>
        <w:top w:val="single" w:sz="6" w:space="1" w:color="auto"/>
        <w:left w:val="single" w:sz="6" w:space="1" w:color="auto"/>
        <w:bottom w:val="single" w:sz="6" w:space="1" w:color="auto"/>
        <w:right w:val="single" w:sz="6" w:space="1" w:color="auto"/>
      </w:pBdr>
      <w:shd w:val="clear" w:color="000000" w:fill="FFFFFF"/>
      <w:autoSpaceDE w:val="0"/>
      <w:autoSpaceDN w:val="0"/>
      <w:adjustRightInd w:val="0"/>
      <w:jc w:val="center"/>
      <w:outlineLvl w:val="3"/>
    </w:pPr>
    <w:rPr>
      <w:rFonts w:cs="Times New Roman"/>
      <w:b/>
      <w:bCs/>
      <w:sz w:val="28"/>
      <w:szCs w:val="28"/>
    </w:rPr>
  </w:style>
  <w:style w:type="paragraph" w:styleId="Ttulo5">
    <w:name w:val="heading 5"/>
    <w:basedOn w:val="Normal"/>
    <w:next w:val="Normal"/>
    <w:link w:val="Ttulo5Car"/>
    <w:uiPriority w:val="99"/>
    <w:qFormat/>
    <w:rsid w:val="00E01978"/>
    <w:pPr>
      <w:keepNext/>
      <w:jc w:val="both"/>
      <w:outlineLvl w:val="4"/>
    </w:pPr>
    <w:rPr>
      <w:rFonts w:cs="Times New Roman"/>
      <w:sz w:val="24"/>
      <w:szCs w:val="24"/>
    </w:rPr>
  </w:style>
  <w:style w:type="paragraph" w:styleId="Ttulo6">
    <w:name w:val="heading 6"/>
    <w:basedOn w:val="Normal"/>
    <w:next w:val="Normal"/>
    <w:link w:val="Ttulo6Car"/>
    <w:uiPriority w:val="99"/>
    <w:qFormat/>
    <w:rsid w:val="00E01978"/>
    <w:pPr>
      <w:keepNext/>
      <w:jc w:val="both"/>
      <w:outlineLvl w:val="5"/>
    </w:pPr>
    <w:rPr>
      <w:rFonts w:cs="Times New Roman"/>
      <w:sz w:val="24"/>
      <w:szCs w:val="24"/>
      <w:u w:val="single"/>
    </w:rPr>
  </w:style>
  <w:style w:type="paragraph" w:styleId="Ttulo7">
    <w:name w:val="heading 7"/>
    <w:basedOn w:val="Normal"/>
    <w:next w:val="Normal"/>
    <w:link w:val="Ttulo7Car"/>
    <w:uiPriority w:val="99"/>
    <w:qFormat/>
    <w:rsid w:val="00E01978"/>
    <w:pPr>
      <w:keepNext/>
      <w:jc w:val="both"/>
      <w:outlineLvl w:val="6"/>
    </w:pPr>
    <w:rPr>
      <w:rFonts w:cs="Times New Roman"/>
      <w:i/>
      <w:iCs/>
      <w:sz w:val="24"/>
      <w:szCs w:val="24"/>
    </w:rPr>
  </w:style>
  <w:style w:type="paragraph" w:styleId="Ttulo8">
    <w:name w:val="heading 8"/>
    <w:basedOn w:val="Normal"/>
    <w:next w:val="Normal"/>
    <w:link w:val="Ttulo8Car"/>
    <w:uiPriority w:val="99"/>
    <w:qFormat/>
    <w:rsid w:val="00E01978"/>
    <w:pPr>
      <w:keepNext/>
      <w:pBdr>
        <w:top w:val="single" w:sz="4" w:space="1" w:color="auto"/>
        <w:left w:val="single" w:sz="4" w:space="4" w:color="auto"/>
        <w:bottom w:val="single" w:sz="4" w:space="1" w:color="auto"/>
        <w:right w:val="single" w:sz="4" w:space="4" w:color="auto"/>
      </w:pBdr>
      <w:tabs>
        <w:tab w:val="left" w:pos="360"/>
      </w:tabs>
      <w:jc w:val="both"/>
      <w:outlineLvl w:val="7"/>
    </w:pPr>
    <w:rPr>
      <w:b/>
      <w:bCs/>
      <w:sz w:val="24"/>
      <w:szCs w:val="24"/>
    </w:rPr>
  </w:style>
  <w:style w:type="paragraph" w:styleId="Ttulo9">
    <w:name w:val="heading 9"/>
    <w:basedOn w:val="Normal"/>
    <w:next w:val="Normal"/>
    <w:link w:val="Ttulo9Car"/>
    <w:uiPriority w:val="99"/>
    <w:qFormat/>
    <w:rsid w:val="00E01978"/>
    <w:pPr>
      <w:keepNext/>
      <w:tabs>
        <w:tab w:val="left" w:pos="360"/>
      </w:tabs>
      <w:jc w:val="both"/>
      <w:outlineLvl w:val="8"/>
    </w:pPr>
    <w:rPr>
      <w:rFonts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A25BF"/>
    <w:rPr>
      <w:rFonts w:ascii="Cambria" w:eastAsia="Times New Roman" w:hAnsi="Cambria" w:cs="Times New Roman"/>
      <w:b/>
      <w:bCs/>
      <w:kern w:val="32"/>
      <w:sz w:val="32"/>
      <w:szCs w:val="32"/>
    </w:rPr>
  </w:style>
  <w:style w:type="character" w:customStyle="1" w:styleId="Ttulo2Car">
    <w:name w:val="Título 2 Car"/>
    <w:link w:val="Ttulo2"/>
    <w:uiPriority w:val="9"/>
    <w:semiHidden/>
    <w:rsid w:val="00FA25BF"/>
    <w:rPr>
      <w:rFonts w:ascii="Cambria" w:eastAsia="Times New Roman" w:hAnsi="Cambria" w:cs="Times New Roman"/>
      <w:b/>
      <w:bCs/>
      <w:i/>
      <w:iCs/>
      <w:sz w:val="28"/>
      <w:szCs w:val="28"/>
    </w:rPr>
  </w:style>
  <w:style w:type="character" w:customStyle="1" w:styleId="Ttulo3Car">
    <w:name w:val="Título 3 Car"/>
    <w:link w:val="Ttulo3"/>
    <w:uiPriority w:val="9"/>
    <w:semiHidden/>
    <w:rsid w:val="00FA25BF"/>
    <w:rPr>
      <w:rFonts w:ascii="Cambria" w:eastAsia="Times New Roman" w:hAnsi="Cambria" w:cs="Times New Roman"/>
      <w:b/>
      <w:bCs/>
      <w:sz w:val="26"/>
      <w:szCs w:val="26"/>
    </w:rPr>
  </w:style>
  <w:style w:type="character" w:customStyle="1" w:styleId="Ttulo4Car">
    <w:name w:val="Título 4 Car"/>
    <w:link w:val="Ttulo4"/>
    <w:uiPriority w:val="9"/>
    <w:semiHidden/>
    <w:rsid w:val="00FA25BF"/>
    <w:rPr>
      <w:rFonts w:ascii="Calibri" w:eastAsia="Times New Roman" w:hAnsi="Calibri" w:cs="Times New Roman"/>
      <w:b/>
      <w:bCs/>
      <w:sz w:val="28"/>
      <w:szCs w:val="28"/>
    </w:rPr>
  </w:style>
  <w:style w:type="character" w:customStyle="1" w:styleId="Ttulo5Car">
    <w:name w:val="Título 5 Car"/>
    <w:link w:val="Ttulo5"/>
    <w:uiPriority w:val="9"/>
    <w:semiHidden/>
    <w:rsid w:val="00FA25BF"/>
    <w:rPr>
      <w:rFonts w:ascii="Calibri" w:eastAsia="Times New Roman" w:hAnsi="Calibri" w:cs="Times New Roman"/>
      <w:b/>
      <w:bCs/>
      <w:i/>
      <w:iCs/>
      <w:sz w:val="26"/>
      <w:szCs w:val="26"/>
    </w:rPr>
  </w:style>
  <w:style w:type="character" w:customStyle="1" w:styleId="Ttulo6Car">
    <w:name w:val="Título 6 Car"/>
    <w:link w:val="Ttulo6"/>
    <w:uiPriority w:val="9"/>
    <w:semiHidden/>
    <w:rsid w:val="00FA25BF"/>
    <w:rPr>
      <w:rFonts w:ascii="Calibri" w:eastAsia="Times New Roman" w:hAnsi="Calibri" w:cs="Times New Roman"/>
      <w:b/>
      <w:bCs/>
    </w:rPr>
  </w:style>
  <w:style w:type="character" w:customStyle="1" w:styleId="Ttulo7Car">
    <w:name w:val="Título 7 Car"/>
    <w:link w:val="Ttulo7"/>
    <w:uiPriority w:val="9"/>
    <w:semiHidden/>
    <w:rsid w:val="00FA25BF"/>
    <w:rPr>
      <w:rFonts w:ascii="Calibri" w:eastAsia="Times New Roman" w:hAnsi="Calibri" w:cs="Times New Roman"/>
      <w:sz w:val="24"/>
      <w:szCs w:val="24"/>
    </w:rPr>
  </w:style>
  <w:style w:type="character" w:customStyle="1" w:styleId="Ttulo8Car">
    <w:name w:val="Título 8 Car"/>
    <w:link w:val="Ttulo8"/>
    <w:uiPriority w:val="9"/>
    <w:semiHidden/>
    <w:rsid w:val="00FA25BF"/>
    <w:rPr>
      <w:rFonts w:ascii="Calibri" w:eastAsia="Times New Roman" w:hAnsi="Calibri" w:cs="Times New Roman"/>
      <w:i/>
      <w:iCs/>
      <w:sz w:val="24"/>
      <w:szCs w:val="24"/>
    </w:rPr>
  </w:style>
  <w:style w:type="character" w:customStyle="1" w:styleId="Ttulo9Car">
    <w:name w:val="Título 9 Car"/>
    <w:link w:val="Ttulo9"/>
    <w:uiPriority w:val="9"/>
    <w:semiHidden/>
    <w:rsid w:val="00FA25BF"/>
    <w:rPr>
      <w:rFonts w:ascii="Cambria" w:eastAsia="Times New Roman" w:hAnsi="Cambria" w:cs="Times New Roman"/>
    </w:rPr>
  </w:style>
  <w:style w:type="paragraph" w:styleId="Encabezado">
    <w:name w:val="header"/>
    <w:basedOn w:val="Normal"/>
    <w:link w:val="EncabezadoCar"/>
    <w:uiPriority w:val="99"/>
    <w:rsid w:val="00E01978"/>
    <w:pPr>
      <w:tabs>
        <w:tab w:val="center" w:pos="4252"/>
        <w:tab w:val="right" w:pos="8504"/>
      </w:tabs>
    </w:pPr>
  </w:style>
  <w:style w:type="character" w:customStyle="1" w:styleId="EncabezadoCar">
    <w:name w:val="Encabezado Car"/>
    <w:link w:val="Encabezado"/>
    <w:uiPriority w:val="99"/>
    <w:semiHidden/>
    <w:rsid w:val="00FA25BF"/>
    <w:rPr>
      <w:rFonts w:ascii="Arial" w:hAnsi="Arial" w:cs="Arial"/>
      <w:sz w:val="20"/>
      <w:szCs w:val="20"/>
    </w:rPr>
  </w:style>
  <w:style w:type="paragraph" w:customStyle="1" w:styleId="Textoindependiente21">
    <w:name w:val="Texto independiente 21"/>
    <w:basedOn w:val="Normal"/>
    <w:uiPriority w:val="99"/>
    <w:rsid w:val="00E01978"/>
    <w:pPr>
      <w:overflowPunct w:val="0"/>
      <w:autoSpaceDE w:val="0"/>
      <w:autoSpaceDN w:val="0"/>
      <w:adjustRightInd w:val="0"/>
      <w:jc w:val="both"/>
      <w:textAlignment w:val="baseline"/>
    </w:pPr>
    <w:rPr>
      <w:rFonts w:cs="Times New Roman"/>
      <w:lang w:val="es-ES_tradnl"/>
    </w:rPr>
  </w:style>
  <w:style w:type="paragraph" w:styleId="Textoindependiente">
    <w:name w:val="Body Text"/>
    <w:basedOn w:val="Normal"/>
    <w:link w:val="TextoindependienteCar"/>
    <w:uiPriority w:val="99"/>
    <w:rsid w:val="00E01978"/>
    <w:pPr>
      <w:tabs>
        <w:tab w:val="left" w:pos="360"/>
      </w:tabs>
      <w:jc w:val="both"/>
    </w:pPr>
    <w:rPr>
      <w:rFonts w:cs="Times New Roman"/>
      <w:b/>
      <w:bCs/>
      <w:sz w:val="22"/>
      <w:szCs w:val="22"/>
    </w:rPr>
  </w:style>
  <w:style w:type="character" w:customStyle="1" w:styleId="TextoindependienteCar">
    <w:name w:val="Texto independiente Car"/>
    <w:link w:val="Textoindependiente"/>
    <w:uiPriority w:val="99"/>
    <w:locked/>
    <w:rsid w:val="00616FD9"/>
    <w:rPr>
      <w:rFonts w:cs="Times New Roman"/>
      <w:b/>
      <w:bCs/>
      <w:sz w:val="22"/>
      <w:szCs w:val="22"/>
    </w:rPr>
  </w:style>
  <w:style w:type="paragraph" w:styleId="Ttulo">
    <w:name w:val="Title"/>
    <w:basedOn w:val="Normal"/>
    <w:link w:val="TtuloCar"/>
    <w:uiPriority w:val="99"/>
    <w:qFormat/>
    <w:rsid w:val="00E01978"/>
    <w:pPr>
      <w:widowControl w:val="0"/>
      <w:pBdr>
        <w:top w:val="single" w:sz="6" w:space="1" w:color="auto"/>
        <w:left w:val="single" w:sz="6" w:space="1" w:color="auto"/>
        <w:bottom w:val="single" w:sz="6" w:space="1" w:color="auto"/>
        <w:right w:val="single" w:sz="6" w:space="1" w:color="auto"/>
      </w:pBdr>
      <w:shd w:val="pct5" w:color="auto" w:fill="auto"/>
      <w:autoSpaceDE w:val="0"/>
      <w:autoSpaceDN w:val="0"/>
      <w:adjustRightInd w:val="0"/>
      <w:jc w:val="center"/>
    </w:pPr>
    <w:rPr>
      <w:rFonts w:cs="Times New Roman"/>
      <w:b/>
      <w:bCs/>
      <w:lang w:val="es-ES_tradnl"/>
    </w:rPr>
  </w:style>
  <w:style w:type="character" w:customStyle="1" w:styleId="TtuloCar">
    <w:name w:val="Título Car"/>
    <w:link w:val="Ttulo"/>
    <w:uiPriority w:val="10"/>
    <w:rsid w:val="00FA25BF"/>
    <w:rPr>
      <w:rFonts w:ascii="Cambria" w:eastAsia="Times New Roman" w:hAnsi="Cambria" w:cs="Times New Roman"/>
      <w:b/>
      <w:bCs/>
      <w:kern w:val="28"/>
      <w:sz w:val="32"/>
      <w:szCs w:val="32"/>
    </w:rPr>
  </w:style>
  <w:style w:type="paragraph" w:styleId="Subttulo">
    <w:name w:val="Subtitle"/>
    <w:basedOn w:val="Normal"/>
    <w:link w:val="SubttuloCar"/>
    <w:uiPriority w:val="99"/>
    <w:qFormat/>
    <w:rsid w:val="00E01978"/>
    <w:pPr>
      <w:widowControl w:val="0"/>
      <w:autoSpaceDE w:val="0"/>
      <w:autoSpaceDN w:val="0"/>
      <w:adjustRightInd w:val="0"/>
      <w:jc w:val="both"/>
    </w:pPr>
    <w:rPr>
      <w:rFonts w:cs="Times New Roman"/>
      <w:b/>
      <w:bCs/>
      <w:sz w:val="28"/>
      <w:szCs w:val="28"/>
      <w:lang w:val="es-ES_tradnl"/>
    </w:rPr>
  </w:style>
  <w:style w:type="character" w:customStyle="1" w:styleId="SubttuloCar">
    <w:name w:val="Subtítulo Car"/>
    <w:link w:val="Subttulo"/>
    <w:uiPriority w:val="11"/>
    <w:rsid w:val="00FA25BF"/>
    <w:rPr>
      <w:rFonts w:ascii="Cambria" w:eastAsia="Times New Roman" w:hAnsi="Cambria" w:cs="Times New Roman"/>
      <w:sz w:val="24"/>
      <w:szCs w:val="24"/>
    </w:rPr>
  </w:style>
  <w:style w:type="paragraph" w:styleId="Textoindependiente3">
    <w:name w:val="Body Text 3"/>
    <w:basedOn w:val="Normal"/>
    <w:link w:val="Textoindependiente3Car"/>
    <w:uiPriority w:val="99"/>
    <w:rsid w:val="00E01978"/>
    <w:pPr>
      <w:widowControl w:val="0"/>
      <w:autoSpaceDE w:val="0"/>
      <w:autoSpaceDN w:val="0"/>
      <w:adjustRightInd w:val="0"/>
      <w:jc w:val="both"/>
    </w:pPr>
    <w:rPr>
      <w:rFonts w:cs="Times New Roman"/>
      <w:lang w:val="es-ES_tradnl"/>
    </w:rPr>
  </w:style>
  <w:style w:type="character" w:customStyle="1" w:styleId="Textoindependiente3Car">
    <w:name w:val="Texto independiente 3 Car"/>
    <w:link w:val="Textoindependiente3"/>
    <w:uiPriority w:val="99"/>
    <w:semiHidden/>
    <w:rsid w:val="00FA25BF"/>
    <w:rPr>
      <w:rFonts w:ascii="Arial" w:hAnsi="Arial" w:cs="Arial"/>
      <w:sz w:val="16"/>
      <w:szCs w:val="16"/>
    </w:rPr>
  </w:style>
  <w:style w:type="paragraph" w:styleId="Textoindependiente2">
    <w:name w:val="Body Text 2"/>
    <w:basedOn w:val="Normal"/>
    <w:link w:val="Textoindependiente2Car"/>
    <w:uiPriority w:val="99"/>
    <w:rsid w:val="00E01978"/>
    <w:pPr>
      <w:tabs>
        <w:tab w:val="left" w:pos="5739"/>
      </w:tabs>
      <w:jc w:val="both"/>
    </w:pPr>
    <w:rPr>
      <w:rFonts w:cs="Times New Roman"/>
      <w:i/>
      <w:iCs/>
      <w:sz w:val="22"/>
      <w:szCs w:val="22"/>
    </w:rPr>
  </w:style>
  <w:style w:type="character" w:customStyle="1" w:styleId="Textoindependiente2Car">
    <w:name w:val="Texto independiente 2 Car"/>
    <w:link w:val="Textoindependiente2"/>
    <w:uiPriority w:val="99"/>
    <w:semiHidden/>
    <w:rsid w:val="00FA25BF"/>
    <w:rPr>
      <w:rFonts w:ascii="Arial" w:hAnsi="Arial" w:cs="Arial"/>
      <w:sz w:val="20"/>
      <w:szCs w:val="20"/>
    </w:rPr>
  </w:style>
  <w:style w:type="paragraph" w:styleId="Sangradetextonormal">
    <w:name w:val="Body Text Indent"/>
    <w:basedOn w:val="Normal"/>
    <w:link w:val="SangradetextonormalCar"/>
    <w:uiPriority w:val="99"/>
    <w:rsid w:val="00E01978"/>
    <w:pPr>
      <w:ind w:left="360"/>
      <w:jc w:val="both"/>
    </w:pPr>
    <w:rPr>
      <w:rFonts w:cs="Times New Roman"/>
      <w:sz w:val="24"/>
      <w:szCs w:val="24"/>
    </w:rPr>
  </w:style>
  <w:style w:type="character" w:customStyle="1" w:styleId="SangradetextonormalCar">
    <w:name w:val="Sangría de texto normal Car"/>
    <w:link w:val="Sangradetextonormal"/>
    <w:uiPriority w:val="99"/>
    <w:semiHidden/>
    <w:rsid w:val="00FA25BF"/>
    <w:rPr>
      <w:rFonts w:ascii="Arial" w:hAnsi="Arial" w:cs="Arial"/>
      <w:sz w:val="20"/>
      <w:szCs w:val="20"/>
    </w:rPr>
  </w:style>
  <w:style w:type="paragraph" w:styleId="Sangra2detindependiente">
    <w:name w:val="Body Text Indent 2"/>
    <w:basedOn w:val="Normal"/>
    <w:link w:val="Sangra2detindependienteCar"/>
    <w:uiPriority w:val="99"/>
    <w:rsid w:val="00E01978"/>
    <w:pPr>
      <w:tabs>
        <w:tab w:val="left" w:pos="360"/>
      </w:tabs>
      <w:ind w:left="720"/>
      <w:jc w:val="both"/>
    </w:pPr>
    <w:rPr>
      <w:rFonts w:cs="Times New Roman"/>
      <w:sz w:val="24"/>
      <w:szCs w:val="24"/>
    </w:rPr>
  </w:style>
  <w:style w:type="character" w:customStyle="1" w:styleId="Sangra2detindependienteCar">
    <w:name w:val="Sangría 2 de t. independiente Car"/>
    <w:link w:val="Sangra2detindependiente"/>
    <w:uiPriority w:val="99"/>
    <w:semiHidden/>
    <w:rsid w:val="00FA25BF"/>
    <w:rPr>
      <w:rFonts w:ascii="Arial" w:hAnsi="Arial" w:cs="Arial"/>
      <w:sz w:val="20"/>
      <w:szCs w:val="20"/>
    </w:rPr>
  </w:style>
  <w:style w:type="paragraph" w:styleId="Sangra3detindependiente">
    <w:name w:val="Body Text Indent 3"/>
    <w:basedOn w:val="Normal"/>
    <w:link w:val="Sangra3detindependienteCar"/>
    <w:uiPriority w:val="99"/>
    <w:rsid w:val="00E01978"/>
    <w:pPr>
      <w:tabs>
        <w:tab w:val="left" w:pos="540"/>
      </w:tabs>
      <w:ind w:left="540" w:hanging="180"/>
      <w:jc w:val="both"/>
    </w:pPr>
    <w:rPr>
      <w:rFonts w:cs="Times New Roman"/>
      <w:b/>
      <w:bCs/>
      <w:i/>
      <w:iCs/>
      <w:sz w:val="24"/>
      <w:szCs w:val="24"/>
    </w:rPr>
  </w:style>
  <w:style w:type="character" w:customStyle="1" w:styleId="Sangra3detindependienteCar">
    <w:name w:val="Sangría 3 de t. independiente Car"/>
    <w:link w:val="Sangra3detindependiente"/>
    <w:uiPriority w:val="99"/>
    <w:semiHidden/>
    <w:rsid w:val="00FA25BF"/>
    <w:rPr>
      <w:rFonts w:ascii="Arial" w:hAnsi="Arial" w:cs="Arial"/>
      <w:sz w:val="16"/>
      <w:szCs w:val="16"/>
    </w:rPr>
  </w:style>
  <w:style w:type="paragraph" w:styleId="Piedepgina">
    <w:name w:val="footer"/>
    <w:basedOn w:val="Normal"/>
    <w:link w:val="PiedepginaCar"/>
    <w:uiPriority w:val="99"/>
    <w:rsid w:val="00E01978"/>
    <w:pPr>
      <w:tabs>
        <w:tab w:val="center" w:pos="4252"/>
        <w:tab w:val="right" w:pos="8504"/>
      </w:tabs>
    </w:pPr>
  </w:style>
  <w:style w:type="character" w:customStyle="1" w:styleId="PiedepginaCar">
    <w:name w:val="Pie de página Car"/>
    <w:link w:val="Piedepgina"/>
    <w:uiPriority w:val="99"/>
    <w:locked/>
    <w:rsid w:val="003206CA"/>
    <w:rPr>
      <w:rFonts w:ascii="Arial" w:hAnsi="Arial" w:cs="Arial"/>
      <w:sz w:val="24"/>
      <w:szCs w:val="24"/>
    </w:rPr>
  </w:style>
  <w:style w:type="character" w:styleId="Nmerodepgina">
    <w:name w:val="page number"/>
    <w:basedOn w:val="Fuentedeprrafopredeter"/>
    <w:uiPriority w:val="99"/>
    <w:rsid w:val="00E01978"/>
  </w:style>
  <w:style w:type="character" w:styleId="Refdecomentario">
    <w:name w:val="annotation reference"/>
    <w:uiPriority w:val="99"/>
    <w:semiHidden/>
    <w:rsid w:val="00E01978"/>
    <w:rPr>
      <w:sz w:val="16"/>
      <w:szCs w:val="16"/>
    </w:rPr>
  </w:style>
  <w:style w:type="paragraph" w:styleId="Textocomentario">
    <w:name w:val="annotation text"/>
    <w:basedOn w:val="Normal"/>
    <w:link w:val="TextocomentarioCar"/>
    <w:uiPriority w:val="99"/>
    <w:semiHidden/>
    <w:rsid w:val="00E01978"/>
  </w:style>
  <w:style w:type="character" w:customStyle="1" w:styleId="TextocomentarioCar">
    <w:name w:val="Texto comentario Car"/>
    <w:link w:val="Textocomentario"/>
    <w:uiPriority w:val="99"/>
    <w:semiHidden/>
    <w:rsid w:val="00FA25BF"/>
    <w:rPr>
      <w:rFonts w:ascii="Arial" w:hAnsi="Arial" w:cs="Arial"/>
      <w:sz w:val="20"/>
      <w:szCs w:val="20"/>
    </w:rPr>
  </w:style>
  <w:style w:type="paragraph" w:styleId="Listaconvietas">
    <w:name w:val="List Bullet"/>
    <w:basedOn w:val="Normal"/>
    <w:autoRedefine/>
    <w:uiPriority w:val="99"/>
    <w:rsid w:val="00E01978"/>
    <w:pPr>
      <w:numPr>
        <w:numId w:val="1"/>
      </w:numPr>
    </w:pPr>
  </w:style>
  <w:style w:type="paragraph" w:styleId="Listaconvietas2">
    <w:name w:val="List Bullet 2"/>
    <w:basedOn w:val="Normal"/>
    <w:autoRedefine/>
    <w:uiPriority w:val="99"/>
    <w:rsid w:val="00E01978"/>
    <w:pPr>
      <w:numPr>
        <w:numId w:val="2"/>
      </w:numPr>
    </w:pPr>
  </w:style>
  <w:style w:type="paragraph" w:styleId="Continuarlista">
    <w:name w:val="List Continue"/>
    <w:basedOn w:val="Normal"/>
    <w:uiPriority w:val="99"/>
    <w:rsid w:val="00E01978"/>
    <w:pPr>
      <w:spacing w:after="120"/>
      <w:ind w:left="283"/>
    </w:pPr>
  </w:style>
  <w:style w:type="paragraph" w:customStyle="1" w:styleId="Elnuevoredactado">
    <w:name w:val="El nuevo redactado"/>
    <w:basedOn w:val="Normal"/>
    <w:uiPriority w:val="99"/>
    <w:rsid w:val="00E01978"/>
    <w:pPr>
      <w:ind w:left="180"/>
    </w:pPr>
  </w:style>
  <w:style w:type="character" w:customStyle="1" w:styleId="textoneg1">
    <w:name w:val="textoneg1"/>
    <w:uiPriority w:val="99"/>
    <w:rsid w:val="00E01978"/>
    <w:rPr>
      <w:rFonts w:ascii="Verdana" w:hAnsi="Verdana" w:cs="Verdana"/>
      <w:color w:val="000000"/>
      <w:sz w:val="14"/>
      <w:szCs w:val="14"/>
    </w:rPr>
  </w:style>
  <w:style w:type="paragraph" w:customStyle="1" w:styleId="Ttulo35">
    <w:name w:val="Título 35"/>
    <w:basedOn w:val="Normal"/>
    <w:uiPriority w:val="99"/>
    <w:rsid w:val="00E01978"/>
    <w:pPr>
      <w:jc w:val="both"/>
      <w:outlineLvl w:val="3"/>
    </w:pPr>
    <w:rPr>
      <w:rFonts w:cs="Times New Roman"/>
      <w:color w:val="000000"/>
      <w:sz w:val="18"/>
      <w:szCs w:val="18"/>
    </w:rPr>
  </w:style>
  <w:style w:type="paragraph" w:customStyle="1" w:styleId="estilo2">
    <w:name w:val="estilo2"/>
    <w:basedOn w:val="Normal"/>
    <w:uiPriority w:val="99"/>
    <w:rsid w:val="00E01978"/>
    <w:pPr>
      <w:spacing w:before="100" w:beforeAutospacing="1" w:after="100" w:afterAutospacing="1"/>
    </w:pPr>
    <w:rPr>
      <w:rFonts w:ascii="Verdana" w:hAnsi="Verdana" w:cs="Verdana"/>
      <w:color w:val="000000"/>
      <w:sz w:val="14"/>
      <w:szCs w:val="14"/>
    </w:rPr>
  </w:style>
  <w:style w:type="character" w:customStyle="1" w:styleId="estilo21">
    <w:name w:val="estilo21"/>
    <w:uiPriority w:val="99"/>
    <w:rsid w:val="00E01978"/>
    <w:rPr>
      <w:rFonts w:ascii="Verdana" w:hAnsi="Verdana" w:cs="Verdana"/>
      <w:color w:val="000000"/>
      <w:sz w:val="14"/>
      <w:szCs w:val="14"/>
    </w:rPr>
  </w:style>
  <w:style w:type="character" w:customStyle="1" w:styleId="menu1">
    <w:name w:val="menu1"/>
    <w:uiPriority w:val="99"/>
    <w:rsid w:val="00E01978"/>
    <w:rPr>
      <w:rFonts w:ascii="Verdana" w:hAnsi="Verdana" w:cs="Verdana"/>
      <w:b/>
      <w:bCs/>
      <w:color w:val="000000"/>
      <w:sz w:val="14"/>
      <w:szCs w:val="14"/>
      <w:u w:val="none"/>
      <w:effect w:val="none"/>
    </w:rPr>
  </w:style>
  <w:style w:type="character" w:styleId="Textoennegrita">
    <w:name w:val="Strong"/>
    <w:uiPriority w:val="22"/>
    <w:qFormat/>
    <w:rsid w:val="00E01978"/>
    <w:rPr>
      <w:rFonts w:cs="Times New Roman"/>
      <w:b/>
      <w:bCs/>
    </w:rPr>
  </w:style>
  <w:style w:type="character" w:customStyle="1" w:styleId="estilo31">
    <w:name w:val="estilo31"/>
    <w:uiPriority w:val="99"/>
    <w:rsid w:val="00E01978"/>
    <w:rPr>
      <w:rFonts w:ascii="Verdana" w:hAnsi="Verdana" w:cs="Verdana"/>
      <w:color w:val="000000"/>
      <w:sz w:val="14"/>
      <w:szCs w:val="14"/>
      <w:u w:val="none"/>
      <w:effect w:val="none"/>
    </w:rPr>
  </w:style>
  <w:style w:type="paragraph" w:styleId="NormalWeb">
    <w:name w:val="Normal (Web)"/>
    <w:basedOn w:val="Normal"/>
    <w:uiPriority w:val="99"/>
    <w:rsid w:val="00E01978"/>
    <w:pPr>
      <w:spacing w:before="100" w:beforeAutospacing="1" w:after="100" w:afterAutospacing="1"/>
    </w:pPr>
    <w:rPr>
      <w:rFonts w:cs="Times New Roman"/>
      <w:sz w:val="24"/>
      <w:szCs w:val="24"/>
    </w:rPr>
  </w:style>
  <w:style w:type="character" w:styleId="Hipervnculo">
    <w:name w:val="Hyperlink"/>
    <w:uiPriority w:val="99"/>
    <w:rsid w:val="00E01978"/>
    <w:rPr>
      <w:rFonts w:cs="Times New Roman"/>
      <w:color w:val="0000FF"/>
      <w:u w:val="single"/>
    </w:rPr>
  </w:style>
  <w:style w:type="paragraph" w:styleId="Asuntodelcomentario">
    <w:name w:val="annotation subject"/>
    <w:basedOn w:val="Textocomentario"/>
    <w:next w:val="Textocomentario"/>
    <w:link w:val="AsuntodelcomentarioCar"/>
    <w:uiPriority w:val="99"/>
    <w:semiHidden/>
    <w:rsid w:val="00E01978"/>
    <w:rPr>
      <w:b/>
      <w:bCs/>
    </w:rPr>
  </w:style>
  <w:style w:type="character" w:customStyle="1" w:styleId="AsuntodelcomentarioCar">
    <w:name w:val="Asunto del comentario Car"/>
    <w:link w:val="Asuntodelcomentario"/>
    <w:uiPriority w:val="99"/>
    <w:semiHidden/>
    <w:rsid w:val="00FA25BF"/>
    <w:rPr>
      <w:rFonts w:ascii="Arial" w:hAnsi="Arial" w:cs="Arial"/>
      <w:b/>
      <w:bCs/>
      <w:sz w:val="20"/>
      <w:szCs w:val="20"/>
    </w:rPr>
  </w:style>
  <w:style w:type="paragraph" w:styleId="Textodeglobo">
    <w:name w:val="Balloon Text"/>
    <w:basedOn w:val="Normal"/>
    <w:link w:val="TextodegloboCar"/>
    <w:uiPriority w:val="99"/>
    <w:semiHidden/>
    <w:rsid w:val="00E01978"/>
    <w:rPr>
      <w:rFonts w:ascii="Tahoma" w:hAnsi="Tahoma" w:cs="Tahoma"/>
      <w:sz w:val="16"/>
      <w:szCs w:val="16"/>
    </w:rPr>
  </w:style>
  <w:style w:type="character" w:customStyle="1" w:styleId="TextodegloboCar">
    <w:name w:val="Texto de globo Car"/>
    <w:link w:val="Textodeglobo"/>
    <w:uiPriority w:val="99"/>
    <w:semiHidden/>
    <w:rsid w:val="00FA25BF"/>
    <w:rPr>
      <w:sz w:val="0"/>
      <w:szCs w:val="0"/>
    </w:rPr>
  </w:style>
  <w:style w:type="paragraph" w:customStyle="1" w:styleId="textodestacado">
    <w:name w:val="textodestacado"/>
    <w:basedOn w:val="Normal"/>
    <w:uiPriority w:val="99"/>
    <w:rsid w:val="00E01978"/>
    <w:pPr>
      <w:spacing w:before="100" w:beforeAutospacing="1" w:after="100" w:afterAutospacing="1"/>
    </w:pPr>
    <w:rPr>
      <w:rFonts w:eastAsia="Arial Unicode MS"/>
      <w:color w:val="E60200"/>
      <w:sz w:val="21"/>
      <w:szCs w:val="21"/>
    </w:rPr>
  </w:style>
  <w:style w:type="paragraph" w:customStyle="1" w:styleId="textonormal">
    <w:name w:val="textonormal"/>
    <w:basedOn w:val="Normal"/>
    <w:uiPriority w:val="99"/>
    <w:rsid w:val="00E01978"/>
    <w:pPr>
      <w:spacing w:before="100" w:beforeAutospacing="1" w:after="100" w:afterAutospacing="1"/>
    </w:pPr>
    <w:rPr>
      <w:rFonts w:ascii="Verdana" w:eastAsia="Arial Unicode MS" w:hAnsi="Verdana" w:cs="Verdana"/>
      <w:color w:val="000000"/>
      <w:sz w:val="18"/>
      <w:szCs w:val="18"/>
    </w:rPr>
  </w:style>
  <w:style w:type="character" w:customStyle="1" w:styleId="textonormalrojo1">
    <w:name w:val="textonormalrojo1"/>
    <w:uiPriority w:val="99"/>
    <w:rsid w:val="00E01978"/>
    <w:rPr>
      <w:rFonts w:ascii="Verdana" w:hAnsi="Verdana" w:cs="Verdana"/>
      <w:color w:val="E60200"/>
      <w:sz w:val="18"/>
      <w:szCs w:val="18"/>
      <w:u w:val="none"/>
      <w:effect w:val="none"/>
    </w:rPr>
  </w:style>
  <w:style w:type="paragraph" w:customStyle="1" w:styleId="justificado">
    <w:name w:val="justificado"/>
    <w:basedOn w:val="Normal"/>
    <w:uiPriority w:val="99"/>
    <w:rsid w:val="00E01978"/>
    <w:pPr>
      <w:spacing w:before="100" w:beforeAutospacing="1" w:after="100" w:afterAutospacing="1"/>
    </w:pPr>
    <w:rPr>
      <w:rFonts w:cs="Times New Roman"/>
      <w:sz w:val="24"/>
      <w:szCs w:val="24"/>
    </w:rPr>
  </w:style>
  <w:style w:type="paragraph" w:styleId="Textodebloque">
    <w:name w:val="Block Text"/>
    <w:basedOn w:val="Normal"/>
    <w:uiPriority w:val="99"/>
    <w:rsid w:val="00E01978"/>
    <w:pPr>
      <w:spacing w:before="144"/>
      <w:ind w:left="144" w:right="144"/>
      <w:jc w:val="both"/>
    </w:pPr>
    <w:rPr>
      <w:rFonts w:cs="Times New Roman"/>
      <w:sz w:val="24"/>
      <w:szCs w:val="24"/>
    </w:rPr>
  </w:style>
  <w:style w:type="paragraph" w:customStyle="1" w:styleId="doc-normal">
    <w:name w:val="doc-normal"/>
    <w:basedOn w:val="Normal"/>
    <w:uiPriority w:val="99"/>
    <w:rsid w:val="00E01978"/>
    <w:pPr>
      <w:spacing w:before="100" w:beforeAutospacing="1" w:after="100" w:afterAutospacing="1"/>
    </w:pPr>
    <w:rPr>
      <w:rFonts w:cs="Times New Roman"/>
      <w:sz w:val="24"/>
      <w:szCs w:val="24"/>
    </w:rPr>
  </w:style>
  <w:style w:type="paragraph" w:customStyle="1" w:styleId="documento">
    <w:name w:val="documento"/>
    <w:basedOn w:val="Normal"/>
    <w:uiPriority w:val="99"/>
    <w:rsid w:val="00E01978"/>
    <w:pPr>
      <w:spacing w:before="100" w:beforeAutospacing="1" w:after="100" w:afterAutospacing="1"/>
    </w:pPr>
    <w:rPr>
      <w:rFonts w:cs="Times New Roman"/>
      <w:sz w:val="24"/>
      <w:szCs w:val="24"/>
    </w:rPr>
  </w:style>
  <w:style w:type="paragraph" w:styleId="Mapadeldocumento">
    <w:name w:val="Document Map"/>
    <w:basedOn w:val="Normal"/>
    <w:link w:val="MapadeldocumentoCar"/>
    <w:uiPriority w:val="99"/>
    <w:semiHidden/>
    <w:rsid w:val="00E01978"/>
    <w:pPr>
      <w:shd w:val="clear" w:color="auto" w:fill="000080"/>
    </w:pPr>
    <w:rPr>
      <w:rFonts w:ascii="Tahoma" w:hAnsi="Tahoma" w:cs="Tahoma"/>
    </w:rPr>
  </w:style>
  <w:style w:type="character" w:customStyle="1" w:styleId="MapadeldocumentoCar">
    <w:name w:val="Mapa del documento Car"/>
    <w:link w:val="Mapadeldocumento"/>
    <w:uiPriority w:val="99"/>
    <w:semiHidden/>
    <w:rsid w:val="00FA25BF"/>
    <w:rPr>
      <w:sz w:val="0"/>
      <w:szCs w:val="0"/>
    </w:rPr>
  </w:style>
  <w:style w:type="table" w:styleId="Tablaconcuadrcula">
    <w:name w:val="Table Grid"/>
    <w:basedOn w:val="Tablanormal"/>
    <w:uiPriority w:val="99"/>
    <w:rsid w:val="0060053E"/>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uiPriority w:val="99"/>
    <w:rsid w:val="0066417B"/>
    <w:pPr>
      <w:spacing w:before="100" w:beforeAutospacing="1" w:after="100" w:afterAutospacing="1"/>
    </w:pPr>
    <w:rPr>
      <w:color w:val="000000"/>
      <w:sz w:val="19"/>
      <w:szCs w:val="19"/>
    </w:rPr>
  </w:style>
  <w:style w:type="paragraph" w:styleId="Prrafodelista">
    <w:name w:val="List Paragraph"/>
    <w:basedOn w:val="Normal"/>
    <w:qFormat/>
    <w:rsid w:val="00794FB3"/>
    <w:pPr>
      <w:ind w:left="708"/>
    </w:pPr>
  </w:style>
  <w:style w:type="character" w:styleId="Hipervnculovisitado">
    <w:name w:val="FollowedHyperlink"/>
    <w:uiPriority w:val="99"/>
    <w:rsid w:val="00A07828"/>
    <w:rPr>
      <w:rFonts w:cs="Times New Roman"/>
      <w:color w:val="800080"/>
      <w:u w:val="single"/>
    </w:rPr>
  </w:style>
  <w:style w:type="character" w:styleId="nfasis">
    <w:name w:val="Emphasis"/>
    <w:basedOn w:val="Fuentedeprrafopredeter"/>
    <w:uiPriority w:val="20"/>
    <w:qFormat/>
    <w:locked/>
    <w:rsid w:val="00053BA6"/>
    <w:rPr>
      <w:i/>
      <w:iCs/>
    </w:rPr>
  </w:style>
  <w:style w:type="paragraph" w:styleId="Revisin">
    <w:name w:val="Revision"/>
    <w:hidden/>
    <w:uiPriority w:val="99"/>
    <w:semiHidden/>
    <w:rsid w:val="001B1878"/>
    <w:rPr>
      <w:rFonts w:ascii="Arial" w:hAnsi="Arial" w:cs="Arial"/>
    </w:rPr>
  </w:style>
  <w:style w:type="character" w:styleId="Mencinsinresolver">
    <w:name w:val="Unresolved Mention"/>
    <w:basedOn w:val="Fuentedeprrafopredeter"/>
    <w:uiPriority w:val="99"/>
    <w:semiHidden/>
    <w:unhideWhenUsed/>
    <w:rsid w:val="002A0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4556">
      <w:bodyDiv w:val="1"/>
      <w:marLeft w:val="0"/>
      <w:marRight w:val="0"/>
      <w:marTop w:val="0"/>
      <w:marBottom w:val="0"/>
      <w:divBdr>
        <w:top w:val="none" w:sz="0" w:space="0" w:color="auto"/>
        <w:left w:val="none" w:sz="0" w:space="0" w:color="auto"/>
        <w:bottom w:val="none" w:sz="0" w:space="0" w:color="auto"/>
        <w:right w:val="none" w:sz="0" w:space="0" w:color="auto"/>
      </w:divBdr>
    </w:div>
    <w:div w:id="106781686">
      <w:bodyDiv w:val="1"/>
      <w:marLeft w:val="0"/>
      <w:marRight w:val="0"/>
      <w:marTop w:val="0"/>
      <w:marBottom w:val="0"/>
      <w:divBdr>
        <w:top w:val="none" w:sz="0" w:space="0" w:color="auto"/>
        <w:left w:val="none" w:sz="0" w:space="0" w:color="auto"/>
        <w:bottom w:val="none" w:sz="0" w:space="0" w:color="auto"/>
        <w:right w:val="none" w:sz="0" w:space="0" w:color="auto"/>
      </w:divBdr>
      <w:divsChild>
        <w:div w:id="885802412">
          <w:marLeft w:val="0"/>
          <w:marRight w:val="0"/>
          <w:marTop w:val="0"/>
          <w:marBottom w:val="0"/>
          <w:divBdr>
            <w:top w:val="none" w:sz="0" w:space="0" w:color="auto"/>
            <w:left w:val="none" w:sz="0" w:space="0" w:color="auto"/>
            <w:bottom w:val="none" w:sz="0" w:space="0" w:color="auto"/>
            <w:right w:val="none" w:sz="0" w:space="0" w:color="auto"/>
          </w:divBdr>
          <w:divsChild>
            <w:div w:id="265385717">
              <w:marLeft w:val="0"/>
              <w:marRight w:val="0"/>
              <w:marTop w:val="0"/>
              <w:marBottom w:val="0"/>
              <w:divBdr>
                <w:top w:val="none" w:sz="0" w:space="0" w:color="auto"/>
                <w:left w:val="none" w:sz="0" w:space="0" w:color="auto"/>
                <w:bottom w:val="none" w:sz="0" w:space="0" w:color="auto"/>
                <w:right w:val="none" w:sz="0" w:space="0" w:color="auto"/>
              </w:divBdr>
              <w:divsChild>
                <w:div w:id="841236001">
                  <w:marLeft w:val="0"/>
                  <w:marRight w:val="0"/>
                  <w:marTop w:val="0"/>
                  <w:marBottom w:val="0"/>
                  <w:divBdr>
                    <w:top w:val="none" w:sz="0" w:space="0" w:color="auto"/>
                    <w:left w:val="none" w:sz="0" w:space="0" w:color="auto"/>
                    <w:bottom w:val="none" w:sz="0" w:space="0" w:color="auto"/>
                    <w:right w:val="none" w:sz="0" w:space="0" w:color="auto"/>
                  </w:divBdr>
                </w:div>
                <w:div w:id="495147666">
                  <w:marLeft w:val="0"/>
                  <w:marRight w:val="0"/>
                  <w:marTop w:val="0"/>
                  <w:marBottom w:val="0"/>
                  <w:divBdr>
                    <w:top w:val="none" w:sz="0" w:space="0" w:color="auto"/>
                    <w:left w:val="none" w:sz="0" w:space="0" w:color="auto"/>
                    <w:bottom w:val="none" w:sz="0" w:space="0" w:color="auto"/>
                    <w:right w:val="none" w:sz="0" w:space="0" w:color="auto"/>
                  </w:divBdr>
                </w:div>
                <w:div w:id="1032420636">
                  <w:marLeft w:val="0"/>
                  <w:marRight w:val="0"/>
                  <w:marTop w:val="0"/>
                  <w:marBottom w:val="0"/>
                  <w:divBdr>
                    <w:top w:val="none" w:sz="0" w:space="0" w:color="auto"/>
                    <w:left w:val="none" w:sz="0" w:space="0" w:color="auto"/>
                    <w:bottom w:val="none" w:sz="0" w:space="0" w:color="auto"/>
                    <w:right w:val="none" w:sz="0" w:space="0" w:color="auto"/>
                  </w:divBdr>
                </w:div>
                <w:div w:id="1350370817">
                  <w:marLeft w:val="0"/>
                  <w:marRight w:val="0"/>
                  <w:marTop w:val="0"/>
                  <w:marBottom w:val="0"/>
                  <w:divBdr>
                    <w:top w:val="none" w:sz="0" w:space="0" w:color="auto"/>
                    <w:left w:val="none" w:sz="0" w:space="0" w:color="auto"/>
                    <w:bottom w:val="none" w:sz="0" w:space="0" w:color="auto"/>
                    <w:right w:val="none" w:sz="0" w:space="0" w:color="auto"/>
                  </w:divBdr>
                </w:div>
                <w:div w:id="1371225938">
                  <w:marLeft w:val="0"/>
                  <w:marRight w:val="0"/>
                  <w:marTop w:val="0"/>
                  <w:marBottom w:val="0"/>
                  <w:divBdr>
                    <w:top w:val="none" w:sz="0" w:space="0" w:color="auto"/>
                    <w:left w:val="none" w:sz="0" w:space="0" w:color="auto"/>
                    <w:bottom w:val="none" w:sz="0" w:space="0" w:color="auto"/>
                    <w:right w:val="none" w:sz="0" w:space="0" w:color="auto"/>
                  </w:divBdr>
                </w:div>
                <w:div w:id="952126173">
                  <w:marLeft w:val="0"/>
                  <w:marRight w:val="0"/>
                  <w:marTop w:val="0"/>
                  <w:marBottom w:val="0"/>
                  <w:divBdr>
                    <w:top w:val="none" w:sz="0" w:space="0" w:color="auto"/>
                    <w:left w:val="none" w:sz="0" w:space="0" w:color="auto"/>
                    <w:bottom w:val="none" w:sz="0" w:space="0" w:color="auto"/>
                    <w:right w:val="none" w:sz="0" w:space="0" w:color="auto"/>
                  </w:divBdr>
                </w:div>
                <w:div w:id="745035453">
                  <w:marLeft w:val="0"/>
                  <w:marRight w:val="0"/>
                  <w:marTop w:val="0"/>
                  <w:marBottom w:val="0"/>
                  <w:divBdr>
                    <w:top w:val="none" w:sz="0" w:space="0" w:color="auto"/>
                    <w:left w:val="none" w:sz="0" w:space="0" w:color="auto"/>
                    <w:bottom w:val="none" w:sz="0" w:space="0" w:color="auto"/>
                    <w:right w:val="none" w:sz="0" w:space="0" w:color="auto"/>
                  </w:divBdr>
                </w:div>
                <w:div w:id="735206833">
                  <w:marLeft w:val="0"/>
                  <w:marRight w:val="0"/>
                  <w:marTop w:val="0"/>
                  <w:marBottom w:val="0"/>
                  <w:divBdr>
                    <w:top w:val="none" w:sz="0" w:space="0" w:color="auto"/>
                    <w:left w:val="none" w:sz="0" w:space="0" w:color="auto"/>
                    <w:bottom w:val="none" w:sz="0" w:space="0" w:color="auto"/>
                    <w:right w:val="none" w:sz="0" w:space="0" w:color="auto"/>
                  </w:divBdr>
                </w:div>
                <w:div w:id="1758210160">
                  <w:marLeft w:val="0"/>
                  <w:marRight w:val="0"/>
                  <w:marTop w:val="0"/>
                  <w:marBottom w:val="0"/>
                  <w:divBdr>
                    <w:top w:val="none" w:sz="0" w:space="0" w:color="auto"/>
                    <w:left w:val="none" w:sz="0" w:space="0" w:color="auto"/>
                    <w:bottom w:val="none" w:sz="0" w:space="0" w:color="auto"/>
                    <w:right w:val="none" w:sz="0" w:space="0" w:color="auto"/>
                  </w:divBdr>
                </w:div>
                <w:div w:id="156745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644858">
      <w:bodyDiv w:val="1"/>
      <w:marLeft w:val="0"/>
      <w:marRight w:val="0"/>
      <w:marTop w:val="0"/>
      <w:marBottom w:val="0"/>
      <w:divBdr>
        <w:top w:val="none" w:sz="0" w:space="0" w:color="auto"/>
        <w:left w:val="none" w:sz="0" w:space="0" w:color="auto"/>
        <w:bottom w:val="none" w:sz="0" w:space="0" w:color="auto"/>
        <w:right w:val="none" w:sz="0" w:space="0" w:color="auto"/>
      </w:divBdr>
      <w:divsChild>
        <w:div w:id="1034113944">
          <w:marLeft w:val="0"/>
          <w:marRight w:val="0"/>
          <w:marTop w:val="192"/>
          <w:marBottom w:val="0"/>
          <w:divBdr>
            <w:top w:val="single" w:sz="6" w:space="6" w:color="DBDBDB"/>
            <w:left w:val="single" w:sz="6" w:space="6" w:color="DBDBDB"/>
            <w:bottom w:val="single" w:sz="6" w:space="6" w:color="DBDBDB"/>
            <w:right w:val="single" w:sz="6" w:space="6" w:color="DBDBDB"/>
          </w:divBdr>
        </w:div>
      </w:divsChild>
    </w:div>
    <w:div w:id="453989085">
      <w:bodyDiv w:val="1"/>
      <w:marLeft w:val="0"/>
      <w:marRight w:val="0"/>
      <w:marTop w:val="0"/>
      <w:marBottom w:val="0"/>
      <w:divBdr>
        <w:top w:val="none" w:sz="0" w:space="0" w:color="auto"/>
        <w:left w:val="none" w:sz="0" w:space="0" w:color="auto"/>
        <w:bottom w:val="none" w:sz="0" w:space="0" w:color="auto"/>
        <w:right w:val="none" w:sz="0" w:space="0" w:color="auto"/>
      </w:divBdr>
    </w:div>
    <w:div w:id="562184489">
      <w:bodyDiv w:val="1"/>
      <w:marLeft w:val="0"/>
      <w:marRight w:val="0"/>
      <w:marTop w:val="0"/>
      <w:marBottom w:val="0"/>
      <w:divBdr>
        <w:top w:val="none" w:sz="0" w:space="0" w:color="auto"/>
        <w:left w:val="none" w:sz="0" w:space="0" w:color="auto"/>
        <w:bottom w:val="none" w:sz="0" w:space="0" w:color="auto"/>
        <w:right w:val="none" w:sz="0" w:space="0" w:color="auto"/>
      </w:divBdr>
    </w:div>
    <w:div w:id="661007643">
      <w:bodyDiv w:val="1"/>
      <w:marLeft w:val="0"/>
      <w:marRight w:val="0"/>
      <w:marTop w:val="0"/>
      <w:marBottom w:val="0"/>
      <w:divBdr>
        <w:top w:val="none" w:sz="0" w:space="0" w:color="auto"/>
        <w:left w:val="none" w:sz="0" w:space="0" w:color="auto"/>
        <w:bottom w:val="none" w:sz="0" w:space="0" w:color="auto"/>
        <w:right w:val="none" w:sz="0" w:space="0" w:color="auto"/>
      </w:divBdr>
      <w:divsChild>
        <w:div w:id="1080516484">
          <w:marLeft w:val="300"/>
          <w:marRight w:val="300"/>
          <w:marTop w:val="120"/>
          <w:marBottom w:val="120"/>
          <w:divBdr>
            <w:top w:val="none" w:sz="0" w:space="0" w:color="auto"/>
            <w:left w:val="none" w:sz="0" w:space="0" w:color="auto"/>
            <w:bottom w:val="none" w:sz="0" w:space="0" w:color="auto"/>
            <w:right w:val="none" w:sz="0" w:space="0" w:color="auto"/>
          </w:divBdr>
        </w:div>
        <w:div w:id="1708991028">
          <w:marLeft w:val="0"/>
          <w:marRight w:val="0"/>
          <w:marTop w:val="0"/>
          <w:marBottom w:val="0"/>
          <w:divBdr>
            <w:top w:val="none" w:sz="0" w:space="0" w:color="auto"/>
            <w:left w:val="none" w:sz="0" w:space="0" w:color="auto"/>
            <w:bottom w:val="none" w:sz="0" w:space="0" w:color="auto"/>
            <w:right w:val="none" w:sz="0" w:space="0" w:color="auto"/>
          </w:divBdr>
        </w:div>
      </w:divsChild>
    </w:div>
    <w:div w:id="695497748">
      <w:bodyDiv w:val="1"/>
      <w:marLeft w:val="0"/>
      <w:marRight w:val="0"/>
      <w:marTop w:val="0"/>
      <w:marBottom w:val="0"/>
      <w:divBdr>
        <w:top w:val="none" w:sz="0" w:space="0" w:color="auto"/>
        <w:left w:val="none" w:sz="0" w:space="0" w:color="auto"/>
        <w:bottom w:val="none" w:sz="0" w:space="0" w:color="auto"/>
        <w:right w:val="none" w:sz="0" w:space="0" w:color="auto"/>
      </w:divBdr>
    </w:div>
    <w:div w:id="709064685">
      <w:bodyDiv w:val="1"/>
      <w:marLeft w:val="0"/>
      <w:marRight w:val="0"/>
      <w:marTop w:val="0"/>
      <w:marBottom w:val="0"/>
      <w:divBdr>
        <w:top w:val="none" w:sz="0" w:space="0" w:color="auto"/>
        <w:left w:val="none" w:sz="0" w:space="0" w:color="auto"/>
        <w:bottom w:val="none" w:sz="0" w:space="0" w:color="auto"/>
        <w:right w:val="none" w:sz="0" w:space="0" w:color="auto"/>
      </w:divBdr>
      <w:divsChild>
        <w:div w:id="1411854795">
          <w:marLeft w:val="0"/>
          <w:marRight w:val="0"/>
          <w:marTop w:val="0"/>
          <w:marBottom w:val="0"/>
          <w:divBdr>
            <w:top w:val="none" w:sz="0" w:space="0" w:color="auto"/>
            <w:left w:val="none" w:sz="0" w:space="0" w:color="auto"/>
            <w:bottom w:val="none" w:sz="0" w:space="0" w:color="auto"/>
            <w:right w:val="none" w:sz="0" w:space="0" w:color="auto"/>
          </w:divBdr>
        </w:div>
        <w:div w:id="78406279">
          <w:marLeft w:val="0"/>
          <w:marRight w:val="0"/>
          <w:marTop w:val="0"/>
          <w:marBottom w:val="0"/>
          <w:divBdr>
            <w:top w:val="none" w:sz="0" w:space="0" w:color="auto"/>
            <w:left w:val="none" w:sz="0" w:space="0" w:color="auto"/>
            <w:bottom w:val="none" w:sz="0" w:space="0" w:color="auto"/>
            <w:right w:val="none" w:sz="0" w:space="0" w:color="auto"/>
          </w:divBdr>
        </w:div>
        <w:div w:id="1471441309">
          <w:marLeft w:val="0"/>
          <w:marRight w:val="0"/>
          <w:marTop w:val="0"/>
          <w:marBottom w:val="0"/>
          <w:divBdr>
            <w:top w:val="none" w:sz="0" w:space="0" w:color="auto"/>
            <w:left w:val="none" w:sz="0" w:space="0" w:color="auto"/>
            <w:bottom w:val="none" w:sz="0" w:space="0" w:color="auto"/>
            <w:right w:val="none" w:sz="0" w:space="0" w:color="auto"/>
          </w:divBdr>
        </w:div>
        <w:div w:id="1174342044">
          <w:marLeft w:val="0"/>
          <w:marRight w:val="0"/>
          <w:marTop w:val="0"/>
          <w:marBottom w:val="0"/>
          <w:divBdr>
            <w:top w:val="none" w:sz="0" w:space="0" w:color="auto"/>
            <w:left w:val="none" w:sz="0" w:space="0" w:color="auto"/>
            <w:bottom w:val="none" w:sz="0" w:space="0" w:color="auto"/>
            <w:right w:val="none" w:sz="0" w:space="0" w:color="auto"/>
          </w:divBdr>
        </w:div>
      </w:divsChild>
    </w:div>
    <w:div w:id="866403980">
      <w:bodyDiv w:val="1"/>
      <w:marLeft w:val="0"/>
      <w:marRight w:val="0"/>
      <w:marTop w:val="0"/>
      <w:marBottom w:val="0"/>
      <w:divBdr>
        <w:top w:val="none" w:sz="0" w:space="0" w:color="auto"/>
        <w:left w:val="none" w:sz="0" w:space="0" w:color="auto"/>
        <w:bottom w:val="none" w:sz="0" w:space="0" w:color="auto"/>
        <w:right w:val="none" w:sz="0" w:space="0" w:color="auto"/>
      </w:divBdr>
    </w:div>
    <w:div w:id="873999105">
      <w:bodyDiv w:val="1"/>
      <w:marLeft w:val="0"/>
      <w:marRight w:val="0"/>
      <w:marTop w:val="0"/>
      <w:marBottom w:val="0"/>
      <w:divBdr>
        <w:top w:val="none" w:sz="0" w:space="0" w:color="auto"/>
        <w:left w:val="none" w:sz="0" w:space="0" w:color="auto"/>
        <w:bottom w:val="none" w:sz="0" w:space="0" w:color="auto"/>
        <w:right w:val="none" w:sz="0" w:space="0" w:color="auto"/>
      </w:divBdr>
    </w:div>
    <w:div w:id="927538361">
      <w:bodyDiv w:val="1"/>
      <w:marLeft w:val="0"/>
      <w:marRight w:val="0"/>
      <w:marTop w:val="0"/>
      <w:marBottom w:val="0"/>
      <w:divBdr>
        <w:top w:val="none" w:sz="0" w:space="0" w:color="auto"/>
        <w:left w:val="none" w:sz="0" w:space="0" w:color="auto"/>
        <w:bottom w:val="none" w:sz="0" w:space="0" w:color="auto"/>
        <w:right w:val="none" w:sz="0" w:space="0" w:color="auto"/>
      </w:divBdr>
    </w:div>
    <w:div w:id="1035695901">
      <w:bodyDiv w:val="1"/>
      <w:marLeft w:val="0"/>
      <w:marRight w:val="0"/>
      <w:marTop w:val="0"/>
      <w:marBottom w:val="0"/>
      <w:divBdr>
        <w:top w:val="none" w:sz="0" w:space="0" w:color="auto"/>
        <w:left w:val="none" w:sz="0" w:space="0" w:color="auto"/>
        <w:bottom w:val="none" w:sz="0" w:space="0" w:color="auto"/>
        <w:right w:val="none" w:sz="0" w:space="0" w:color="auto"/>
      </w:divBdr>
    </w:div>
    <w:div w:id="1140269514">
      <w:bodyDiv w:val="1"/>
      <w:marLeft w:val="0"/>
      <w:marRight w:val="0"/>
      <w:marTop w:val="0"/>
      <w:marBottom w:val="0"/>
      <w:divBdr>
        <w:top w:val="none" w:sz="0" w:space="0" w:color="auto"/>
        <w:left w:val="none" w:sz="0" w:space="0" w:color="auto"/>
        <w:bottom w:val="none" w:sz="0" w:space="0" w:color="auto"/>
        <w:right w:val="none" w:sz="0" w:space="0" w:color="auto"/>
      </w:divBdr>
    </w:div>
    <w:div w:id="1310744231">
      <w:bodyDiv w:val="1"/>
      <w:marLeft w:val="0"/>
      <w:marRight w:val="0"/>
      <w:marTop w:val="0"/>
      <w:marBottom w:val="0"/>
      <w:divBdr>
        <w:top w:val="none" w:sz="0" w:space="0" w:color="auto"/>
        <w:left w:val="none" w:sz="0" w:space="0" w:color="auto"/>
        <w:bottom w:val="none" w:sz="0" w:space="0" w:color="auto"/>
        <w:right w:val="none" w:sz="0" w:space="0" w:color="auto"/>
      </w:divBdr>
      <w:divsChild>
        <w:div w:id="838278317">
          <w:marLeft w:val="0"/>
          <w:marRight w:val="0"/>
          <w:marTop w:val="0"/>
          <w:marBottom w:val="0"/>
          <w:divBdr>
            <w:top w:val="none" w:sz="0" w:space="0" w:color="auto"/>
            <w:left w:val="none" w:sz="0" w:space="0" w:color="auto"/>
            <w:bottom w:val="none" w:sz="0" w:space="0" w:color="auto"/>
            <w:right w:val="none" w:sz="0" w:space="0" w:color="auto"/>
          </w:divBdr>
        </w:div>
      </w:divsChild>
    </w:div>
    <w:div w:id="1354385084">
      <w:bodyDiv w:val="1"/>
      <w:marLeft w:val="0"/>
      <w:marRight w:val="0"/>
      <w:marTop w:val="0"/>
      <w:marBottom w:val="0"/>
      <w:divBdr>
        <w:top w:val="none" w:sz="0" w:space="0" w:color="auto"/>
        <w:left w:val="none" w:sz="0" w:space="0" w:color="auto"/>
        <w:bottom w:val="none" w:sz="0" w:space="0" w:color="auto"/>
        <w:right w:val="none" w:sz="0" w:space="0" w:color="auto"/>
      </w:divBdr>
    </w:div>
    <w:div w:id="1456873043">
      <w:bodyDiv w:val="1"/>
      <w:marLeft w:val="0"/>
      <w:marRight w:val="0"/>
      <w:marTop w:val="0"/>
      <w:marBottom w:val="0"/>
      <w:divBdr>
        <w:top w:val="none" w:sz="0" w:space="0" w:color="auto"/>
        <w:left w:val="none" w:sz="0" w:space="0" w:color="auto"/>
        <w:bottom w:val="none" w:sz="0" w:space="0" w:color="auto"/>
        <w:right w:val="none" w:sz="0" w:space="0" w:color="auto"/>
      </w:divBdr>
    </w:div>
    <w:div w:id="1479106654">
      <w:bodyDiv w:val="1"/>
      <w:marLeft w:val="0"/>
      <w:marRight w:val="0"/>
      <w:marTop w:val="0"/>
      <w:marBottom w:val="0"/>
      <w:divBdr>
        <w:top w:val="none" w:sz="0" w:space="0" w:color="auto"/>
        <w:left w:val="none" w:sz="0" w:space="0" w:color="auto"/>
        <w:bottom w:val="none" w:sz="0" w:space="0" w:color="auto"/>
        <w:right w:val="none" w:sz="0" w:space="0" w:color="auto"/>
      </w:divBdr>
      <w:divsChild>
        <w:div w:id="2095659918">
          <w:marLeft w:val="0"/>
          <w:marRight w:val="0"/>
          <w:marTop w:val="192"/>
          <w:marBottom w:val="0"/>
          <w:divBdr>
            <w:top w:val="single" w:sz="6" w:space="6" w:color="DBDBDB"/>
            <w:left w:val="single" w:sz="6" w:space="6" w:color="DBDBDB"/>
            <w:bottom w:val="single" w:sz="6" w:space="6" w:color="DBDBDB"/>
            <w:right w:val="single" w:sz="6" w:space="6" w:color="DBDBDB"/>
          </w:divBdr>
        </w:div>
      </w:divsChild>
    </w:div>
    <w:div w:id="1517768917">
      <w:bodyDiv w:val="1"/>
      <w:marLeft w:val="0"/>
      <w:marRight w:val="0"/>
      <w:marTop w:val="0"/>
      <w:marBottom w:val="0"/>
      <w:divBdr>
        <w:top w:val="none" w:sz="0" w:space="0" w:color="auto"/>
        <w:left w:val="none" w:sz="0" w:space="0" w:color="auto"/>
        <w:bottom w:val="none" w:sz="0" w:space="0" w:color="auto"/>
        <w:right w:val="none" w:sz="0" w:space="0" w:color="auto"/>
      </w:divBdr>
    </w:div>
    <w:div w:id="1565991597">
      <w:bodyDiv w:val="1"/>
      <w:marLeft w:val="0"/>
      <w:marRight w:val="0"/>
      <w:marTop w:val="0"/>
      <w:marBottom w:val="0"/>
      <w:divBdr>
        <w:top w:val="none" w:sz="0" w:space="0" w:color="auto"/>
        <w:left w:val="none" w:sz="0" w:space="0" w:color="auto"/>
        <w:bottom w:val="none" w:sz="0" w:space="0" w:color="auto"/>
        <w:right w:val="none" w:sz="0" w:space="0" w:color="auto"/>
      </w:divBdr>
    </w:div>
    <w:div w:id="1623000311">
      <w:bodyDiv w:val="1"/>
      <w:marLeft w:val="0"/>
      <w:marRight w:val="0"/>
      <w:marTop w:val="0"/>
      <w:marBottom w:val="0"/>
      <w:divBdr>
        <w:top w:val="none" w:sz="0" w:space="0" w:color="auto"/>
        <w:left w:val="none" w:sz="0" w:space="0" w:color="auto"/>
        <w:bottom w:val="none" w:sz="0" w:space="0" w:color="auto"/>
        <w:right w:val="none" w:sz="0" w:space="0" w:color="auto"/>
      </w:divBdr>
    </w:div>
    <w:div w:id="1669357810">
      <w:bodyDiv w:val="1"/>
      <w:marLeft w:val="0"/>
      <w:marRight w:val="0"/>
      <w:marTop w:val="0"/>
      <w:marBottom w:val="0"/>
      <w:divBdr>
        <w:top w:val="none" w:sz="0" w:space="0" w:color="auto"/>
        <w:left w:val="none" w:sz="0" w:space="0" w:color="auto"/>
        <w:bottom w:val="none" w:sz="0" w:space="0" w:color="auto"/>
        <w:right w:val="none" w:sz="0" w:space="0" w:color="auto"/>
      </w:divBdr>
    </w:div>
    <w:div w:id="1796486685">
      <w:bodyDiv w:val="1"/>
      <w:marLeft w:val="0"/>
      <w:marRight w:val="0"/>
      <w:marTop w:val="0"/>
      <w:marBottom w:val="0"/>
      <w:divBdr>
        <w:top w:val="none" w:sz="0" w:space="0" w:color="auto"/>
        <w:left w:val="none" w:sz="0" w:space="0" w:color="auto"/>
        <w:bottom w:val="none" w:sz="0" w:space="0" w:color="auto"/>
        <w:right w:val="none" w:sz="0" w:space="0" w:color="auto"/>
      </w:divBdr>
    </w:div>
    <w:div w:id="1965504297">
      <w:bodyDiv w:val="1"/>
      <w:marLeft w:val="0"/>
      <w:marRight w:val="0"/>
      <w:marTop w:val="0"/>
      <w:marBottom w:val="0"/>
      <w:divBdr>
        <w:top w:val="none" w:sz="0" w:space="0" w:color="auto"/>
        <w:left w:val="none" w:sz="0" w:space="0" w:color="auto"/>
        <w:bottom w:val="none" w:sz="0" w:space="0" w:color="auto"/>
        <w:right w:val="none" w:sz="0" w:space="0" w:color="auto"/>
      </w:divBdr>
    </w:div>
    <w:div w:id="1993362788">
      <w:bodyDiv w:val="1"/>
      <w:marLeft w:val="0"/>
      <w:marRight w:val="0"/>
      <w:marTop w:val="0"/>
      <w:marBottom w:val="0"/>
      <w:divBdr>
        <w:top w:val="none" w:sz="0" w:space="0" w:color="auto"/>
        <w:left w:val="none" w:sz="0" w:space="0" w:color="auto"/>
        <w:bottom w:val="none" w:sz="0" w:space="0" w:color="auto"/>
        <w:right w:val="none" w:sz="0" w:space="0" w:color="auto"/>
      </w:divBdr>
    </w:div>
    <w:div w:id="2007706139">
      <w:bodyDiv w:val="1"/>
      <w:marLeft w:val="0"/>
      <w:marRight w:val="0"/>
      <w:marTop w:val="0"/>
      <w:marBottom w:val="0"/>
      <w:divBdr>
        <w:top w:val="none" w:sz="0" w:space="0" w:color="auto"/>
        <w:left w:val="none" w:sz="0" w:space="0" w:color="auto"/>
        <w:bottom w:val="none" w:sz="0" w:space="0" w:color="auto"/>
        <w:right w:val="none" w:sz="0" w:space="0" w:color="auto"/>
      </w:divBdr>
      <w:divsChild>
        <w:div w:id="2060548931">
          <w:marLeft w:val="0"/>
          <w:marRight w:val="0"/>
          <w:marTop w:val="0"/>
          <w:marBottom w:val="0"/>
          <w:divBdr>
            <w:top w:val="none" w:sz="0" w:space="0" w:color="auto"/>
            <w:left w:val="none" w:sz="0" w:space="0" w:color="auto"/>
            <w:bottom w:val="none" w:sz="0" w:space="0" w:color="auto"/>
            <w:right w:val="none" w:sz="0" w:space="0" w:color="auto"/>
          </w:divBdr>
          <w:divsChild>
            <w:div w:id="540098742">
              <w:marLeft w:val="0"/>
              <w:marRight w:val="0"/>
              <w:marTop w:val="0"/>
              <w:marBottom w:val="0"/>
              <w:divBdr>
                <w:top w:val="none" w:sz="0" w:space="0" w:color="auto"/>
                <w:left w:val="none" w:sz="0" w:space="0" w:color="auto"/>
                <w:bottom w:val="none" w:sz="0" w:space="0" w:color="auto"/>
                <w:right w:val="none" w:sz="0" w:space="0" w:color="auto"/>
              </w:divBdr>
            </w:div>
            <w:div w:id="82187342">
              <w:marLeft w:val="0"/>
              <w:marRight w:val="0"/>
              <w:marTop w:val="0"/>
              <w:marBottom w:val="0"/>
              <w:divBdr>
                <w:top w:val="none" w:sz="0" w:space="0" w:color="auto"/>
                <w:left w:val="none" w:sz="0" w:space="0" w:color="auto"/>
                <w:bottom w:val="none" w:sz="0" w:space="0" w:color="auto"/>
                <w:right w:val="none" w:sz="0" w:space="0" w:color="auto"/>
              </w:divBdr>
              <w:divsChild>
                <w:div w:id="523591173">
                  <w:marLeft w:val="0"/>
                  <w:marRight w:val="0"/>
                  <w:marTop w:val="0"/>
                  <w:marBottom w:val="0"/>
                  <w:divBdr>
                    <w:top w:val="none" w:sz="0" w:space="0" w:color="auto"/>
                    <w:left w:val="none" w:sz="0" w:space="0" w:color="auto"/>
                    <w:bottom w:val="none" w:sz="0" w:space="0" w:color="auto"/>
                    <w:right w:val="none" w:sz="0" w:space="0" w:color="auto"/>
                  </w:divBdr>
                  <w:divsChild>
                    <w:div w:id="869227166">
                      <w:marLeft w:val="0"/>
                      <w:marRight w:val="0"/>
                      <w:marTop w:val="0"/>
                      <w:marBottom w:val="0"/>
                      <w:divBdr>
                        <w:top w:val="none" w:sz="0" w:space="0" w:color="auto"/>
                        <w:left w:val="none" w:sz="0" w:space="0" w:color="auto"/>
                        <w:bottom w:val="none" w:sz="0" w:space="0" w:color="auto"/>
                        <w:right w:val="none" w:sz="0" w:space="0" w:color="auto"/>
                      </w:divBdr>
                    </w:div>
                    <w:div w:id="60989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33453">
              <w:marLeft w:val="0"/>
              <w:marRight w:val="0"/>
              <w:marTop w:val="0"/>
              <w:marBottom w:val="0"/>
              <w:divBdr>
                <w:top w:val="none" w:sz="0" w:space="0" w:color="auto"/>
                <w:left w:val="none" w:sz="0" w:space="0" w:color="auto"/>
                <w:bottom w:val="none" w:sz="0" w:space="0" w:color="auto"/>
                <w:right w:val="none" w:sz="0" w:space="0" w:color="auto"/>
              </w:divBdr>
              <w:divsChild>
                <w:div w:id="550314366">
                  <w:marLeft w:val="0"/>
                  <w:marRight w:val="0"/>
                  <w:marTop w:val="0"/>
                  <w:marBottom w:val="0"/>
                  <w:divBdr>
                    <w:top w:val="none" w:sz="0" w:space="0" w:color="auto"/>
                    <w:left w:val="none" w:sz="0" w:space="0" w:color="auto"/>
                    <w:bottom w:val="none" w:sz="0" w:space="0" w:color="auto"/>
                    <w:right w:val="none" w:sz="0" w:space="0" w:color="auto"/>
                  </w:divBdr>
                </w:div>
              </w:divsChild>
            </w:div>
            <w:div w:id="932979854">
              <w:marLeft w:val="0"/>
              <w:marRight w:val="0"/>
              <w:marTop w:val="0"/>
              <w:marBottom w:val="0"/>
              <w:divBdr>
                <w:top w:val="none" w:sz="0" w:space="0" w:color="auto"/>
                <w:left w:val="none" w:sz="0" w:space="0" w:color="auto"/>
                <w:bottom w:val="none" w:sz="0" w:space="0" w:color="auto"/>
                <w:right w:val="none" w:sz="0" w:space="0" w:color="auto"/>
              </w:divBdr>
              <w:divsChild>
                <w:div w:id="1120997972">
                  <w:marLeft w:val="0"/>
                  <w:marRight w:val="0"/>
                  <w:marTop w:val="45"/>
                  <w:marBottom w:val="0"/>
                  <w:divBdr>
                    <w:top w:val="none" w:sz="0" w:space="0" w:color="auto"/>
                    <w:left w:val="none" w:sz="0" w:space="0" w:color="auto"/>
                    <w:bottom w:val="none" w:sz="0" w:space="0" w:color="auto"/>
                    <w:right w:val="none" w:sz="0" w:space="0" w:color="auto"/>
                  </w:divBdr>
                  <w:divsChild>
                    <w:div w:id="65732887">
                      <w:marLeft w:val="0"/>
                      <w:marRight w:val="0"/>
                      <w:marTop w:val="0"/>
                      <w:marBottom w:val="150"/>
                      <w:divBdr>
                        <w:top w:val="none" w:sz="0" w:space="0" w:color="auto"/>
                        <w:left w:val="none" w:sz="0" w:space="0" w:color="auto"/>
                        <w:bottom w:val="none" w:sz="0" w:space="0" w:color="auto"/>
                        <w:right w:val="none" w:sz="0" w:space="0" w:color="auto"/>
                      </w:divBdr>
                      <w:divsChild>
                        <w:div w:id="1158611091">
                          <w:marLeft w:val="0"/>
                          <w:marRight w:val="0"/>
                          <w:marTop w:val="0"/>
                          <w:marBottom w:val="0"/>
                          <w:divBdr>
                            <w:top w:val="none" w:sz="0" w:space="0" w:color="auto"/>
                            <w:left w:val="none" w:sz="0" w:space="0" w:color="auto"/>
                            <w:bottom w:val="none" w:sz="0" w:space="0" w:color="auto"/>
                            <w:right w:val="none" w:sz="0" w:space="0" w:color="auto"/>
                          </w:divBdr>
                          <w:divsChild>
                            <w:div w:id="711198709">
                              <w:marLeft w:val="0"/>
                              <w:marRight w:val="0"/>
                              <w:marTop w:val="0"/>
                              <w:marBottom w:val="0"/>
                              <w:divBdr>
                                <w:top w:val="single" w:sz="2" w:space="0" w:color="DFDFDF"/>
                                <w:left w:val="single" w:sz="2" w:space="0" w:color="DFDFDF"/>
                                <w:bottom w:val="single" w:sz="2" w:space="0" w:color="DFDFDF"/>
                                <w:right w:val="single" w:sz="2" w:space="0" w:color="DFDFDF"/>
                              </w:divBdr>
                              <w:divsChild>
                                <w:div w:id="220210668">
                                  <w:marLeft w:val="0"/>
                                  <w:marRight w:val="0"/>
                                  <w:marTop w:val="0"/>
                                  <w:marBottom w:val="150"/>
                                  <w:divBdr>
                                    <w:top w:val="none" w:sz="0" w:space="0" w:color="auto"/>
                                    <w:left w:val="none" w:sz="0" w:space="0" w:color="auto"/>
                                    <w:bottom w:val="single" w:sz="6" w:space="0" w:color="A9A9A9"/>
                                    <w:right w:val="none" w:sz="0" w:space="0" w:color="auto"/>
                                  </w:divBdr>
                                </w:div>
                                <w:div w:id="1914970092">
                                  <w:marLeft w:val="-180"/>
                                  <w:marRight w:val="0"/>
                                  <w:marTop w:val="0"/>
                                  <w:marBottom w:val="0"/>
                                  <w:divBdr>
                                    <w:top w:val="none" w:sz="0" w:space="0" w:color="auto"/>
                                    <w:left w:val="none" w:sz="0" w:space="0" w:color="auto"/>
                                    <w:bottom w:val="none" w:sz="0" w:space="0" w:color="auto"/>
                                    <w:right w:val="none" w:sz="0" w:space="0" w:color="auto"/>
                                  </w:divBdr>
                                  <w:divsChild>
                                    <w:div w:id="648751427">
                                      <w:marLeft w:val="0"/>
                                      <w:marRight w:val="0"/>
                                      <w:marTop w:val="0"/>
                                      <w:marBottom w:val="45"/>
                                      <w:divBdr>
                                        <w:top w:val="single" w:sz="2" w:space="0" w:color="A9A9A9"/>
                                        <w:left w:val="single" w:sz="2" w:space="0" w:color="A9A9A9"/>
                                        <w:bottom w:val="single" w:sz="2" w:space="0" w:color="A9A9A9"/>
                                        <w:right w:val="single" w:sz="2" w:space="0" w:color="A9A9A9"/>
                                      </w:divBdr>
                                      <w:divsChild>
                                        <w:div w:id="1584561749">
                                          <w:marLeft w:val="0"/>
                                          <w:marRight w:val="0"/>
                                          <w:marTop w:val="0"/>
                                          <w:marBottom w:val="0"/>
                                          <w:divBdr>
                                            <w:top w:val="none" w:sz="0" w:space="0" w:color="auto"/>
                                            <w:left w:val="none" w:sz="0" w:space="0" w:color="auto"/>
                                            <w:bottom w:val="none" w:sz="0" w:space="0" w:color="auto"/>
                                            <w:right w:val="none" w:sz="0" w:space="0" w:color="auto"/>
                                          </w:divBdr>
                                          <w:divsChild>
                                            <w:div w:id="1558124480">
                                              <w:marLeft w:val="184"/>
                                              <w:marRight w:val="0"/>
                                              <w:marTop w:val="0"/>
                                              <w:marBottom w:val="150"/>
                                              <w:divBdr>
                                                <w:top w:val="single" w:sz="2" w:space="0" w:color="E4E4E4"/>
                                                <w:left w:val="single" w:sz="2" w:space="0" w:color="E4E4E4"/>
                                                <w:bottom w:val="single" w:sz="2" w:space="0" w:color="E4E4E4"/>
                                                <w:right w:val="single" w:sz="2" w:space="0" w:color="E4E4E4"/>
                                              </w:divBdr>
                                              <w:divsChild>
                                                <w:div w:id="36515072">
                                                  <w:marLeft w:val="0"/>
                                                  <w:marRight w:val="0"/>
                                                  <w:marTop w:val="0"/>
                                                  <w:marBottom w:val="0"/>
                                                  <w:divBdr>
                                                    <w:top w:val="none" w:sz="0" w:space="0" w:color="auto"/>
                                                    <w:left w:val="none" w:sz="0" w:space="0" w:color="auto"/>
                                                    <w:bottom w:val="none" w:sz="0" w:space="0" w:color="auto"/>
                                                    <w:right w:val="none" w:sz="0" w:space="0" w:color="auto"/>
                                                  </w:divBdr>
                                                </w:div>
                                              </w:divsChild>
                                            </w:div>
                                            <w:div w:id="1150755700">
                                              <w:marLeft w:val="184"/>
                                              <w:marRight w:val="0"/>
                                              <w:marTop w:val="0"/>
                                              <w:marBottom w:val="150"/>
                                              <w:divBdr>
                                                <w:top w:val="single" w:sz="2" w:space="0" w:color="E4E4E4"/>
                                                <w:left w:val="single" w:sz="2" w:space="0" w:color="E4E4E4"/>
                                                <w:bottom w:val="single" w:sz="2" w:space="0" w:color="E4E4E4"/>
                                                <w:right w:val="single" w:sz="2" w:space="0" w:color="E4E4E4"/>
                                              </w:divBdr>
                                              <w:divsChild>
                                                <w:div w:id="1832792316">
                                                  <w:marLeft w:val="0"/>
                                                  <w:marRight w:val="0"/>
                                                  <w:marTop w:val="0"/>
                                                  <w:marBottom w:val="0"/>
                                                  <w:divBdr>
                                                    <w:top w:val="none" w:sz="0" w:space="0" w:color="auto"/>
                                                    <w:left w:val="none" w:sz="0" w:space="0" w:color="auto"/>
                                                    <w:bottom w:val="none" w:sz="0" w:space="0" w:color="auto"/>
                                                    <w:right w:val="none" w:sz="0" w:space="0" w:color="auto"/>
                                                  </w:divBdr>
                                                </w:div>
                                              </w:divsChild>
                                            </w:div>
                                            <w:div w:id="1992709515">
                                              <w:marLeft w:val="184"/>
                                              <w:marRight w:val="0"/>
                                              <w:marTop w:val="0"/>
                                              <w:marBottom w:val="150"/>
                                              <w:divBdr>
                                                <w:top w:val="single" w:sz="2" w:space="0" w:color="E4E4E4"/>
                                                <w:left w:val="single" w:sz="2" w:space="0" w:color="E4E4E4"/>
                                                <w:bottom w:val="single" w:sz="2" w:space="0" w:color="E4E4E4"/>
                                                <w:right w:val="single" w:sz="2" w:space="0" w:color="E4E4E4"/>
                                              </w:divBdr>
                                              <w:divsChild>
                                                <w:div w:id="74391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737166">
                      <w:marLeft w:val="0"/>
                      <w:marRight w:val="0"/>
                      <w:marTop w:val="0"/>
                      <w:marBottom w:val="150"/>
                      <w:divBdr>
                        <w:top w:val="none" w:sz="0" w:space="0" w:color="auto"/>
                        <w:left w:val="none" w:sz="0" w:space="0" w:color="auto"/>
                        <w:bottom w:val="none" w:sz="0" w:space="0" w:color="auto"/>
                        <w:right w:val="none" w:sz="0" w:space="0" w:color="auto"/>
                      </w:divBdr>
                      <w:divsChild>
                        <w:div w:id="782380563">
                          <w:marLeft w:val="0"/>
                          <w:marRight w:val="0"/>
                          <w:marTop w:val="0"/>
                          <w:marBottom w:val="0"/>
                          <w:divBdr>
                            <w:top w:val="none" w:sz="0" w:space="0" w:color="auto"/>
                            <w:left w:val="none" w:sz="0" w:space="0" w:color="auto"/>
                            <w:bottom w:val="none" w:sz="0" w:space="0" w:color="auto"/>
                            <w:right w:val="none" w:sz="0" w:space="0" w:color="auto"/>
                          </w:divBdr>
                          <w:divsChild>
                            <w:div w:id="1682126179">
                              <w:marLeft w:val="0"/>
                              <w:marRight w:val="0"/>
                              <w:marTop w:val="0"/>
                              <w:marBottom w:val="0"/>
                              <w:divBdr>
                                <w:top w:val="single" w:sz="2" w:space="0" w:color="DFDFDF"/>
                                <w:left w:val="single" w:sz="2" w:space="0" w:color="DFDFDF"/>
                                <w:bottom w:val="single" w:sz="2" w:space="0" w:color="DFDFDF"/>
                                <w:right w:val="single" w:sz="2" w:space="0" w:color="DFDFDF"/>
                              </w:divBdr>
                              <w:divsChild>
                                <w:div w:id="1240334767">
                                  <w:marLeft w:val="0"/>
                                  <w:marRight w:val="0"/>
                                  <w:marTop w:val="75"/>
                                  <w:marBottom w:val="150"/>
                                  <w:divBdr>
                                    <w:top w:val="none" w:sz="0" w:space="0" w:color="auto"/>
                                    <w:left w:val="none" w:sz="0" w:space="0" w:color="auto"/>
                                    <w:bottom w:val="single" w:sz="6" w:space="0" w:color="A9A9A9"/>
                                    <w:right w:val="none" w:sz="0" w:space="0" w:color="auto"/>
                                  </w:divBdr>
                                </w:div>
                                <w:div w:id="2062167853">
                                  <w:marLeft w:val="-180"/>
                                  <w:marRight w:val="0"/>
                                  <w:marTop w:val="0"/>
                                  <w:marBottom w:val="0"/>
                                  <w:divBdr>
                                    <w:top w:val="none" w:sz="0" w:space="0" w:color="auto"/>
                                    <w:left w:val="none" w:sz="0" w:space="0" w:color="auto"/>
                                    <w:bottom w:val="none" w:sz="0" w:space="0" w:color="auto"/>
                                    <w:right w:val="none" w:sz="0" w:space="0" w:color="auto"/>
                                  </w:divBdr>
                                  <w:divsChild>
                                    <w:div w:id="1491752055">
                                      <w:marLeft w:val="0"/>
                                      <w:marRight w:val="0"/>
                                      <w:marTop w:val="0"/>
                                      <w:marBottom w:val="45"/>
                                      <w:divBdr>
                                        <w:top w:val="single" w:sz="2" w:space="0" w:color="A9A9A9"/>
                                        <w:left w:val="single" w:sz="2" w:space="0" w:color="A9A9A9"/>
                                        <w:bottom w:val="single" w:sz="2" w:space="0" w:color="A9A9A9"/>
                                        <w:right w:val="single" w:sz="2" w:space="0" w:color="A9A9A9"/>
                                      </w:divBdr>
                                      <w:divsChild>
                                        <w:div w:id="47724046">
                                          <w:marLeft w:val="0"/>
                                          <w:marRight w:val="0"/>
                                          <w:marTop w:val="0"/>
                                          <w:marBottom w:val="0"/>
                                          <w:divBdr>
                                            <w:top w:val="none" w:sz="0" w:space="0" w:color="auto"/>
                                            <w:left w:val="none" w:sz="0" w:space="0" w:color="auto"/>
                                            <w:bottom w:val="none" w:sz="0" w:space="0" w:color="auto"/>
                                            <w:right w:val="none" w:sz="0" w:space="0" w:color="auto"/>
                                          </w:divBdr>
                                          <w:divsChild>
                                            <w:div w:id="895702702">
                                              <w:marLeft w:val="184"/>
                                              <w:marRight w:val="0"/>
                                              <w:marTop w:val="0"/>
                                              <w:marBottom w:val="150"/>
                                              <w:divBdr>
                                                <w:top w:val="single" w:sz="2" w:space="0" w:color="E4E4E4"/>
                                                <w:left w:val="single" w:sz="2" w:space="0" w:color="E4E4E4"/>
                                                <w:bottom w:val="single" w:sz="2" w:space="0" w:color="E4E4E4"/>
                                                <w:right w:val="single" w:sz="2" w:space="0" w:color="E4E4E4"/>
                                              </w:divBdr>
                                            </w:div>
                                            <w:div w:id="1573463220">
                                              <w:marLeft w:val="184"/>
                                              <w:marRight w:val="0"/>
                                              <w:marTop w:val="0"/>
                                              <w:marBottom w:val="150"/>
                                              <w:divBdr>
                                                <w:top w:val="single" w:sz="2" w:space="0" w:color="E4E4E4"/>
                                                <w:left w:val="single" w:sz="2" w:space="0" w:color="E4E4E4"/>
                                                <w:bottom w:val="single" w:sz="2" w:space="0" w:color="E4E4E4"/>
                                                <w:right w:val="single" w:sz="2" w:space="0" w:color="E4E4E4"/>
                                              </w:divBdr>
                                            </w:div>
                                            <w:div w:id="1904020674">
                                              <w:marLeft w:val="184"/>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 w:id="2033919883">
          <w:marLeft w:val="0"/>
          <w:marRight w:val="0"/>
          <w:marTop w:val="0"/>
          <w:marBottom w:val="0"/>
          <w:divBdr>
            <w:top w:val="none" w:sz="0" w:space="0" w:color="auto"/>
            <w:left w:val="none" w:sz="0" w:space="0" w:color="auto"/>
            <w:bottom w:val="none" w:sz="0" w:space="0" w:color="auto"/>
            <w:right w:val="none" w:sz="0" w:space="0" w:color="auto"/>
          </w:divBdr>
        </w:div>
        <w:div w:id="369065602">
          <w:marLeft w:val="0"/>
          <w:marRight w:val="0"/>
          <w:marTop w:val="0"/>
          <w:marBottom w:val="0"/>
          <w:divBdr>
            <w:top w:val="none" w:sz="0" w:space="0" w:color="auto"/>
            <w:left w:val="none" w:sz="0" w:space="0" w:color="auto"/>
            <w:bottom w:val="none" w:sz="0" w:space="0" w:color="auto"/>
            <w:right w:val="none" w:sz="0" w:space="0" w:color="auto"/>
          </w:divBdr>
          <w:divsChild>
            <w:div w:id="1109087588">
              <w:marLeft w:val="0"/>
              <w:marRight w:val="0"/>
              <w:marTop w:val="0"/>
              <w:marBottom w:val="0"/>
              <w:divBdr>
                <w:top w:val="none" w:sz="0" w:space="0" w:color="auto"/>
                <w:left w:val="none" w:sz="0" w:space="0" w:color="auto"/>
                <w:bottom w:val="none" w:sz="0" w:space="0" w:color="auto"/>
                <w:right w:val="none" w:sz="0" w:space="0" w:color="auto"/>
              </w:divBdr>
              <w:divsChild>
                <w:div w:id="7027000">
                  <w:marLeft w:val="0"/>
                  <w:marRight w:val="0"/>
                  <w:marTop w:val="0"/>
                  <w:marBottom w:val="0"/>
                  <w:divBdr>
                    <w:top w:val="none" w:sz="0" w:space="0" w:color="auto"/>
                    <w:left w:val="none" w:sz="0" w:space="0" w:color="auto"/>
                    <w:bottom w:val="none" w:sz="0" w:space="0" w:color="auto"/>
                    <w:right w:val="none" w:sz="0" w:space="0" w:color="auto"/>
                  </w:divBdr>
                  <w:divsChild>
                    <w:div w:id="3954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1455">
      <w:bodyDiv w:val="1"/>
      <w:marLeft w:val="0"/>
      <w:marRight w:val="0"/>
      <w:marTop w:val="0"/>
      <w:marBottom w:val="0"/>
      <w:divBdr>
        <w:top w:val="none" w:sz="0" w:space="0" w:color="auto"/>
        <w:left w:val="none" w:sz="0" w:space="0" w:color="auto"/>
        <w:bottom w:val="none" w:sz="0" w:space="0" w:color="auto"/>
        <w:right w:val="none" w:sz="0" w:space="0" w:color="auto"/>
      </w:divBdr>
    </w:div>
    <w:div w:id="2049909618">
      <w:bodyDiv w:val="1"/>
      <w:marLeft w:val="0"/>
      <w:marRight w:val="0"/>
      <w:marTop w:val="0"/>
      <w:marBottom w:val="0"/>
      <w:divBdr>
        <w:top w:val="none" w:sz="0" w:space="0" w:color="auto"/>
        <w:left w:val="none" w:sz="0" w:space="0" w:color="auto"/>
        <w:bottom w:val="none" w:sz="0" w:space="0" w:color="auto"/>
        <w:right w:val="none" w:sz="0" w:space="0" w:color="auto"/>
      </w:divBdr>
    </w:div>
    <w:div w:id="2104496740">
      <w:marLeft w:val="0"/>
      <w:marRight w:val="0"/>
      <w:marTop w:val="0"/>
      <w:marBottom w:val="0"/>
      <w:divBdr>
        <w:top w:val="single" w:sz="2" w:space="0" w:color="CC3640"/>
        <w:left w:val="none" w:sz="0" w:space="0" w:color="auto"/>
        <w:bottom w:val="none" w:sz="0" w:space="0" w:color="auto"/>
        <w:right w:val="none" w:sz="0" w:space="0" w:color="auto"/>
      </w:divBdr>
      <w:divsChild>
        <w:div w:id="2104497035">
          <w:marLeft w:val="0"/>
          <w:marRight w:val="0"/>
          <w:marTop w:val="0"/>
          <w:marBottom w:val="0"/>
          <w:divBdr>
            <w:top w:val="single" w:sz="2" w:space="0" w:color="FF0000"/>
            <w:left w:val="single" w:sz="2" w:space="0" w:color="FF0000"/>
            <w:bottom w:val="single" w:sz="2" w:space="0" w:color="FF0000"/>
            <w:right w:val="single" w:sz="2" w:space="0" w:color="FF0000"/>
          </w:divBdr>
          <w:divsChild>
            <w:div w:id="2104496835">
              <w:marLeft w:val="0"/>
              <w:marRight w:val="0"/>
              <w:marTop w:val="0"/>
              <w:marBottom w:val="0"/>
              <w:divBdr>
                <w:top w:val="none" w:sz="0" w:space="0" w:color="auto"/>
                <w:left w:val="single" w:sz="6" w:space="0" w:color="DDDDDD"/>
                <w:bottom w:val="none" w:sz="0" w:space="0" w:color="auto"/>
                <w:right w:val="none" w:sz="0" w:space="0" w:color="auto"/>
              </w:divBdr>
              <w:divsChild>
                <w:div w:id="2104497019">
                  <w:marLeft w:val="0"/>
                  <w:marRight w:val="0"/>
                  <w:marTop w:val="0"/>
                  <w:marBottom w:val="0"/>
                  <w:divBdr>
                    <w:top w:val="single" w:sz="2" w:space="0" w:color="008000"/>
                    <w:left w:val="single" w:sz="2" w:space="0" w:color="008000"/>
                    <w:bottom w:val="single" w:sz="2" w:space="0" w:color="008000"/>
                    <w:right w:val="single" w:sz="2" w:space="0" w:color="008000"/>
                  </w:divBdr>
                  <w:divsChild>
                    <w:div w:id="2104496947">
                      <w:marLeft w:val="0"/>
                      <w:marRight w:val="0"/>
                      <w:marTop w:val="0"/>
                      <w:marBottom w:val="0"/>
                      <w:divBdr>
                        <w:top w:val="none" w:sz="0" w:space="0" w:color="auto"/>
                        <w:left w:val="none" w:sz="0" w:space="0" w:color="auto"/>
                        <w:bottom w:val="none" w:sz="0" w:space="0" w:color="auto"/>
                        <w:right w:val="none" w:sz="0" w:space="0" w:color="auto"/>
                      </w:divBdr>
                      <w:divsChild>
                        <w:div w:id="2104496869">
                          <w:marLeft w:val="0"/>
                          <w:marRight w:val="0"/>
                          <w:marTop w:val="0"/>
                          <w:marBottom w:val="0"/>
                          <w:divBdr>
                            <w:top w:val="none" w:sz="0" w:space="0" w:color="auto"/>
                            <w:left w:val="none" w:sz="0" w:space="0" w:color="auto"/>
                            <w:bottom w:val="none" w:sz="0" w:space="0" w:color="auto"/>
                            <w:right w:val="none" w:sz="0" w:space="0" w:color="auto"/>
                          </w:divBdr>
                          <w:divsChild>
                            <w:div w:id="210449683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744">
      <w:marLeft w:val="0"/>
      <w:marRight w:val="0"/>
      <w:marTop w:val="0"/>
      <w:marBottom w:val="0"/>
      <w:divBdr>
        <w:top w:val="single" w:sz="2" w:space="0" w:color="CC3640"/>
        <w:left w:val="none" w:sz="0" w:space="0" w:color="auto"/>
        <w:bottom w:val="none" w:sz="0" w:space="0" w:color="auto"/>
        <w:right w:val="none" w:sz="0" w:space="0" w:color="auto"/>
      </w:divBdr>
      <w:divsChild>
        <w:div w:id="2104496770">
          <w:marLeft w:val="0"/>
          <w:marRight w:val="0"/>
          <w:marTop w:val="0"/>
          <w:marBottom w:val="0"/>
          <w:divBdr>
            <w:top w:val="single" w:sz="2" w:space="0" w:color="FF0000"/>
            <w:left w:val="single" w:sz="2" w:space="0" w:color="FF0000"/>
            <w:bottom w:val="single" w:sz="2" w:space="0" w:color="FF0000"/>
            <w:right w:val="single" w:sz="2" w:space="0" w:color="FF0000"/>
          </w:divBdr>
          <w:divsChild>
            <w:div w:id="2104496967">
              <w:marLeft w:val="0"/>
              <w:marRight w:val="0"/>
              <w:marTop w:val="0"/>
              <w:marBottom w:val="0"/>
              <w:divBdr>
                <w:top w:val="none" w:sz="0" w:space="0" w:color="auto"/>
                <w:left w:val="single" w:sz="6" w:space="0" w:color="DDDDDD"/>
                <w:bottom w:val="none" w:sz="0" w:space="0" w:color="auto"/>
                <w:right w:val="none" w:sz="0" w:space="0" w:color="auto"/>
              </w:divBdr>
              <w:divsChild>
                <w:div w:id="2104496958">
                  <w:marLeft w:val="0"/>
                  <w:marRight w:val="0"/>
                  <w:marTop w:val="0"/>
                  <w:marBottom w:val="0"/>
                  <w:divBdr>
                    <w:top w:val="single" w:sz="2" w:space="0" w:color="008000"/>
                    <w:left w:val="single" w:sz="2" w:space="0" w:color="008000"/>
                    <w:bottom w:val="single" w:sz="2" w:space="0" w:color="008000"/>
                    <w:right w:val="single" w:sz="2" w:space="0" w:color="008000"/>
                  </w:divBdr>
                  <w:divsChild>
                    <w:div w:id="2104496848">
                      <w:marLeft w:val="0"/>
                      <w:marRight w:val="0"/>
                      <w:marTop w:val="0"/>
                      <w:marBottom w:val="0"/>
                      <w:divBdr>
                        <w:top w:val="none" w:sz="0" w:space="0" w:color="auto"/>
                        <w:left w:val="none" w:sz="0" w:space="0" w:color="auto"/>
                        <w:bottom w:val="none" w:sz="0" w:space="0" w:color="auto"/>
                        <w:right w:val="none" w:sz="0" w:space="0" w:color="auto"/>
                      </w:divBdr>
                      <w:divsChild>
                        <w:div w:id="2104497012">
                          <w:marLeft w:val="0"/>
                          <w:marRight w:val="0"/>
                          <w:marTop w:val="0"/>
                          <w:marBottom w:val="0"/>
                          <w:divBdr>
                            <w:top w:val="none" w:sz="0" w:space="0" w:color="auto"/>
                            <w:left w:val="none" w:sz="0" w:space="0" w:color="auto"/>
                            <w:bottom w:val="none" w:sz="0" w:space="0" w:color="auto"/>
                            <w:right w:val="none" w:sz="0" w:space="0" w:color="auto"/>
                          </w:divBdr>
                          <w:divsChild>
                            <w:div w:id="210449703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753">
      <w:marLeft w:val="0"/>
      <w:marRight w:val="0"/>
      <w:marTop w:val="0"/>
      <w:marBottom w:val="0"/>
      <w:divBdr>
        <w:top w:val="single" w:sz="2" w:space="0" w:color="CC3640"/>
        <w:left w:val="none" w:sz="0" w:space="0" w:color="auto"/>
        <w:bottom w:val="none" w:sz="0" w:space="0" w:color="auto"/>
        <w:right w:val="none" w:sz="0" w:space="0" w:color="auto"/>
      </w:divBdr>
      <w:divsChild>
        <w:div w:id="2104497002">
          <w:marLeft w:val="0"/>
          <w:marRight w:val="0"/>
          <w:marTop w:val="0"/>
          <w:marBottom w:val="0"/>
          <w:divBdr>
            <w:top w:val="single" w:sz="2" w:space="0" w:color="FF0000"/>
            <w:left w:val="single" w:sz="2" w:space="0" w:color="FF0000"/>
            <w:bottom w:val="single" w:sz="2" w:space="0" w:color="FF0000"/>
            <w:right w:val="single" w:sz="2" w:space="0" w:color="FF0000"/>
          </w:divBdr>
          <w:divsChild>
            <w:div w:id="2104496950">
              <w:marLeft w:val="0"/>
              <w:marRight w:val="0"/>
              <w:marTop w:val="0"/>
              <w:marBottom w:val="0"/>
              <w:divBdr>
                <w:top w:val="none" w:sz="0" w:space="0" w:color="auto"/>
                <w:left w:val="single" w:sz="6" w:space="0" w:color="DDDDDD"/>
                <w:bottom w:val="none" w:sz="0" w:space="0" w:color="auto"/>
                <w:right w:val="none" w:sz="0" w:space="0" w:color="auto"/>
              </w:divBdr>
              <w:divsChild>
                <w:div w:id="2104496905">
                  <w:marLeft w:val="0"/>
                  <w:marRight w:val="0"/>
                  <w:marTop w:val="0"/>
                  <w:marBottom w:val="0"/>
                  <w:divBdr>
                    <w:top w:val="single" w:sz="2" w:space="0" w:color="008000"/>
                    <w:left w:val="single" w:sz="2" w:space="0" w:color="008000"/>
                    <w:bottom w:val="single" w:sz="2" w:space="0" w:color="008000"/>
                    <w:right w:val="single" w:sz="2" w:space="0" w:color="008000"/>
                  </w:divBdr>
                  <w:divsChild>
                    <w:div w:id="2104497023">
                      <w:marLeft w:val="0"/>
                      <w:marRight w:val="0"/>
                      <w:marTop w:val="0"/>
                      <w:marBottom w:val="0"/>
                      <w:divBdr>
                        <w:top w:val="none" w:sz="0" w:space="0" w:color="auto"/>
                        <w:left w:val="none" w:sz="0" w:space="0" w:color="auto"/>
                        <w:bottom w:val="none" w:sz="0" w:space="0" w:color="auto"/>
                        <w:right w:val="none" w:sz="0" w:space="0" w:color="auto"/>
                      </w:divBdr>
                      <w:divsChild>
                        <w:div w:id="2104496810">
                          <w:marLeft w:val="0"/>
                          <w:marRight w:val="0"/>
                          <w:marTop w:val="0"/>
                          <w:marBottom w:val="0"/>
                          <w:divBdr>
                            <w:top w:val="none" w:sz="0" w:space="0" w:color="auto"/>
                            <w:left w:val="none" w:sz="0" w:space="0" w:color="auto"/>
                            <w:bottom w:val="none" w:sz="0" w:space="0" w:color="auto"/>
                            <w:right w:val="none" w:sz="0" w:space="0" w:color="auto"/>
                          </w:divBdr>
                          <w:divsChild>
                            <w:div w:id="210449684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763">
      <w:marLeft w:val="0"/>
      <w:marRight w:val="0"/>
      <w:marTop w:val="0"/>
      <w:marBottom w:val="0"/>
      <w:divBdr>
        <w:top w:val="single" w:sz="2" w:space="0" w:color="CC3640"/>
        <w:left w:val="none" w:sz="0" w:space="0" w:color="auto"/>
        <w:bottom w:val="none" w:sz="0" w:space="0" w:color="auto"/>
        <w:right w:val="none" w:sz="0" w:space="0" w:color="auto"/>
      </w:divBdr>
      <w:divsChild>
        <w:div w:id="2104496954">
          <w:marLeft w:val="0"/>
          <w:marRight w:val="0"/>
          <w:marTop w:val="0"/>
          <w:marBottom w:val="0"/>
          <w:divBdr>
            <w:top w:val="single" w:sz="2" w:space="0" w:color="FF0000"/>
            <w:left w:val="single" w:sz="2" w:space="0" w:color="FF0000"/>
            <w:bottom w:val="single" w:sz="2" w:space="0" w:color="FF0000"/>
            <w:right w:val="single" w:sz="2" w:space="0" w:color="FF0000"/>
          </w:divBdr>
          <w:divsChild>
            <w:div w:id="2104496976">
              <w:marLeft w:val="0"/>
              <w:marRight w:val="0"/>
              <w:marTop w:val="0"/>
              <w:marBottom w:val="0"/>
              <w:divBdr>
                <w:top w:val="none" w:sz="0" w:space="0" w:color="auto"/>
                <w:left w:val="single" w:sz="6" w:space="0" w:color="DDDDDD"/>
                <w:bottom w:val="none" w:sz="0" w:space="0" w:color="auto"/>
                <w:right w:val="none" w:sz="0" w:space="0" w:color="auto"/>
              </w:divBdr>
              <w:divsChild>
                <w:div w:id="2104496759">
                  <w:marLeft w:val="0"/>
                  <w:marRight w:val="0"/>
                  <w:marTop w:val="0"/>
                  <w:marBottom w:val="0"/>
                  <w:divBdr>
                    <w:top w:val="single" w:sz="2" w:space="0" w:color="008000"/>
                    <w:left w:val="single" w:sz="2" w:space="0" w:color="008000"/>
                    <w:bottom w:val="single" w:sz="2" w:space="0" w:color="008000"/>
                    <w:right w:val="single" w:sz="2" w:space="0" w:color="008000"/>
                  </w:divBdr>
                  <w:divsChild>
                    <w:div w:id="2104496756">
                      <w:marLeft w:val="0"/>
                      <w:marRight w:val="0"/>
                      <w:marTop w:val="0"/>
                      <w:marBottom w:val="0"/>
                      <w:divBdr>
                        <w:top w:val="none" w:sz="0" w:space="0" w:color="auto"/>
                        <w:left w:val="none" w:sz="0" w:space="0" w:color="auto"/>
                        <w:bottom w:val="none" w:sz="0" w:space="0" w:color="auto"/>
                        <w:right w:val="none" w:sz="0" w:space="0" w:color="auto"/>
                      </w:divBdr>
                      <w:divsChild>
                        <w:div w:id="2104496781">
                          <w:marLeft w:val="0"/>
                          <w:marRight w:val="0"/>
                          <w:marTop w:val="0"/>
                          <w:marBottom w:val="0"/>
                          <w:divBdr>
                            <w:top w:val="none" w:sz="0" w:space="0" w:color="auto"/>
                            <w:left w:val="none" w:sz="0" w:space="0" w:color="auto"/>
                            <w:bottom w:val="none" w:sz="0" w:space="0" w:color="auto"/>
                            <w:right w:val="none" w:sz="0" w:space="0" w:color="auto"/>
                          </w:divBdr>
                          <w:divsChild>
                            <w:div w:id="210449702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764">
      <w:marLeft w:val="0"/>
      <w:marRight w:val="0"/>
      <w:marTop w:val="0"/>
      <w:marBottom w:val="0"/>
      <w:divBdr>
        <w:top w:val="none" w:sz="0" w:space="0" w:color="auto"/>
        <w:left w:val="none" w:sz="0" w:space="0" w:color="auto"/>
        <w:bottom w:val="none" w:sz="0" w:space="0" w:color="auto"/>
        <w:right w:val="none" w:sz="0" w:space="0" w:color="auto"/>
      </w:divBdr>
    </w:div>
    <w:div w:id="2104496766">
      <w:marLeft w:val="0"/>
      <w:marRight w:val="0"/>
      <w:marTop w:val="0"/>
      <w:marBottom w:val="0"/>
      <w:divBdr>
        <w:top w:val="single" w:sz="2" w:space="0" w:color="CC3640"/>
        <w:left w:val="none" w:sz="0" w:space="0" w:color="auto"/>
        <w:bottom w:val="none" w:sz="0" w:space="0" w:color="auto"/>
        <w:right w:val="none" w:sz="0" w:space="0" w:color="auto"/>
      </w:divBdr>
      <w:divsChild>
        <w:div w:id="2104496935">
          <w:marLeft w:val="0"/>
          <w:marRight w:val="0"/>
          <w:marTop w:val="0"/>
          <w:marBottom w:val="0"/>
          <w:divBdr>
            <w:top w:val="single" w:sz="2" w:space="0" w:color="FF0000"/>
            <w:left w:val="single" w:sz="2" w:space="0" w:color="FF0000"/>
            <w:bottom w:val="single" w:sz="2" w:space="0" w:color="FF0000"/>
            <w:right w:val="single" w:sz="2" w:space="0" w:color="FF0000"/>
          </w:divBdr>
          <w:divsChild>
            <w:div w:id="2104497040">
              <w:marLeft w:val="0"/>
              <w:marRight w:val="0"/>
              <w:marTop w:val="0"/>
              <w:marBottom w:val="0"/>
              <w:divBdr>
                <w:top w:val="none" w:sz="0" w:space="0" w:color="auto"/>
                <w:left w:val="single" w:sz="6" w:space="0" w:color="DDDDDD"/>
                <w:bottom w:val="none" w:sz="0" w:space="0" w:color="auto"/>
                <w:right w:val="none" w:sz="0" w:space="0" w:color="auto"/>
              </w:divBdr>
              <w:divsChild>
                <w:div w:id="2104497057">
                  <w:marLeft w:val="0"/>
                  <w:marRight w:val="0"/>
                  <w:marTop w:val="0"/>
                  <w:marBottom w:val="0"/>
                  <w:divBdr>
                    <w:top w:val="single" w:sz="2" w:space="0" w:color="008000"/>
                    <w:left w:val="single" w:sz="2" w:space="0" w:color="008000"/>
                    <w:bottom w:val="single" w:sz="2" w:space="0" w:color="008000"/>
                    <w:right w:val="single" w:sz="2" w:space="0" w:color="008000"/>
                  </w:divBdr>
                  <w:divsChild>
                    <w:div w:id="2104496996">
                      <w:marLeft w:val="0"/>
                      <w:marRight w:val="0"/>
                      <w:marTop w:val="0"/>
                      <w:marBottom w:val="0"/>
                      <w:divBdr>
                        <w:top w:val="none" w:sz="0" w:space="0" w:color="auto"/>
                        <w:left w:val="none" w:sz="0" w:space="0" w:color="auto"/>
                        <w:bottom w:val="none" w:sz="0" w:space="0" w:color="auto"/>
                        <w:right w:val="none" w:sz="0" w:space="0" w:color="auto"/>
                      </w:divBdr>
                      <w:divsChild>
                        <w:div w:id="2104497000">
                          <w:marLeft w:val="0"/>
                          <w:marRight w:val="0"/>
                          <w:marTop w:val="0"/>
                          <w:marBottom w:val="0"/>
                          <w:divBdr>
                            <w:top w:val="none" w:sz="0" w:space="0" w:color="auto"/>
                            <w:left w:val="none" w:sz="0" w:space="0" w:color="auto"/>
                            <w:bottom w:val="none" w:sz="0" w:space="0" w:color="auto"/>
                            <w:right w:val="none" w:sz="0" w:space="0" w:color="auto"/>
                          </w:divBdr>
                          <w:divsChild>
                            <w:div w:id="2104496801">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772">
      <w:marLeft w:val="0"/>
      <w:marRight w:val="0"/>
      <w:marTop w:val="0"/>
      <w:marBottom w:val="0"/>
      <w:divBdr>
        <w:top w:val="single" w:sz="2" w:space="0" w:color="CC3640"/>
        <w:left w:val="none" w:sz="0" w:space="0" w:color="auto"/>
        <w:bottom w:val="none" w:sz="0" w:space="0" w:color="auto"/>
        <w:right w:val="none" w:sz="0" w:space="0" w:color="auto"/>
      </w:divBdr>
      <w:divsChild>
        <w:div w:id="2104496832">
          <w:marLeft w:val="0"/>
          <w:marRight w:val="0"/>
          <w:marTop w:val="0"/>
          <w:marBottom w:val="0"/>
          <w:divBdr>
            <w:top w:val="single" w:sz="2" w:space="0" w:color="FF0000"/>
            <w:left w:val="single" w:sz="2" w:space="0" w:color="FF0000"/>
            <w:bottom w:val="single" w:sz="2" w:space="0" w:color="FF0000"/>
            <w:right w:val="single" w:sz="2" w:space="0" w:color="FF0000"/>
          </w:divBdr>
          <w:divsChild>
            <w:div w:id="2104496846">
              <w:marLeft w:val="0"/>
              <w:marRight w:val="0"/>
              <w:marTop w:val="0"/>
              <w:marBottom w:val="0"/>
              <w:divBdr>
                <w:top w:val="none" w:sz="0" w:space="0" w:color="auto"/>
                <w:left w:val="single" w:sz="6" w:space="0" w:color="DDDDDD"/>
                <w:bottom w:val="none" w:sz="0" w:space="0" w:color="auto"/>
                <w:right w:val="none" w:sz="0" w:space="0" w:color="auto"/>
              </w:divBdr>
              <w:divsChild>
                <w:div w:id="2104497030">
                  <w:marLeft w:val="0"/>
                  <w:marRight w:val="0"/>
                  <w:marTop w:val="0"/>
                  <w:marBottom w:val="0"/>
                  <w:divBdr>
                    <w:top w:val="single" w:sz="2" w:space="0" w:color="008000"/>
                    <w:left w:val="single" w:sz="2" w:space="0" w:color="008000"/>
                    <w:bottom w:val="single" w:sz="2" w:space="0" w:color="008000"/>
                    <w:right w:val="single" w:sz="2" w:space="0" w:color="008000"/>
                  </w:divBdr>
                  <w:divsChild>
                    <w:div w:id="2104496959">
                      <w:marLeft w:val="0"/>
                      <w:marRight w:val="0"/>
                      <w:marTop w:val="0"/>
                      <w:marBottom w:val="0"/>
                      <w:divBdr>
                        <w:top w:val="none" w:sz="0" w:space="0" w:color="auto"/>
                        <w:left w:val="none" w:sz="0" w:space="0" w:color="auto"/>
                        <w:bottom w:val="none" w:sz="0" w:space="0" w:color="auto"/>
                        <w:right w:val="none" w:sz="0" w:space="0" w:color="auto"/>
                      </w:divBdr>
                      <w:divsChild>
                        <w:div w:id="2104497008">
                          <w:marLeft w:val="0"/>
                          <w:marRight w:val="0"/>
                          <w:marTop w:val="0"/>
                          <w:marBottom w:val="0"/>
                          <w:divBdr>
                            <w:top w:val="none" w:sz="0" w:space="0" w:color="auto"/>
                            <w:left w:val="none" w:sz="0" w:space="0" w:color="auto"/>
                            <w:bottom w:val="none" w:sz="0" w:space="0" w:color="auto"/>
                            <w:right w:val="none" w:sz="0" w:space="0" w:color="auto"/>
                          </w:divBdr>
                          <w:divsChild>
                            <w:div w:id="210449676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777">
      <w:marLeft w:val="0"/>
      <w:marRight w:val="0"/>
      <w:marTop w:val="0"/>
      <w:marBottom w:val="0"/>
      <w:divBdr>
        <w:top w:val="none" w:sz="0" w:space="0" w:color="auto"/>
        <w:left w:val="none" w:sz="0" w:space="0" w:color="auto"/>
        <w:bottom w:val="none" w:sz="0" w:space="0" w:color="auto"/>
        <w:right w:val="none" w:sz="0" w:space="0" w:color="auto"/>
      </w:divBdr>
      <w:divsChild>
        <w:div w:id="2104496944">
          <w:marLeft w:val="0"/>
          <w:marRight w:val="0"/>
          <w:marTop w:val="170"/>
          <w:marBottom w:val="170"/>
          <w:divBdr>
            <w:top w:val="none" w:sz="0" w:space="0" w:color="auto"/>
            <w:left w:val="none" w:sz="0" w:space="0" w:color="auto"/>
            <w:bottom w:val="none" w:sz="0" w:space="0" w:color="auto"/>
            <w:right w:val="none" w:sz="0" w:space="0" w:color="auto"/>
          </w:divBdr>
        </w:div>
      </w:divsChild>
    </w:div>
    <w:div w:id="2104496783">
      <w:marLeft w:val="0"/>
      <w:marRight w:val="0"/>
      <w:marTop w:val="0"/>
      <w:marBottom w:val="0"/>
      <w:divBdr>
        <w:top w:val="none" w:sz="0" w:space="0" w:color="auto"/>
        <w:left w:val="none" w:sz="0" w:space="0" w:color="auto"/>
        <w:bottom w:val="none" w:sz="0" w:space="0" w:color="auto"/>
        <w:right w:val="none" w:sz="0" w:space="0" w:color="auto"/>
      </w:divBdr>
    </w:div>
    <w:div w:id="2104496786">
      <w:marLeft w:val="0"/>
      <w:marRight w:val="0"/>
      <w:marTop w:val="0"/>
      <w:marBottom w:val="0"/>
      <w:divBdr>
        <w:top w:val="single" w:sz="2" w:space="0" w:color="CC3640"/>
        <w:left w:val="none" w:sz="0" w:space="0" w:color="auto"/>
        <w:bottom w:val="none" w:sz="0" w:space="0" w:color="auto"/>
        <w:right w:val="none" w:sz="0" w:space="0" w:color="auto"/>
      </w:divBdr>
      <w:divsChild>
        <w:div w:id="2104496897">
          <w:marLeft w:val="0"/>
          <w:marRight w:val="0"/>
          <w:marTop w:val="0"/>
          <w:marBottom w:val="0"/>
          <w:divBdr>
            <w:top w:val="single" w:sz="2" w:space="0" w:color="FF0000"/>
            <w:left w:val="single" w:sz="2" w:space="0" w:color="FF0000"/>
            <w:bottom w:val="single" w:sz="2" w:space="0" w:color="FF0000"/>
            <w:right w:val="single" w:sz="2" w:space="0" w:color="FF0000"/>
          </w:divBdr>
          <w:divsChild>
            <w:div w:id="2104496952">
              <w:marLeft w:val="0"/>
              <w:marRight w:val="0"/>
              <w:marTop w:val="0"/>
              <w:marBottom w:val="0"/>
              <w:divBdr>
                <w:top w:val="none" w:sz="0" w:space="0" w:color="auto"/>
                <w:left w:val="single" w:sz="6" w:space="0" w:color="DDDDDD"/>
                <w:bottom w:val="none" w:sz="0" w:space="0" w:color="auto"/>
                <w:right w:val="none" w:sz="0" w:space="0" w:color="auto"/>
              </w:divBdr>
              <w:divsChild>
                <w:div w:id="2104496784">
                  <w:marLeft w:val="0"/>
                  <w:marRight w:val="0"/>
                  <w:marTop w:val="0"/>
                  <w:marBottom w:val="0"/>
                  <w:divBdr>
                    <w:top w:val="single" w:sz="2" w:space="0" w:color="008000"/>
                    <w:left w:val="single" w:sz="2" w:space="0" w:color="008000"/>
                    <w:bottom w:val="single" w:sz="2" w:space="0" w:color="008000"/>
                    <w:right w:val="single" w:sz="2" w:space="0" w:color="008000"/>
                  </w:divBdr>
                  <w:divsChild>
                    <w:div w:id="2104496774">
                      <w:marLeft w:val="0"/>
                      <w:marRight w:val="0"/>
                      <w:marTop w:val="0"/>
                      <w:marBottom w:val="0"/>
                      <w:divBdr>
                        <w:top w:val="none" w:sz="0" w:space="0" w:color="auto"/>
                        <w:left w:val="none" w:sz="0" w:space="0" w:color="auto"/>
                        <w:bottom w:val="none" w:sz="0" w:space="0" w:color="auto"/>
                        <w:right w:val="none" w:sz="0" w:space="0" w:color="auto"/>
                      </w:divBdr>
                      <w:divsChild>
                        <w:div w:id="2104496821">
                          <w:marLeft w:val="0"/>
                          <w:marRight w:val="0"/>
                          <w:marTop w:val="0"/>
                          <w:marBottom w:val="0"/>
                          <w:divBdr>
                            <w:top w:val="none" w:sz="0" w:space="0" w:color="auto"/>
                            <w:left w:val="none" w:sz="0" w:space="0" w:color="auto"/>
                            <w:bottom w:val="none" w:sz="0" w:space="0" w:color="auto"/>
                            <w:right w:val="none" w:sz="0" w:space="0" w:color="auto"/>
                          </w:divBdr>
                          <w:divsChild>
                            <w:div w:id="210449703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787">
      <w:marLeft w:val="0"/>
      <w:marRight w:val="0"/>
      <w:marTop w:val="0"/>
      <w:marBottom w:val="0"/>
      <w:divBdr>
        <w:top w:val="single" w:sz="2" w:space="0" w:color="CC3640"/>
        <w:left w:val="none" w:sz="0" w:space="0" w:color="auto"/>
        <w:bottom w:val="none" w:sz="0" w:space="0" w:color="auto"/>
        <w:right w:val="none" w:sz="0" w:space="0" w:color="auto"/>
      </w:divBdr>
      <w:divsChild>
        <w:div w:id="2104496943">
          <w:marLeft w:val="0"/>
          <w:marRight w:val="0"/>
          <w:marTop w:val="0"/>
          <w:marBottom w:val="0"/>
          <w:divBdr>
            <w:top w:val="single" w:sz="2" w:space="0" w:color="FF0000"/>
            <w:left w:val="single" w:sz="2" w:space="0" w:color="FF0000"/>
            <w:bottom w:val="single" w:sz="2" w:space="0" w:color="FF0000"/>
            <w:right w:val="single" w:sz="2" w:space="0" w:color="FF0000"/>
          </w:divBdr>
          <w:divsChild>
            <w:div w:id="2104496919">
              <w:marLeft w:val="0"/>
              <w:marRight w:val="0"/>
              <w:marTop w:val="0"/>
              <w:marBottom w:val="0"/>
              <w:divBdr>
                <w:top w:val="none" w:sz="0" w:space="0" w:color="auto"/>
                <w:left w:val="single" w:sz="6" w:space="0" w:color="DDDDDD"/>
                <w:bottom w:val="none" w:sz="0" w:space="0" w:color="auto"/>
                <w:right w:val="none" w:sz="0" w:space="0" w:color="auto"/>
              </w:divBdr>
              <w:divsChild>
                <w:div w:id="2104496806">
                  <w:marLeft w:val="0"/>
                  <w:marRight w:val="0"/>
                  <w:marTop w:val="0"/>
                  <w:marBottom w:val="0"/>
                  <w:divBdr>
                    <w:top w:val="single" w:sz="2" w:space="0" w:color="008000"/>
                    <w:left w:val="single" w:sz="2" w:space="0" w:color="008000"/>
                    <w:bottom w:val="single" w:sz="2" w:space="0" w:color="008000"/>
                    <w:right w:val="single" w:sz="2" w:space="0" w:color="008000"/>
                  </w:divBdr>
                  <w:divsChild>
                    <w:div w:id="2104496867">
                      <w:marLeft w:val="0"/>
                      <w:marRight w:val="0"/>
                      <w:marTop w:val="0"/>
                      <w:marBottom w:val="0"/>
                      <w:divBdr>
                        <w:top w:val="none" w:sz="0" w:space="0" w:color="auto"/>
                        <w:left w:val="none" w:sz="0" w:space="0" w:color="auto"/>
                        <w:bottom w:val="none" w:sz="0" w:space="0" w:color="auto"/>
                        <w:right w:val="none" w:sz="0" w:space="0" w:color="auto"/>
                      </w:divBdr>
                      <w:divsChild>
                        <w:div w:id="2104496917">
                          <w:marLeft w:val="0"/>
                          <w:marRight w:val="0"/>
                          <w:marTop w:val="0"/>
                          <w:marBottom w:val="0"/>
                          <w:divBdr>
                            <w:top w:val="none" w:sz="0" w:space="0" w:color="auto"/>
                            <w:left w:val="none" w:sz="0" w:space="0" w:color="auto"/>
                            <w:bottom w:val="none" w:sz="0" w:space="0" w:color="auto"/>
                            <w:right w:val="none" w:sz="0" w:space="0" w:color="auto"/>
                          </w:divBdr>
                          <w:divsChild>
                            <w:div w:id="210449676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791">
      <w:marLeft w:val="0"/>
      <w:marRight w:val="0"/>
      <w:marTop w:val="0"/>
      <w:marBottom w:val="0"/>
      <w:divBdr>
        <w:top w:val="none" w:sz="0" w:space="0" w:color="auto"/>
        <w:left w:val="none" w:sz="0" w:space="0" w:color="auto"/>
        <w:bottom w:val="none" w:sz="0" w:space="0" w:color="auto"/>
        <w:right w:val="none" w:sz="0" w:space="0" w:color="auto"/>
      </w:divBdr>
    </w:div>
    <w:div w:id="2104496798">
      <w:marLeft w:val="0"/>
      <w:marRight w:val="0"/>
      <w:marTop w:val="0"/>
      <w:marBottom w:val="0"/>
      <w:divBdr>
        <w:top w:val="none" w:sz="0" w:space="0" w:color="auto"/>
        <w:left w:val="none" w:sz="0" w:space="0" w:color="auto"/>
        <w:bottom w:val="none" w:sz="0" w:space="0" w:color="auto"/>
        <w:right w:val="none" w:sz="0" w:space="0" w:color="auto"/>
      </w:divBdr>
    </w:div>
    <w:div w:id="2104496808">
      <w:marLeft w:val="211"/>
      <w:marRight w:val="2459"/>
      <w:marTop w:val="4513"/>
      <w:marBottom w:val="615"/>
      <w:divBdr>
        <w:top w:val="none" w:sz="0" w:space="0" w:color="auto"/>
        <w:left w:val="none" w:sz="0" w:space="0" w:color="auto"/>
        <w:bottom w:val="none" w:sz="0" w:space="0" w:color="auto"/>
        <w:right w:val="none" w:sz="0" w:space="0" w:color="auto"/>
      </w:divBdr>
    </w:div>
    <w:div w:id="2104496820">
      <w:marLeft w:val="0"/>
      <w:marRight w:val="0"/>
      <w:marTop w:val="0"/>
      <w:marBottom w:val="0"/>
      <w:divBdr>
        <w:top w:val="none" w:sz="0" w:space="0" w:color="auto"/>
        <w:left w:val="none" w:sz="0" w:space="0" w:color="auto"/>
        <w:bottom w:val="none" w:sz="0" w:space="0" w:color="auto"/>
        <w:right w:val="none" w:sz="0" w:space="0" w:color="auto"/>
      </w:divBdr>
    </w:div>
    <w:div w:id="2104496823">
      <w:marLeft w:val="0"/>
      <w:marRight w:val="0"/>
      <w:marTop w:val="0"/>
      <w:marBottom w:val="0"/>
      <w:divBdr>
        <w:top w:val="single" w:sz="2" w:space="0" w:color="CC3640"/>
        <w:left w:val="none" w:sz="0" w:space="0" w:color="auto"/>
        <w:bottom w:val="none" w:sz="0" w:space="0" w:color="auto"/>
        <w:right w:val="none" w:sz="0" w:space="0" w:color="auto"/>
      </w:divBdr>
      <w:divsChild>
        <w:div w:id="2104496813">
          <w:marLeft w:val="0"/>
          <w:marRight w:val="0"/>
          <w:marTop w:val="0"/>
          <w:marBottom w:val="0"/>
          <w:divBdr>
            <w:top w:val="single" w:sz="2" w:space="0" w:color="FF0000"/>
            <w:left w:val="single" w:sz="2" w:space="0" w:color="FF0000"/>
            <w:bottom w:val="single" w:sz="2" w:space="0" w:color="FF0000"/>
            <w:right w:val="single" w:sz="2" w:space="0" w:color="FF0000"/>
          </w:divBdr>
          <w:divsChild>
            <w:div w:id="2104496851">
              <w:marLeft w:val="0"/>
              <w:marRight w:val="0"/>
              <w:marTop w:val="0"/>
              <w:marBottom w:val="0"/>
              <w:divBdr>
                <w:top w:val="none" w:sz="0" w:space="0" w:color="auto"/>
                <w:left w:val="single" w:sz="6" w:space="0" w:color="DDDDDD"/>
                <w:bottom w:val="none" w:sz="0" w:space="0" w:color="auto"/>
                <w:right w:val="none" w:sz="0" w:space="0" w:color="auto"/>
              </w:divBdr>
              <w:divsChild>
                <w:div w:id="2104496924">
                  <w:marLeft w:val="0"/>
                  <w:marRight w:val="0"/>
                  <w:marTop w:val="0"/>
                  <w:marBottom w:val="0"/>
                  <w:divBdr>
                    <w:top w:val="single" w:sz="2" w:space="0" w:color="008000"/>
                    <w:left w:val="single" w:sz="2" w:space="0" w:color="008000"/>
                    <w:bottom w:val="single" w:sz="2" w:space="0" w:color="008000"/>
                    <w:right w:val="single" w:sz="2" w:space="0" w:color="008000"/>
                  </w:divBdr>
                  <w:divsChild>
                    <w:div w:id="2104497047">
                      <w:marLeft w:val="0"/>
                      <w:marRight w:val="0"/>
                      <w:marTop w:val="0"/>
                      <w:marBottom w:val="0"/>
                      <w:divBdr>
                        <w:top w:val="none" w:sz="0" w:space="0" w:color="auto"/>
                        <w:left w:val="none" w:sz="0" w:space="0" w:color="auto"/>
                        <w:bottom w:val="none" w:sz="0" w:space="0" w:color="auto"/>
                        <w:right w:val="none" w:sz="0" w:space="0" w:color="auto"/>
                      </w:divBdr>
                      <w:divsChild>
                        <w:div w:id="2104496970">
                          <w:marLeft w:val="0"/>
                          <w:marRight w:val="0"/>
                          <w:marTop w:val="0"/>
                          <w:marBottom w:val="0"/>
                          <w:divBdr>
                            <w:top w:val="none" w:sz="0" w:space="0" w:color="auto"/>
                            <w:left w:val="none" w:sz="0" w:space="0" w:color="auto"/>
                            <w:bottom w:val="none" w:sz="0" w:space="0" w:color="auto"/>
                            <w:right w:val="none" w:sz="0" w:space="0" w:color="auto"/>
                          </w:divBdr>
                          <w:divsChild>
                            <w:div w:id="210449691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824">
      <w:marLeft w:val="0"/>
      <w:marRight w:val="0"/>
      <w:marTop w:val="0"/>
      <w:marBottom w:val="0"/>
      <w:divBdr>
        <w:top w:val="single" w:sz="2" w:space="0" w:color="CC3640"/>
        <w:left w:val="none" w:sz="0" w:space="0" w:color="auto"/>
        <w:bottom w:val="none" w:sz="0" w:space="0" w:color="auto"/>
        <w:right w:val="none" w:sz="0" w:space="0" w:color="auto"/>
      </w:divBdr>
      <w:divsChild>
        <w:div w:id="2104496904">
          <w:marLeft w:val="0"/>
          <w:marRight w:val="0"/>
          <w:marTop w:val="0"/>
          <w:marBottom w:val="0"/>
          <w:divBdr>
            <w:top w:val="single" w:sz="2" w:space="0" w:color="FF0000"/>
            <w:left w:val="single" w:sz="2" w:space="0" w:color="FF0000"/>
            <w:bottom w:val="single" w:sz="2" w:space="0" w:color="FF0000"/>
            <w:right w:val="single" w:sz="2" w:space="0" w:color="FF0000"/>
          </w:divBdr>
          <w:divsChild>
            <w:div w:id="2104496755">
              <w:marLeft w:val="0"/>
              <w:marRight w:val="0"/>
              <w:marTop w:val="0"/>
              <w:marBottom w:val="0"/>
              <w:divBdr>
                <w:top w:val="none" w:sz="0" w:space="0" w:color="auto"/>
                <w:left w:val="single" w:sz="6" w:space="0" w:color="DDDDDD"/>
                <w:bottom w:val="none" w:sz="0" w:space="0" w:color="auto"/>
                <w:right w:val="none" w:sz="0" w:space="0" w:color="auto"/>
              </w:divBdr>
              <w:divsChild>
                <w:div w:id="2104497039">
                  <w:marLeft w:val="0"/>
                  <w:marRight w:val="0"/>
                  <w:marTop w:val="0"/>
                  <w:marBottom w:val="0"/>
                  <w:divBdr>
                    <w:top w:val="single" w:sz="2" w:space="0" w:color="008000"/>
                    <w:left w:val="single" w:sz="2" w:space="0" w:color="008000"/>
                    <w:bottom w:val="single" w:sz="2" w:space="0" w:color="008000"/>
                    <w:right w:val="single" w:sz="2" w:space="0" w:color="008000"/>
                  </w:divBdr>
                  <w:divsChild>
                    <w:div w:id="2104496849">
                      <w:marLeft w:val="0"/>
                      <w:marRight w:val="0"/>
                      <w:marTop w:val="0"/>
                      <w:marBottom w:val="0"/>
                      <w:divBdr>
                        <w:top w:val="none" w:sz="0" w:space="0" w:color="auto"/>
                        <w:left w:val="none" w:sz="0" w:space="0" w:color="auto"/>
                        <w:bottom w:val="none" w:sz="0" w:space="0" w:color="auto"/>
                        <w:right w:val="none" w:sz="0" w:space="0" w:color="auto"/>
                      </w:divBdr>
                      <w:divsChild>
                        <w:div w:id="2104497044">
                          <w:marLeft w:val="0"/>
                          <w:marRight w:val="0"/>
                          <w:marTop w:val="0"/>
                          <w:marBottom w:val="0"/>
                          <w:divBdr>
                            <w:top w:val="none" w:sz="0" w:space="0" w:color="auto"/>
                            <w:left w:val="none" w:sz="0" w:space="0" w:color="auto"/>
                            <w:bottom w:val="none" w:sz="0" w:space="0" w:color="auto"/>
                            <w:right w:val="none" w:sz="0" w:space="0" w:color="auto"/>
                          </w:divBdr>
                          <w:divsChild>
                            <w:div w:id="210449692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825">
      <w:marLeft w:val="0"/>
      <w:marRight w:val="0"/>
      <w:marTop w:val="0"/>
      <w:marBottom w:val="0"/>
      <w:divBdr>
        <w:top w:val="none" w:sz="0" w:space="0" w:color="auto"/>
        <w:left w:val="none" w:sz="0" w:space="0" w:color="auto"/>
        <w:bottom w:val="none" w:sz="0" w:space="0" w:color="auto"/>
        <w:right w:val="none" w:sz="0" w:space="0" w:color="auto"/>
      </w:divBdr>
    </w:div>
    <w:div w:id="2104496830">
      <w:marLeft w:val="0"/>
      <w:marRight w:val="0"/>
      <w:marTop w:val="0"/>
      <w:marBottom w:val="0"/>
      <w:divBdr>
        <w:top w:val="single" w:sz="2" w:space="0" w:color="CC3640"/>
        <w:left w:val="none" w:sz="0" w:space="0" w:color="auto"/>
        <w:bottom w:val="none" w:sz="0" w:space="0" w:color="auto"/>
        <w:right w:val="none" w:sz="0" w:space="0" w:color="auto"/>
      </w:divBdr>
      <w:divsChild>
        <w:div w:id="2104496888">
          <w:marLeft w:val="0"/>
          <w:marRight w:val="0"/>
          <w:marTop w:val="0"/>
          <w:marBottom w:val="0"/>
          <w:divBdr>
            <w:top w:val="single" w:sz="2" w:space="0" w:color="FF0000"/>
            <w:left w:val="single" w:sz="2" w:space="0" w:color="FF0000"/>
            <w:bottom w:val="single" w:sz="2" w:space="0" w:color="FF0000"/>
            <w:right w:val="single" w:sz="2" w:space="0" w:color="FF0000"/>
          </w:divBdr>
          <w:divsChild>
            <w:div w:id="2104496884">
              <w:marLeft w:val="0"/>
              <w:marRight w:val="0"/>
              <w:marTop w:val="0"/>
              <w:marBottom w:val="0"/>
              <w:divBdr>
                <w:top w:val="none" w:sz="0" w:space="0" w:color="auto"/>
                <w:left w:val="single" w:sz="6" w:space="0" w:color="DDDDDD"/>
                <w:bottom w:val="none" w:sz="0" w:space="0" w:color="auto"/>
                <w:right w:val="none" w:sz="0" w:space="0" w:color="auto"/>
              </w:divBdr>
              <w:divsChild>
                <w:div w:id="2104496987">
                  <w:marLeft w:val="0"/>
                  <w:marRight w:val="0"/>
                  <w:marTop w:val="0"/>
                  <w:marBottom w:val="0"/>
                  <w:divBdr>
                    <w:top w:val="single" w:sz="2" w:space="0" w:color="008000"/>
                    <w:left w:val="single" w:sz="2" w:space="0" w:color="008000"/>
                    <w:bottom w:val="single" w:sz="2" w:space="0" w:color="008000"/>
                    <w:right w:val="single" w:sz="2" w:space="0" w:color="008000"/>
                  </w:divBdr>
                  <w:divsChild>
                    <w:div w:id="2104496757">
                      <w:marLeft w:val="0"/>
                      <w:marRight w:val="0"/>
                      <w:marTop w:val="0"/>
                      <w:marBottom w:val="0"/>
                      <w:divBdr>
                        <w:top w:val="none" w:sz="0" w:space="0" w:color="auto"/>
                        <w:left w:val="none" w:sz="0" w:space="0" w:color="auto"/>
                        <w:bottom w:val="none" w:sz="0" w:space="0" w:color="auto"/>
                        <w:right w:val="none" w:sz="0" w:space="0" w:color="auto"/>
                      </w:divBdr>
                      <w:divsChild>
                        <w:div w:id="2104496974">
                          <w:marLeft w:val="0"/>
                          <w:marRight w:val="0"/>
                          <w:marTop w:val="0"/>
                          <w:marBottom w:val="0"/>
                          <w:divBdr>
                            <w:top w:val="none" w:sz="0" w:space="0" w:color="auto"/>
                            <w:left w:val="none" w:sz="0" w:space="0" w:color="auto"/>
                            <w:bottom w:val="none" w:sz="0" w:space="0" w:color="auto"/>
                            <w:right w:val="none" w:sz="0" w:space="0" w:color="auto"/>
                          </w:divBdr>
                          <w:divsChild>
                            <w:div w:id="210449681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845">
      <w:marLeft w:val="0"/>
      <w:marRight w:val="0"/>
      <w:marTop w:val="0"/>
      <w:marBottom w:val="0"/>
      <w:divBdr>
        <w:top w:val="single" w:sz="2" w:space="0" w:color="CC3640"/>
        <w:left w:val="none" w:sz="0" w:space="0" w:color="auto"/>
        <w:bottom w:val="none" w:sz="0" w:space="0" w:color="auto"/>
        <w:right w:val="none" w:sz="0" w:space="0" w:color="auto"/>
      </w:divBdr>
      <w:divsChild>
        <w:div w:id="2104496908">
          <w:marLeft w:val="0"/>
          <w:marRight w:val="0"/>
          <w:marTop w:val="0"/>
          <w:marBottom w:val="0"/>
          <w:divBdr>
            <w:top w:val="single" w:sz="2" w:space="0" w:color="FF0000"/>
            <w:left w:val="single" w:sz="2" w:space="0" w:color="FF0000"/>
            <w:bottom w:val="single" w:sz="2" w:space="0" w:color="FF0000"/>
            <w:right w:val="single" w:sz="2" w:space="0" w:color="FF0000"/>
          </w:divBdr>
          <w:divsChild>
            <w:div w:id="2104496758">
              <w:marLeft w:val="0"/>
              <w:marRight w:val="0"/>
              <w:marTop w:val="0"/>
              <w:marBottom w:val="0"/>
              <w:divBdr>
                <w:top w:val="none" w:sz="0" w:space="0" w:color="auto"/>
                <w:left w:val="single" w:sz="6" w:space="0" w:color="DDDDDD"/>
                <w:bottom w:val="none" w:sz="0" w:space="0" w:color="auto"/>
                <w:right w:val="none" w:sz="0" w:space="0" w:color="auto"/>
              </w:divBdr>
              <w:divsChild>
                <w:div w:id="2104496739">
                  <w:marLeft w:val="0"/>
                  <w:marRight w:val="0"/>
                  <w:marTop w:val="0"/>
                  <w:marBottom w:val="0"/>
                  <w:divBdr>
                    <w:top w:val="single" w:sz="2" w:space="0" w:color="008000"/>
                    <w:left w:val="single" w:sz="2" w:space="0" w:color="008000"/>
                    <w:bottom w:val="single" w:sz="2" w:space="0" w:color="008000"/>
                    <w:right w:val="single" w:sz="2" w:space="0" w:color="008000"/>
                  </w:divBdr>
                  <w:divsChild>
                    <w:div w:id="2104496854">
                      <w:marLeft w:val="0"/>
                      <w:marRight w:val="0"/>
                      <w:marTop w:val="0"/>
                      <w:marBottom w:val="0"/>
                      <w:divBdr>
                        <w:top w:val="none" w:sz="0" w:space="0" w:color="auto"/>
                        <w:left w:val="none" w:sz="0" w:space="0" w:color="auto"/>
                        <w:bottom w:val="none" w:sz="0" w:space="0" w:color="auto"/>
                        <w:right w:val="none" w:sz="0" w:space="0" w:color="auto"/>
                      </w:divBdr>
                      <w:divsChild>
                        <w:div w:id="2104496771">
                          <w:marLeft w:val="0"/>
                          <w:marRight w:val="0"/>
                          <w:marTop w:val="0"/>
                          <w:marBottom w:val="0"/>
                          <w:divBdr>
                            <w:top w:val="none" w:sz="0" w:space="0" w:color="auto"/>
                            <w:left w:val="none" w:sz="0" w:space="0" w:color="auto"/>
                            <w:bottom w:val="none" w:sz="0" w:space="0" w:color="auto"/>
                            <w:right w:val="none" w:sz="0" w:space="0" w:color="auto"/>
                          </w:divBdr>
                          <w:divsChild>
                            <w:div w:id="210449698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850">
      <w:marLeft w:val="0"/>
      <w:marRight w:val="0"/>
      <w:marTop w:val="0"/>
      <w:marBottom w:val="0"/>
      <w:divBdr>
        <w:top w:val="none" w:sz="0" w:space="0" w:color="auto"/>
        <w:left w:val="none" w:sz="0" w:space="0" w:color="auto"/>
        <w:bottom w:val="none" w:sz="0" w:space="0" w:color="auto"/>
        <w:right w:val="none" w:sz="0" w:space="0" w:color="auto"/>
      </w:divBdr>
    </w:div>
    <w:div w:id="2104496853">
      <w:marLeft w:val="0"/>
      <w:marRight w:val="0"/>
      <w:marTop w:val="0"/>
      <w:marBottom w:val="0"/>
      <w:divBdr>
        <w:top w:val="single" w:sz="2" w:space="0" w:color="CC3640"/>
        <w:left w:val="none" w:sz="0" w:space="0" w:color="auto"/>
        <w:bottom w:val="none" w:sz="0" w:space="0" w:color="auto"/>
        <w:right w:val="none" w:sz="0" w:space="0" w:color="auto"/>
      </w:divBdr>
      <w:divsChild>
        <w:div w:id="2104496750">
          <w:marLeft w:val="0"/>
          <w:marRight w:val="0"/>
          <w:marTop w:val="0"/>
          <w:marBottom w:val="0"/>
          <w:divBdr>
            <w:top w:val="single" w:sz="2" w:space="0" w:color="FF0000"/>
            <w:left w:val="single" w:sz="2" w:space="0" w:color="FF0000"/>
            <w:bottom w:val="single" w:sz="2" w:space="0" w:color="FF0000"/>
            <w:right w:val="single" w:sz="2" w:space="0" w:color="FF0000"/>
          </w:divBdr>
          <w:divsChild>
            <w:div w:id="2104496875">
              <w:marLeft w:val="0"/>
              <w:marRight w:val="0"/>
              <w:marTop w:val="0"/>
              <w:marBottom w:val="0"/>
              <w:divBdr>
                <w:top w:val="none" w:sz="0" w:space="0" w:color="auto"/>
                <w:left w:val="single" w:sz="6" w:space="0" w:color="DDDDDD"/>
                <w:bottom w:val="none" w:sz="0" w:space="0" w:color="auto"/>
                <w:right w:val="none" w:sz="0" w:space="0" w:color="auto"/>
              </w:divBdr>
              <w:divsChild>
                <w:div w:id="2104496949">
                  <w:marLeft w:val="0"/>
                  <w:marRight w:val="0"/>
                  <w:marTop w:val="0"/>
                  <w:marBottom w:val="0"/>
                  <w:divBdr>
                    <w:top w:val="single" w:sz="2" w:space="0" w:color="008000"/>
                    <w:left w:val="single" w:sz="2" w:space="0" w:color="008000"/>
                    <w:bottom w:val="single" w:sz="2" w:space="0" w:color="008000"/>
                    <w:right w:val="single" w:sz="2" w:space="0" w:color="008000"/>
                  </w:divBdr>
                  <w:divsChild>
                    <w:div w:id="2104496912">
                      <w:marLeft w:val="0"/>
                      <w:marRight w:val="0"/>
                      <w:marTop w:val="0"/>
                      <w:marBottom w:val="0"/>
                      <w:divBdr>
                        <w:top w:val="none" w:sz="0" w:space="0" w:color="auto"/>
                        <w:left w:val="none" w:sz="0" w:space="0" w:color="auto"/>
                        <w:bottom w:val="none" w:sz="0" w:space="0" w:color="auto"/>
                        <w:right w:val="none" w:sz="0" w:space="0" w:color="auto"/>
                      </w:divBdr>
                      <w:divsChild>
                        <w:div w:id="2104496838">
                          <w:marLeft w:val="0"/>
                          <w:marRight w:val="0"/>
                          <w:marTop w:val="0"/>
                          <w:marBottom w:val="0"/>
                          <w:divBdr>
                            <w:top w:val="none" w:sz="0" w:space="0" w:color="auto"/>
                            <w:left w:val="none" w:sz="0" w:space="0" w:color="auto"/>
                            <w:bottom w:val="none" w:sz="0" w:space="0" w:color="auto"/>
                            <w:right w:val="none" w:sz="0" w:space="0" w:color="auto"/>
                          </w:divBdr>
                          <w:divsChild>
                            <w:div w:id="210449677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857">
      <w:marLeft w:val="0"/>
      <w:marRight w:val="0"/>
      <w:marTop w:val="0"/>
      <w:marBottom w:val="0"/>
      <w:divBdr>
        <w:top w:val="none" w:sz="0" w:space="0" w:color="auto"/>
        <w:left w:val="none" w:sz="0" w:space="0" w:color="auto"/>
        <w:bottom w:val="none" w:sz="0" w:space="0" w:color="auto"/>
        <w:right w:val="none" w:sz="0" w:space="0" w:color="auto"/>
      </w:divBdr>
    </w:div>
    <w:div w:id="2104496859">
      <w:marLeft w:val="0"/>
      <w:marRight w:val="0"/>
      <w:marTop w:val="0"/>
      <w:marBottom w:val="0"/>
      <w:divBdr>
        <w:top w:val="none" w:sz="0" w:space="0" w:color="auto"/>
        <w:left w:val="none" w:sz="0" w:space="0" w:color="auto"/>
        <w:bottom w:val="none" w:sz="0" w:space="0" w:color="auto"/>
        <w:right w:val="none" w:sz="0" w:space="0" w:color="auto"/>
      </w:divBdr>
    </w:div>
    <w:div w:id="2104496860">
      <w:marLeft w:val="0"/>
      <w:marRight w:val="0"/>
      <w:marTop w:val="0"/>
      <w:marBottom w:val="0"/>
      <w:divBdr>
        <w:top w:val="single" w:sz="2" w:space="0" w:color="CC3640"/>
        <w:left w:val="none" w:sz="0" w:space="0" w:color="auto"/>
        <w:bottom w:val="none" w:sz="0" w:space="0" w:color="auto"/>
        <w:right w:val="none" w:sz="0" w:space="0" w:color="auto"/>
      </w:divBdr>
      <w:divsChild>
        <w:div w:id="2104496865">
          <w:marLeft w:val="0"/>
          <w:marRight w:val="0"/>
          <w:marTop w:val="0"/>
          <w:marBottom w:val="0"/>
          <w:divBdr>
            <w:top w:val="single" w:sz="2" w:space="0" w:color="FF0000"/>
            <w:left w:val="single" w:sz="2" w:space="0" w:color="FF0000"/>
            <w:bottom w:val="single" w:sz="2" w:space="0" w:color="FF0000"/>
            <w:right w:val="single" w:sz="2" w:space="0" w:color="FF0000"/>
          </w:divBdr>
          <w:divsChild>
            <w:div w:id="2104496921">
              <w:marLeft w:val="0"/>
              <w:marRight w:val="0"/>
              <w:marTop w:val="0"/>
              <w:marBottom w:val="0"/>
              <w:divBdr>
                <w:top w:val="none" w:sz="0" w:space="0" w:color="auto"/>
                <w:left w:val="single" w:sz="6" w:space="0" w:color="DDDDDD"/>
                <w:bottom w:val="none" w:sz="0" w:space="0" w:color="auto"/>
                <w:right w:val="none" w:sz="0" w:space="0" w:color="auto"/>
              </w:divBdr>
              <w:divsChild>
                <w:div w:id="2104496752">
                  <w:marLeft w:val="0"/>
                  <w:marRight w:val="0"/>
                  <w:marTop w:val="0"/>
                  <w:marBottom w:val="0"/>
                  <w:divBdr>
                    <w:top w:val="single" w:sz="2" w:space="0" w:color="008000"/>
                    <w:left w:val="single" w:sz="2" w:space="0" w:color="008000"/>
                    <w:bottom w:val="single" w:sz="2" w:space="0" w:color="008000"/>
                    <w:right w:val="single" w:sz="2" w:space="0" w:color="008000"/>
                  </w:divBdr>
                  <w:divsChild>
                    <w:div w:id="2104497043">
                      <w:marLeft w:val="0"/>
                      <w:marRight w:val="0"/>
                      <w:marTop w:val="0"/>
                      <w:marBottom w:val="0"/>
                      <w:divBdr>
                        <w:top w:val="none" w:sz="0" w:space="0" w:color="auto"/>
                        <w:left w:val="none" w:sz="0" w:space="0" w:color="auto"/>
                        <w:bottom w:val="none" w:sz="0" w:space="0" w:color="auto"/>
                        <w:right w:val="none" w:sz="0" w:space="0" w:color="auto"/>
                      </w:divBdr>
                      <w:divsChild>
                        <w:div w:id="2104496737">
                          <w:marLeft w:val="0"/>
                          <w:marRight w:val="0"/>
                          <w:marTop w:val="0"/>
                          <w:marBottom w:val="0"/>
                          <w:divBdr>
                            <w:top w:val="none" w:sz="0" w:space="0" w:color="auto"/>
                            <w:left w:val="none" w:sz="0" w:space="0" w:color="auto"/>
                            <w:bottom w:val="none" w:sz="0" w:space="0" w:color="auto"/>
                            <w:right w:val="none" w:sz="0" w:space="0" w:color="auto"/>
                          </w:divBdr>
                          <w:divsChild>
                            <w:div w:id="210449681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861">
      <w:marLeft w:val="0"/>
      <w:marRight w:val="0"/>
      <w:marTop w:val="0"/>
      <w:marBottom w:val="0"/>
      <w:divBdr>
        <w:top w:val="none" w:sz="0" w:space="0" w:color="auto"/>
        <w:left w:val="none" w:sz="0" w:space="0" w:color="auto"/>
        <w:bottom w:val="none" w:sz="0" w:space="0" w:color="auto"/>
        <w:right w:val="none" w:sz="0" w:space="0" w:color="auto"/>
      </w:divBdr>
    </w:div>
    <w:div w:id="2104496864">
      <w:marLeft w:val="0"/>
      <w:marRight w:val="0"/>
      <w:marTop w:val="0"/>
      <w:marBottom w:val="0"/>
      <w:divBdr>
        <w:top w:val="single" w:sz="2" w:space="0" w:color="CC3640"/>
        <w:left w:val="none" w:sz="0" w:space="0" w:color="auto"/>
        <w:bottom w:val="none" w:sz="0" w:space="0" w:color="auto"/>
        <w:right w:val="none" w:sz="0" w:space="0" w:color="auto"/>
      </w:divBdr>
      <w:divsChild>
        <w:div w:id="2104496738">
          <w:marLeft w:val="0"/>
          <w:marRight w:val="0"/>
          <w:marTop w:val="0"/>
          <w:marBottom w:val="0"/>
          <w:divBdr>
            <w:top w:val="single" w:sz="2" w:space="0" w:color="FF0000"/>
            <w:left w:val="single" w:sz="2" w:space="0" w:color="FF0000"/>
            <w:bottom w:val="single" w:sz="2" w:space="0" w:color="FF0000"/>
            <w:right w:val="single" w:sz="2" w:space="0" w:color="FF0000"/>
          </w:divBdr>
          <w:divsChild>
            <w:div w:id="2104496809">
              <w:marLeft w:val="0"/>
              <w:marRight w:val="0"/>
              <w:marTop w:val="0"/>
              <w:marBottom w:val="0"/>
              <w:divBdr>
                <w:top w:val="none" w:sz="0" w:space="0" w:color="auto"/>
                <w:left w:val="single" w:sz="6" w:space="0" w:color="DDDDDD"/>
                <w:bottom w:val="none" w:sz="0" w:space="0" w:color="auto"/>
                <w:right w:val="none" w:sz="0" w:space="0" w:color="auto"/>
              </w:divBdr>
              <w:divsChild>
                <w:div w:id="2104496831">
                  <w:marLeft w:val="0"/>
                  <w:marRight w:val="0"/>
                  <w:marTop w:val="0"/>
                  <w:marBottom w:val="0"/>
                  <w:divBdr>
                    <w:top w:val="single" w:sz="2" w:space="0" w:color="008000"/>
                    <w:left w:val="single" w:sz="2" w:space="0" w:color="008000"/>
                    <w:bottom w:val="single" w:sz="2" w:space="0" w:color="008000"/>
                    <w:right w:val="single" w:sz="2" w:space="0" w:color="008000"/>
                  </w:divBdr>
                  <w:divsChild>
                    <w:div w:id="2104496790">
                      <w:marLeft w:val="0"/>
                      <w:marRight w:val="0"/>
                      <w:marTop w:val="0"/>
                      <w:marBottom w:val="0"/>
                      <w:divBdr>
                        <w:top w:val="none" w:sz="0" w:space="0" w:color="auto"/>
                        <w:left w:val="none" w:sz="0" w:space="0" w:color="auto"/>
                        <w:bottom w:val="none" w:sz="0" w:space="0" w:color="auto"/>
                        <w:right w:val="none" w:sz="0" w:space="0" w:color="auto"/>
                      </w:divBdr>
                      <w:divsChild>
                        <w:div w:id="2104497004">
                          <w:marLeft w:val="0"/>
                          <w:marRight w:val="0"/>
                          <w:marTop w:val="0"/>
                          <w:marBottom w:val="0"/>
                          <w:divBdr>
                            <w:top w:val="none" w:sz="0" w:space="0" w:color="auto"/>
                            <w:left w:val="none" w:sz="0" w:space="0" w:color="auto"/>
                            <w:bottom w:val="none" w:sz="0" w:space="0" w:color="auto"/>
                            <w:right w:val="none" w:sz="0" w:space="0" w:color="auto"/>
                          </w:divBdr>
                          <w:divsChild>
                            <w:div w:id="210449696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871">
      <w:marLeft w:val="0"/>
      <w:marRight w:val="0"/>
      <w:marTop w:val="0"/>
      <w:marBottom w:val="0"/>
      <w:divBdr>
        <w:top w:val="none" w:sz="0" w:space="0" w:color="auto"/>
        <w:left w:val="none" w:sz="0" w:space="0" w:color="auto"/>
        <w:bottom w:val="none" w:sz="0" w:space="0" w:color="auto"/>
        <w:right w:val="none" w:sz="0" w:space="0" w:color="auto"/>
      </w:divBdr>
    </w:div>
    <w:div w:id="2104496879">
      <w:marLeft w:val="0"/>
      <w:marRight w:val="0"/>
      <w:marTop w:val="0"/>
      <w:marBottom w:val="0"/>
      <w:divBdr>
        <w:top w:val="single" w:sz="2" w:space="0" w:color="CC3640"/>
        <w:left w:val="none" w:sz="0" w:space="0" w:color="auto"/>
        <w:bottom w:val="none" w:sz="0" w:space="0" w:color="auto"/>
        <w:right w:val="none" w:sz="0" w:space="0" w:color="auto"/>
      </w:divBdr>
      <w:divsChild>
        <w:div w:id="2104497003">
          <w:marLeft w:val="0"/>
          <w:marRight w:val="0"/>
          <w:marTop w:val="0"/>
          <w:marBottom w:val="0"/>
          <w:divBdr>
            <w:top w:val="single" w:sz="2" w:space="0" w:color="FF0000"/>
            <w:left w:val="single" w:sz="2" w:space="0" w:color="FF0000"/>
            <w:bottom w:val="single" w:sz="2" w:space="0" w:color="FF0000"/>
            <w:right w:val="single" w:sz="2" w:space="0" w:color="FF0000"/>
          </w:divBdr>
          <w:divsChild>
            <w:div w:id="2104496880">
              <w:marLeft w:val="0"/>
              <w:marRight w:val="0"/>
              <w:marTop w:val="0"/>
              <w:marBottom w:val="0"/>
              <w:divBdr>
                <w:top w:val="none" w:sz="0" w:space="0" w:color="auto"/>
                <w:left w:val="single" w:sz="6" w:space="0" w:color="DDDDDD"/>
                <w:bottom w:val="none" w:sz="0" w:space="0" w:color="auto"/>
                <w:right w:val="none" w:sz="0" w:space="0" w:color="auto"/>
              </w:divBdr>
              <w:divsChild>
                <w:div w:id="2104496797">
                  <w:marLeft w:val="0"/>
                  <w:marRight w:val="0"/>
                  <w:marTop w:val="0"/>
                  <w:marBottom w:val="0"/>
                  <w:divBdr>
                    <w:top w:val="single" w:sz="2" w:space="0" w:color="008000"/>
                    <w:left w:val="single" w:sz="2" w:space="0" w:color="008000"/>
                    <w:bottom w:val="single" w:sz="2" w:space="0" w:color="008000"/>
                    <w:right w:val="single" w:sz="2" w:space="0" w:color="008000"/>
                  </w:divBdr>
                  <w:divsChild>
                    <w:div w:id="2104496980">
                      <w:marLeft w:val="0"/>
                      <w:marRight w:val="0"/>
                      <w:marTop w:val="0"/>
                      <w:marBottom w:val="0"/>
                      <w:divBdr>
                        <w:top w:val="none" w:sz="0" w:space="0" w:color="auto"/>
                        <w:left w:val="none" w:sz="0" w:space="0" w:color="auto"/>
                        <w:bottom w:val="none" w:sz="0" w:space="0" w:color="auto"/>
                        <w:right w:val="none" w:sz="0" w:space="0" w:color="auto"/>
                      </w:divBdr>
                      <w:divsChild>
                        <w:div w:id="2104496760">
                          <w:marLeft w:val="0"/>
                          <w:marRight w:val="0"/>
                          <w:marTop w:val="0"/>
                          <w:marBottom w:val="0"/>
                          <w:divBdr>
                            <w:top w:val="none" w:sz="0" w:space="0" w:color="auto"/>
                            <w:left w:val="none" w:sz="0" w:space="0" w:color="auto"/>
                            <w:bottom w:val="none" w:sz="0" w:space="0" w:color="auto"/>
                            <w:right w:val="none" w:sz="0" w:space="0" w:color="auto"/>
                          </w:divBdr>
                          <w:divsChild>
                            <w:div w:id="210449693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881">
      <w:marLeft w:val="0"/>
      <w:marRight w:val="0"/>
      <w:marTop w:val="0"/>
      <w:marBottom w:val="0"/>
      <w:divBdr>
        <w:top w:val="none" w:sz="0" w:space="0" w:color="auto"/>
        <w:left w:val="none" w:sz="0" w:space="0" w:color="auto"/>
        <w:bottom w:val="none" w:sz="0" w:space="0" w:color="auto"/>
        <w:right w:val="none" w:sz="0" w:space="0" w:color="auto"/>
      </w:divBdr>
    </w:div>
    <w:div w:id="2104496890">
      <w:marLeft w:val="0"/>
      <w:marRight w:val="0"/>
      <w:marTop w:val="0"/>
      <w:marBottom w:val="0"/>
      <w:divBdr>
        <w:top w:val="single" w:sz="2" w:space="0" w:color="CC3640"/>
        <w:left w:val="none" w:sz="0" w:space="0" w:color="auto"/>
        <w:bottom w:val="none" w:sz="0" w:space="0" w:color="auto"/>
        <w:right w:val="none" w:sz="0" w:space="0" w:color="auto"/>
      </w:divBdr>
      <w:divsChild>
        <w:div w:id="2104496891">
          <w:marLeft w:val="0"/>
          <w:marRight w:val="0"/>
          <w:marTop w:val="0"/>
          <w:marBottom w:val="0"/>
          <w:divBdr>
            <w:top w:val="single" w:sz="2" w:space="0" w:color="FF0000"/>
            <w:left w:val="single" w:sz="2" w:space="0" w:color="FF0000"/>
            <w:bottom w:val="single" w:sz="2" w:space="0" w:color="FF0000"/>
            <w:right w:val="single" w:sz="2" w:space="0" w:color="FF0000"/>
          </w:divBdr>
          <w:divsChild>
            <w:div w:id="2104496792">
              <w:marLeft w:val="0"/>
              <w:marRight w:val="0"/>
              <w:marTop w:val="0"/>
              <w:marBottom w:val="0"/>
              <w:divBdr>
                <w:top w:val="none" w:sz="0" w:space="0" w:color="auto"/>
                <w:left w:val="single" w:sz="6" w:space="0" w:color="DDDDDD"/>
                <w:bottom w:val="none" w:sz="0" w:space="0" w:color="auto"/>
                <w:right w:val="none" w:sz="0" w:space="0" w:color="auto"/>
              </w:divBdr>
              <w:divsChild>
                <w:div w:id="2104496874">
                  <w:marLeft w:val="0"/>
                  <w:marRight w:val="0"/>
                  <w:marTop w:val="0"/>
                  <w:marBottom w:val="0"/>
                  <w:divBdr>
                    <w:top w:val="single" w:sz="2" w:space="0" w:color="008000"/>
                    <w:left w:val="single" w:sz="2" w:space="0" w:color="008000"/>
                    <w:bottom w:val="single" w:sz="2" w:space="0" w:color="008000"/>
                    <w:right w:val="single" w:sz="2" w:space="0" w:color="008000"/>
                  </w:divBdr>
                  <w:divsChild>
                    <w:div w:id="2104496767">
                      <w:marLeft w:val="0"/>
                      <w:marRight w:val="0"/>
                      <w:marTop w:val="0"/>
                      <w:marBottom w:val="0"/>
                      <w:divBdr>
                        <w:top w:val="none" w:sz="0" w:space="0" w:color="auto"/>
                        <w:left w:val="none" w:sz="0" w:space="0" w:color="auto"/>
                        <w:bottom w:val="none" w:sz="0" w:space="0" w:color="auto"/>
                        <w:right w:val="none" w:sz="0" w:space="0" w:color="auto"/>
                      </w:divBdr>
                      <w:divsChild>
                        <w:div w:id="2104496993">
                          <w:marLeft w:val="0"/>
                          <w:marRight w:val="0"/>
                          <w:marTop w:val="0"/>
                          <w:marBottom w:val="0"/>
                          <w:divBdr>
                            <w:top w:val="none" w:sz="0" w:space="0" w:color="auto"/>
                            <w:left w:val="none" w:sz="0" w:space="0" w:color="auto"/>
                            <w:bottom w:val="none" w:sz="0" w:space="0" w:color="auto"/>
                            <w:right w:val="none" w:sz="0" w:space="0" w:color="auto"/>
                          </w:divBdr>
                          <w:divsChild>
                            <w:div w:id="210449679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892">
      <w:marLeft w:val="0"/>
      <w:marRight w:val="0"/>
      <w:marTop w:val="0"/>
      <w:marBottom w:val="0"/>
      <w:divBdr>
        <w:top w:val="none" w:sz="0" w:space="0" w:color="auto"/>
        <w:left w:val="none" w:sz="0" w:space="0" w:color="auto"/>
        <w:bottom w:val="none" w:sz="0" w:space="0" w:color="auto"/>
        <w:right w:val="none" w:sz="0" w:space="0" w:color="auto"/>
      </w:divBdr>
    </w:div>
    <w:div w:id="2104496893">
      <w:marLeft w:val="0"/>
      <w:marRight w:val="0"/>
      <w:marTop w:val="0"/>
      <w:marBottom w:val="0"/>
      <w:divBdr>
        <w:top w:val="single" w:sz="2" w:space="0" w:color="CC3640"/>
        <w:left w:val="none" w:sz="0" w:space="0" w:color="auto"/>
        <w:bottom w:val="none" w:sz="0" w:space="0" w:color="auto"/>
        <w:right w:val="none" w:sz="0" w:space="0" w:color="auto"/>
      </w:divBdr>
      <w:divsChild>
        <w:div w:id="2104496788">
          <w:marLeft w:val="0"/>
          <w:marRight w:val="0"/>
          <w:marTop w:val="0"/>
          <w:marBottom w:val="0"/>
          <w:divBdr>
            <w:top w:val="single" w:sz="2" w:space="0" w:color="FF0000"/>
            <w:left w:val="single" w:sz="2" w:space="0" w:color="FF0000"/>
            <w:bottom w:val="single" w:sz="2" w:space="0" w:color="FF0000"/>
            <w:right w:val="single" w:sz="2" w:space="0" w:color="FF0000"/>
          </w:divBdr>
          <w:divsChild>
            <w:div w:id="2104496934">
              <w:marLeft w:val="0"/>
              <w:marRight w:val="0"/>
              <w:marTop w:val="0"/>
              <w:marBottom w:val="0"/>
              <w:divBdr>
                <w:top w:val="none" w:sz="0" w:space="0" w:color="auto"/>
                <w:left w:val="single" w:sz="6" w:space="0" w:color="DDDDDD"/>
                <w:bottom w:val="none" w:sz="0" w:space="0" w:color="auto"/>
                <w:right w:val="none" w:sz="0" w:space="0" w:color="auto"/>
              </w:divBdr>
              <w:divsChild>
                <w:div w:id="2104496923">
                  <w:marLeft w:val="0"/>
                  <w:marRight w:val="0"/>
                  <w:marTop w:val="0"/>
                  <w:marBottom w:val="0"/>
                  <w:divBdr>
                    <w:top w:val="single" w:sz="2" w:space="0" w:color="008000"/>
                    <w:left w:val="single" w:sz="2" w:space="0" w:color="008000"/>
                    <w:bottom w:val="single" w:sz="2" w:space="0" w:color="008000"/>
                    <w:right w:val="single" w:sz="2" w:space="0" w:color="008000"/>
                  </w:divBdr>
                  <w:divsChild>
                    <w:div w:id="2104496856">
                      <w:marLeft w:val="0"/>
                      <w:marRight w:val="0"/>
                      <w:marTop w:val="0"/>
                      <w:marBottom w:val="0"/>
                      <w:divBdr>
                        <w:top w:val="none" w:sz="0" w:space="0" w:color="auto"/>
                        <w:left w:val="none" w:sz="0" w:space="0" w:color="auto"/>
                        <w:bottom w:val="none" w:sz="0" w:space="0" w:color="auto"/>
                        <w:right w:val="none" w:sz="0" w:space="0" w:color="auto"/>
                      </w:divBdr>
                      <w:divsChild>
                        <w:div w:id="2104496937">
                          <w:marLeft w:val="0"/>
                          <w:marRight w:val="0"/>
                          <w:marTop w:val="0"/>
                          <w:marBottom w:val="0"/>
                          <w:divBdr>
                            <w:top w:val="none" w:sz="0" w:space="0" w:color="auto"/>
                            <w:left w:val="none" w:sz="0" w:space="0" w:color="auto"/>
                            <w:bottom w:val="none" w:sz="0" w:space="0" w:color="auto"/>
                            <w:right w:val="none" w:sz="0" w:space="0" w:color="auto"/>
                          </w:divBdr>
                          <w:divsChild>
                            <w:div w:id="210449691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895">
      <w:marLeft w:val="0"/>
      <w:marRight w:val="0"/>
      <w:marTop w:val="0"/>
      <w:marBottom w:val="0"/>
      <w:divBdr>
        <w:top w:val="none" w:sz="0" w:space="0" w:color="auto"/>
        <w:left w:val="none" w:sz="0" w:space="0" w:color="auto"/>
        <w:bottom w:val="none" w:sz="0" w:space="0" w:color="auto"/>
        <w:right w:val="none" w:sz="0" w:space="0" w:color="auto"/>
      </w:divBdr>
    </w:div>
    <w:div w:id="2104496899">
      <w:marLeft w:val="0"/>
      <w:marRight w:val="0"/>
      <w:marTop w:val="0"/>
      <w:marBottom w:val="0"/>
      <w:divBdr>
        <w:top w:val="single" w:sz="2" w:space="0" w:color="CC3640"/>
        <w:left w:val="none" w:sz="0" w:space="0" w:color="auto"/>
        <w:bottom w:val="none" w:sz="0" w:space="0" w:color="auto"/>
        <w:right w:val="none" w:sz="0" w:space="0" w:color="auto"/>
      </w:divBdr>
      <w:divsChild>
        <w:div w:id="2104496800">
          <w:marLeft w:val="0"/>
          <w:marRight w:val="0"/>
          <w:marTop w:val="0"/>
          <w:marBottom w:val="0"/>
          <w:divBdr>
            <w:top w:val="single" w:sz="2" w:space="0" w:color="FF0000"/>
            <w:left w:val="single" w:sz="2" w:space="0" w:color="FF0000"/>
            <w:bottom w:val="single" w:sz="2" w:space="0" w:color="FF0000"/>
            <w:right w:val="single" w:sz="2" w:space="0" w:color="FF0000"/>
          </w:divBdr>
          <w:divsChild>
            <w:div w:id="2104496776">
              <w:marLeft w:val="0"/>
              <w:marRight w:val="0"/>
              <w:marTop w:val="0"/>
              <w:marBottom w:val="0"/>
              <w:divBdr>
                <w:top w:val="none" w:sz="0" w:space="0" w:color="auto"/>
                <w:left w:val="single" w:sz="6" w:space="0" w:color="DDDDDD"/>
                <w:bottom w:val="none" w:sz="0" w:space="0" w:color="auto"/>
                <w:right w:val="none" w:sz="0" w:space="0" w:color="auto"/>
              </w:divBdr>
              <w:divsChild>
                <w:div w:id="2104496779">
                  <w:marLeft w:val="0"/>
                  <w:marRight w:val="0"/>
                  <w:marTop w:val="0"/>
                  <w:marBottom w:val="0"/>
                  <w:divBdr>
                    <w:top w:val="single" w:sz="2" w:space="0" w:color="008000"/>
                    <w:left w:val="single" w:sz="2" w:space="0" w:color="008000"/>
                    <w:bottom w:val="single" w:sz="2" w:space="0" w:color="008000"/>
                    <w:right w:val="single" w:sz="2" w:space="0" w:color="008000"/>
                  </w:divBdr>
                  <w:divsChild>
                    <w:div w:id="2104496804">
                      <w:marLeft w:val="0"/>
                      <w:marRight w:val="0"/>
                      <w:marTop w:val="0"/>
                      <w:marBottom w:val="0"/>
                      <w:divBdr>
                        <w:top w:val="none" w:sz="0" w:space="0" w:color="auto"/>
                        <w:left w:val="none" w:sz="0" w:space="0" w:color="auto"/>
                        <w:bottom w:val="none" w:sz="0" w:space="0" w:color="auto"/>
                        <w:right w:val="none" w:sz="0" w:space="0" w:color="auto"/>
                      </w:divBdr>
                      <w:divsChild>
                        <w:div w:id="2104496836">
                          <w:marLeft w:val="0"/>
                          <w:marRight w:val="0"/>
                          <w:marTop w:val="0"/>
                          <w:marBottom w:val="0"/>
                          <w:divBdr>
                            <w:top w:val="none" w:sz="0" w:space="0" w:color="auto"/>
                            <w:left w:val="none" w:sz="0" w:space="0" w:color="auto"/>
                            <w:bottom w:val="none" w:sz="0" w:space="0" w:color="auto"/>
                            <w:right w:val="none" w:sz="0" w:space="0" w:color="auto"/>
                          </w:divBdr>
                          <w:divsChild>
                            <w:div w:id="210449692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902">
      <w:marLeft w:val="0"/>
      <w:marRight w:val="0"/>
      <w:marTop w:val="0"/>
      <w:marBottom w:val="0"/>
      <w:divBdr>
        <w:top w:val="single" w:sz="2" w:space="0" w:color="CC3640"/>
        <w:left w:val="none" w:sz="0" w:space="0" w:color="auto"/>
        <w:bottom w:val="none" w:sz="0" w:space="0" w:color="auto"/>
        <w:right w:val="none" w:sz="0" w:space="0" w:color="auto"/>
      </w:divBdr>
      <w:divsChild>
        <w:div w:id="2104496942">
          <w:marLeft w:val="0"/>
          <w:marRight w:val="0"/>
          <w:marTop w:val="0"/>
          <w:marBottom w:val="0"/>
          <w:divBdr>
            <w:top w:val="single" w:sz="2" w:space="0" w:color="FF0000"/>
            <w:left w:val="single" w:sz="2" w:space="0" w:color="FF0000"/>
            <w:bottom w:val="single" w:sz="2" w:space="0" w:color="FF0000"/>
            <w:right w:val="single" w:sz="2" w:space="0" w:color="FF0000"/>
          </w:divBdr>
          <w:divsChild>
            <w:div w:id="2104496965">
              <w:marLeft w:val="0"/>
              <w:marRight w:val="0"/>
              <w:marTop w:val="0"/>
              <w:marBottom w:val="0"/>
              <w:divBdr>
                <w:top w:val="none" w:sz="0" w:space="0" w:color="auto"/>
                <w:left w:val="single" w:sz="6" w:space="0" w:color="DDDDDD"/>
                <w:bottom w:val="none" w:sz="0" w:space="0" w:color="auto"/>
                <w:right w:val="none" w:sz="0" w:space="0" w:color="auto"/>
              </w:divBdr>
              <w:divsChild>
                <w:div w:id="2104497059">
                  <w:marLeft w:val="0"/>
                  <w:marRight w:val="0"/>
                  <w:marTop w:val="0"/>
                  <w:marBottom w:val="0"/>
                  <w:divBdr>
                    <w:top w:val="single" w:sz="2" w:space="0" w:color="008000"/>
                    <w:left w:val="single" w:sz="2" w:space="0" w:color="008000"/>
                    <w:bottom w:val="single" w:sz="2" w:space="0" w:color="008000"/>
                    <w:right w:val="single" w:sz="2" w:space="0" w:color="008000"/>
                  </w:divBdr>
                  <w:divsChild>
                    <w:div w:id="2104496841">
                      <w:marLeft w:val="0"/>
                      <w:marRight w:val="0"/>
                      <w:marTop w:val="0"/>
                      <w:marBottom w:val="0"/>
                      <w:divBdr>
                        <w:top w:val="none" w:sz="0" w:space="0" w:color="auto"/>
                        <w:left w:val="none" w:sz="0" w:space="0" w:color="auto"/>
                        <w:bottom w:val="none" w:sz="0" w:space="0" w:color="auto"/>
                        <w:right w:val="none" w:sz="0" w:space="0" w:color="auto"/>
                      </w:divBdr>
                      <w:divsChild>
                        <w:div w:id="2104497050">
                          <w:marLeft w:val="0"/>
                          <w:marRight w:val="0"/>
                          <w:marTop w:val="0"/>
                          <w:marBottom w:val="0"/>
                          <w:divBdr>
                            <w:top w:val="none" w:sz="0" w:space="0" w:color="auto"/>
                            <w:left w:val="none" w:sz="0" w:space="0" w:color="auto"/>
                            <w:bottom w:val="none" w:sz="0" w:space="0" w:color="auto"/>
                            <w:right w:val="none" w:sz="0" w:space="0" w:color="auto"/>
                          </w:divBdr>
                          <w:divsChild>
                            <w:div w:id="2104496751">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920">
      <w:marLeft w:val="0"/>
      <w:marRight w:val="0"/>
      <w:marTop w:val="0"/>
      <w:marBottom w:val="0"/>
      <w:divBdr>
        <w:top w:val="single" w:sz="2" w:space="0" w:color="CC3640"/>
        <w:left w:val="none" w:sz="0" w:space="0" w:color="auto"/>
        <w:bottom w:val="none" w:sz="0" w:space="0" w:color="auto"/>
        <w:right w:val="none" w:sz="0" w:space="0" w:color="auto"/>
      </w:divBdr>
      <w:divsChild>
        <w:div w:id="2104496933">
          <w:marLeft w:val="0"/>
          <w:marRight w:val="0"/>
          <w:marTop w:val="0"/>
          <w:marBottom w:val="0"/>
          <w:divBdr>
            <w:top w:val="single" w:sz="2" w:space="0" w:color="FF0000"/>
            <w:left w:val="single" w:sz="2" w:space="0" w:color="FF0000"/>
            <w:bottom w:val="single" w:sz="2" w:space="0" w:color="FF0000"/>
            <w:right w:val="single" w:sz="2" w:space="0" w:color="FF0000"/>
          </w:divBdr>
          <w:divsChild>
            <w:div w:id="2104496749">
              <w:marLeft w:val="0"/>
              <w:marRight w:val="0"/>
              <w:marTop w:val="0"/>
              <w:marBottom w:val="0"/>
              <w:divBdr>
                <w:top w:val="none" w:sz="0" w:space="0" w:color="auto"/>
                <w:left w:val="single" w:sz="6" w:space="0" w:color="DDDDDD"/>
                <w:bottom w:val="none" w:sz="0" w:space="0" w:color="auto"/>
                <w:right w:val="none" w:sz="0" w:space="0" w:color="auto"/>
              </w:divBdr>
              <w:divsChild>
                <w:div w:id="2104497053">
                  <w:marLeft w:val="0"/>
                  <w:marRight w:val="0"/>
                  <w:marTop w:val="0"/>
                  <w:marBottom w:val="0"/>
                  <w:divBdr>
                    <w:top w:val="single" w:sz="2" w:space="0" w:color="008000"/>
                    <w:left w:val="single" w:sz="2" w:space="0" w:color="008000"/>
                    <w:bottom w:val="single" w:sz="2" w:space="0" w:color="008000"/>
                    <w:right w:val="single" w:sz="2" w:space="0" w:color="008000"/>
                  </w:divBdr>
                  <w:divsChild>
                    <w:div w:id="2104497037">
                      <w:marLeft w:val="0"/>
                      <w:marRight w:val="0"/>
                      <w:marTop w:val="0"/>
                      <w:marBottom w:val="0"/>
                      <w:divBdr>
                        <w:top w:val="none" w:sz="0" w:space="0" w:color="auto"/>
                        <w:left w:val="none" w:sz="0" w:space="0" w:color="auto"/>
                        <w:bottom w:val="none" w:sz="0" w:space="0" w:color="auto"/>
                        <w:right w:val="none" w:sz="0" w:space="0" w:color="auto"/>
                      </w:divBdr>
                      <w:divsChild>
                        <w:div w:id="2104496906">
                          <w:marLeft w:val="0"/>
                          <w:marRight w:val="0"/>
                          <w:marTop w:val="0"/>
                          <w:marBottom w:val="0"/>
                          <w:divBdr>
                            <w:top w:val="none" w:sz="0" w:space="0" w:color="auto"/>
                            <w:left w:val="none" w:sz="0" w:space="0" w:color="auto"/>
                            <w:bottom w:val="none" w:sz="0" w:space="0" w:color="auto"/>
                            <w:right w:val="none" w:sz="0" w:space="0" w:color="auto"/>
                          </w:divBdr>
                          <w:divsChild>
                            <w:div w:id="210449705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922">
      <w:marLeft w:val="0"/>
      <w:marRight w:val="0"/>
      <w:marTop w:val="0"/>
      <w:marBottom w:val="0"/>
      <w:divBdr>
        <w:top w:val="single" w:sz="2" w:space="0" w:color="CC3640"/>
        <w:left w:val="none" w:sz="0" w:space="0" w:color="auto"/>
        <w:bottom w:val="none" w:sz="0" w:space="0" w:color="auto"/>
        <w:right w:val="none" w:sz="0" w:space="0" w:color="auto"/>
      </w:divBdr>
      <w:divsChild>
        <w:div w:id="2104496911">
          <w:marLeft w:val="0"/>
          <w:marRight w:val="0"/>
          <w:marTop w:val="0"/>
          <w:marBottom w:val="0"/>
          <w:divBdr>
            <w:top w:val="single" w:sz="2" w:space="0" w:color="FF0000"/>
            <w:left w:val="single" w:sz="2" w:space="0" w:color="FF0000"/>
            <w:bottom w:val="single" w:sz="2" w:space="0" w:color="FF0000"/>
            <w:right w:val="single" w:sz="2" w:space="0" w:color="FF0000"/>
          </w:divBdr>
          <w:divsChild>
            <w:div w:id="2104496963">
              <w:marLeft w:val="0"/>
              <w:marRight w:val="0"/>
              <w:marTop w:val="0"/>
              <w:marBottom w:val="0"/>
              <w:divBdr>
                <w:top w:val="none" w:sz="0" w:space="0" w:color="auto"/>
                <w:left w:val="single" w:sz="6" w:space="0" w:color="DDDDDD"/>
                <w:bottom w:val="none" w:sz="0" w:space="0" w:color="auto"/>
                <w:right w:val="none" w:sz="0" w:space="0" w:color="auto"/>
              </w:divBdr>
              <w:divsChild>
                <w:div w:id="2104496907">
                  <w:marLeft w:val="0"/>
                  <w:marRight w:val="0"/>
                  <w:marTop w:val="0"/>
                  <w:marBottom w:val="0"/>
                  <w:divBdr>
                    <w:top w:val="single" w:sz="2" w:space="0" w:color="008000"/>
                    <w:left w:val="single" w:sz="2" w:space="0" w:color="008000"/>
                    <w:bottom w:val="single" w:sz="2" w:space="0" w:color="008000"/>
                    <w:right w:val="single" w:sz="2" w:space="0" w:color="008000"/>
                  </w:divBdr>
                  <w:divsChild>
                    <w:div w:id="2104496873">
                      <w:marLeft w:val="0"/>
                      <w:marRight w:val="0"/>
                      <w:marTop w:val="0"/>
                      <w:marBottom w:val="0"/>
                      <w:divBdr>
                        <w:top w:val="none" w:sz="0" w:space="0" w:color="auto"/>
                        <w:left w:val="none" w:sz="0" w:space="0" w:color="auto"/>
                        <w:bottom w:val="none" w:sz="0" w:space="0" w:color="auto"/>
                        <w:right w:val="none" w:sz="0" w:space="0" w:color="auto"/>
                      </w:divBdr>
                      <w:divsChild>
                        <w:div w:id="2104496822">
                          <w:marLeft w:val="0"/>
                          <w:marRight w:val="0"/>
                          <w:marTop w:val="0"/>
                          <w:marBottom w:val="0"/>
                          <w:divBdr>
                            <w:top w:val="none" w:sz="0" w:space="0" w:color="auto"/>
                            <w:left w:val="none" w:sz="0" w:space="0" w:color="auto"/>
                            <w:bottom w:val="none" w:sz="0" w:space="0" w:color="auto"/>
                            <w:right w:val="none" w:sz="0" w:space="0" w:color="auto"/>
                          </w:divBdr>
                          <w:divsChild>
                            <w:div w:id="210449680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925">
      <w:marLeft w:val="0"/>
      <w:marRight w:val="0"/>
      <w:marTop w:val="0"/>
      <w:marBottom w:val="0"/>
      <w:divBdr>
        <w:top w:val="none" w:sz="0" w:space="0" w:color="auto"/>
        <w:left w:val="none" w:sz="0" w:space="0" w:color="auto"/>
        <w:bottom w:val="none" w:sz="0" w:space="0" w:color="auto"/>
        <w:right w:val="none" w:sz="0" w:space="0" w:color="auto"/>
      </w:divBdr>
    </w:div>
    <w:div w:id="2104496929">
      <w:marLeft w:val="0"/>
      <w:marRight w:val="0"/>
      <w:marTop w:val="0"/>
      <w:marBottom w:val="0"/>
      <w:divBdr>
        <w:top w:val="single" w:sz="2" w:space="0" w:color="CC3640"/>
        <w:left w:val="none" w:sz="0" w:space="0" w:color="auto"/>
        <w:bottom w:val="none" w:sz="0" w:space="0" w:color="auto"/>
        <w:right w:val="none" w:sz="0" w:space="0" w:color="auto"/>
      </w:divBdr>
      <w:divsChild>
        <w:div w:id="2104496983">
          <w:marLeft w:val="0"/>
          <w:marRight w:val="0"/>
          <w:marTop w:val="0"/>
          <w:marBottom w:val="0"/>
          <w:divBdr>
            <w:top w:val="single" w:sz="2" w:space="0" w:color="FF0000"/>
            <w:left w:val="single" w:sz="2" w:space="0" w:color="FF0000"/>
            <w:bottom w:val="single" w:sz="2" w:space="0" w:color="FF0000"/>
            <w:right w:val="single" w:sz="2" w:space="0" w:color="FF0000"/>
          </w:divBdr>
          <w:divsChild>
            <w:div w:id="2104496885">
              <w:marLeft w:val="0"/>
              <w:marRight w:val="0"/>
              <w:marTop w:val="0"/>
              <w:marBottom w:val="0"/>
              <w:divBdr>
                <w:top w:val="none" w:sz="0" w:space="0" w:color="auto"/>
                <w:left w:val="single" w:sz="6" w:space="0" w:color="DDDDDD"/>
                <w:bottom w:val="none" w:sz="0" w:space="0" w:color="auto"/>
                <w:right w:val="none" w:sz="0" w:space="0" w:color="auto"/>
              </w:divBdr>
              <w:divsChild>
                <w:div w:id="2104497048">
                  <w:marLeft w:val="0"/>
                  <w:marRight w:val="0"/>
                  <w:marTop w:val="0"/>
                  <w:marBottom w:val="0"/>
                  <w:divBdr>
                    <w:top w:val="single" w:sz="2" w:space="0" w:color="008000"/>
                    <w:left w:val="single" w:sz="2" w:space="0" w:color="008000"/>
                    <w:bottom w:val="single" w:sz="2" w:space="0" w:color="008000"/>
                    <w:right w:val="single" w:sz="2" w:space="0" w:color="008000"/>
                  </w:divBdr>
                  <w:divsChild>
                    <w:div w:id="2104496843">
                      <w:marLeft w:val="0"/>
                      <w:marRight w:val="0"/>
                      <w:marTop w:val="0"/>
                      <w:marBottom w:val="0"/>
                      <w:divBdr>
                        <w:top w:val="none" w:sz="0" w:space="0" w:color="auto"/>
                        <w:left w:val="none" w:sz="0" w:space="0" w:color="auto"/>
                        <w:bottom w:val="none" w:sz="0" w:space="0" w:color="auto"/>
                        <w:right w:val="none" w:sz="0" w:space="0" w:color="auto"/>
                      </w:divBdr>
                      <w:divsChild>
                        <w:div w:id="2104496991">
                          <w:marLeft w:val="0"/>
                          <w:marRight w:val="0"/>
                          <w:marTop w:val="0"/>
                          <w:marBottom w:val="0"/>
                          <w:divBdr>
                            <w:top w:val="none" w:sz="0" w:space="0" w:color="auto"/>
                            <w:left w:val="none" w:sz="0" w:space="0" w:color="auto"/>
                            <w:bottom w:val="none" w:sz="0" w:space="0" w:color="auto"/>
                            <w:right w:val="none" w:sz="0" w:space="0" w:color="auto"/>
                          </w:divBdr>
                          <w:divsChild>
                            <w:div w:id="210449691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931">
      <w:marLeft w:val="0"/>
      <w:marRight w:val="0"/>
      <w:marTop w:val="0"/>
      <w:marBottom w:val="0"/>
      <w:divBdr>
        <w:top w:val="none" w:sz="0" w:space="0" w:color="auto"/>
        <w:left w:val="none" w:sz="0" w:space="0" w:color="auto"/>
        <w:bottom w:val="none" w:sz="0" w:space="0" w:color="auto"/>
        <w:right w:val="none" w:sz="0" w:space="0" w:color="auto"/>
      </w:divBdr>
      <w:divsChild>
        <w:div w:id="2104496915">
          <w:marLeft w:val="0"/>
          <w:marRight w:val="0"/>
          <w:marTop w:val="0"/>
          <w:marBottom w:val="240"/>
          <w:divBdr>
            <w:top w:val="none" w:sz="0" w:space="0" w:color="auto"/>
            <w:left w:val="none" w:sz="0" w:space="0" w:color="auto"/>
            <w:bottom w:val="single" w:sz="2" w:space="12" w:color="DFE8F0"/>
            <w:right w:val="none" w:sz="0" w:space="0" w:color="auto"/>
          </w:divBdr>
        </w:div>
        <w:div w:id="2104497051">
          <w:marLeft w:val="480"/>
          <w:marRight w:val="480"/>
          <w:marTop w:val="480"/>
          <w:marBottom w:val="480"/>
          <w:divBdr>
            <w:top w:val="none" w:sz="0" w:space="0" w:color="auto"/>
            <w:left w:val="none" w:sz="0" w:space="0" w:color="auto"/>
            <w:bottom w:val="none" w:sz="0" w:space="0" w:color="auto"/>
            <w:right w:val="none" w:sz="0" w:space="0" w:color="auto"/>
          </w:divBdr>
        </w:div>
      </w:divsChild>
    </w:div>
    <w:div w:id="2104496938">
      <w:marLeft w:val="0"/>
      <w:marRight w:val="0"/>
      <w:marTop w:val="0"/>
      <w:marBottom w:val="0"/>
      <w:divBdr>
        <w:top w:val="single" w:sz="2" w:space="0" w:color="CC3640"/>
        <w:left w:val="none" w:sz="0" w:space="0" w:color="auto"/>
        <w:bottom w:val="none" w:sz="0" w:space="0" w:color="auto"/>
        <w:right w:val="none" w:sz="0" w:space="0" w:color="auto"/>
      </w:divBdr>
      <w:divsChild>
        <w:div w:id="2104496741">
          <w:marLeft w:val="0"/>
          <w:marRight w:val="0"/>
          <w:marTop w:val="0"/>
          <w:marBottom w:val="0"/>
          <w:divBdr>
            <w:top w:val="single" w:sz="2" w:space="0" w:color="FF0000"/>
            <w:left w:val="single" w:sz="2" w:space="0" w:color="FF0000"/>
            <w:bottom w:val="single" w:sz="2" w:space="0" w:color="FF0000"/>
            <w:right w:val="single" w:sz="2" w:space="0" w:color="FF0000"/>
          </w:divBdr>
          <w:divsChild>
            <w:div w:id="2104496811">
              <w:marLeft w:val="0"/>
              <w:marRight w:val="0"/>
              <w:marTop w:val="0"/>
              <w:marBottom w:val="0"/>
              <w:divBdr>
                <w:top w:val="none" w:sz="0" w:space="0" w:color="auto"/>
                <w:left w:val="single" w:sz="6" w:space="0" w:color="DDDDDD"/>
                <w:bottom w:val="none" w:sz="0" w:space="0" w:color="auto"/>
                <w:right w:val="none" w:sz="0" w:space="0" w:color="auto"/>
              </w:divBdr>
              <w:divsChild>
                <w:div w:id="2104496957">
                  <w:marLeft w:val="0"/>
                  <w:marRight w:val="0"/>
                  <w:marTop w:val="0"/>
                  <w:marBottom w:val="0"/>
                  <w:divBdr>
                    <w:top w:val="single" w:sz="2" w:space="0" w:color="008000"/>
                    <w:left w:val="single" w:sz="2" w:space="0" w:color="008000"/>
                    <w:bottom w:val="single" w:sz="2" w:space="0" w:color="008000"/>
                    <w:right w:val="single" w:sz="2" w:space="0" w:color="008000"/>
                  </w:divBdr>
                  <w:divsChild>
                    <w:div w:id="2104496918">
                      <w:marLeft w:val="0"/>
                      <w:marRight w:val="0"/>
                      <w:marTop w:val="0"/>
                      <w:marBottom w:val="0"/>
                      <w:divBdr>
                        <w:top w:val="none" w:sz="0" w:space="0" w:color="auto"/>
                        <w:left w:val="none" w:sz="0" w:space="0" w:color="auto"/>
                        <w:bottom w:val="none" w:sz="0" w:space="0" w:color="auto"/>
                        <w:right w:val="none" w:sz="0" w:space="0" w:color="auto"/>
                      </w:divBdr>
                      <w:divsChild>
                        <w:div w:id="2104497055">
                          <w:marLeft w:val="0"/>
                          <w:marRight w:val="0"/>
                          <w:marTop w:val="0"/>
                          <w:marBottom w:val="0"/>
                          <w:divBdr>
                            <w:top w:val="none" w:sz="0" w:space="0" w:color="auto"/>
                            <w:left w:val="none" w:sz="0" w:space="0" w:color="auto"/>
                            <w:bottom w:val="none" w:sz="0" w:space="0" w:color="auto"/>
                            <w:right w:val="none" w:sz="0" w:space="0" w:color="auto"/>
                          </w:divBdr>
                          <w:divsChild>
                            <w:div w:id="210449687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940">
      <w:marLeft w:val="0"/>
      <w:marRight w:val="0"/>
      <w:marTop w:val="0"/>
      <w:marBottom w:val="0"/>
      <w:divBdr>
        <w:top w:val="single" w:sz="2" w:space="0" w:color="CC3640"/>
        <w:left w:val="none" w:sz="0" w:space="0" w:color="auto"/>
        <w:bottom w:val="none" w:sz="0" w:space="0" w:color="auto"/>
        <w:right w:val="none" w:sz="0" w:space="0" w:color="auto"/>
      </w:divBdr>
      <w:divsChild>
        <w:div w:id="2104496886">
          <w:marLeft w:val="0"/>
          <w:marRight w:val="0"/>
          <w:marTop w:val="0"/>
          <w:marBottom w:val="0"/>
          <w:divBdr>
            <w:top w:val="single" w:sz="2" w:space="0" w:color="FF0000"/>
            <w:left w:val="single" w:sz="2" w:space="0" w:color="FF0000"/>
            <w:bottom w:val="single" w:sz="2" w:space="0" w:color="FF0000"/>
            <w:right w:val="single" w:sz="2" w:space="0" w:color="FF0000"/>
          </w:divBdr>
          <w:divsChild>
            <w:div w:id="2104496746">
              <w:marLeft w:val="0"/>
              <w:marRight w:val="0"/>
              <w:marTop w:val="0"/>
              <w:marBottom w:val="0"/>
              <w:divBdr>
                <w:top w:val="none" w:sz="0" w:space="0" w:color="auto"/>
                <w:left w:val="single" w:sz="6" w:space="0" w:color="DDDDDD"/>
                <w:bottom w:val="none" w:sz="0" w:space="0" w:color="auto"/>
                <w:right w:val="none" w:sz="0" w:space="0" w:color="auto"/>
              </w:divBdr>
              <w:divsChild>
                <w:div w:id="2104496964">
                  <w:marLeft w:val="0"/>
                  <w:marRight w:val="0"/>
                  <w:marTop w:val="0"/>
                  <w:marBottom w:val="0"/>
                  <w:divBdr>
                    <w:top w:val="single" w:sz="2" w:space="0" w:color="008000"/>
                    <w:left w:val="single" w:sz="2" w:space="0" w:color="008000"/>
                    <w:bottom w:val="single" w:sz="2" w:space="0" w:color="008000"/>
                    <w:right w:val="single" w:sz="2" w:space="0" w:color="008000"/>
                  </w:divBdr>
                  <w:divsChild>
                    <w:div w:id="2104496997">
                      <w:marLeft w:val="0"/>
                      <w:marRight w:val="0"/>
                      <w:marTop w:val="0"/>
                      <w:marBottom w:val="0"/>
                      <w:divBdr>
                        <w:top w:val="none" w:sz="0" w:space="0" w:color="auto"/>
                        <w:left w:val="none" w:sz="0" w:space="0" w:color="auto"/>
                        <w:bottom w:val="none" w:sz="0" w:space="0" w:color="auto"/>
                        <w:right w:val="none" w:sz="0" w:space="0" w:color="auto"/>
                      </w:divBdr>
                      <w:divsChild>
                        <w:div w:id="2104497005">
                          <w:marLeft w:val="0"/>
                          <w:marRight w:val="0"/>
                          <w:marTop w:val="0"/>
                          <w:marBottom w:val="0"/>
                          <w:divBdr>
                            <w:top w:val="none" w:sz="0" w:space="0" w:color="auto"/>
                            <w:left w:val="none" w:sz="0" w:space="0" w:color="auto"/>
                            <w:bottom w:val="none" w:sz="0" w:space="0" w:color="auto"/>
                            <w:right w:val="none" w:sz="0" w:space="0" w:color="auto"/>
                          </w:divBdr>
                          <w:divsChild>
                            <w:div w:id="210449689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948">
      <w:marLeft w:val="0"/>
      <w:marRight w:val="0"/>
      <w:marTop w:val="0"/>
      <w:marBottom w:val="0"/>
      <w:divBdr>
        <w:top w:val="single" w:sz="2" w:space="0" w:color="CC3640"/>
        <w:left w:val="none" w:sz="0" w:space="0" w:color="auto"/>
        <w:bottom w:val="none" w:sz="0" w:space="0" w:color="auto"/>
        <w:right w:val="none" w:sz="0" w:space="0" w:color="auto"/>
      </w:divBdr>
      <w:divsChild>
        <w:div w:id="2104496989">
          <w:marLeft w:val="0"/>
          <w:marRight w:val="0"/>
          <w:marTop w:val="0"/>
          <w:marBottom w:val="0"/>
          <w:divBdr>
            <w:top w:val="single" w:sz="2" w:space="0" w:color="FF0000"/>
            <w:left w:val="single" w:sz="2" w:space="0" w:color="FF0000"/>
            <w:bottom w:val="single" w:sz="2" w:space="0" w:color="FF0000"/>
            <w:right w:val="single" w:sz="2" w:space="0" w:color="FF0000"/>
          </w:divBdr>
          <w:divsChild>
            <w:div w:id="2104497022">
              <w:marLeft w:val="0"/>
              <w:marRight w:val="0"/>
              <w:marTop w:val="0"/>
              <w:marBottom w:val="0"/>
              <w:divBdr>
                <w:top w:val="none" w:sz="0" w:space="0" w:color="auto"/>
                <w:left w:val="single" w:sz="6" w:space="0" w:color="DDDDDD"/>
                <w:bottom w:val="none" w:sz="0" w:space="0" w:color="auto"/>
                <w:right w:val="none" w:sz="0" w:space="0" w:color="auto"/>
              </w:divBdr>
              <w:divsChild>
                <w:div w:id="2104496982">
                  <w:marLeft w:val="0"/>
                  <w:marRight w:val="0"/>
                  <w:marTop w:val="0"/>
                  <w:marBottom w:val="0"/>
                  <w:divBdr>
                    <w:top w:val="single" w:sz="2" w:space="0" w:color="008000"/>
                    <w:left w:val="single" w:sz="2" w:space="0" w:color="008000"/>
                    <w:bottom w:val="single" w:sz="2" w:space="0" w:color="008000"/>
                    <w:right w:val="single" w:sz="2" w:space="0" w:color="008000"/>
                  </w:divBdr>
                  <w:divsChild>
                    <w:div w:id="2104496834">
                      <w:marLeft w:val="0"/>
                      <w:marRight w:val="0"/>
                      <w:marTop w:val="0"/>
                      <w:marBottom w:val="0"/>
                      <w:divBdr>
                        <w:top w:val="none" w:sz="0" w:space="0" w:color="auto"/>
                        <w:left w:val="none" w:sz="0" w:space="0" w:color="auto"/>
                        <w:bottom w:val="none" w:sz="0" w:space="0" w:color="auto"/>
                        <w:right w:val="none" w:sz="0" w:space="0" w:color="auto"/>
                      </w:divBdr>
                      <w:divsChild>
                        <w:div w:id="2104496916">
                          <w:marLeft w:val="0"/>
                          <w:marRight w:val="0"/>
                          <w:marTop w:val="0"/>
                          <w:marBottom w:val="0"/>
                          <w:divBdr>
                            <w:top w:val="none" w:sz="0" w:space="0" w:color="auto"/>
                            <w:left w:val="none" w:sz="0" w:space="0" w:color="auto"/>
                            <w:bottom w:val="none" w:sz="0" w:space="0" w:color="auto"/>
                            <w:right w:val="none" w:sz="0" w:space="0" w:color="auto"/>
                          </w:divBdr>
                          <w:divsChild>
                            <w:div w:id="210449679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953">
      <w:marLeft w:val="0"/>
      <w:marRight w:val="0"/>
      <w:marTop w:val="0"/>
      <w:marBottom w:val="0"/>
      <w:divBdr>
        <w:top w:val="single" w:sz="2" w:space="0" w:color="CC3640"/>
        <w:left w:val="none" w:sz="0" w:space="0" w:color="auto"/>
        <w:bottom w:val="none" w:sz="0" w:space="0" w:color="auto"/>
        <w:right w:val="none" w:sz="0" w:space="0" w:color="auto"/>
      </w:divBdr>
      <w:divsChild>
        <w:div w:id="2104496782">
          <w:marLeft w:val="0"/>
          <w:marRight w:val="0"/>
          <w:marTop w:val="0"/>
          <w:marBottom w:val="0"/>
          <w:divBdr>
            <w:top w:val="single" w:sz="2" w:space="0" w:color="FF0000"/>
            <w:left w:val="single" w:sz="2" w:space="0" w:color="FF0000"/>
            <w:bottom w:val="single" w:sz="2" w:space="0" w:color="FF0000"/>
            <w:right w:val="single" w:sz="2" w:space="0" w:color="FF0000"/>
          </w:divBdr>
          <w:divsChild>
            <w:div w:id="2104496742">
              <w:marLeft w:val="0"/>
              <w:marRight w:val="0"/>
              <w:marTop w:val="0"/>
              <w:marBottom w:val="0"/>
              <w:divBdr>
                <w:top w:val="none" w:sz="0" w:space="0" w:color="auto"/>
                <w:left w:val="single" w:sz="6" w:space="0" w:color="DDDDDD"/>
                <w:bottom w:val="none" w:sz="0" w:space="0" w:color="auto"/>
                <w:right w:val="none" w:sz="0" w:space="0" w:color="auto"/>
              </w:divBdr>
              <w:divsChild>
                <w:div w:id="2104496780">
                  <w:marLeft w:val="0"/>
                  <w:marRight w:val="0"/>
                  <w:marTop w:val="0"/>
                  <w:marBottom w:val="0"/>
                  <w:divBdr>
                    <w:top w:val="single" w:sz="2" w:space="0" w:color="008000"/>
                    <w:left w:val="single" w:sz="2" w:space="0" w:color="008000"/>
                    <w:bottom w:val="single" w:sz="2" w:space="0" w:color="008000"/>
                    <w:right w:val="single" w:sz="2" w:space="0" w:color="008000"/>
                  </w:divBdr>
                  <w:divsChild>
                    <w:div w:id="2104496858">
                      <w:marLeft w:val="0"/>
                      <w:marRight w:val="0"/>
                      <w:marTop w:val="0"/>
                      <w:marBottom w:val="0"/>
                      <w:divBdr>
                        <w:top w:val="none" w:sz="0" w:space="0" w:color="auto"/>
                        <w:left w:val="none" w:sz="0" w:space="0" w:color="auto"/>
                        <w:bottom w:val="none" w:sz="0" w:space="0" w:color="auto"/>
                        <w:right w:val="none" w:sz="0" w:space="0" w:color="auto"/>
                      </w:divBdr>
                      <w:divsChild>
                        <w:div w:id="2104496898">
                          <w:marLeft w:val="0"/>
                          <w:marRight w:val="0"/>
                          <w:marTop w:val="0"/>
                          <w:marBottom w:val="0"/>
                          <w:divBdr>
                            <w:top w:val="none" w:sz="0" w:space="0" w:color="auto"/>
                            <w:left w:val="none" w:sz="0" w:space="0" w:color="auto"/>
                            <w:bottom w:val="none" w:sz="0" w:space="0" w:color="auto"/>
                            <w:right w:val="none" w:sz="0" w:space="0" w:color="auto"/>
                          </w:divBdr>
                          <w:divsChild>
                            <w:div w:id="2104496812">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961">
      <w:marLeft w:val="0"/>
      <w:marRight w:val="0"/>
      <w:marTop w:val="0"/>
      <w:marBottom w:val="0"/>
      <w:divBdr>
        <w:top w:val="single" w:sz="2" w:space="0" w:color="CC3640"/>
        <w:left w:val="none" w:sz="0" w:space="0" w:color="auto"/>
        <w:bottom w:val="none" w:sz="0" w:space="0" w:color="auto"/>
        <w:right w:val="none" w:sz="0" w:space="0" w:color="auto"/>
      </w:divBdr>
      <w:divsChild>
        <w:div w:id="2104496999">
          <w:marLeft w:val="0"/>
          <w:marRight w:val="0"/>
          <w:marTop w:val="0"/>
          <w:marBottom w:val="0"/>
          <w:divBdr>
            <w:top w:val="single" w:sz="2" w:space="0" w:color="FF0000"/>
            <w:left w:val="single" w:sz="2" w:space="0" w:color="FF0000"/>
            <w:bottom w:val="single" w:sz="2" w:space="0" w:color="FF0000"/>
            <w:right w:val="single" w:sz="2" w:space="0" w:color="FF0000"/>
          </w:divBdr>
          <w:divsChild>
            <w:div w:id="2104496833">
              <w:marLeft w:val="0"/>
              <w:marRight w:val="0"/>
              <w:marTop w:val="0"/>
              <w:marBottom w:val="0"/>
              <w:divBdr>
                <w:top w:val="none" w:sz="0" w:space="0" w:color="auto"/>
                <w:left w:val="single" w:sz="6" w:space="0" w:color="DDDDDD"/>
                <w:bottom w:val="none" w:sz="0" w:space="0" w:color="auto"/>
                <w:right w:val="none" w:sz="0" w:space="0" w:color="auto"/>
              </w:divBdr>
              <w:divsChild>
                <w:div w:id="2104496775">
                  <w:marLeft w:val="0"/>
                  <w:marRight w:val="0"/>
                  <w:marTop w:val="0"/>
                  <w:marBottom w:val="0"/>
                  <w:divBdr>
                    <w:top w:val="single" w:sz="2" w:space="0" w:color="008000"/>
                    <w:left w:val="single" w:sz="2" w:space="0" w:color="008000"/>
                    <w:bottom w:val="single" w:sz="2" w:space="0" w:color="008000"/>
                    <w:right w:val="single" w:sz="2" w:space="0" w:color="008000"/>
                  </w:divBdr>
                  <w:divsChild>
                    <w:div w:id="2104496887">
                      <w:marLeft w:val="0"/>
                      <w:marRight w:val="0"/>
                      <w:marTop w:val="0"/>
                      <w:marBottom w:val="0"/>
                      <w:divBdr>
                        <w:top w:val="none" w:sz="0" w:space="0" w:color="auto"/>
                        <w:left w:val="none" w:sz="0" w:space="0" w:color="auto"/>
                        <w:bottom w:val="none" w:sz="0" w:space="0" w:color="auto"/>
                        <w:right w:val="none" w:sz="0" w:space="0" w:color="auto"/>
                      </w:divBdr>
                      <w:divsChild>
                        <w:div w:id="2104496839">
                          <w:marLeft w:val="0"/>
                          <w:marRight w:val="0"/>
                          <w:marTop w:val="0"/>
                          <w:marBottom w:val="0"/>
                          <w:divBdr>
                            <w:top w:val="none" w:sz="0" w:space="0" w:color="auto"/>
                            <w:left w:val="none" w:sz="0" w:space="0" w:color="auto"/>
                            <w:bottom w:val="none" w:sz="0" w:space="0" w:color="auto"/>
                            <w:right w:val="none" w:sz="0" w:space="0" w:color="auto"/>
                          </w:divBdr>
                          <w:divsChild>
                            <w:div w:id="210449679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962">
      <w:marLeft w:val="0"/>
      <w:marRight w:val="0"/>
      <w:marTop w:val="0"/>
      <w:marBottom w:val="0"/>
      <w:divBdr>
        <w:top w:val="single" w:sz="2" w:space="0" w:color="CC3640"/>
        <w:left w:val="none" w:sz="0" w:space="0" w:color="auto"/>
        <w:bottom w:val="none" w:sz="0" w:space="0" w:color="auto"/>
        <w:right w:val="none" w:sz="0" w:space="0" w:color="auto"/>
      </w:divBdr>
      <w:divsChild>
        <w:div w:id="2104496827">
          <w:marLeft w:val="0"/>
          <w:marRight w:val="0"/>
          <w:marTop w:val="0"/>
          <w:marBottom w:val="0"/>
          <w:divBdr>
            <w:top w:val="single" w:sz="2" w:space="0" w:color="FF0000"/>
            <w:left w:val="single" w:sz="2" w:space="0" w:color="FF0000"/>
            <w:bottom w:val="single" w:sz="2" w:space="0" w:color="FF0000"/>
            <w:right w:val="single" w:sz="2" w:space="0" w:color="FF0000"/>
          </w:divBdr>
          <w:divsChild>
            <w:div w:id="2104496878">
              <w:marLeft w:val="0"/>
              <w:marRight w:val="0"/>
              <w:marTop w:val="0"/>
              <w:marBottom w:val="0"/>
              <w:divBdr>
                <w:top w:val="none" w:sz="0" w:space="0" w:color="auto"/>
                <w:left w:val="single" w:sz="6" w:space="0" w:color="DDDDDD"/>
                <w:bottom w:val="none" w:sz="0" w:space="0" w:color="auto"/>
                <w:right w:val="none" w:sz="0" w:space="0" w:color="auto"/>
              </w:divBdr>
              <w:divsChild>
                <w:div w:id="2104496765">
                  <w:marLeft w:val="0"/>
                  <w:marRight w:val="0"/>
                  <w:marTop w:val="0"/>
                  <w:marBottom w:val="0"/>
                  <w:divBdr>
                    <w:top w:val="single" w:sz="2" w:space="0" w:color="008000"/>
                    <w:left w:val="single" w:sz="2" w:space="0" w:color="008000"/>
                    <w:bottom w:val="single" w:sz="2" w:space="0" w:color="008000"/>
                    <w:right w:val="single" w:sz="2" w:space="0" w:color="008000"/>
                  </w:divBdr>
                  <w:divsChild>
                    <w:div w:id="2104496986">
                      <w:marLeft w:val="0"/>
                      <w:marRight w:val="0"/>
                      <w:marTop w:val="0"/>
                      <w:marBottom w:val="0"/>
                      <w:divBdr>
                        <w:top w:val="none" w:sz="0" w:space="0" w:color="auto"/>
                        <w:left w:val="none" w:sz="0" w:space="0" w:color="auto"/>
                        <w:bottom w:val="none" w:sz="0" w:space="0" w:color="auto"/>
                        <w:right w:val="none" w:sz="0" w:space="0" w:color="auto"/>
                      </w:divBdr>
                      <w:divsChild>
                        <w:div w:id="2104496847">
                          <w:marLeft w:val="0"/>
                          <w:marRight w:val="0"/>
                          <w:marTop w:val="0"/>
                          <w:marBottom w:val="0"/>
                          <w:divBdr>
                            <w:top w:val="none" w:sz="0" w:space="0" w:color="auto"/>
                            <w:left w:val="none" w:sz="0" w:space="0" w:color="auto"/>
                            <w:bottom w:val="none" w:sz="0" w:space="0" w:color="auto"/>
                            <w:right w:val="none" w:sz="0" w:space="0" w:color="auto"/>
                          </w:divBdr>
                          <w:divsChild>
                            <w:div w:id="210449702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969">
      <w:marLeft w:val="0"/>
      <w:marRight w:val="0"/>
      <w:marTop w:val="0"/>
      <w:marBottom w:val="0"/>
      <w:divBdr>
        <w:top w:val="single" w:sz="2" w:space="0" w:color="CC3640"/>
        <w:left w:val="none" w:sz="0" w:space="0" w:color="auto"/>
        <w:bottom w:val="none" w:sz="0" w:space="0" w:color="auto"/>
        <w:right w:val="none" w:sz="0" w:space="0" w:color="auto"/>
      </w:divBdr>
      <w:divsChild>
        <w:div w:id="2104496955">
          <w:marLeft w:val="0"/>
          <w:marRight w:val="0"/>
          <w:marTop w:val="0"/>
          <w:marBottom w:val="0"/>
          <w:divBdr>
            <w:top w:val="single" w:sz="2" w:space="0" w:color="FF0000"/>
            <w:left w:val="single" w:sz="2" w:space="0" w:color="FF0000"/>
            <w:bottom w:val="single" w:sz="2" w:space="0" w:color="FF0000"/>
            <w:right w:val="single" w:sz="2" w:space="0" w:color="FF0000"/>
          </w:divBdr>
          <w:divsChild>
            <w:div w:id="2104496844">
              <w:marLeft w:val="0"/>
              <w:marRight w:val="0"/>
              <w:marTop w:val="0"/>
              <w:marBottom w:val="0"/>
              <w:divBdr>
                <w:top w:val="none" w:sz="0" w:space="0" w:color="auto"/>
                <w:left w:val="single" w:sz="6" w:space="0" w:color="DDDDDD"/>
                <w:bottom w:val="none" w:sz="0" w:space="0" w:color="auto"/>
                <w:right w:val="none" w:sz="0" w:space="0" w:color="auto"/>
              </w:divBdr>
              <w:divsChild>
                <w:div w:id="2104496803">
                  <w:marLeft w:val="0"/>
                  <w:marRight w:val="0"/>
                  <w:marTop w:val="0"/>
                  <w:marBottom w:val="0"/>
                  <w:divBdr>
                    <w:top w:val="single" w:sz="2" w:space="0" w:color="008000"/>
                    <w:left w:val="single" w:sz="2" w:space="0" w:color="008000"/>
                    <w:bottom w:val="single" w:sz="2" w:space="0" w:color="008000"/>
                    <w:right w:val="single" w:sz="2" w:space="0" w:color="008000"/>
                  </w:divBdr>
                  <w:divsChild>
                    <w:div w:id="2104497056">
                      <w:marLeft w:val="0"/>
                      <w:marRight w:val="0"/>
                      <w:marTop w:val="0"/>
                      <w:marBottom w:val="0"/>
                      <w:divBdr>
                        <w:top w:val="none" w:sz="0" w:space="0" w:color="auto"/>
                        <w:left w:val="none" w:sz="0" w:space="0" w:color="auto"/>
                        <w:bottom w:val="none" w:sz="0" w:space="0" w:color="auto"/>
                        <w:right w:val="none" w:sz="0" w:space="0" w:color="auto"/>
                      </w:divBdr>
                      <w:divsChild>
                        <w:div w:id="2104496862">
                          <w:marLeft w:val="0"/>
                          <w:marRight w:val="0"/>
                          <w:marTop w:val="0"/>
                          <w:marBottom w:val="0"/>
                          <w:divBdr>
                            <w:top w:val="none" w:sz="0" w:space="0" w:color="auto"/>
                            <w:left w:val="none" w:sz="0" w:space="0" w:color="auto"/>
                            <w:bottom w:val="none" w:sz="0" w:space="0" w:color="auto"/>
                            <w:right w:val="none" w:sz="0" w:space="0" w:color="auto"/>
                          </w:divBdr>
                          <w:divsChild>
                            <w:div w:id="2104496762">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973">
      <w:marLeft w:val="0"/>
      <w:marRight w:val="0"/>
      <w:marTop w:val="0"/>
      <w:marBottom w:val="0"/>
      <w:divBdr>
        <w:top w:val="single" w:sz="2" w:space="0" w:color="CC3640"/>
        <w:left w:val="none" w:sz="0" w:space="0" w:color="auto"/>
        <w:bottom w:val="none" w:sz="0" w:space="0" w:color="auto"/>
        <w:right w:val="none" w:sz="0" w:space="0" w:color="auto"/>
      </w:divBdr>
      <w:divsChild>
        <w:div w:id="2104497009">
          <w:marLeft w:val="0"/>
          <w:marRight w:val="0"/>
          <w:marTop w:val="0"/>
          <w:marBottom w:val="0"/>
          <w:divBdr>
            <w:top w:val="single" w:sz="2" w:space="0" w:color="FF0000"/>
            <w:left w:val="single" w:sz="2" w:space="0" w:color="FF0000"/>
            <w:bottom w:val="single" w:sz="2" w:space="0" w:color="FF0000"/>
            <w:right w:val="single" w:sz="2" w:space="0" w:color="FF0000"/>
          </w:divBdr>
          <w:divsChild>
            <w:div w:id="2104496939">
              <w:marLeft w:val="0"/>
              <w:marRight w:val="0"/>
              <w:marTop w:val="0"/>
              <w:marBottom w:val="0"/>
              <w:divBdr>
                <w:top w:val="none" w:sz="0" w:space="0" w:color="auto"/>
                <w:left w:val="single" w:sz="6" w:space="0" w:color="DDDDDD"/>
                <w:bottom w:val="none" w:sz="0" w:space="0" w:color="auto"/>
                <w:right w:val="none" w:sz="0" w:space="0" w:color="auto"/>
              </w:divBdr>
              <w:divsChild>
                <w:div w:id="2104496747">
                  <w:marLeft w:val="0"/>
                  <w:marRight w:val="0"/>
                  <w:marTop w:val="0"/>
                  <w:marBottom w:val="0"/>
                  <w:divBdr>
                    <w:top w:val="single" w:sz="2" w:space="0" w:color="008000"/>
                    <w:left w:val="single" w:sz="2" w:space="0" w:color="008000"/>
                    <w:bottom w:val="single" w:sz="2" w:space="0" w:color="008000"/>
                    <w:right w:val="single" w:sz="2" w:space="0" w:color="008000"/>
                  </w:divBdr>
                  <w:divsChild>
                    <w:div w:id="2104496945">
                      <w:marLeft w:val="0"/>
                      <w:marRight w:val="0"/>
                      <w:marTop w:val="0"/>
                      <w:marBottom w:val="0"/>
                      <w:divBdr>
                        <w:top w:val="none" w:sz="0" w:space="0" w:color="auto"/>
                        <w:left w:val="none" w:sz="0" w:space="0" w:color="auto"/>
                        <w:bottom w:val="none" w:sz="0" w:space="0" w:color="auto"/>
                        <w:right w:val="none" w:sz="0" w:space="0" w:color="auto"/>
                      </w:divBdr>
                      <w:divsChild>
                        <w:div w:id="2104496754">
                          <w:marLeft w:val="0"/>
                          <w:marRight w:val="0"/>
                          <w:marTop w:val="0"/>
                          <w:marBottom w:val="0"/>
                          <w:divBdr>
                            <w:top w:val="none" w:sz="0" w:space="0" w:color="auto"/>
                            <w:left w:val="none" w:sz="0" w:space="0" w:color="auto"/>
                            <w:bottom w:val="none" w:sz="0" w:space="0" w:color="auto"/>
                            <w:right w:val="none" w:sz="0" w:space="0" w:color="auto"/>
                          </w:divBdr>
                          <w:divsChild>
                            <w:div w:id="210449702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6975">
      <w:marLeft w:val="0"/>
      <w:marRight w:val="0"/>
      <w:marTop w:val="0"/>
      <w:marBottom w:val="0"/>
      <w:divBdr>
        <w:top w:val="none" w:sz="0" w:space="0" w:color="auto"/>
        <w:left w:val="none" w:sz="0" w:space="0" w:color="auto"/>
        <w:bottom w:val="none" w:sz="0" w:space="0" w:color="auto"/>
        <w:right w:val="none" w:sz="0" w:space="0" w:color="auto"/>
      </w:divBdr>
    </w:div>
    <w:div w:id="2104496981">
      <w:marLeft w:val="0"/>
      <w:marRight w:val="0"/>
      <w:marTop w:val="0"/>
      <w:marBottom w:val="0"/>
      <w:divBdr>
        <w:top w:val="none" w:sz="0" w:space="0" w:color="auto"/>
        <w:left w:val="none" w:sz="0" w:space="0" w:color="auto"/>
        <w:bottom w:val="none" w:sz="0" w:space="0" w:color="auto"/>
        <w:right w:val="none" w:sz="0" w:space="0" w:color="auto"/>
      </w:divBdr>
      <w:divsChild>
        <w:div w:id="2104496863">
          <w:marLeft w:val="0"/>
          <w:marRight w:val="0"/>
          <w:marTop w:val="0"/>
          <w:marBottom w:val="188"/>
          <w:divBdr>
            <w:top w:val="none" w:sz="0" w:space="0" w:color="auto"/>
            <w:left w:val="none" w:sz="0" w:space="0" w:color="auto"/>
            <w:bottom w:val="none" w:sz="0" w:space="0" w:color="auto"/>
            <w:right w:val="none" w:sz="0" w:space="0" w:color="auto"/>
          </w:divBdr>
        </w:div>
        <w:div w:id="2104496990">
          <w:marLeft w:val="0"/>
          <w:marRight w:val="0"/>
          <w:marTop w:val="0"/>
          <w:marBottom w:val="0"/>
          <w:divBdr>
            <w:top w:val="none" w:sz="0" w:space="0" w:color="auto"/>
            <w:left w:val="none" w:sz="0" w:space="0" w:color="auto"/>
            <w:bottom w:val="none" w:sz="0" w:space="0" w:color="auto"/>
            <w:right w:val="none" w:sz="0" w:space="0" w:color="auto"/>
          </w:divBdr>
        </w:div>
      </w:divsChild>
    </w:div>
    <w:div w:id="2104496988">
      <w:marLeft w:val="0"/>
      <w:marRight w:val="0"/>
      <w:marTop w:val="0"/>
      <w:marBottom w:val="0"/>
      <w:divBdr>
        <w:top w:val="none" w:sz="0" w:space="0" w:color="auto"/>
        <w:left w:val="none" w:sz="0" w:space="0" w:color="auto"/>
        <w:bottom w:val="none" w:sz="0" w:space="0" w:color="auto"/>
        <w:right w:val="none" w:sz="0" w:space="0" w:color="auto"/>
      </w:divBdr>
    </w:div>
    <w:div w:id="2104496995">
      <w:marLeft w:val="0"/>
      <w:marRight w:val="0"/>
      <w:marTop w:val="0"/>
      <w:marBottom w:val="0"/>
      <w:divBdr>
        <w:top w:val="none" w:sz="0" w:space="0" w:color="auto"/>
        <w:left w:val="none" w:sz="0" w:space="0" w:color="auto"/>
        <w:bottom w:val="none" w:sz="0" w:space="0" w:color="auto"/>
        <w:right w:val="none" w:sz="0" w:space="0" w:color="auto"/>
      </w:divBdr>
      <w:divsChild>
        <w:div w:id="2104496946">
          <w:marLeft w:val="0"/>
          <w:marRight w:val="0"/>
          <w:marTop w:val="0"/>
          <w:marBottom w:val="0"/>
          <w:divBdr>
            <w:top w:val="none" w:sz="0" w:space="0" w:color="auto"/>
            <w:left w:val="none" w:sz="0" w:space="0" w:color="auto"/>
            <w:bottom w:val="none" w:sz="0" w:space="0" w:color="auto"/>
            <w:right w:val="none" w:sz="0" w:space="0" w:color="auto"/>
          </w:divBdr>
          <w:divsChild>
            <w:div w:id="2104496855">
              <w:marLeft w:val="0"/>
              <w:marRight w:val="0"/>
              <w:marTop w:val="0"/>
              <w:marBottom w:val="0"/>
              <w:divBdr>
                <w:top w:val="none" w:sz="0" w:space="0" w:color="auto"/>
                <w:left w:val="none" w:sz="0" w:space="0" w:color="auto"/>
                <w:bottom w:val="none" w:sz="0" w:space="0" w:color="auto"/>
                <w:right w:val="none" w:sz="0" w:space="0" w:color="auto"/>
              </w:divBdr>
              <w:divsChild>
                <w:div w:id="2104497042">
                  <w:marLeft w:val="0"/>
                  <w:marRight w:val="0"/>
                  <w:marTop w:val="0"/>
                  <w:marBottom w:val="0"/>
                  <w:divBdr>
                    <w:top w:val="none" w:sz="0" w:space="0" w:color="auto"/>
                    <w:left w:val="none" w:sz="0" w:space="0" w:color="auto"/>
                    <w:bottom w:val="none" w:sz="0" w:space="0" w:color="auto"/>
                    <w:right w:val="none" w:sz="0" w:space="0" w:color="auto"/>
                  </w:divBdr>
                  <w:divsChild>
                    <w:div w:id="2104496960">
                      <w:marLeft w:val="0"/>
                      <w:marRight w:val="0"/>
                      <w:marTop w:val="0"/>
                      <w:marBottom w:val="0"/>
                      <w:divBdr>
                        <w:top w:val="none" w:sz="0" w:space="0" w:color="auto"/>
                        <w:left w:val="none" w:sz="0" w:space="0" w:color="auto"/>
                        <w:bottom w:val="none" w:sz="0" w:space="0" w:color="auto"/>
                        <w:right w:val="none" w:sz="0" w:space="0" w:color="auto"/>
                      </w:divBdr>
                      <w:divsChild>
                        <w:div w:id="210449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4497001">
      <w:marLeft w:val="0"/>
      <w:marRight w:val="0"/>
      <w:marTop w:val="0"/>
      <w:marBottom w:val="0"/>
      <w:divBdr>
        <w:top w:val="single" w:sz="2" w:space="0" w:color="CC3640"/>
        <w:left w:val="none" w:sz="0" w:space="0" w:color="auto"/>
        <w:bottom w:val="none" w:sz="0" w:space="0" w:color="auto"/>
        <w:right w:val="none" w:sz="0" w:space="0" w:color="auto"/>
      </w:divBdr>
      <w:divsChild>
        <w:div w:id="2104496748">
          <w:marLeft w:val="0"/>
          <w:marRight w:val="0"/>
          <w:marTop w:val="0"/>
          <w:marBottom w:val="0"/>
          <w:divBdr>
            <w:top w:val="single" w:sz="2" w:space="0" w:color="FF0000"/>
            <w:left w:val="single" w:sz="2" w:space="0" w:color="FF0000"/>
            <w:bottom w:val="single" w:sz="2" w:space="0" w:color="FF0000"/>
            <w:right w:val="single" w:sz="2" w:space="0" w:color="FF0000"/>
          </w:divBdr>
          <w:divsChild>
            <w:div w:id="2104497006">
              <w:marLeft w:val="0"/>
              <w:marRight w:val="0"/>
              <w:marTop w:val="0"/>
              <w:marBottom w:val="0"/>
              <w:divBdr>
                <w:top w:val="none" w:sz="0" w:space="0" w:color="auto"/>
                <w:left w:val="single" w:sz="6" w:space="0" w:color="DDDDDD"/>
                <w:bottom w:val="none" w:sz="0" w:space="0" w:color="auto"/>
                <w:right w:val="none" w:sz="0" w:space="0" w:color="auto"/>
              </w:divBdr>
              <w:divsChild>
                <w:div w:id="2104496866">
                  <w:marLeft w:val="0"/>
                  <w:marRight w:val="0"/>
                  <w:marTop w:val="0"/>
                  <w:marBottom w:val="0"/>
                  <w:divBdr>
                    <w:top w:val="single" w:sz="2" w:space="0" w:color="008000"/>
                    <w:left w:val="single" w:sz="2" w:space="0" w:color="008000"/>
                    <w:bottom w:val="single" w:sz="2" w:space="0" w:color="008000"/>
                    <w:right w:val="single" w:sz="2" w:space="0" w:color="008000"/>
                  </w:divBdr>
                  <w:divsChild>
                    <w:div w:id="2104496971">
                      <w:marLeft w:val="0"/>
                      <w:marRight w:val="0"/>
                      <w:marTop w:val="0"/>
                      <w:marBottom w:val="0"/>
                      <w:divBdr>
                        <w:top w:val="none" w:sz="0" w:space="0" w:color="auto"/>
                        <w:left w:val="none" w:sz="0" w:space="0" w:color="auto"/>
                        <w:bottom w:val="none" w:sz="0" w:space="0" w:color="auto"/>
                        <w:right w:val="none" w:sz="0" w:space="0" w:color="auto"/>
                      </w:divBdr>
                      <w:divsChild>
                        <w:div w:id="2104496966">
                          <w:marLeft w:val="0"/>
                          <w:marRight w:val="0"/>
                          <w:marTop w:val="0"/>
                          <w:marBottom w:val="0"/>
                          <w:divBdr>
                            <w:top w:val="none" w:sz="0" w:space="0" w:color="auto"/>
                            <w:left w:val="none" w:sz="0" w:space="0" w:color="auto"/>
                            <w:bottom w:val="none" w:sz="0" w:space="0" w:color="auto"/>
                            <w:right w:val="none" w:sz="0" w:space="0" w:color="auto"/>
                          </w:divBdr>
                          <w:divsChild>
                            <w:div w:id="210449690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7011">
      <w:marLeft w:val="0"/>
      <w:marRight w:val="0"/>
      <w:marTop w:val="0"/>
      <w:marBottom w:val="0"/>
      <w:divBdr>
        <w:top w:val="single" w:sz="2" w:space="0" w:color="CC3640"/>
        <w:left w:val="none" w:sz="0" w:space="0" w:color="auto"/>
        <w:bottom w:val="none" w:sz="0" w:space="0" w:color="auto"/>
        <w:right w:val="none" w:sz="0" w:space="0" w:color="auto"/>
      </w:divBdr>
      <w:divsChild>
        <w:div w:id="2104496985">
          <w:marLeft w:val="0"/>
          <w:marRight w:val="0"/>
          <w:marTop w:val="0"/>
          <w:marBottom w:val="0"/>
          <w:divBdr>
            <w:top w:val="single" w:sz="2" w:space="0" w:color="FF0000"/>
            <w:left w:val="single" w:sz="2" w:space="0" w:color="FF0000"/>
            <w:bottom w:val="single" w:sz="2" w:space="0" w:color="FF0000"/>
            <w:right w:val="single" w:sz="2" w:space="0" w:color="FF0000"/>
          </w:divBdr>
          <w:divsChild>
            <w:div w:id="2104496972">
              <w:marLeft w:val="0"/>
              <w:marRight w:val="0"/>
              <w:marTop w:val="0"/>
              <w:marBottom w:val="0"/>
              <w:divBdr>
                <w:top w:val="none" w:sz="0" w:space="0" w:color="auto"/>
                <w:left w:val="single" w:sz="6" w:space="0" w:color="DDDDDD"/>
                <w:bottom w:val="none" w:sz="0" w:space="0" w:color="auto"/>
                <w:right w:val="none" w:sz="0" w:space="0" w:color="auto"/>
              </w:divBdr>
              <w:divsChild>
                <w:div w:id="2104496876">
                  <w:marLeft w:val="0"/>
                  <w:marRight w:val="0"/>
                  <w:marTop w:val="0"/>
                  <w:marBottom w:val="0"/>
                  <w:divBdr>
                    <w:top w:val="single" w:sz="2" w:space="0" w:color="008000"/>
                    <w:left w:val="single" w:sz="2" w:space="0" w:color="008000"/>
                    <w:bottom w:val="single" w:sz="2" w:space="0" w:color="008000"/>
                    <w:right w:val="single" w:sz="2" w:space="0" w:color="008000"/>
                  </w:divBdr>
                  <w:divsChild>
                    <w:div w:id="2104496826">
                      <w:marLeft w:val="0"/>
                      <w:marRight w:val="0"/>
                      <w:marTop w:val="0"/>
                      <w:marBottom w:val="0"/>
                      <w:divBdr>
                        <w:top w:val="none" w:sz="0" w:space="0" w:color="auto"/>
                        <w:left w:val="none" w:sz="0" w:space="0" w:color="auto"/>
                        <w:bottom w:val="none" w:sz="0" w:space="0" w:color="auto"/>
                        <w:right w:val="none" w:sz="0" w:space="0" w:color="auto"/>
                      </w:divBdr>
                      <w:divsChild>
                        <w:div w:id="2104496901">
                          <w:marLeft w:val="0"/>
                          <w:marRight w:val="0"/>
                          <w:marTop w:val="0"/>
                          <w:marBottom w:val="0"/>
                          <w:divBdr>
                            <w:top w:val="none" w:sz="0" w:space="0" w:color="auto"/>
                            <w:left w:val="none" w:sz="0" w:space="0" w:color="auto"/>
                            <w:bottom w:val="none" w:sz="0" w:space="0" w:color="auto"/>
                            <w:right w:val="none" w:sz="0" w:space="0" w:color="auto"/>
                          </w:divBdr>
                          <w:divsChild>
                            <w:div w:id="210449692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7013">
      <w:marLeft w:val="0"/>
      <w:marRight w:val="0"/>
      <w:marTop w:val="0"/>
      <w:marBottom w:val="0"/>
      <w:divBdr>
        <w:top w:val="single" w:sz="2" w:space="0" w:color="CC3640"/>
        <w:left w:val="none" w:sz="0" w:space="0" w:color="auto"/>
        <w:bottom w:val="none" w:sz="0" w:space="0" w:color="auto"/>
        <w:right w:val="none" w:sz="0" w:space="0" w:color="auto"/>
      </w:divBdr>
      <w:divsChild>
        <w:div w:id="2104496814">
          <w:marLeft w:val="0"/>
          <w:marRight w:val="0"/>
          <w:marTop w:val="0"/>
          <w:marBottom w:val="0"/>
          <w:divBdr>
            <w:top w:val="single" w:sz="2" w:space="0" w:color="FF0000"/>
            <w:left w:val="single" w:sz="2" w:space="0" w:color="FF0000"/>
            <w:bottom w:val="single" w:sz="2" w:space="0" w:color="FF0000"/>
            <w:right w:val="single" w:sz="2" w:space="0" w:color="FF0000"/>
          </w:divBdr>
          <w:divsChild>
            <w:div w:id="2104496882">
              <w:marLeft w:val="0"/>
              <w:marRight w:val="0"/>
              <w:marTop w:val="0"/>
              <w:marBottom w:val="0"/>
              <w:divBdr>
                <w:top w:val="none" w:sz="0" w:space="0" w:color="auto"/>
                <w:left w:val="single" w:sz="6" w:space="0" w:color="DDDDDD"/>
                <w:bottom w:val="none" w:sz="0" w:space="0" w:color="auto"/>
                <w:right w:val="none" w:sz="0" w:space="0" w:color="auto"/>
              </w:divBdr>
              <w:divsChild>
                <w:div w:id="2104496992">
                  <w:marLeft w:val="0"/>
                  <w:marRight w:val="0"/>
                  <w:marTop w:val="0"/>
                  <w:marBottom w:val="0"/>
                  <w:divBdr>
                    <w:top w:val="single" w:sz="2" w:space="0" w:color="008000"/>
                    <w:left w:val="single" w:sz="2" w:space="0" w:color="008000"/>
                    <w:bottom w:val="single" w:sz="2" w:space="0" w:color="008000"/>
                    <w:right w:val="single" w:sz="2" w:space="0" w:color="008000"/>
                  </w:divBdr>
                  <w:divsChild>
                    <w:div w:id="2104497024">
                      <w:marLeft w:val="0"/>
                      <w:marRight w:val="0"/>
                      <w:marTop w:val="0"/>
                      <w:marBottom w:val="0"/>
                      <w:divBdr>
                        <w:top w:val="none" w:sz="0" w:space="0" w:color="auto"/>
                        <w:left w:val="none" w:sz="0" w:space="0" w:color="auto"/>
                        <w:bottom w:val="none" w:sz="0" w:space="0" w:color="auto"/>
                        <w:right w:val="none" w:sz="0" w:space="0" w:color="auto"/>
                      </w:divBdr>
                      <w:divsChild>
                        <w:div w:id="2104497020">
                          <w:marLeft w:val="0"/>
                          <w:marRight w:val="0"/>
                          <w:marTop w:val="0"/>
                          <w:marBottom w:val="0"/>
                          <w:divBdr>
                            <w:top w:val="none" w:sz="0" w:space="0" w:color="auto"/>
                            <w:left w:val="none" w:sz="0" w:space="0" w:color="auto"/>
                            <w:bottom w:val="none" w:sz="0" w:space="0" w:color="auto"/>
                            <w:right w:val="none" w:sz="0" w:space="0" w:color="auto"/>
                          </w:divBdr>
                          <w:divsChild>
                            <w:div w:id="210449678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7014">
      <w:marLeft w:val="0"/>
      <w:marRight w:val="0"/>
      <w:marTop w:val="0"/>
      <w:marBottom w:val="0"/>
      <w:divBdr>
        <w:top w:val="none" w:sz="0" w:space="0" w:color="auto"/>
        <w:left w:val="none" w:sz="0" w:space="0" w:color="auto"/>
        <w:bottom w:val="none" w:sz="0" w:space="0" w:color="auto"/>
        <w:right w:val="none" w:sz="0" w:space="0" w:color="auto"/>
      </w:divBdr>
      <w:divsChild>
        <w:div w:id="2104496872">
          <w:marLeft w:val="0"/>
          <w:marRight w:val="0"/>
          <w:marTop w:val="170"/>
          <w:marBottom w:val="170"/>
          <w:divBdr>
            <w:top w:val="none" w:sz="0" w:space="0" w:color="auto"/>
            <w:left w:val="none" w:sz="0" w:space="0" w:color="auto"/>
            <w:bottom w:val="none" w:sz="0" w:space="0" w:color="auto"/>
            <w:right w:val="none" w:sz="0" w:space="0" w:color="auto"/>
          </w:divBdr>
        </w:div>
      </w:divsChild>
    </w:div>
    <w:div w:id="2104497017">
      <w:marLeft w:val="0"/>
      <w:marRight w:val="0"/>
      <w:marTop w:val="0"/>
      <w:marBottom w:val="0"/>
      <w:divBdr>
        <w:top w:val="single" w:sz="2" w:space="0" w:color="CC3640"/>
        <w:left w:val="none" w:sz="0" w:space="0" w:color="auto"/>
        <w:bottom w:val="none" w:sz="0" w:space="0" w:color="auto"/>
        <w:right w:val="none" w:sz="0" w:space="0" w:color="auto"/>
      </w:divBdr>
      <w:divsChild>
        <w:div w:id="2104496889">
          <w:marLeft w:val="0"/>
          <w:marRight w:val="0"/>
          <w:marTop w:val="0"/>
          <w:marBottom w:val="0"/>
          <w:divBdr>
            <w:top w:val="single" w:sz="2" w:space="0" w:color="FF0000"/>
            <w:left w:val="single" w:sz="2" w:space="0" w:color="FF0000"/>
            <w:bottom w:val="single" w:sz="2" w:space="0" w:color="FF0000"/>
            <w:right w:val="single" w:sz="2" w:space="0" w:color="FF0000"/>
          </w:divBdr>
          <w:divsChild>
            <w:div w:id="2104496870">
              <w:marLeft w:val="0"/>
              <w:marRight w:val="0"/>
              <w:marTop w:val="0"/>
              <w:marBottom w:val="0"/>
              <w:divBdr>
                <w:top w:val="none" w:sz="0" w:space="0" w:color="auto"/>
                <w:left w:val="single" w:sz="6" w:space="0" w:color="DDDDDD"/>
                <w:bottom w:val="none" w:sz="0" w:space="0" w:color="auto"/>
                <w:right w:val="none" w:sz="0" w:space="0" w:color="auto"/>
              </w:divBdr>
              <w:divsChild>
                <w:div w:id="2104496795">
                  <w:marLeft w:val="0"/>
                  <w:marRight w:val="0"/>
                  <w:marTop w:val="0"/>
                  <w:marBottom w:val="0"/>
                  <w:divBdr>
                    <w:top w:val="single" w:sz="2" w:space="0" w:color="008000"/>
                    <w:left w:val="single" w:sz="2" w:space="0" w:color="008000"/>
                    <w:bottom w:val="single" w:sz="2" w:space="0" w:color="008000"/>
                    <w:right w:val="single" w:sz="2" w:space="0" w:color="008000"/>
                  </w:divBdr>
                  <w:divsChild>
                    <w:div w:id="2104496761">
                      <w:marLeft w:val="0"/>
                      <w:marRight w:val="0"/>
                      <w:marTop w:val="0"/>
                      <w:marBottom w:val="0"/>
                      <w:divBdr>
                        <w:top w:val="none" w:sz="0" w:space="0" w:color="auto"/>
                        <w:left w:val="none" w:sz="0" w:space="0" w:color="auto"/>
                        <w:bottom w:val="none" w:sz="0" w:space="0" w:color="auto"/>
                        <w:right w:val="none" w:sz="0" w:space="0" w:color="auto"/>
                      </w:divBdr>
                      <w:divsChild>
                        <w:div w:id="2104496852">
                          <w:marLeft w:val="0"/>
                          <w:marRight w:val="0"/>
                          <w:marTop w:val="0"/>
                          <w:marBottom w:val="0"/>
                          <w:divBdr>
                            <w:top w:val="none" w:sz="0" w:space="0" w:color="auto"/>
                            <w:left w:val="none" w:sz="0" w:space="0" w:color="auto"/>
                            <w:bottom w:val="none" w:sz="0" w:space="0" w:color="auto"/>
                            <w:right w:val="none" w:sz="0" w:space="0" w:color="auto"/>
                          </w:divBdr>
                          <w:divsChild>
                            <w:div w:id="210449690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7026">
      <w:marLeft w:val="0"/>
      <w:marRight w:val="0"/>
      <w:marTop w:val="0"/>
      <w:marBottom w:val="0"/>
      <w:divBdr>
        <w:top w:val="single" w:sz="2" w:space="0" w:color="CC3640"/>
        <w:left w:val="none" w:sz="0" w:space="0" w:color="auto"/>
        <w:bottom w:val="none" w:sz="0" w:space="0" w:color="auto"/>
        <w:right w:val="none" w:sz="0" w:space="0" w:color="auto"/>
      </w:divBdr>
      <w:divsChild>
        <w:div w:id="2104497016">
          <w:marLeft w:val="0"/>
          <w:marRight w:val="0"/>
          <w:marTop w:val="0"/>
          <w:marBottom w:val="0"/>
          <w:divBdr>
            <w:top w:val="single" w:sz="2" w:space="0" w:color="FF0000"/>
            <w:left w:val="single" w:sz="2" w:space="0" w:color="FF0000"/>
            <w:bottom w:val="single" w:sz="2" w:space="0" w:color="FF0000"/>
            <w:right w:val="single" w:sz="2" w:space="0" w:color="FF0000"/>
          </w:divBdr>
          <w:divsChild>
            <w:div w:id="2104497018">
              <w:marLeft w:val="0"/>
              <w:marRight w:val="0"/>
              <w:marTop w:val="0"/>
              <w:marBottom w:val="0"/>
              <w:divBdr>
                <w:top w:val="none" w:sz="0" w:space="0" w:color="auto"/>
                <w:left w:val="single" w:sz="6" w:space="0" w:color="DDDDDD"/>
                <w:bottom w:val="none" w:sz="0" w:space="0" w:color="auto"/>
                <w:right w:val="none" w:sz="0" w:space="0" w:color="auto"/>
              </w:divBdr>
              <w:divsChild>
                <w:div w:id="2104496883">
                  <w:marLeft w:val="0"/>
                  <w:marRight w:val="0"/>
                  <w:marTop w:val="0"/>
                  <w:marBottom w:val="0"/>
                  <w:divBdr>
                    <w:top w:val="single" w:sz="2" w:space="0" w:color="008000"/>
                    <w:left w:val="single" w:sz="2" w:space="0" w:color="008000"/>
                    <w:bottom w:val="single" w:sz="2" w:space="0" w:color="008000"/>
                    <w:right w:val="single" w:sz="2" w:space="0" w:color="008000"/>
                  </w:divBdr>
                  <w:divsChild>
                    <w:div w:id="2104496900">
                      <w:marLeft w:val="0"/>
                      <w:marRight w:val="0"/>
                      <w:marTop w:val="0"/>
                      <w:marBottom w:val="0"/>
                      <w:divBdr>
                        <w:top w:val="none" w:sz="0" w:space="0" w:color="auto"/>
                        <w:left w:val="none" w:sz="0" w:space="0" w:color="auto"/>
                        <w:bottom w:val="none" w:sz="0" w:space="0" w:color="auto"/>
                        <w:right w:val="none" w:sz="0" w:space="0" w:color="auto"/>
                      </w:divBdr>
                      <w:divsChild>
                        <w:div w:id="2104497032">
                          <w:marLeft w:val="0"/>
                          <w:marRight w:val="0"/>
                          <w:marTop w:val="0"/>
                          <w:marBottom w:val="0"/>
                          <w:divBdr>
                            <w:top w:val="none" w:sz="0" w:space="0" w:color="auto"/>
                            <w:left w:val="none" w:sz="0" w:space="0" w:color="auto"/>
                            <w:bottom w:val="none" w:sz="0" w:space="0" w:color="auto"/>
                            <w:right w:val="none" w:sz="0" w:space="0" w:color="auto"/>
                          </w:divBdr>
                          <w:divsChild>
                            <w:div w:id="210449677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7027">
      <w:marLeft w:val="0"/>
      <w:marRight w:val="0"/>
      <w:marTop w:val="0"/>
      <w:marBottom w:val="0"/>
      <w:divBdr>
        <w:top w:val="none" w:sz="0" w:space="0" w:color="auto"/>
        <w:left w:val="none" w:sz="0" w:space="0" w:color="auto"/>
        <w:bottom w:val="none" w:sz="0" w:space="0" w:color="auto"/>
        <w:right w:val="none" w:sz="0" w:space="0" w:color="auto"/>
      </w:divBdr>
    </w:div>
    <w:div w:id="2104497031">
      <w:marLeft w:val="0"/>
      <w:marRight w:val="0"/>
      <w:marTop w:val="0"/>
      <w:marBottom w:val="0"/>
      <w:divBdr>
        <w:top w:val="single" w:sz="2" w:space="0" w:color="CC3640"/>
        <w:left w:val="none" w:sz="0" w:space="0" w:color="auto"/>
        <w:bottom w:val="none" w:sz="0" w:space="0" w:color="auto"/>
        <w:right w:val="none" w:sz="0" w:space="0" w:color="auto"/>
      </w:divBdr>
      <w:divsChild>
        <w:div w:id="2104496736">
          <w:marLeft w:val="0"/>
          <w:marRight w:val="0"/>
          <w:marTop w:val="0"/>
          <w:marBottom w:val="0"/>
          <w:divBdr>
            <w:top w:val="single" w:sz="2" w:space="0" w:color="FF0000"/>
            <w:left w:val="single" w:sz="2" w:space="0" w:color="FF0000"/>
            <w:bottom w:val="single" w:sz="2" w:space="0" w:color="FF0000"/>
            <w:right w:val="single" w:sz="2" w:space="0" w:color="FF0000"/>
          </w:divBdr>
          <w:divsChild>
            <w:div w:id="2104496932">
              <w:marLeft w:val="0"/>
              <w:marRight w:val="0"/>
              <w:marTop w:val="0"/>
              <w:marBottom w:val="0"/>
              <w:divBdr>
                <w:top w:val="none" w:sz="0" w:space="0" w:color="auto"/>
                <w:left w:val="single" w:sz="6" w:space="0" w:color="DDDDDD"/>
                <w:bottom w:val="none" w:sz="0" w:space="0" w:color="auto"/>
                <w:right w:val="none" w:sz="0" w:space="0" w:color="auto"/>
              </w:divBdr>
              <w:divsChild>
                <w:div w:id="2104496978">
                  <w:marLeft w:val="0"/>
                  <w:marRight w:val="0"/>
                  <w:marTop w:val="0"/>
                  <w:marBottom w:val="0"/>
                  <w:divBdr>
                    <w:top w:val="single" w:sz="2" w:space="0" w:color="008000"/>
                    <w:left w:val="single" w:sz="2" w:space="0" w:color="008000"/>
                    <w:bottom w:val="single" w:sz="2" w:space="0" w:color="008000"/>
                    <w:right w:val="single" w:sz="2" w:space="0" w:color="008000"/>
                  </w:divBdr>
                  <w:divsChild>
                    <w:div w:id="2104497021">
                      <w:marLeft w:val="0"/>
                      <w:marRight w:val="0"/>
                      <w:marTop w:val="0"/>
                      <w:marBottom w:val="0"/>
                      <w:divBdr>
                        <w:top w:val="none" w:sz="0" w:space="0" w:color="auto"/>
                        <w:left w:val="none" w:sz="0" w:space="0" w:color="auto"/>
                        <w:bottom w:val="none" w:sz="0" w:space="0" w:color="auto"/>
                        <w:right w:val="none" w:sz="0" w:space="0" w:color="auto"/>
                      </w:divBdr>
                      <w:divsChild>
                        <w:div w:id="2104496743">
                          <w:marLeft w:val="0"/>
                          <w:marRight w:val="0"/>
                          <w:marTop w:val="0"/>
                          <w:marBottom w:val="0"/>
                          <w:divBdr>
                            <w:top w:val="none" w:sz="0" w:space="0" w:color="auto"/>
                            <w:left w:val="none" w:sz="0" w:space="0" w:color="auto"/>
                            <w:bottom w:val="none" w:sz="0" w:space="0" w:color="auto"/>
                            <w:right w:val="none" w:sz="0" w:space="0" w:color="auto"/>
                          </w:divBdr>
                          <w:divsChild>
                            <w:div w:id="210449699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7034">
      <w:marLeft w:val="0"/>
      <w:marRight w:val="0"/>
      <w:marTop w:val="0"/>
      <w:marBottom w:val="0"/>
      <w:divBdr>
        <w:top w:val="single" w:sz="2" w:space="0" w:color="CC3640"/>
        <w:left w:val="none" w:sz="0" w:space="0" w:color="auto"/>
        <w:bottom w:val="none" w:sz="0" w:space="0" w:color="auto"/>
        <w:right w:val="none" w:sz="0" w:space="0" w:color="auto"/>
      </w:divBdr>
      <w:divsChild>
        <w:div w:id="2104496802">
          <w:marLeft w:val="0"/>
          <w:marRight w:val="0"/>
          <w:marTop w:val="0"/>
          <w:marBottom w:val="0"/>
          <w:divBdr>
            <w:top w:val="single" w:sz="2" w:space="0" w:color="FF0000"/>
            <w:left w:val="single" w:sz="2" w:space="0" w:color="FF0000"/>
            <w:bottom w:val="single" w:sz="2" w:space="0" w:color="FF0000"/>
            <w:right w:val="single" w:sz="2" w:space="0" w:color="FF0000"/>
          </w:divBdr>
          <w:divsChild>
            <w:div w:id="2104496977">
              <w:marLeft w:val="0"/>
              <w:marRight w:val="0"/>
              <w:marTop w:val="0"/>
              <w:marBottom w:val="0"/>
              <w:divBdr>
                <w:top w:val="none" w:sz="0" w:space="0" w:color="auto"/>
                <w:left w:val="single" w:sz="6" w:space="0" w:color="DDDDDD"/>
                <w:bottom w:val="none" w:sz="0" w:space="0" w:color="auto"/>
                <w:right w:val="none" w:sz="0" w:space="0" w:color="auto"/>
              </w:divBdr>
              <w:divsChild>
                <w:div w:id="2104496868">
                  <w:marLeft w:val="0"/>
                  <w:marRight w:val="0"/>
                  <w:marTop w:val="0"/>
                  <w:marBottom w:val="0"/>
                  <w:divBdr>
                    <w:top w:val="single" w:sz="2" w:space="0" w:color="008000"/>
                    <w:left w:val="single" w:sz="2" w:space="0" w:color="008000"/>
                    <w:bottom w:val="single" w:sz="2" w:space="0" w:color="008000"/>
                    <w:right w:val="single" w:sz="2" w:space="0" w:color="008000"/>
                  </w:divBdr>
                  <w:divsChild>
                    <w:div w:id="2104496829">
                      <w:marLeft w:val="0"/>
                      <w:marRight w:val="0"/>
                      <w:marTop w:val="0"/>
                      <w:marBottom w:val="0"/>
                      <w:divBdr>
                        <w:top w:val="none" w:sz="0" w:space="0" w:color="auto"/>
                        <w:left w:val="none" w:sz="0" w:space="0" w:color="auto"/>
                        <w:bottom w:val="none" w:sz="0" w:space="0" w:color="auto"/>
                        <w:right w:val="none" w:sz="0" w:space="0" w:color="auto"/>
                      </w:divBdr>
                      <w:divsChild>
                        <w:div w:id="2104496941">
                          <w:marLeft w:val="0"/>
                          <w:marRight w:val="0"/>
                          <w:marTop w:val="0"/>
                          <w:marBottom w:val="0"/>
                          <w:divBdr>
                            <w:top w:val="none" w:sz="0" w:space="0" w:color="auto"/>
                            <w:left w:val="none" w:sz="0" w:space="0" w:color="auto"/>
                            <w:bottom w:val="none" w:sz="0" w:space="0" w:color="auto"/>
                            <w:right w:val="none" w:sz="0" w:space="0" w:color="auto"/>
                          </w:divBdr>
                          <w:divsChild>
                            <w:div w:id="210449703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7045">
      <w:marLeft w:val="0"/>
      <w:marRight w:val="0"/>
      <w:marTop w:val="0"/>
      <w:marBottom w:val="0"/>
      <w:divBdr>
        <w:top w:val="single" w:sz="2" w:space="0" w:color="CC3640"/>
        <w:left w:val="none" w:sz="0" w:space="0" w:color="auto"/>
        <w:bottom w:val="none" w:sz="0" w:space="0" w:color="auto"/>
        <w:right w:val="none" w:sz="0" w:space="0" w:color="auto"/>
      </w:divBdr>
      <w:divsChild>
        <w:div w:id="2104497041">
          <w:marLeft w:val="0"/>
          <w:marRight w:val="0"/>
          <w:marTop w:val="0"/>
          <w:marBottom w:val="0"/>
          <w:divBdr>
            <w:top w:val="single" w:sz="2" w:space="0" w:color="FF0000"/>
            <w:left w:val="single" w:sz="2" w:space="0" w:color="FF0000"/>
            <w:bottom w:val="single" w:sz="2" w:space="0" w:color="FF0000"/>
            <w:right w:val="single" w:sz="2" w:space="0" w:color="FF0000"/>
          </w:divBdr>
          <w:divsChild>
            <w:div w:id="2104496930">
              <w:marLeft w:val="0"/>
              <w:marRight w:val="0"/>
              <w:marTop w:val="0"/>
              <w:marBottom w:val="0"/>
              <w:divBdr>
                <w:top w:val="none" w:sz="0" w:space="0" w:color="auto"/>
                <w:left w:val="single" w:sz="6" w:space="0" w:color="DDDDDD"/>
                <w:bottom w:val="none" w:sz="0" w:space="0" w:color="auto"/>
                <w:right w:val="none" w:sz="0" w:space="0" w:color="auto"/>
              </w:divBdr>
              <w:divsChild>
                <w:div w:id="2104497015">
                  <w:marLeft w:val="0"/>
                  <w:marRight w:val="0"/>
                  <w:marTop w:val="0"/>
                  <w:marBottom w:val="0"/>
                  <w:divBdr>
                    <w:top w:val="single" w:sz="2" w:space="0" w:color="008000"/>
                    <w:left w:val="single" w:sz="2" w:space="0" w:color="008000"/>
                    <w:bottom w:val="single" w:sz="2" w:space="0" w:color="008000"/>
                    <w:right w:val="single" w:sz="2" w:space="0" w:color="008000"/>
                  </w:divBdr>
                  <w:divsChild>
                    <w:div w:id="2104497007">
                      <w:marLeft w:val="0"/>
                      <w:marRight w:val="0"/>
                      <w:marTop w:val="0"/>
                      <w:marBottom w:val="0"/>
                      <w:divBdr>
                        <w:top w:val="none" w:sz="0" w:space="0" w:color="auto"/>
                        <w:left w:val="none" w:sz="0" w:space="0" w:color="auto"/>
                        <w:bottom w:val="none" w:sz="0" w:space="0" w:color="auto"/>
                        <w:right w:val="none" w:sz="0" w:space="0" w:color="auto"/>
                      </w:divBdr>
                      <w:divsChild>
                        <w:div w:id="2104496951">
                          <w:marLeft w:val="0"/>
                          <w:marRight w:val="0"/>
                          <w:marTop w:val="0"/>
                          <w:marBottom w:val="0"/>
                          <w:divBdr>
                            <w:top w:val="none" w:sz="0" w:space="0" w:color="auto"/>
                            <w:left w:val="none" w:sz="0" w:space="0" w:color="auto"/>
                            <w:bottom w:val="none" w:sz="0" w:space="0" w:color="auto"/>
                            <w:right w:val="none" w:sz="0" w:space="0" w:color="auto"/>
                          </w:divBdr>
                          <w:divsChild>
                            <w:div w:id="210449699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7046">
      <w:marLeft w:val="0"/>
      <w:marRight w:val="0"/>
      <w:marTop w:val="0"/>
      <w:marBottom w:val="0"/>
      <w:divBdr>
        <w:top w:val="single" w:sz="2" w:space="0" w:color="CC3640"/>
        <w:left w:val="none" w:sz="0" w:space="0" w:color="auto"/>
        <w:bottom w:val="none" w:sz="0" w:space="0" w:color="auto"/>
        <w:right w:val="none" w:sz="0" w:space="0" w:color="auto"/>
      </w:divBdr>
      <w:divsChild>
        <w:div w:id="2104496794">
          <w:marLeft w:val="0"/>
          <w:marRight w:val="0"/>
          <w:marTop w:val="0"/>
          <w:marBottom w:val="0"/>
          <w:divBdr>
            <w:top w:val="single" w:sz="2" w:space="0" w:color="FF0000"/>
            <w:left w:val="single" w:sz="2" w:space="0" w:color="FF0000"/>
            <w:bottom w:val="single" w:sz="2" w:space="0" w:color="FF0000"/>
            <w:right w:val="single" w:sz="2" w:space="0" w:color="FF0000"/>
          </w:divBdr>
          <w:divsChild>
            <w:div w:id="2104496894">
              <w:marLeft w:val="0"/>
              <w:marRight w:val="0"/>
              <w:marTop w:val="0"/>
              <w:marBottom w:val="0"/>
              <w:divBdr>
                <w:top w:val="none" w:sz="0" w:space="0" w:color="auto"/>
                <w:left w:val="single" w:sz="6" w:space="0" w:color="DDDDDD"/>
                <w:bottom w:val="none" w:sz="0" w:space="0" w:color="auto"/>
                <w:right w:val="none" w:sz="0" w:space="0" w:color="auto"/>
              </w:divBdr>
              <w:divsChild>
                <w:div w:id="2104496956">
                  <w:marLeft w:val="0"/>
                  <w:marRight w:val="0"/>
                  <w:marTop w:val="0"/>
                  <w:marBottom w:val="0"/>
                  <w:divBdr>
                    <w:top w:val="single" w:sz="2" w:space="0" w:color="008000"/>
                    <w:left w:val="single" w:sz="2" w:space="0" w:color="008000"/>
                    <w:bottom w:val="single" w:sz="2" w:space="0" w:color="008000"/>
                    <w:right w:val="single" w:sz="2" w:space="0" w:color="008000"/>
                  </w:divBdr>
                  <w:divsChild>
                    <w:div w:id="2104496816">
                      <w:marLeft w:val="0"/>
                      <w:marRight w:val="0"/>
                      <w:marTop w:val="0"/>
                      <w:marBottom w:val="0"/>
                      <w:divBdr>
                        <w:top w:val="none" w:sz="0" w:space="0" w:color="auto"/>
                        <w:left w:val="none" w:sz="0" w:space="0" w:color="auto"/>
                        <w:bottom w:val="none" w:sz="0" w:space="0" w:color="auto"/>
                        <w:right w:val="none" w:sz="0" w:space="0" w:color="auto"/>
                      </w:divBdr>
                      <w:divsChild>
                        <w:div w:id="2104496815">
                          <w:marLeft w:val="0"/>
                          <w:marRight w:val="0"/>
                          <w:marTop w:val="0"/>
                          <w:marBottom w:val="0"/>
                          <w:divBdr>
                            <w:top w:val="none" w:sz="0" w:space="0" w:color="auto"/>
                            <w:left w:val="none" w:sz="0" w:space="0" w:color="auto"/>
                            <w:bottom w:val="none" w:sz="0" w:space="0" w:color="auto"/>
                            <w:right w:val="none" w:sz="0" w:space="0" w:color="auto"/>
                          </w:divBdr>
                          <w:divsChild>
                            <w:div w:id="210449697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7049">
      <w:marLeft w:val="0"/>
      <w:marRight w:val="0"/>
      <w:marTop w:val="0"/>
      <w:marBottom w:val="0"/>
      <w:divBdr>
        <w:top w:val="single" w:sz="2" w:space="0" w:color="CC3640"/>
        <w:left w:val="none" w:sz="0" w:space="0" w:color="auto"/>
        <w:bottom w:val="none" w:sz="0" w:space="0" w:color="auto"/>
        <w:right w:val="none" w:sz="0" w:space="0" w:color="auto"/>
      </w:divBdr>
      <w:divsChild>
        <w:div w:id="2104496805">
          <w:marLeft w:val="0"/>
          <w:marRight w:val="0"/>
          <w:marTop w:val="0"/>
          <w:marBottom w:val="0"/>
          <w:divBdr>
            <w:top w:val="single" w:sz="2" w:space="0" w:color="FF0000"/>
            <w:left w:val="single" w:sz="2" w:space="0" w:color="FF0000"/>
            <w:bottom w:val="single" w:sz="2" w:space="0" w:color="FF0000"/>
            <w:right w:val="single" w:sz="2" w:space="0" w:color="FF0000"/>
          </w:divBdr>
          <w:divsChild>
            <w:div w:id="2104496789">
              <w:marLeft w:val="0"/>
              <w:marRight w:val="0"/>
              <w:marTop w:val="0"/>
              <w:marBottom w:val="0"/>
              <w:divBdr>
                <w:top w:val="none" w:sz="0" w:space="0" w:color="auto"/>
                <w:left w:val="single" w:sz="6" w:space="0" w:color="DDDDDD"/>
                <w:bottom w:val="none" w:sz="0" w:space="0" w:color="auto"/>
                <w:right w:val="none" w:sz="0" w:space="0" w:color="auto"/>
              </w:divBdr>
              <w:divsChild>
                <w:div w:id="2104497010">
                  <w:marLeft w:val="0"/>
                  <w:marRight w:val="0"/>
                  <w:marTop w:val="0"/>
                  <w:marBottom w:val="0"/>
                  <w:divBdr>
                    <w:top w:val="single" w:sz="2" w:space="0" w:color="008000"/>
                    <w:left w:val="single" w:sz="2" w:space="0" w:color="008000"/>
                    <w:bottom w:val="single" w:sz="2" w:space="0" w:color="008000"/>
                    <w:right w:val="single" w:sz="2" w:space="0" w:color="008000"/>
                  </w:divBdr>
                  <w:divsChild>
                    <w:div w:id="2104496842">
                      <w:marLeft w:val="0"/>
                      <w:marRight w:val="0"/>
                      <w:marTop w:val="0"/>
                      <w:marBottom w:val="0"/>
                      <w:divBdr>
                        <w:top w:val="none" w:sz="0" w:space="0" w:color="auto"/>
                        <w:left w:val="none" w:sz="0" w:space="0" w:color="auto"/>
                        <w:bottom w:val="none" w:sz="0" w:space="0" w:color="auto"/>
                        <w:right w:val="none" w:sz="0" w:space="0" w:color="auto"/>
                      </w:divBdr>
                      <w:divsChild>
                        <w:div w:id="2104496745">
                          <w:marLeft w:val="0"/>
                          <w:marRight w:val="0"/>
                          <w:marTop w:val="0"/>
                          <w:marBottom w:val="0"/>
                          <w:divBdr>
                            <w:top w:val="none" w:sz="0" w:space="0" w:color="auto"/>
                            <w:left w:val="none" w:sz="0" w:space="0" w:color="auto"/>
                            <w:bottom w:val="none" w:sz="0" w:space="0" w:color="auto"/>
                            <w:right w:val="none" w:sz="0" w:space="0" w:color="auto"/>
                          </w:divBdr>
                          <w:divsChild>
                            <w:div w:id="210449681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104497052">
      <w:marLeft w:val="0"/>
      <w:marRight w:val="0"/>
      <w:marTop w:val="0"/>
      <w:marBottom w:val="0"/>
      <w:divBdr>
        <w:top w:val="none" w:sz="0" w:space="0" w:color="auto"/>
        <w:left w:val="none" w:sz="0" w:space="0" w:color="auto"/>
        <w:bottom w:val="none" w:sz="0" w:space="0" w:color="auto"/>
        <w:right w:val="none" w:sz="0" w:space="0" w:color="auto"/>
      </w:divBdr>
    </w:div>
    <w:div w:id="21044970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58E9D-9BE3-4953-9253-93CFE0E6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4644</Words>
  <Characters>26379</Characters>
  <Application>Microsoft Office Word</Application>
  <DocSecurity>0</DocSecurity>
  <Lines>659</Lines>
  <Paragraphs>352</Paragraphs>
  <ScaleCrop>false</ScaleCrop>
  <HeadingPairs>
    <vt:vector size="2" baseType="variant">
      <vt:variant>
        <vt:lpstr>Título</vt:lpstr>
      </vt:variant>
      <vt:variant>
        <vt:i4>1</vt:i4>
      </vt:variant>
    </vt:vector>
  </HeadingPairs>
  <TitlesOfParts>
    <vt:vector size="1" baseType="lpstr">
      <vt:lpstr>APUNTES SOBRE LA ACTUALIDAD FISCAL</vt:lpstr>
    </vt:vector>
  </TitlesOfParts>
  <Company>HP</Company>
  <LinksUpToDate>false</LinksUpToDate>
  <CharactersWithSpaces>30671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APUNTES SOBRE LA ACTUALIDAD FISCAL</dc:title>
  <dc:creator>Juan Lorente</dc:creator>
  <cp:lastModifiedBy>Jose Luis Chico Bersabe</cp:lastModifiedBy>
  <cp:revision>6</cp:revision>
  <cp:lastPrinted>2011-11-25T09:18:00Z</cp:lastPrinted>
  <dcterms:created xsi:type="dcterms:W3CDTF">2025-11-29T12:54:00Z</dcterms:created>
  <dcterms:modified xsi:type="dcterms:W3CDTF">2025-11-30T11:44:00Z</dcterms:modified>
</cp:coreProperties>
</file>