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141"/>
        <w:gridCol w:w="7222"/>
      </w:tblGrid>
      <w:tr w:rsidR="00B73427" w14:paraId="7F03AD8D" w14:textId="77777777">
        <w:trPr>
          <w:trHeight w:val="889"/>
        </w:trPr>
        <w:tc>
          <w:tcPr>
            <w:tcW w:w="1150" w:type="dxa"/>
            <w:shd w:val="clear" w:color="auto" w:fill="000000"/>
            <w:vAlign w:val="center"/>
          </w:tcPr>
          <w:p w14:paraId="3F1AD9C2" w14:textId="77777777" w:rsidR="00B73427" w:rsidRPr="00953098" w:rsidRDefault="00B73427">
            <w:pPr>
              <w:pStyle w:val="Ttulo6"/>
              <w:rPr>
                <w:rFonts w:ascii="Verdana" w:hAnsi="Verdana"/>
              </w:rPr>
            </w:pPr>
            <w:r w:rsidRPr="00953098">
              <w:rPr>
                <w:rFonts w:ascii="Verdana" w:hAnsi="Verdana"/>
              </w:rPr>
              <w:t>ABRIL</w:t>
            </w:r>
          </w:p>
          <w:p w14:paraId="0420B721" w14:textId="0DD54B35" w:rsidR="00D665D3" w:rsidRPr="00D665D3" w:rsidRDefault="00B73427" w:rsidP="00475BAE">
            <w:pPr>
              <w:jc w:val="center"/>
              <w:rPr>
                <w:rFonts w:ascii="Verdana" w:hAnsi="Verdana"/>
                <w:b/>
                <w:bCs/>
                <w:szCs w:val="32"/>
              </w:rPr>
            </w:pPr>
            <w:r w:rsidRPr="00953098">
              <w:rPr>
                <w:rFonts w:ascii="Verdana" w:hAnsi="Verdana"/>
                <w:b/>
                <w:bCs/>
                <w:szCs w:val="32"/>
              </w:rPr>
              <w:t>20</w:t>
            </w:r>
            <w:r w:rsidR="00F80306">
              <w:rPr>
                <w:rFonts w:ascii="Verdana" w:hAnsi="Verdana"/>
                <w:b/>
                <w:bCs/>
                <w:szCs w:val="32"/>
              </w:rPr>
              <w:t>2</w:t>
            </w:r>
            <w:r w:rsidR="004B66DB">
              <w:rPr>
                <w:rFonts w:ascii="Verdana" w:hAnsi="Verdana"/>
                <w:b/>
                <w:bCs/>
                <w:szCs w:val="32"/>
              </w:rPr>
              <w:t>6</w:t>
            </w:r>
          </w:p>
        </w:tc>
        <w:tc>
          <w:tcPr>
            <w:tcW w:w="7494" w:type="dxa"/>
            <w:shd w:val="clear" w:color="auto" w:fill="993300"/>
            <w:vAlign w:val="center"/>
          </w:tcPr>
          <w:p w14:paraId="761E2F26" w14:textId="77777777" w:rsidR="00B73427" w:rsidRPr="00953098" w:rsidRDefault="00B73427">
            <w:pPr>
              <w:jc w:val="center"/>
              <w:rPr>
                <w:rFonts w:ascii="Verdana" w:hAnsi="Verdana"/>
                <w:b/>
                <w:bCs/>
                <w:color w:val="FFFFFF"/>
                <w:sz w:val="28"/>
                <w:szCs w:val="28"/>
              </w:rPr>
            </w:pPr>
            <w:r w:rsidRPr="00953098">
              <w:rPr>
                <w:rFonts w:ascii="Verdana" w:hAnsi="Verdana"/>
                <w:b/>
                <w:bCs/>
                <w:color w:val="FFFFFF"/>
                <w:sz w:val="28"/>
                <w:szCs w:val="28"/>
              </w:rPr>
              <w:t>APUNTES SOBRE LA ACTUALIDAD FISCAL</w:t>
            </w:r>
          </w:p>
        </w:tc>
      </w:tr>
    </w:tbl>
    <w:p w14:paraId="4B25F807" w14:textId="77777777" w:rsidR="00B73427" w:rsidRDefault="00B73427">
      <w:pPr>
        <w:pStyle w:val="Ttulo3"/>
        <w:widowControl/>
        <w:rPr>
          <w:color w:val="800000"/>
          <w:sz w:val="24"/>
          <w:szCs w:val="28"/>
        </w:rPr>
      </w:pPr>
    </w:p>
    <w:p w14:paraId="0AA8FD7D" w14:textId="77777777" w:rsidR="00B73427" w:rsidRPr="00497A68" w:rsidRDefault="00800A26">
      <w:pPr>
        <w:pStyle w:val="Ttulo3"/>
        <w:widowControl/>
        <w:rPr>
          <w:color w:val="800000"/>
          <w:sz w:val="18"/>
          <w:szCs w:val="18"/>
        </w:rPr>
      </w:pPr>
      <w:r>
        <w:rPr>
          <w:color w:val="800000"/>
          <w:sz w:val="18"/>
          <w:szCs w:val="18"/>
        </w:rPr>
        <w:t xml:space="preserve"> </w:t>
      </w:r>
      <w:r w:rsidR="00B73427" w:rsidRPr="00497A68">
        <w:rPr>
          <w:color w:val="800000"/>
          <w:sz w:val="18"/>
          <w:szCs w:val="18"/>
        </w:rPr>
        <w:t xml:space="preserve">     </w:t>
      </w:r>
      <w:r w:rsidR="007F3F36" w:rsidRPr="00497A68">
        <w:rPr>
          <w:color w:val="800000"/>
          <w:sz w:val="18"/>
          <w:szCs w:val="18"/>
        </w:rPr>
        <w:t xml:space="preserve"> </w:t>
      </w:r>
    </w:p>
    <w:p w14:paraId="101148D4" w14:textId="77777777" w:rsidR="00B73427" w:rsidRPr="00497A68" w:rsidRDefault="00B73427">
      <w:pPr>
        <w:pStyle w:val="Ttulo3"/>
        <w:widowControl/>
        <w:rPr>
          <w:rFonts w:ascii="Verdana" w:hAnsi="Verdana"/>
          <w:color w:val="800000"/>
          <w:sz w:val="18"/>
          <w:szCs w:val="18"/>
        </w:rPr>
      </w:pPr>
      <w:r w:rsidRPr="00497A68">
        <w:rPr>
          <w:rFonts w:ascii="Verdana" w:hAnsi="Verdana"/>
          <w:color w:val="800000"/>
          <w:sz w:val="18"/>
          <w:szCs w:val="18"/>
        </w:rPr>
        <w:t>SUMARIO</w:t>
      </w:r>
    </w:p>
    <w:p w14:paraId="0223AB23" w14:textId="77777777" w:rsidR="00B73427" w:rsidRDefault="00B73427">
      <w:pPr>
        <w:shd w:val="clear" w:color="auto" w:fill="FFFFFF"/>
        <w:jc w:val="both"/>
        <w:rPr>
          <w:rFonts w:ascii="Verdana" w:hAnsi="Verdana"/>
          <w:sz w:val="18"/>
          <w:szCs w:val="18"/>
        </w:rPr>
      </w:pPr>
    </w:p>
    <w:p w14:paraId="305B5248" w14:textId="77777777" w:rsidR="000130DD" w:rsidRDefault="000130DD" w:rsidP="009735FF">
      <w:pPr>
        <w:ind w:left="360"/>
        <w:jc w:val="both"/>
        <w:rPr>
          <w:rFonts w:ascii="Verdana" w:hAnsi="Verdana"/>
          <w:b/>
          <w:bCs/>
          <w:i/>
          <w:iCs/>
          <w:color w:val="800000"/>
          <w:sz w:val="18"/>
          <w:szCs w:val="18"/>
        </w:rPr>
      </w:pPr>
    </w:p>
    <w:p w14:paraId="45945EF4" w14:textId="1FDD82E8" w:rsidR="00351BCB" w:rsidRPr="00351BCB" w:rsidRDefault="00351BCB">
      <w:pPr>
        <w:pStyle w:val="Prrafodelista"/>
        <w:numPr>
          <w:ilvl w:val="0"/>
          <w:numId w:val="1"/>
        </w:numPr>
        <w:ind w:right="-1"/>
        <w:jc w:val="both"/>
        <w:rPr>
          <w:rFonts w:ascii="Verdana" w:hAnsi="Verdana"/>
          <w:b/>
          <w:bCs/>
          <w:i/>
          <w:iCs/>
          <w:color w:val="800000"/>
          <w:sz w:val="18"/>
          <w:szCs w:val="18"/>
        </w:rPr>
      </w:pPr>
      <w:r w:rsidRPr="00351BCB">
        <w:rPr>
          <w:rFonts w:ascii="Verdana" w:hAnsi="Verdana"/>
          <w:b/>
          <w:bCs/>
          <w:i/>
          <w:iCs/>
          <w:color w:val="800000"/>
          <w:sz w:val="18"/>
          <w:szCs w:val="18"/>
        </w:rPr>
        <w:t>REAL DECRETO-LEY 7/2026: MEDIDAS TRIBUTARIAS DE FISCALIDAD ENERGÉTICA</w:t>
      </w:r>
    </w:p>
    <w:p w14:paraId="412CB314" w14:textId="7EE34995" w:rsidR="00351BCB" w:rsidRDefault="00351BCB" w:rsidP="009735FF">
      <w:pPr>
        <w:ind w:left="360"/>
        <w:jc w:val="both"/>
        <w:rPr>
          <w:rFonts w:ascii="Verdana" w:hAnsi="Verdana"/>
          <w:b/>
          <w:bCs/>
          <w:i/>
          <w:iCs/>
          <w:color w:val="800000"/>
          <w:sz w:val="18"/>
          <w:szCs w:val="18"/>
        </w:rPr>
      </w:pPr>
      <w:r w:rsidRPr="00351BCB">
        <w:rPr>
          <w:rFonts w:ascii="Verdana" w:hAnsi="Verdana"/>
          <w:b/>
          <w:bCs/>
          <w:i/>
          <w:iCs/>
          <w:color w:val="800000"/>
          <w:sz w:val="18"/>
          <w:szCs w:val="18"/>
        </w:rPr>
        <w:t>El Real Decreto-ley 7/2026, de 20 de marzo, por el que se aprueba el Plan Integral de Respuesta a la Crisis en Oriente Medio, articula un paquete de medidas fiscales, legales y económicas destinadas a mitigar el impacto de esta crisis sobre hogares, empresas y sectores especialmente expuestos a los costes energéticos</w:t>
      </w:r>
      <w:r>
        <w:rPr>
          <w:rFonts w:ascii="Verdana" w:hAnsi="Verdana"/>
          <w:b/>
          <w:bCs/>
          <w:i/>
          <w:iCs/>
          <w:color w:val="800000"/>
          <w:sz w:val="18"/>
          <w:szCs w:val="18"/>
        </w:rPr>
        <w:t>.</w:t>
      </w:r>
    </w:p>
    <w:p w14:paraId="30A67732" w14:textId="41B0FE06" w:rsidR="00054328" w:rsidRPr="00054328" w:rsidRDefault="00054328" w:rsidP="00054328">
      <w:pPr>
        <w:ind w:left="360"/>
        <w:jc w:val="both"/>
        <w:rPr>
          <w:rFonts w:ascii="Verdana" w:hAnsi="Verdana"/>
          <w:b/>
          <w:bCs/>
          <w:i/>
          <w:iCs/>
          <w:color w:val="800000"/>
          <w:sz w:val="18"/>
          <w:szCs w:val="18"/>
        </w:rPr>
      </w:pPr>
      <w:r>
        <w:rPr>
          <w:rFonts w:ascii="Verdana" w:hAnsi="Verdana"/>
          <w:b/>
          <w:bCs/>
          <w:i/>
          <w:iCs/>
          <w:color w:val="800000"/>
          <w:sz w:val="18"/>
          <w:szCs w:val="18"/>
        </w:rPr>
        <w:t xml:space="preserve">Estas medidas </w:t>
      </w:r>
      <w:r w:rsidRPr="00054328">
        <w:rPr>
          <w:rFonts w:ascii="Verdana" w:hAnsi="Verdana"/>
          <w:b/>
          <w:bCs/>
          <w:i/>
          <w:iCs/>
          <w:color w:val="800000"/>
          <w:sz w:val="18"/>
          <w:szCs w:val="18"/>
        </w:rPr>
        <w:t>han sido ratificadas mediante Resolución de 26 de marzo de 2026, del Congreso de los Diputados.</w:t>
      </w:r>
    </w:p>
    <w:p w14:paraId="1591B080" w14:textId="7D37837D" w:rsidR="00054328" w:rsidRDefault="00054328" w:rsidP="009735FF">
      <w:pPr>
        <w:ind w:left="360"/>
        <w:jc w:val="both"/>
        <w:rPr>
          <w:rFonts w:ascii="Verdana" w:hAnsi="Verdana"/>
          <w:b/>
          <w:bCs/>
          <w:i/>
          <w:iCs/>
          <w:color w:val="800000"/>
          <w:sz w:val="18"/>
          <w:szCs w:val="18"/>
        </w:rPr>
      </w:pPr>
    </w:p>
    <w:p w14:paraId="6EEFCC3D" w14:textId="57D775CD" w:rsidR="0062606C" w:rsidRDefault="0062606C">
      <w:pPr>
        <w:pStyle w:val="Prrafodelista"/>
        <w:numPr>
          <w:ilvl w:val="0"/>
          <w:numId w:val="1"/>
        </w:numPr>
        <w:jc w:val="both"/>
        <w:rPr>
          <w:rFonts w:ascii="Verdana" w:hAnsi="Verdana"/>
          <w:b/>
          <w:bCs/>
          <w:i/>
          <w:iCs/>
          <w:color w:val="800000"/>
          <w:sz w:val="18"/>
          <w:szCs w:val="18"/>
        </w:rPr>
      </w:pPr>
      <w:r w:rsidRPr="0062606C">
        <w:rPr>
          <w:rFonts w:ascii="Verdana" w:hAnsi="Verdana"/>
          <w:b/>
          <w:bCs/>
          <w:i/>
          <w:iCs/>
          <w:color w:val="800000"/>
          <w:sz w:val="18"/>
          <w:szCs w:val="18"/>
        </w:rPr>
        <w:t>IRPF E INTERESES DE DEMORA: EL SUPREMO REABRE EL DEBATE</w:t>
      </w:r>
    </w:p>
    <w:p w14:paraId="47BCE35F" w14:textId="6236D2C7" w:rsidR="0062606C" w:rsidRPr="0062606C" w:rsidRDefault="0062606C" w:rsidP="0062606C">
      <w:pPr>
        <w:pStyle w:val="Prrafodelista"/>
        <w:ind w:left="360"/>
        <w:jc w:val="both"/>
        <w:rPr>
          <w:rFonts w:ascii="Verdana" w:hAnsi="Verdana"/>
          <w:b/>
          <w:bCs/>
          <w:i/>
          <w:iCs/>
          <w:color w:val="800000"/>
          <w:sz w:val="18"/>
          <w:szCs w:val="18"/>
        </w:rPr>
      </w:pPr>
      <w:r w:rsidRPr="0062606C">
        <w:rPr>
          <w:rFonts w:ascii="Verdana" w:hAnsi="Verdana"/>
          <w:b/>
          <w:bCs/>
          <w:i/>
          <w:iCs/>
          <w:color w:val="800000"/>
          <w:sz w:val="18"/>
          <w:szCs w:val="18"/>
        </w:rPr>
        <w:t>El Tribunal Supremo ha admitido a trámite un recurso de casación que podría cambiar nuevamente el criterio sobre la tributación en el IRPF de los intereses de demora abonados por la Agencia Tributaria.</w:t>
      </w:r>
    </w:p>
    <w:p w14:paraId="5BCED1CE" w14:textId="77777777" w:rsidR="00351BCB" w:rsidRPr="009914F1" w:rsidRDefault="00351BCB" w:rsidP="009735FF">
      <w:pPr>
        <w:ind w:left="360"/>
        <w:jc w:val="both"/>
        <w:rPr>
          <w:rFonts w:ascii="Verdana" w:hAnsi="Verdana"/>
          <w:b/>
          <w:bCs/>
          <w:i/>
          <w:iCs/>
          <w:color w:val="800000"/>
          <w:sz w:val="18"/>
          <w:szCs w:val="18"/>
        </w:rPr>
      </w:pPr>
    </w:p>
    <w:p w14:paraId="0DA1FB3C" w14:textId="42331610" w:rsidR="00EC3879" w:rsidRPr="009914F1" w:rsidRDefault="009914F1">
      <w:pPr>
        <w:numPr>
          <w:ilvl w:val="0"/>
          <w:numId w:val="1"/>
        </w:numPr>
        <w:tabs>
          <w:tab w:val="clear" w:pos="360"/>
        </w:tabs>
        <w:ind w:right="276"/>
        <w:jc w:val="both"/>
        <w:rPr>
          <w:rFonts w:ascii="Verdana" w:hAnsi="Verdana"/>
          <w:b/>
          <w:bCs/>
          <w:i/>
          <w:iCs/>
          <w:color w:val="800000"/>
          <w:sz w:val="18"/>
          <w:szCs w:val="18"/>
        </w:rPr>
      </w:pPr>
      <w:r w:rsidRPr="009914F1">
        <w:rPr>
          <w:rFonts w:ascii="Verdana" w:hAnsi="Verdana"/>
          <w:b/>
          <w:bCs/>
          <w:i/>
          <w:iCs/>
          <w:color w:val="800000"/>
          <w:sz w:val="18"/>
          <w:szCs w:val="18"/>
        </w:rPr>
        <w:t xml:space="preserve">ITP </w:t>
      </w:r>
      <w:r w:rsidR="00C65C36" w:rsidRPr="009914F1">
        <w:rPr>
          <w:rFonts w:ascii="Verdana" w:hAnsi="Verdana"/>
          <w:b/>
          <w:bCs/>
          <w:i/>
          <w:iCs/>
          <w:color w:val="800000"/>
          <w:sz w:val="18"/>
          <w:szCs w:val="18"/>
        </w:rPr>
        <w:t>-</w:t>
      </w:r>
      <w:r w:rsidR="00EC3879" w:rsidRPr="009914F1">
        <w:rPr>
          <w:rFonts w:ascii="Verdana" w:hAnsi="Verdana"/>
          <w:b/>
          <w:bCs/>
          <w:i/>
          <w:iCs/>
          <w:color w:val="800000"/>
          <w:sz w:val="18"/>
          <w:szCs w:val="18"/>
        </w:rPr>
        <w:t xml:space="preserve"> </w:t>
      </w:r>
      <w:r w:rsidRPr="009914F1">
        <w:rPr>
          <w:rFonts w:ascii="Verdana" w:hAnsi="Verdana"/>
          <w:b/>
          <w:bCs/>
          <w:i/>
          <w:iCs/>
          <w:color w:val="800000"/>
          <w:sz w:val="18"/>
          <w:szCs w:val="18"/>
        </w:rPr>
        <w:t>EL TRIBUNAL CONSTITUCIONAL AVALA EL “VALOR DE REFERENCIA” COMO BASE IMPONIBLE EN EL IMPUESTO SOBRE TRANSMISIONES PATRIMONIALES</w:t>
      </w:r>
    </w:p>
    <w:p w14:paraId="6AEAB0F2" w14:textId="11E97B45" w:rsidR="00F238AD" w:rsidRDefault="009914F1" w:rsidP="009027BF">
      <w:pPr>
        <w:ind w:left="360" w:right="-1"/>
        <w:jc w:val="both"/>
        <w:rPr>
          <w:rFonts w:ascii="Verdana" w:hAnsi="Verdana"/>
          <w:b/>
          <w:bCs/>
          <w:i/>
          <w:iCs/>
          <w:color w:val="800000"/>
          <w:sz w:val="18"/>
          <w:szCs w:val="18"/>
        </w:rPr>
      </w:pPr>
      <w:r w:rsidRPr="009914F1">
        <w:rPr>
          <w:rFonts w:ascii="Verdana" w:hAnsi="Verdana"/>
          <w:b/>
          <w:bCs/>
          <w:i/>
          <w:iCs/>
          <w:color w:val="800000"/>
          <w:sz w:val="18"/>
          <w:szCs w:val="18"/>
        </w:rPr>
        <w:t xml:space="preserve">El Tribunal Constitucional, </w:t>
      </w:r>
      <w:bookmarkStart w:id="0" w:name="_Hlk223021481"/>
      <w:r w:rsidRPr="009914F1">
        <w:rPr>
          <w:rFonts w:ascii="Verdana" w:hAnsi="Verdana"/>
          <w:b/>
          <w:bCs/>
          <w:i/>
          <w:iCs/>
          <w:color w:val="800000"/>
          <w:sz w:val="18"/>
          <w:szCs w:val="18"/>
        </w:rPr>
        <w:t>en su Sentencia de 12 de febrero de 2026 (</w:t>
      </w:r>
      <w:proofErr w:type="spellStart"/>
      <w:r w:rsidRPr="009914F1">
        <w:rPr>
          <w:rFonts w:ascii="Verdana" w:hAnsi="Verdana"/>
          <w:b/>
          <w:bCs/>
          <w:i/>
          <w:iCs/>
          <w:color w:val="800000"/>
          <w:sz w:val="18"/>
          <w:szCs w:val="18"/>
        </w:rPr>
        <w:t>rec.</w:t>
      </w:r>
      <w:proofErr w:type="spellEnd"/>
      <w:r w:rsidRPr="009914F1">
        <w:rPr>
          <w:rFonts w:ascii="Verdana" w:hAnsi="Verdana"/>
          <w:b/>
          <w:bCs/>
          <w:i/>
          <w:iCs/>
          <w:color w:val="800000"/>
          <w:sz w:val="18"/>
          <w:szCs w:val="18"/>
        </w:rPr>
        <w:t xml:space="preserve"> 3631/2025), </w:t>
      </w:r>
      <w:bookmarkEnd w:id="0"/>
      <w:r w:rsidRPr="009914F1">
        <w:rPr>
          <w:rFonts w:ascii="Verdana" w:hAnsi="Verdana"/>
          <w:b/>
          <w:bCs/>
          <w:i/>
          <w:iCs/>
          <w:color w:val="800000"/>
          <w:sz w:val="18"/>
          <w:szCs w:val="18"/>
        </w:rPr>
        <w:t>ha declarado la constitucionalidad del “valor de referencia” como base imponible del Impuesto sobre Transmisiones Patrimoniales Onerosas (ITP)</w:t>
      </w:r>
      <w:r w:rsidR="00FA421C">
        <w:rPr>
          <w:rFonts w:ascii="Verdana" w:hAnsi="Verdana"/>
          <w:b/>
          <w:bCs/>
          <w:i/>
          <w:iCs/>
          <w:color w:val="800000"/>
          <w:sz w:val="18"/>
          <w:szCs w:val="18"/>
        </w:rPr>
        <w:t>.</w:t>
      </w:r>
    </w:p>
    <w:p w14:paraId="13D4D2E5" w14:textId="77777777" w:rsidR="00FA421C" w:rsidRDefault="00FA421C" w:rsidP="009027BF">
      <w:pPr>
        <w:ind w:left="360" w:right="-1"/>
        <w:jc w:val="both"/>
        <w:rPr>
          <w:rFonts w:ascii="Verdana" w:hAnsi="Verdana"/>
          <w:b/>
          <w:bCs/>
          <w:i/>
          <w:iCs/>
          <w:color w:val="800000"/>
          <w:sz w:val="18"/>
          <w:szCs w:val="18"/>
        </w:rPr>
      </w:pPr>
    </w:p>
    <w:p w14:paraId="61820284" w14:textId="485C467E" w:rsidR="00FA421C" w:rsidRDefault="006154C5">
      <w:pPr>
        <w:pStyle w:val="Prrafodelista"/>
        <w:numPr>
          <w:ilvl w:val="0"/>
          <w:numId w:val="1"/>
        </w:numPr>
        <w:ind w:right="-1"/>
        <w:jc w:val="both"/>
        <w:rPr>
          <w:rFonts w:ascii="Verdana" w:hAnsi="Verdana"/>
          <w:b/>
          <w:bCs/>
          <w:i/>
          <w:iCs/>
          <w:color w:val="800000"/>
          <w:sz w:val="18"/>
          <w:szCs w:val="18"/>
        </w:rPr>
      </w:pPr>
      <w:r>
        <w:rPr>
          <w:rFonts w:ascii="Verdana" w:hAnsi="Verdana"/>
          <w:b/>
          <w:bCs/>
          <w:i/>
          <w:iCs/>
          <w:color w:val="800000"/>
          <w:sz w:val="18"/>
          <w:szCs w:val="18"/>
        </w:rPr>
        <w:t xml:space="preserve">IP - </w:t>
      </w:r>
      <w:r w:rsidR="00FA421C" w:rsidRPr="00FA421C">
        <w:rPr>
          <w:rFonts w:ascii="Verdana" w:hAnsi="Verdana"/>
          <w:b/>
          <w:bCs/>
          <w:i/>
          <w:iCs/>
          <w:color w:val="800000"/>
          <w:sz w:val="18"/>
          <w:szCs w:val="18"/>
        </w:rPr>
        <w:t>EXENCIÓN DE LA EMPRESA FAMILIAR EN EL IMPUESTO SOBRE EL PATRIMONIO. LOS PRÉSTAMOS A ENTIDADES VINCULADAS PUEDEN CONSIDERARSE ACTIVOS AFECTOS SI CUMPLEN CRITERIOS DE MERCADO Y NECESIDAD</w:t>
      </w:r>
    </w:p>
    <w:p w14:paraId="1E2319D1" w14:textId="3B1C412E" w:rsidR="00FA421C" w:rsidRDefault="00FA421C" w:rsidP="00FA421C">
      <w:pPr>
        <w:pStyle w:val="Prrafodelista"/>
        <w:ind w:left="360" w:right="-1"/>
        <w:jc w:val="both"/>
        <w:rPr>
          <w:rFonts w:ascii="Verdana" w:hAnsi="Verdana"/>
          <w:b/>
          <w:bCs/>
          <w:i/>
          <w:iCs/>
          <w:color w:val="800000"/>
          <w:sz w:val="18"/>
          <w:szCs w:val="18"/>
        </w:rPr>
      </w:pPr>
      <w:r w:rsidRPr="00FA421C">
        <w:rPr>
          <w:rFonts w:ascii="Verdana" w:hAnsi="Verdana"/>
          <w:b/>
          <w:bCs/>
          <w:i/>
          <w:iCs/>
          <w:color w:val="800000"/>
          <w:sz w:val="18"/>
          <w:szCs w:val="18"/>
        </w:rPr>
        <w:t>Los préstamos concedidos por una entidad a sociedades vinculadas o a descendientes de los socios pueden considerarse activos afectos a la actividad empresarial a efectos de aplicar la exención del Impuesto sobre el Patrimonio, siempre que hayan sido otorgados en condiciones normales de mercado y resulten necesarios para la obtención de los rendimientos de la actividad, cuestión que habrá de ser valorada a la luz de las circunstancias del caso.</w:t>
      </w:r>
    </w:p>
    <w:p w14:paraId="13A04FD1" w14:textId="77777777" w:rsidR="000B615F" w:rsidRDefault="000B615F" w:rsidP="00FA421C">
      <w:pPr>
        <w:pStyle w:val="Prrafodelista"/>
        <w:ind w:left="360" w:right="-1"/>
        <w:jc w:val="both"/>
        <w:rPr>
          <w:rFonts w:ascii="Verdana" w:hAnsi="Verdana"/>
          <w:b/>
          <w:bCs/>
          <w:i/>
          <w:iCs/>
          <w:color w:val="800000"/>
          <w:sz w:val="18"/>
          <w:szCs w:val="18"/>
        </w:rPr>
      </w:pPr>
    </w:p>
    <w:p w14:paraId="39873C61" w14:textId="245EC3CB" w:rsidR="000B615F" w:rsidRPr="00FA421C" w:rsidRDefault="000B615F">
      <w:pPr>
        <w:pStyle w:val="Prrafodelista"/>
        <w:numPr>
          <w:ilvl w:val="0"/>
          <w:numId w:val="1"/>
        </w:numPr>
        <w:ind w:right="-1"/>
        <w:jc w:val="both"/>
        <w:rPr>
          <w:rFonts w:ascii="Verdana" w:hAnsi="Verdana"/>
          <w:b/>
          <w:bCs/>
          <w:i/>
          <w:iCs/>
          <w:color w:val="800000"/>
          <w:sz w:val="18"/>
          <w:szCs w:val="18"/>
        </w:rPr>
      </w:pPr>
      <w:r>
        <w:rPr>
          <w:rFonts w:ascii="Verdana" w:hAnsi="Verdana"/>
          <w:b/>
          <w:bCs/>
          <w:i/>
          <w:iCs/>
          <w:color w:val="800000"/>
          <w:sz w:val="18"/>
          <w:szCs w:val="18"/>
        </w:rPr>
        <w:t>I</w:t>
      </w:r>
      <w:r w:rsidR="00696968">
        <w:rPr>
          <w:rFonts w:ascii="Verdana" w:hAnsi="Verdana"/>
          <w:b/>
          <w:bCs/>
          <w:i/>
          <w:iCs/>
          <w:color w:val="800000"/>
          <w:sz w:val="18"/>
          <w:szCs w:val="18"/>
        </w:rPr>
        <w:t xml:space="preserve">MPUESTO DE </w:t>
      </w:r>
      <w:r>
        <w:rPr>
          <w:rFonts w:ascii="Verdana" w:hAnsi="Verdana"/>
          <w:b/>
          <w:bCs/>
          <w:i/>
          <w:iCs/>
          <w:color w:val="800000"/>
          <w:sz w:val="18"/>
          <w:szCs w:val="18"/>
        </w:rPr>
        <w:t xml:space="preserve">SUCESIONES- </w:t>
      </w:r>
      <w:r w:rsidRPr="000B615F">
        <w:rPr>
          <w:rFonts w:ascii="Verdana" w:hAnsi="Verdana"/>
          <w:b/>
          <w:bCs/>
          <w:i/>
          <w:iCs/>
          <w:color w:val="800000"/>
          <w:sz w:val="18"/>
          <w:szCs w:val="18"/>
        </w:rPr>
        <w:t>EL SUPREMO FACILITA LA DEDUCCIÓN DEL 95% EN EL RELEVO DE EMPRESAS FAMILIARES DE ALQUILER</w:t>
      </w:r>
    </w:p>
    <w:p w14:paraId="3661FC11" w14:textId="5FFFB236" w:rsidR="007C1DE7" w:rsidRDefault="000B615F" w:rsidP="000B615F">
      <w:pPr>
        <w:ind w:left="360" w:right="-1"/>
        <w:jc w:val="both"/>
        <w:rPr>
          <w:rFonts w:ascii="Verdana" w:hAnsi="Verdana"/>
          <w:b/>
          <w:bCs/>
          <w:i/>
          <w:iCs/>
          <w:color w:val="800000"/>
          <w:sz w:val="18"/>
          <w:szCs w:val="18"/>
        </w:rPr>
      </w:pPr>
      <w:r w:rsidRPr="000B615F">
        <w:rPr>
          <w:rFonts w:ascii="Verdana" w:hAnsi="Verdana"/>
          <w:b/>
          <w:bCs/>
          <w:i/>
          <w:iCs/>
          <w:color w:val="800000"/>
          <w:sz w:val="18"/>
          <w:szCs w:val="18"/>
        </w:rPr>
        <w:t>El Tribunal Supremo (TS) ha emitido dos relevantes sentencias que fijan doctrina y facilitan a nivel fiscal el relevo de la empresa familiar cuando hay sociedades dedicadas al arrendamiento inmobiliario.</w:t>
      </w:r>
    </w:p>
    <w:p w14:paraId="30AB557F" w14:textId="77777777" w:rsidR="000B615F" w:rsidRDefault="000B615F" w:rsidP="00FA421C">
      <w:pPr>
        <w:ind w:right="-1"/>
        <w:jc w:val="both"/>
        <w:rPr>
          <w:rFonts w:ascii="Verdana" w:hAnsi="Verdana"/>
          <w:b/>
          <w:bCs/>
          <w:i/>
          <w:iCs/>
          <w:color w:val="800000"/>
          <w:sz w:val="18"/>
          <w:szCs w:val="18"/>
        </w:rPr>
      </w:pPr>
    </w:p>
    <w:p w14:paraId="47225221" w14:textId="77777777" w:rsidR="00FA421C" w:rsidRDefault="00FA421C" w:rsidP="00FA421C">
      <w:pPr>
        <w:ind w:right="-1"/>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351BCB" w:rsidRPr="00351BCB" w14:paraId="21CE1741" w14:textId="77777777" w:rsidTr="003F1706">
        <w:tc>
          <w:tcPr>
            <w:tcW w:w="180" w:type="dxa"/>
            <w:shd w:val="clear" w:color="auto" w:fill="FF6600"/>
          </w:tcPr>
          <w:p w14:paraId="12EC7730" w14:textId="77777777" w:rsidR="00351BCB" w:rsidRPr="00351BCB" w:rsidRDefault="00351BCB" w:rsidP="003F1706">
            <w:pPr>
              <w:rPr>
                <w:rFonts w:ascii="Verdana" w:hAnsi="Verdana"/>
                <w:b/>
                <w:bCs/>
                <w:color w:val="800000"/>
                <w:sz w:val="18"/>
                <w:szCs w:val="18"/>
              </w:rPr>
            </w:pPr>
          </w:p>
        </w:tc>
        <w:tc>
          <w:tcPr>
            <w:tcW w:w="8460" w:type="dxa"/>
          </w:tcPr>
          <w:p w14:paraId="14A53AD1" w14:textId="0BA045FD" w:rsidR="00351BCB" w:rsidRPr="00351BCB" w:rsidRDefault="00351BCB">
            <w:pPr>
              <w:numPr>
                <w:ilvl w:val="0"/>
                <w:numId w:val="2"/>
              </w:numPr>
              <w:ind w:right="276"/>
              <w:jc w:val="both"/>
              <w:rPr>
                <w:rFonts w:ascii="Verdana" w:hAnsi="Verdana"/>
                <w:b/>
                <w:bCs/>
                <w:color w:val="800000"/>
                <w:sz w:val="18"/>
                <w:szCs w:val="18"/>
              </w:rPr>
            </w:pPr>
            <w:r w:rsidRPr="00351BCB">
              <w:rPr>
                <w:rFonts w:ascii="Verdana" w:hAnsi="Verdana"/>
                <w:b/>
                <w:bCs/>
                <w:color w:val="800000"/>
                <w:sz w:val="18"/>
                <w:szCs w:val="18"/>
              </w:rPr>
              <w:t>REAL DECRETO-LEY 7/2026: MEDIDAS TRIBUTARIAS DE FISCALIDAD ENERGÉTICA</w:t>
            </w:r>
          </w:p>
        </w:tc>
      </w:tr>
    </w:tbl>
    <w:p w14:paraId="1739A0CD" w14:textId="77777777" w:rsidR="00351BCB" w:rsidRDefault="00351BCB" w:rsidP="00FA421C">
      <w:pPr>
        <w:ind w:right="-1"/>
        <w:jc w:val="both"/>
        <w:rPr>
          <w:rFonts w:ascii="Verdana" w:hAnsi="Verdana"/>
          <w:b/>
          <w:bCs/>
          <w:i/>
          <w:iCs/>
          <w:color w:val="800000"/>
          <w:sz w:val="18"/>
          <w:szCs w:val="18"/>
        </w:rPr>
      </w:pPr>
    </w:p>
    <w:p w14:paraId="631531D8" w14:textId="77777777" w:rsidR="00351BCB" w:rsidRDefault="00351BCB" w:rsidP="00351BCB">
      <w:pPr>
        <w:ind w:left="284" w:right="-1"/>
        <w:jc w:val="both"/>
        <w:rPr>
          <w:rFonts w:ascii="Verdana" w:hAnsi="Verdana"/>
          <w:i/>
          <w:iCs/>
          <w:sz w:val="18"/>
          <w:szCs w:val="18"/>
        </w:rPr>
      </w:pPr>
      <w:r w:rsidRPr="00351BCB">
        <w:rPr>
          <w:rFonts w:ascii="Verdana" w:hAnsi="Verdana"/>
          <w:i/>
          <w:iCs/>
          <w:sz w:val="18"/>
          <w:szCs w:val="18"/>
        </w:rPr>
        <w:t>El Real Decreto-ley 7/2026, de 20 de marzo, por el que se aprueba el Plan Integral de Respuesta a la Crisis en Oriente Medio, articula un paquete de medidas fiscales, legales y económicas destinadas a mitigar el impacto de esta crisis sobre hogares, empresas y sectores especialmente expuestos a los costes energéticos, y que suponen la movilización de más de 5.000 millones de euros.</w:t>
      </w:r>
    </w:p>
    <w:p w14:paraId="06DD8E20" w14:textId="32182376" w:rsidR="00351BCB" w:rsidRPr="00351BCB" w:rsidRDefault="00351BCB" w:rsidP="00351BCB">
      <w:pPr>
        <w:ind w:left="284" w:right="-1"/>
        <w:jc w:val="both"/>
        <w:rPr>
          <w:rFonts w:ascii="Verdana" w:hAnsi="Verdana"/>
          <w:i/>
          <w:iCs/>
          <w:sz w:val="18"/>
          <w:szCs w:val="18"/>
        </w:rPr>
      </w:pPr>
      <w:r w:rsidRPr="00351BCB">
        <w:rPr>
          <w:rFonts w:ascii="Verdana" w:hAnsi="Verdana"/>
          <w:i/>
          <w:iCs/>
          <w:sz w:val="18"/>
          <w:szCs w:val="18"/>
        </w:rPr>
        <w:t> </w:t>
      </w:r>
    </w:p>
    <w:p w14:paraId="7CA219F8" w14:textId="77777777" w:rsidR="00351BCB" w:rsidRDefault="00351BCB" w:rsidP="00351BCB">
      <w:pPr>
        <w:ind w:left="284" w:right="-1"/>
        <w:jc w:val="both"/>
        <w:rPr>
          <w:rFonts w:ascii="Verdana" w:hAnsi="Verdana"/>
          <w:i/>
          <w:iCs/>
          <w:sz w:val="18"/>
          <w:szCs w:val="18"/>
        </w:rPr>
      </w:pPr>
      <w:r w:rsidRPr="00351BCB">
        <w:rPr>
          <w:rFonts w:ascii="Verdana" w:hAnsi="Verdana"/>
          <w:i/>
          <w:iCs/>
          <w:sz w:val="18"/>
          <w:szCs w:val="18"/>
        </w:rPr>
        <w:t xml:space="preserve">Además de medidas más estructurales orientadas a acelerar la electrificación, el despliegue renovable y el almacenamiento, con el objetivo de reforzar la autonomía energética y la resiliencia del sistema, la norma establece un conjunto de medidas </w:t>
      </w:r>
      <w:r w:rsidRPr="00351BCB">
        <w:rPr>
          <w:rFonts w:ascii="Verdana" w:hAnsi="Verdana"/>
          <w:i/>
          <w:iCs/>
          <w:sz w:val="18"/>
          <w:szCs w:val="18"/>
        </w:rPr>
        <w:lastRenderedPageBreak/>
        <w:t>tributarias, que incluyen una variedad de incentivos fiscales para combatir las consecuencias económicas derivadas de la crisis energética producida por el conflicto bélico en Oriente Medio.</w:t>
      </w:r>
    </w:p>
    <w:p w14:paraId="31B4AD37" w14:textId="77777777" w:rsidR="00351BCB" w:rsidRPr="00351BCB" w:rsidRDefault="00351BCB" w:rsidP="00351BCB">
      <w:pPr>
        <w:ind w:left="284" w:right="-1"/>
        <w:jc w:val="both"/>
        <w:rPr>
          <w:rFonts w:ascii="Verdana" w:hAnsi="Verdana"/>
          <w:i/>
          <w:iCs/>
          <w:sz w:val="18"/>
          <w:szCs w:val="18"/>
        </w:rPr>
      </w:pPr>
    </w:p>
    <w:p w14:paraId="71CB2FB5" w14:textId="529C6CDA" w:rsidR="00351BCB" w:rsidRPr="00351BCB" w:rsidRDefault="00351BCB" w:rsidP="00351BCB">
      <w:pPr>
        <w:ind w:left="284" w:right="-1"/>
        <w:jc w:val="both"/>
        <w:rPr>
          <w:rFonts w:ascii="Verdana" w:hAnsi="Verdana"/>
          <w:i/>
          <w:iCs/>
          <w:sz w:val="18"/>
          <w:szCs w:val="18"/>
        </w:rPr>
      </w:pPr>
      <w:r w:rsidRPr="00351BCB">
        <w:rPr>
          <w:rFonts w:ascii="Verdana" w:hAnsi="Verdana"/>
          <w:i/>
          <w:iCs/>
          <w:sz w:val="18"/>
          <w:szCs w:val="18"/>
        </w:rPr>
        <w:t xml:space="preserve">Dada la amplitud de la norma, cuyo contenido se desarrolla en 64 artículos, catorce disposiciones adicionales, seis transitorias, una derogatoria y veintiuna finales, </w:t>
      </w:r>
      <w:r>
        <w:rPr>
          <w:rFonts w:ascii="Verdana" w:hAnsi="Verdana"/>
          <w:i/>
          <w:iCs/>
          <w:sz w:val="18"/>
          <w:szCs w:val="18"/>
        </w:rPr>
        <w:t>en estos Apuntes</w:t>
      </w:r>
      <w:r w:rsidRPr="00351BCB">
        <w:rPr>
          <w:rFonts w:ascii="Verdana" w:hAnsi="Verdana"/>
          <w:i/>
          <w:iCs/>
          <w:sz w:val="18"/>
          <w:szCs w:val="18"/>
        </w:rPr>
        <w:t xml:space="preserve"> trataremos</w:t>
      </w:r>
      <w:r>
        <w:rPr>
          <w:rFonts w:ascii="Verdana" w:hAnsi="Verdana"/>
          <w:i/>
          <w:iCs/>
          <w:sz w:val="18"/>
          <w:szCs w:val="18"/>
        </w:rPr>
        <w:t xml:space="preserve"> esquemáticamente</w:t>
      </w:r>
      <w:r w:rsidRPr="00351BCB">
        <w:rPr>
          <w:rFonts w:ascii="Verdana" w:hAnsi="Verdana"/>
          <w:i/>
          <w:iCs/>
          <w:sz w:val="18"/>
          <w:szCs w:val="18"/>
        </w:rPr>
        <w:t xml:space="preserve"> las medidas tributarias que contiene la misma</w:t>
      </w:r>
      <w:r>
        <w:rPr>
          <w:rFonts w:ascii="Verdana" w:hAnsi="Verdana"/>
          <w:i/>
          <w:iCs/>
          <w:sz w:val="18"/>
          <w:szCs w:val="18"/>
        </w:rPr>
        <w:t>.</w:t>
      </w:r>
    </w:p>
    <w:p w14:paraId="1AF23342" w14:textId="77F48D0B" w:rsidR="00351BCB" w:rsidRPr="00351BCB" w:rsidRDefault="00351BCB" w:rsidP="00351BCB">
      <w:pPr>
        <w:ind w:left="284" w:right="-1"/>
        <w:jc w:val="both"/>
        <w:rPr>
          <w:rFonts w:ascii="Verdana" w:hAnsi="Verdana"/>
          <w:i/>
          <w:iCs/>
          <w:sz w:val="18"/>
          <w:szCs w:val="18"/>
        </w:rPr>
      </w:pPr>
      <w:r w:rsidRPr="00351BCB">
        <w:rPr>
          <w:rFonts w:ascii="Verdana" w:hAnsi="Verdana"/>
          <w:i/>
          <w:iCs/>
          <w:sz w:val="18"/>
          <w:szCs w:val="18"/>
        </w:rPr>
        <w:t>Las medidas establecidas por el RDL 7/2026</w:t>
      </w:r>
      <w:r w:rsidR="00E671E9">
        <w:rPr>
          <w:rFonts w:ascii="Verdana" w:hAnsi="Verdana"/>
          <w:i/>
          <w:iCs/>
          <w:sz w:val="18"/>
          <w:szCs w:val="18"/>
        </w:rPr>
        <w:t xml:space="preserve">, </w:t>
      </w:r>
      <w:bookmarkStart w:id="1" w:name="_Hlk225617286"/>
      <w:r w:rsidR="00E671E9">
        <w:rPr>
          <w:rFonts w:ascii="Verdana" w:hAnsi="Verdana"/>
          <w:i/>
          <w:iCs/>
          <w:sz w:val="18"/>
          <w:szCs w:val="18"/>
        </w:rPr>
        <w:t>han sido ratificadas</w:t>
      </w:r>
      <w:r w:rsidR="00E671E9" w:rsidRPr="00E671E9">
        <w:rPr>
          <w:rFonts w:ascii="Verdana" w:hAnsi="Verdana"/>
          <w:color w:val="000000"/>
          <w:sz w:val="21"/>
          <w:szCs w:val="21"/>
          <w:shd w:val="clear" w:color="auto" w:fill="F8F8F8"/>
        </w:rPr>
        <w:t xml:space="preserve"> </w:t>
      </w:r>
      <w:r w:rsidR="00E671E9" w:rsidRPr="00E671E9">
        <w:rPr>
          <w:rFonts w:ascii="Verdana" w:hAnsi="Verdana"/>
          <w:i/>
          <w:iCs/>
          <w:sz w:val="18"/>
          <w:szCs w:val="18"/>
        </w:rPr>
        <w:t>mediante</w:t>
      </w:r>
      <w:r w:rsidR="00E671E9">
        <w:rPr>
          <w:rFonts w:ascii="Verdana" w:hAnsi="Verdana"/>
          <w:color w:val="000000"/>
          <w:sz w:val="21"/>
          <w:szCs w:val="21"/>
          <w:shd w:val="clear" w:color="auto" w:fill="F8F8F8"/>
        </w:rPr>
        <w:t xml:space="preserve"> </w:t>
      </w:r>
      <w:r w:rsidR="00E671E9" w:rsidRPr="00E671E9">
        <w:rPr>
          <w:rFonts w:ascii="Verdana" w:hAnsi="Verdana"/>
          <w:i/>
          <w:iCs/>
          <w:sz w:val="18"/>
          <w:szCs w:val="18"/>
        </w:rPr>
        <w:t>Resolución de 26 de marzo de 2026, del Congreso de los Diputados</w:t>
      </w:r>
      <w:r w:rsidR="00E671E9">
        <w:rPr>
          <w:rFonts w:ascii="Verdana" w:hAnsi="Verdana"/>
          <w:i/>
          <w:iCs/>
          <w:sz w:val="18"/>
          <w:szCs w:val="18"/>
        </w:rPr>
        <w:t>.</w:t>
      </w:r>
    </w:p>
    <w:bookmarkEnd w:id="1"/>
    <w:p w14:paraId="163A184B" w14:textId="77777777" w:rsidR="00351BCB" w:rsidRDefault="00351BCB" w:rsidP="00351BCB">
      <w:pPr>
        <w:ind w:left="284" w:right="-1"/>
        <w:jc w:val="both"/>
        <w:rPr>
          <w:rFonts w:ascii="Verdana" w:hAnsi="Verdana"/>
          <w:b/>
          <w:bCs/>
          <w:i/>
          <w:iCs/>
          <w:color w:val="800000"/>
          <w:sz w:val="18"/>
          <w:szCs w:val="18"/>
        </w:rPr>
      </w:pPr>
    </w:p>
    <w:p w14:paraId="32CFCCEE" w14:textId="262A333D" w:rsidR="00351BCB" w:rsidRPr="00351BCB" w:rsidRDefault="00351BCB" w:rsidP="00351BCB">
      <w:pPr>
        <w:tabs>
          <w:tab w:val="left" w:pos="284"/>
        </w:tabs>
        <w:ind w:left="284"/>
        <w:jc w:val="both"/>
        <w:rPr>
          <w:rFonts w:ascii="Verdana" w:hAnsi="Verdana"/>
          <w:b/>
          <w:bCs/>
          <w:iCs/>
          <w:color w:val="7F3F00"/>
          <w:sz w:val="18"/>
          <w:szCs w:val="18"/>
        </w:rPr>
      </w:pPr>
      <w:r w:rsidRPr="00351BCB">
        <w:rPr>
          <w:rFonts w:ascii="Verdana" w:hAnsi="Verdana"/>
          <w:b/>
          <w:bCs/>
          <w:iCs/>
          <w:color w:val="7F3F00"/>
          <w:sz w:val="18"/>
          <w:szCs w:val="18"/>
        </w:rPr>
        <w:t>Contexto general</w:t>
      </w:r>
    </w:p>
    <w:p w14:paraId="68F58805" w14:textId="77777777" w:rsidR="00351BCB" w:rsidRPr="00351BCB" w:rsidRDefault="00351BCB" w:rsidP="00351BCB">
      <w:pPr>
        <w:tabs>
          <w:tab w:val="left" w:pos="284"/>
        </w:tabs>
        <w:ind w:left="284"/>
        <w:jc w:val="both"/>
        <w:rPr>
          <w:rFonts w:ascii="Verdana" w:hAnsi="Verdana"/>
          <w:bCs/>
          <w:iCs/>
          <w:sz w:val="18"/>
          <w:szCs w:val="18"/>
        </w:rPr>
      </w:pPr>
      <w:r w:rsidRPr="00351BCB">
        <w:rPr>
          <w:rFonts w:ascii="Verdana" w:hAnsi="Verdana"/>
          <w:b/>
          <w:iCs/>
          <w:sz w:val="18"/>
          <w:szCs w:val="18"/>
        </w:rPr>
        <w:t xml:space="preserve">El </w:t>
      </w:r>
      <w:r w:rsidRPr="00351BCB">
        <w:rPr>
          <w:rFonts w:ascii="Verdana" w:hAnsi="Verdana"/>
          <w:b/>
          <w:bCs/>
          <w:iCs/>
          <w:sz w:val="18"/>
          <w:szCs w:val="18"/>
        </w:rPr>
        <w:t>Real Decreto-ley 7/2026 (20 de marzo)</w:t>
      </w:r>
      <w:r w:rsidRPr="00351BCB">
        <w:rPr>
          <w:rFonts w:ascii="Verdana" w:hAnsi="Verdana"/>
          <w:bCs/>
          <w:iCs/>
          <w:sz w:val="18"/>
          <w:szCs w:val="18"/>
        </w:rPr>
        <w:t xml:space="preserve"> aprueba un paquete urgente de medidas fiscales y económicas para mitigar el impacto del encarecimiento energético derivado de la crisis en Oriente Medio. Las medidas afectan principalmente a la fiscalidad de la energía, carburantes y a incentivos para la transición energética. </w:t>
      </w:r>
    </w:p>
    <w:p w14:paraId="2E70258C"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6BE031CF">
          <v:rect id="_x0000_i1025" style="width:0;height:1.5pt" o:hralign="center" o:hrstd="t" o:hr="t" fillcolor="#a0a0a0" stroked="f"/>
        </w:pict>
      </w:r>
    </w:p>
    <w:p w14:paraId="1F5D3DC2" w14:textId="3BFC7F61" w:rsidR="00351BCB" w:rsidRPr="0067497B" w:rsidRDefault="00351BCB" w:rsidP="00351BCB">
      <w:pPr>
        <w:tabs>
          <w:tab w:val="left" w:pos="284"/>
        </w:tabs>
        <w:ind w:left="284"/>
        <w:jc w:val="both"/>
        <w:rPr>
          <w:rFonts w:ascii="Verdana" w:hAnsi="Verdana"/>
          <w:b/>
          <w:bCs/>
          <w:iCs/>
          <w:color w:val="7F3F00"/>
          <w:sz w:val="18"/>
          <w:szCs w:val="18"/>
        </w:rPr>
      </w:pPr>
      <w:r w:rsidRPr="00351BCB">
        <w:rPr>
          <w:rFonts w:ascii="Verdana" w:hAnsi="Verdana"/>
          <w:b/>
          <w:bCs/>
          <w:iCs/>
          <w:color w:val="7F3F00"/>
          <w:sz w:val="18"/>
          <w:szCs w:val="18"/>
        </w:rPr>
        <w:t>Principales medidas tributarias</w:t>
      </w:r>
    </w:p>
    <w:p w14:paraId="07D97C06" w14:textId="77777777" w:rsidR="0067497B" w:rsidRDefault="0067497B" w:rsidP="00351BCB">
      <w:pPr>
        <w:tabs>
          <w:tab w:val="left" w:pos="284"/>
        </w:tabs>
        <w:ind w:left="284"/>
        <w:jc w:val="both"/>
        <w:rPr>
          <w:rFonts w:ascii="Verdana" w:hAnsi="Verdana"/>
          <w:b/>
          <w:bCs/>
          <w:iCs/>
          <w:sz w:val="18"/>
          <w:szCs w:val="18"/>
        </w:rPr>
      </w:pPr>
    </w:p>
    <w:p w14:paraId="57170368" w14:textId="61E0CB05" w:rsidR="00351BCB" w:rsidRPr="00351BCB" w:rsidRDefault="00351BCB" w:rsidP="00351BCB">
      <w:pPr>
        <w:tabs>
          <w:tab w:val="left" w:pos="284"/>
        </w:tabs>
        <w:ind w:left="284"/>
        <w:jc w:val="both"/>
        <w:rPr>
          <w:rFonts w:ascii="Verdana" w:hAnsi="Verdana"/>
          <w:b/>
          <w:bCs/>
          <w:iCs/>
          <w:color w:val="7F3F00"/>
          <w:sz w:val="18"/>
          <w:szCs w:val="18"/>
        </w:rPr>
      </w:pPr>
      <w:r w:rsidRPr="00351BCB">
        <w:rPr>
          <w:rFonts w:ascii="Verdana" w:hAnsi="Verdana"/>
          <w:b/>
          <w:bCs/>
          <w:iCs/>
          <w:color w:val="7F3F00"/>
          <w:sz w:val="18"/>
          <w:szCs w:val="18"/>
        </w:rPr>
        <w:t>Impuesto sobre Hidrocarburos</w:t>
      </w:r>
    </w:p>
    <w:p w14:paraId="28EA9502" w14:textId="77777777" w:rsidR="00351BCB" w:rsidRPr="00351BCB" w:rsidRDefault="00351BCB">
      <w:pPr>
        <w:numPr>
          <w:ilvl w:val="0"/>
          <w:numId w:val="43"/>
        </w:numPr>
        <w:tabs>
          <w:tab w:val="left" w:pos="284"/>
        </w:tabs>
        <w:jc w:val="both"/>
        <w:rPr>
          <w:rFonts w:ascii="Verdana" w:hAnsi="Verdana"/>
          <w:bCs/>
          <w:iCs/>
          <w:sz w:val="18"/>
          <w:szCs w:val="18"/>
        </w:rPr>
      </w:pPr>
      <w:r w:rsidRPr="00351BCB">
        <w:rPr>
          <w:rFonts w:ascii="Verdana" w:hAnsi="Verdana"/>
          <w:b/>
          <w:bCs/>
          <w:iCs/>
          <w:sz w:val="18"/>
          <w:szCs w:val="18"/>
        </w:rPr>
        <w:t>Reducción temporal de tipos</w:t>
      </w:r>
      <w:r w:rsidRPr="00351BCB">
        <w:rPr>
          <w:rFonts w:ascii="Verdana" w:hAnsi="Verdana"/>
          <w:bCs/>
          <w:iCs/>
          <w:sz w:val="18"/>
          <w:szCs w:val="18"/>
        </w:rPr>
        <w:t xml:space="preserve"> hasta mínimos comunitarios. </w:t>
      </w:r>
    </w:p>
    <w:p w14:paraId="4A633A9A" w14:textId="77777777" w:rsidR="00351BCB" w:rsidRPr="00351BCB" w:rsidRDefault="00351BCB">
      <w:pPr>
        <w:numPr>
          <w:ilvl w:val="0"/>
          <w:numId w:val="43"/>
        </w:numPr>
        <w:tabs>
          <w:tab w:val="left" w:pos="284"/>
        </w:tabs>
        <w:jc w:val="both"/>
        <w:rPr>
          <w:rFonts w:ascii="Verdana" w:hAnsi="Verdana"/>
          <w:bCs/>
          <w:iCs/>
          <w:sz w:val="18"/>
          <w:szCs w:val="18"/>
        </w:rPr>
      </w:pPr>
      <w:r w:rsidRPr="00351BCB">
        <w:rPr>
          <w:rFonts w:ascii="Verdana" w:hAnsi="Verdana"/>
          <w:bCs/>
          <w:iCs/>
          <w:sz w:val="18"/>
          <w:szCs w:val="18"/>
        </w:rPr>
        <w:t xml:space="preserve">Aplicable del </w:t>
      </w:r>
      <w:r w:rsidRPr="00351BCB">
        <w:rPr>
          <w:rFonts w:ascii="Verdana" w:hAnsi="Verdana"/>
          <w:b/>
          <w:bCs/>
          <w:iCs/>
          <w:sz w:val="18"/>
          <w:szCs w:val="18"/>
        </w:rPr>
        <w:t>22 de marzo al 30 de junio de 2026</w:t>
      </w:r>
      <w:r w:rsidRPr="00351BCB">
        <w:rPr>
          <w:rFonts w:ascii="Verdana" w:hAnsi="Verdana"/>
          <w:bCs/>
          <w:iCs/>
          <w:sz w:val="18"/>
          <w:szCs w:val="18"/>
        </w:rPr>
        <w:t xml:space="preserve">. </w:t>
      </w:r>
    </w:p>
    <w:p w14:paraId="5BCC0DB8" w14:textId="77777777" w:rsidR="00351BCB" w:rsidRPr="00351BCB" w:rsidRDefault="00351BCB">
      <w:pPr>
        <w:numPr>
          <w:ilvl w:val="0"/>
          <w:numId w:val="43"/>
        </w:numPr>
        <w:tabs>
          <w:tab w:val="left" w:pos="284"/>
        </w:tabs>
        <w:jc w:val="both"/>
        <w:rPr>
          <w:rFonts w:ascii="Verdana" w:hAnsi="Verdana"/>
          <w:bCs/>
          <w:iCs/>
          <w:sz w:val="18"/>
          <w:szCs w:val="18"/>
        </w:rPr>
      </w:pPr>
      <w:r w:rsidRPr="00351BCB">
        <w:rPr>
          <w:rFonts w:ascii="Verdana" w:hAnsi="Verdana"/>
          <w:bCs/>
          <w:iCs/>
          <w:sz w:val="18"/>
          <w:szCs w:val="18"/>
        </w:rPr>
        <w:t xml:space="preserve">Afecta a gasolinas, gasóleo, fuelóleos, gas natural, entre otros. </w:t>
      </w:r>
    </w:p>
    <w:p w14:paraId="67F7B65A" w14:textId="77777777" w:rsidR="00351BCB" w:rsidRPr="00351BCB" w:rsidRDefault="00351BCB">
      <w:pPr>
        <w:numPr>
          <w:ilvl w:val="0"/>
          <w:numId w:val="43"/>
        </w:numPr>
        <w:tabs>
          <w:tab w:val="left" w:pos="284"/>
        </w:tabs>
        <w:jc w:val="both"/>
        <w:rPr>
          <w:rFonts w:ascii="Verdana" w:hAnsi="Verdana"/>
          <w:bCs/>
          <w:iCs/>
          <w:sz w:val="18"/>
          <w:szCs w:val="18"/>
        </w:rPr>
      </w:pPr>
      <w:r w:rsidRPr="00351BCB">
        <w:rPr>
          <w:rFonts w:ascii="Verdana" w:hAnsi="Verdana"/>
          <w:bCs/>
          <w:iCs/>
          <w:sz w:val="18"/>
          <w:szCs w:val="18"/>
        </w:rPr>
        <w:t xml:space="preserve">Condicionada a la evolución del IPC de carburantes. </w:t>
      </w:r>
    </w:p>
    <w:p w14:paraId="251B883E"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12E3B40F">
          <v:rect id="_x0000_i1026" style="width:0;height:1.5pt" o:hralign="center" o:hrstd="t" o:hr="t" fillcolor="#a0a0a0" stroked="f"/>
        </w:pict>
      </w:r>
    </w:p>
    <w:p w14:paraId="2C467B6E" w14:textId="14D41920" w:rsidR="00351BCB" w:rsidRPr="00351BCB" w:rsidRDefault="00351BCB" w:rsidP="00351BCB">
      <w:pPr>
        <w:tabs>
          <w:tab w:val="left" w:pos="284"/>
        </w:tabs>
        <w:ind w:left="284"/>
        <w:jc w:val="both"/>
        <w:rPr>
          <w:rFonts w:ascii="Verdana" w:hAnsi="Verdana"/>
          <w:b/>
          <w:bCs/>
          <w:iCs/>
          <w:color w:val="7F3F00"/>
          <w:sz w:val="18"/>
          <w:szCs w:val="18"/>
        </w:rPr>
      </w:pPr>
      <w:r w:rsidRPr="00351BCB">
        <w:rPr>
          <w:rFonts w:ascii="Verdana" w:hAnsi="Verdana"/>
          <w:b/>
          <w:bCs/>
          <w:iCs/>
          <w:color w:val="7F3F00"/>
          <w:sz w:val="18"/>
          <w:szCs w:val="18"/>
        </w:rPr>
        <w:t xml:space="preserve"> IVA energético</w:t>
      </w:r>
    </w:p>
    <w:p w14:paraId="26F9FAB0" w14:textId="77777777" w:rsidR="00351BCB" w:rsidRPr="00351BCB" w:rsidRDefault="00351BCB">
      <w:pPr>
        <w:numPr>
          <w:ilvl w:val="0"/>
          <w:numId w:val="44"/>
        </w:numPr>
        <w:tabs>
          <w:tab w:val="left" w:pos="284"/>
        </w:tabs>
        <w:jc w:val="both"/>
        <w:rPr>
          <w:rFonts w:ascii="Verdana" w:hAnsi="Verdana"/>
          <w:bCs/>
          <w:iCs/>
          <w:sz w:val="18"/>
          <w:szCs w:val="18"/>
        </w:rPr>
      </w:pPr>
      <w:r w:rsidRPr="00351BCB">
        <w:rPr>
          <w:rFonts w:ascii="Verdana" w:hAnsi="Verdana"/>
          <w:b/>
          <w:bCs/>
          <w:iCs/>
          <w:sz w:val="18"/>
          <w:szCs w:val="18"/>
        </w:rPr>
        <w:t>Tipo reducido del 10%</w:t>
      </w:r>
      <w:r w:rsidRPr="00351BCB">
        <w:rPr>
          <w:rFonts w:ascii="Verdana" w:hAnsi="Verdana"/>
          <w:bCs/>
          <w:iCs/>
          <w:sz w:val="18"/>
          <w:szCs w:val="18"/>
        </w:rPr>
        <w:t xml:space="preserve"> (temporal) para: </w:t>
      </w:r>
    </w:p>
    <w:p w14:paraId="5F12EF9A" w14:textId="77777777" w:rsidR="00351BCB" w:rsidRPr="00351BCB" w:rsidRDefault="00351BCB">
      <w:pPr>
        <w:numPr>
          <w:ilvl w:val="1"/>
          <w:numId w:val="44"/>
        </w:numPr>
        <w:tabs>
          <w:tab w:val="left" w:pos="284"/>
        </w:tabs>
        <w:jc w:val="both"/>
        <w:rPr>
          <w:rFonts w:ascii="Verdana" w:hAnsi="Verdana"/>
          <w:bCs/>
          <w:iCs/>
          <w:sz w:val="18"/>
          <w:szCs w:val="18"/>
        </w:rPr>
      </w:pPr>
      <w:r w:rsidRPr="00351BCB">
        <w:rPr>
          <w:rFonts w:ascii="Verdana" w:hAnsi="Verdana"/>
          <w:bCs/>
          <w:iCs/>
          <w:sz w:val="18"/>
          <w:szCs w:val="18"/>
        </w:rPr>
        <w:t xml:space="preserve">Electricidad (≤10 kW y consumidores vulnerables). </w:t>
      </w:r>
    </w:p>
    <w:p w14:paraId="747ED397" w14:textId="77777777" w:rsidR="00351BCB" w:rsidRPr="00351BCB" w:rsidRDefault="00351BCB">
      <w:pPr>
        <w:numPr>
          <w:ilvl w:val="1"/>
          <w:numId w:val="44"/>
        </w:numPr>
        <w:tabs>
          <w:tab w:val="left" w:pos="284"/>
        </w:tabs>
        <w:jc w:val="both"/>
        <w:rPr>
          <w:rFonts w:ascii="Verdana" w:hAnsi="Verdana"/>
          <w:bCs/>
          <w:iCs/>
          <w:sz w:val="18"/>
          <w:szCs w:val="18"/>
        </w:rPr>
      </w:pPr>
      <w:r w:rsidRPr="00351BCB">
        <w:rPr>
          <w:rFonts w:ascii="Verdana" w:hAnsi="Verdana"/>
          <w:bCs/>
          <w:iCs/>
          <w:sz w:val="18"/>
          <w:szCs w:val="18"/>
        </w:rPr>
        <w:t xml:space="preserve">Gas natural, biomasa y leña. </w:t>
      </w:r>
    </w:p>
    <w:p w14:paraId="4088303B" w14:textId="77777777" w:rsidR="00351BCB" w:rsidRPr="00351BCB" w:rsidRDefault="00351BCB">
      <w:pPr>
        <w:numPr>
          <w:ilvl w:val="1"/>
          <w:numId w:val="44"/>
        </w:numPr>
        <w:tabs>
          <w:tab w:val="left" w:pos="284"/>
        </w:tabs>
        <w:jc w:val="both"/>
        <w:rPr>
          <w:rFonts w:ascii="Verdana" w:hAnsi="Verdana"/>
          <w:bCs/>
          <w:iCs/>
          <w:sz w:val="18"/>
          <w:szCs w:val="18"/>
        </w:rPr>
      </w:pPr>
      <w:r w:rsidRPr="00351BCB">
        <w:rPr>
          <w:rFonts w:ascii="Verdana" w:hAnsi="Verdana"/>
          <w:bCs/>
          <w:iCs/>
          <w:sz w:val="18"/>
          <w:szCs w:val="18"/>
        </w:rPr>
        <w:t xml:space="preserve">Carburantes. </w:t>
      </w:r>
    </w:p>
    <w:p w14:paraId="43AF2252" w14:textId="77777777" w:rsidR="00351BCB" w:rsidRPr="00351BCB" w:rsidRDefault="00351BCB">
      <w:pPr>
        <w:numPr>
          <w:ilvl w:val="0"/>
          <w:numId w:val="44"/>
        </w:numPr>
        <w:tabs>
          <w:tab w:val="left" w:pos="284"/>
        </w:tabs>
        <w:jc w:val="both"/>
        <w:rPr>
          <w:rFonts w:ascii="Verdana" w:hAnsi="Verdana"/>
          <w:bCs/>
          <w:iCs/>
          <w:sz w:val="18"/>
          <w:szCs w:val="18"/>
        </w:rPr>
      </w:pPr>
      <w:r w:rsidRPr="00351BCB">
        <w:rPr>
          <w:rFonts w:ascii="Verdana" w:hAnsi="Verdana"/>
          <w:bCs/>
          <w:iCs/>
          <w:sz w:val="18"/>
          <w:szCs w:val="18"/>
        </w:rPr>
        <w:t xml:space="preserve">Vigencia: </w:t>
      </w:r>
      <w:r w:rsidRPr="00351BCB">
        <w:rPr>
          <w:rFonts w:ascii="Verdana" w:hAnsi="Verdana"/>
          <w:b/>
          <w:bCs/>
          <w:iCs/>
          <w:sz w:val="18"/>
          <w:szCs w:val="18"/>
        </w:rPr>
        <w:t>22 marzo – 30 junio 2026</w:t>
      </w:r>
      <w:r w:rsidRPr="00351BCB">
        <w:rPr>
          <w:rFonts w:ascii="Verdana" w:hAnsi="Verdana"/>
          <w:bCs/>
          <w:iCs/>
          <w:sz w:val="18"/>
          <w:szCs w:val="18"/>
        </w:rPr>
        <w:t xml:space="preserve">. </w:t>
      </w:r>
    </w:p>
    <w:p w14:paraId="7EFA254D" w14:textId="77777777" w:rsidR="00351BCB" w:rsidRPr="00351BCB" w:rsidRDefault="00351BCB">
      <w:pPr>
        <w:numPr>
          <w:ilvl w:val="0"/>
          <w:numId w:val="44"/>
        </w:numPr>
        <w:tabs>
          <w:tab w:val="left" w:pos="284"/>
        </w:tabs>
        <w:jc w:val="both"/>
        <w:rPr>
          <w:rFonts w:ascii="Verdana" w:hAnsi="Verdana"/>
          <w:bCs/>
          <w:iCs/>
          <w:sz w:val="18"/>
          <w:szCs w:val="18"/>
        </w:rPr>
      </w:pPr>
      <w:r w:rsidRPr="00351BCB">
        <w:rPr>
          <w:rFonts w:ascii="Verdana" w:hAnsi="Verdana"/>
          <w:bCs/>
          <w:iCs/>
          <w:sz w:val="18"/>
          <w:szCs w:val="18"/>
        </w:rPr>
        <w:t xml:space="preserve">Requiere adaptación de sistemas de facturación. </w:t>
      </w:r>
    </w:p>
    <w:p w14:paraId="5D75F4CE"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447F5F9E">
          <v:rect id="_x0000_i1027" style="width:0;height:1.5pt" o:hralign="center" o:hrstd="t" o:hr="t" fillcolor="#a0a0a0" stroked="f"/>
        </w:pict>
      </w:r>
    </w:p>
    <w:p w14:paraId="113D6A2A" w14:textId="79395EE3" w:rsidR="00351BCB" w:rsidRPr="00351BCB" w:rsidRDefault="00351BCB" w:rsidP="00351BCB">
      <w:pPr>
        <w:tabs>
          <w:tab w:val="left" w:pos="284"/>
        </w:tabs>
        <w:ind w:left="284"/>
        <w:jc w:val="both"/>
        <w:rPr>
          <w:rFonts w:ascii="Verdana" w:hAnsi="Verdana"/>
          <w:b/>
          <w:bCs/>
          <w:iCs/>
          <w:color w:val="7F3F00"/>
          <w:sz w:val="18"/>
          <w:szCs w:val="18"/>
        </w:rPr>
      </w:pPr>
      <w:r w:rsidRPr="00351BCB">
        <w:rPr>
          <w:rFonts w:ascii="Verdana" w:hAnsi="Verdana"/>
          <w:b/>
          <w:bCs/>
          <w:iCs/>
          <w:color w:val="7F3F00"/>
          <w:sz w:val="18"/>
          <w:szCs w:val="18"/>
        </w:rPr>
        <w:t>Impuesto Especial sobre la Electricidad</w:t>
      </w:r>
    </w:p>
    <w:p w14:paraId="7C1E933D" w14:textId="77777777" w:rsidR="00351BCB" w:rsidRPr="00351BCB" w:rsidRDefault="00351BCB">
      <w:pPr>
        <w:numPr>
          <w:ilvl w:val="0"/>
          <w:numId w:val="45"/>
        </w:numPr>
        <w:tabs>
          <w:tab w:val="left" w:pos="284"/>
        </w:tabs>
        <w:jc w:val="both"/>
        <w:rPr>
          <w:rFonts w:ascii="Verdana" w:hAnsi="Verdana"/>
          <w:bCs/>
          <w:iCs/>
          <w:sz w:val="18"/>
          <w:szCs w:val="18"/>
        </w:rPr>
      </w:pPr>
      <w:r w:rsidRPr="00351BCB">
        <w:rPr>
          <w:rFonts w:ascii="Verdana" w:hAnsi="Verdana"/>
          <w:bCs/>
          <w:iCs/>
          <w:sz w:val="18"/>
          <w:szCs w:val="18"/>
        </w:rPr>
        <w:t xml:space="preserve">Tipo reducido del </w:t>
      </w:r>
      <w:r w:rsidRPr="00351BCB">
        <w:rPr>
          <w:rFonts w:ascii="Verdana" w:hAnsi="Verdana"/>
          <w:b/>
          <w:bCs/>
          <w:iCs/>
          <w:sz w:val="18"/>
          <w:szCs w:val="18"/>
        </w:rPr>
        <w:t>5,11% al 0,5%</w:t>
      </w:r>
      <w:r w:rsidRPr="00351BCB">
        <w:rPr>
          <w:rFonts w:ascii="Verdana" w:hAnsi="Verdana"/>
          <w:bCs/>
          <w:iCs/>
          <w:sz w:val="18"/>
          <w:szCs w:val="18"/>
        </w:rPr>
        <w:t xml:space="preserve">. </w:t>
      </w:r>
    </w:p>
    <w:p w14:paraId="3C037E07" w14:textId="77777777" w:rsidR="00351BCB" w:rsidRPr="00351BCB" w:rsidRDefault="00351BCB">
      <w:pPr>
        <w:numPr>
          <w:ilvl w:val="0"/>
          <w:numId w:val="45"/>
        </w:numPr>
        <w:tabs>
          <w:tab w:val="left" w:pos="284"/>
        </w:tabs>
        <w:jc w:val="both"/>
        <w:rPr>
          <w:rFonts w:ascii="Verdana" w:hAnsi="Verdana"/>
          <w:bCs/>
          <w:iCs/>
          <w:sz w:val="18"/>
          <w:szCs w:val="18"/>
        </w:rPr>
      </w:pPr>
      <w:r w:rsidRPr="00351BCB">
        <w:rPr>
          <w:rFonts w:ascii="Verdana" w:hAnsi="Verdana"/>
          <w:bCs/>
          <w:iCs/>
          <w:sz w:val="18"/>
          <w:szCs w:val="18"/>
        </w:rPr>
        <w:t xml:space="preserve">Vigencia temporal hasta junio 2026. </w:t>
      </w:r>
    </w:p>
    <w:p w14:paraId="6D06978D" w14:textId="77777777" w:rsidR="00351BCB" w:rsidRPr="00351BCB" w:rsidRDefault="00351BCB">
      <w:pPr>
        <w:numPr>
          <w:ilvl w:val="0"/>
          <w:numId w:val="45"/>
        </w:numPr>
        <w:tabs>
          <w:tab w:val="left" w:pos="284"/>
        </w:tabs>
        <w:jc w:val="both"/>
        <w:rPr>
          <w:rFonts w:ascii="Verdana" w:hAnsi="Verdana"/>
          <w:bCs/>
          <w:iCs/>
          <w:sz w:val="18"/>
          <w:szCs w:val="18"/>
        </w:rPr>
      </w:pPr>
      <w:r w:rsidRPr="00351BCB">
        <w:rPr>
          <w:rFonts w:ascii="Verdana" w:hAnsi="Verdana"/>
          <w:bCs/>
          <w:iCs/>
          <w:sz w:val="18"/>
          <w:szCs w:val="18"/>
        </w:rPr>
        <w:t xml:space="preserve">Se mantienen mínimos tributarios por normativa UE. </w:t>
      </w:r>
    </w:p>
    <w:p w14:paraId="30F0E13A" w14:textId="77777777" w:rsidR="00351BCB" w:rsidRPr="00351BCB" w:rsidRDefault="00351BCB">
      <w:pPr>
        <w:numPr>
          <w:ilvl w:val="0"/>
          <w:numId w:val="45"/>
        </w:numPr>
        <w:tabs>
          <w:tab w:val="left" w:pos="284"/>
        </w:tabs>
        <w:jc w:val="both"/>
        <w:rPr>
          <w:rFonts w:ascii="Verdana" w:hAnsi="Verdana"/>
          <w:bCs/>
          <w:iCs/>
          <w:sz w:val="18"/>
          <w:szCs w:val="18"/>
        </w:rPr>
      </w:pPr>
      <w:r w:rsidRPr="00351BCB">
        <w:rPr>
          <w:rFonts w:ascii="Verdana" w:hAnsi="Verdana"/>
          <w:bCs/>
          <w:iCs/>
          <w:sz w:val="18"/>
          <w:szCs w:val="18"/>
        </w:rPr>
        <w:t xml:space="preserve">Reduce directamente la factura eléctrica. </w:t>
      </w:r>
    </w:p>
    <w:p w14:paraId="23FD4238"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658404C4">
          <v:rect id="_x0000_i1028" style="width:0;height:1.5pt" o:hralign="center" o:hrstd="t" o:hr="t" fillcolor="#a0a0a0" stroked="f"/>
        </w:pict>
      </w:r>
    </w:p>
    <w:p w14:paraId="45E21125" w14:textId="01B1DB01" w:rsidR="00351BCB" w:rsidRPr="00351BCB" w:rsidRDefault="0067497B" w:rsidP="0067497B">
      <w:pPr>
        <w:tabs>
          <w:tab w:val="left" w:pos="284"/>
        </w:tabs>
        <w:jc w:val="both"/>
        <w:rPr>
          <w:rFonts w:ascii="Verdana" w:hAnsi="Verdana"/>
          <w:b/>
          <w:bCs/>
          <w:iCs/>
          <w:color w:val="7F3F00"/>
          <w:sz w:val="18"/>
          <w:szCs w:val="18"/>
        </w:rPr>
      </w:pPr>
      <w:r>
        <w:rPr>
          <w:rFonts w:ascii="Segoe UI Emoji" w:hAnsi="Segoe UI Emoji" w:cs="Segoe UI Emoji"/>
          <w:b/>
          <w:bCs/>
          <w:iCs/>
          <w:color w:val="7F3F00"/>
          <w:sz w:val="18"/>
          <w:szCs w:val="18"/>
        </w:rPr>
        <w:tab/>
      </w:r>
      <w:r w:rsidR="00351BCB" w:rsidRPr="00351BCB">
        <w:rPr>
          <w:rFonts w:ascii="Verdana" w:hAnsi="Verdana"/>
          <w:b/>
          <w:bCs/>
          <w:iCs/>
          <w:color w:val="7F3F00"/>
          <w:sz w:val="18"/>
          <w:szCs w:val="18"/>
        </w:rPr>
        <w:t xml:space="preserve"> IVPEE (Producción eléctrica)</w:t>
      </w:r>
    </w:p>
    <w:p w14:paraId="0CB89821" w14:textId="77777777" w:rsidR="00351BCB" w:rsidRPr="00351BCB" w:rsidRDefault="00351BCB">
      <w:pPr>
        <w:numPr>
          <w:ilvl w:val="0"/>
          <w:numId w:val="46"/>
        </w:numPr>
        <w:tabs>
          <w:tab w:val="left" w:pos="284"/>
        </w:tabs>
        <w:jc w:val="both"/>
        <w:rPr>
          <w:rFonts w:ascii="Verdana" w:hAnsi="Verdana"/>
          <w:bCs/>
          <w:iCs/>
          <w:sz w:val="18"/>
          <w:szCs w:val="18"/>
        </w:rPr>
      </w:pPr>
      <w:r w:rsidRPr="00351BCB">
        <w:rPr>
          <w:rFonts w:ascii="Verdana" w:hAnsi="Verdana"/>
          <w:b/>
          <w:bCs/>
          <w:iCs/>
          <w:sz w:val="18"/>
          <w:szCs w:val="18"/>
        </w:rPr>
        <w:t>Reducción de la base imponible</w:t>
      </w:r>
      <w:r w:rsidRPr="00351BCB">
        <w:rPr>
          <w:rFonts w:ascii="Verdana" w:hAnsi="Verdana"/>
          <w:bCs/>
          <w:iCs/>
          <w:sz w:val="18"/>
          <w:szCs w:val="18"/>
        </w:rPr>
        <w:t xml:space="preserve">: </w:t>
      </w:r>
    </w:p>
    <w:p w14:paraId="20B0DBBE" w14:textId="77777777" w:rsidR="00351BCB" w:rsidRPr="00351BCB" w:rsidRDefault="00351BCB">
      <w:pPr>
        <w:numPr>
          <w:ilvl w:val="1"/>
          <w:numId w:val="46"/>
        </w:numPr>
        <w:tabs>
          <w:tab w:val="left" w:pos="284"/>
        </w:tabs>
        <w:jc w:val="both"/>
        <w:rPr>
          <w:rFonts w:ascii="Verdana" w:hAnsi="Verdana"/>
          <w:bCs/>
          <w:iCs/>
          <w:sz w:val="18"/>
          <w:szCs w:val="18"/>
        </w:rPr>
      </w:pPr>
      <w:r w:rsidRPr="00351BCB">
        <w:rPr>
          <w:rFonts w:ascii="Verdana" w:hAnsi="Verdana"/>
          <w:bCs/>
          <w:iCs/>
          <w:sz w:val="18"/>
          <w:szCs w:val="18"/>
        </w:rPr>
        <w:t xml:space="preserve">-10% en el primer trimestre. </w:t>
      </w:r>
    </w:p>
    <w:p w14:paraId="3BEAD2E1" w14:textId="77777777" w:rsidR="00351BCB" w:rsidRPr="00351BCB" w:rsidRDefault="00351BCB">
      <w:pPr>
        <w:numPr>
          <w:ilvl w:val="1"/>
          <w:numId w:val="46"/>
        </w:numPr>
        <w:tabs>
          <w:tab w:val="left" w:pos="284"/>
        </w:tabs>
        <w:jc w:val="both"/>
        <w:rPr>
          <w:rFonts w:ascii="Verdana" w:hAnsi="Verdana"/>
          <w:bCs/>
          <w:iCs/>
          <w:sz w:val="18"/>
          <w:szCs w:val="18"/>
        </w:rPr>
      </w:pPr>
      <w:r w:rsidRPr="00351BCB">
        <w:rPr>
          <w:rFonts w:ascii="Verdana" w:hAnsi="Verdana"/>
          <w:bCs/>
          <w:iCs/>
          <w:sz w:val="18"/>
          <w:szCs w:val="18"/>
        </w:rPr>
        <w:t xml:space="preserve">-100% en el segundo trimestre. </w:t>
      </w:r>
    </w:p>
    <w:p w14:paraId="77E05242" w14:textId="77777777" w:rsidR="00351BCB" w:rsidRPr="00351BCB" w:rsidRDefault="00351BCB">
      <w:pPr>
        <w:numPr>
          <w:ilvl w:val="0"/>
          <w:numId w:val="46"/>
        </w:numPr>
        <w:tabs>
          <w:tab w:val="left" w:pos="284"/>
        </w:tabs>
        <w:jc w:val="both"/>
        <w:rPr>
          <w:rFonts w:ascii="Verdana" w:hAnsi="Verdana"/>
          <w:bCs/>
          <w:iCs/>
          <w:sz w:val="18"/>
          <w:szCs w:val="18"/>
        </w:rPr>
      </w:pPr>
      <w:r w:rsidRPr="00351BCB">
        <w:rPr>
          <w:rFonts w:ascii="Verdana" w:hAnsi="Verdana"/>
          <w:bCs/>
          <w:iCs/>
          <w:sz w:val="18"/>
          <w:szCs w:val="18"/>
        </w:rPr>
        <w:t xml:space="preserve">Objetivo: abaratar el coste de generación eléctrica. </w:t>
      </w:r>
    </w:p>
    <w:p w14:paraId="73C0A45C" w14:textId="77777777" w:rsidR="00351BCB" w:rsidRPr="005A4B71" w:rsidRDefault="00000000" w:rsidP="00351BCB">
      <w:pPr>
        <w:tabs>
          <w:tab w:val="left" w:pos="284"/>
        </w:tabs>
        <w:ind w:left="284"/>
        <w:jc w:val="both"/>
        <w:rPr>
          <w:rFonts w:ascii="Verdana" w:hAnsi="Verdana"/>
          <w:b/>
          <w:iCs/>
          <w:sz w:val="18"/>
          <w:szCs w:val="18"/>
        </w:rPr>
      </w:pPr>
      <w:r>
        <w:rPr>
          <w:rFonts w:ascii="Verdana" w:hAnsi="Verdana"/>
          <w:b/>
          <w:iCs/>
          <w:sz w:val="18"/>
          <w:szCs w:val="18"/>
        </w:rPr>
        <w:pict w14:anchorId="14B7C147">
          <v:rect id="_x0000_i1029" style="width:0;height:1.5pt" o:hralign="center" o:hrstd="t" o:hr="t" fillcolor="#a0a0a0" stroked="f"/>
        </w:pict>
      </w:r>
    </w:p>
    <w:p w14:paraId="406E5D53" w14:textId="3D77B9A9" w:rsidR="00351BCB" w:rsidRPr="005A4B71" w:rsidRDefault="00351BCB" w:rsidP="0067497B">
      <w:pPr>
        <w:tabs>
          <w:tab w:val="left" w:pos="284"/>
        </w:tabs>
        <w:ind w:firstLine="284"/>
        <w:jc w:val="both"/>
        <w:rPr>
          <w:rFonts w:ascii="Verdana" w:hAnsi="Verdana" w:cs="Segoe UI Emoji"/>
          <w:b/>
          <w:bCs/>
          <w:iCs/>
          <w:color w:val="7F3F00"/>
          <w:sz w:val="18"/>
          <w:szCs w:val="18"/>
        </w:rPr>
      </w:pPr>
      <w:r w:rsidRPr="005A4B71">
        <w:rPr>
          <w:rFonts w:ascii="Verdana" w:hAnsi="Verdana" w:cs="Segoe UI Emoji"/>
          <w:b/>
          <w:bCs/>
          <w:iCs/>
          <w:color w:val="7F3F00"/>
          <w:sz w:val="18"/>
          <w:szCs w:val="18"/>
        </w:rPr>
        <w:t>ITPAJD</w:t>
      </w:r>
    </w:p>
    <w:p w14:paraId="64FF1563" w14:textId="77777777" w:rsidR="00351BCB" w:rsidRPr="00351BCB" w:rsidRDefault="00351BCB">
      <w:pPr>
        <w:numPr>
          <w:ilvl w:val="0"/>
          <w:numId w:val="47"/>
        </w:numPr>
        <w:tabs>
          <w:tab w:val="left" w:pos="284"/>
        </w:tabs>
        <w:jc w:val="both"/>
        <w:rPr>
          <w:rFonts w:ascii="Verdana" w:hAnsi="Verdana"/>
          <w:bCs/>
          <w:iCs/>
          <w:sz w:val="18"/>
          <w:szCs w:val="18"/>
        </w:rPr>
      </w:pPr>
      <w:r w:rsidRPr="00351BCB">
        <w:rPr>
          <w:rFonts w:ascii="Verdana" w:hAnsi="Verdana"/>
          <w:b/>
          <w:bCs/>
          <w:iCs/>
          <w:sz w:val="18"/>
          <w:szCs w:val="18"/>
        </w:rPr>
        <w:t>Exención</w:t>
      </w:r>
      <w:r w:rsidRPr="00351BCB">
        <w:rPr>
          <w:rFonts w:ascii="Verdana" w:hAnsi="Verdana"/>
          <w:bCs/>
          <w:iCs/>
          <w:sz w:val="18"/>
          <w:szCs w:val="18"/>
        </w:rPr>
        <w:t xml:space="preserve"> para transmisiones de certificados de ahorro energético (</w:t>
      </w:r>
      <w:proofErr w:type="spellStart"/>
      <w:r w:rsidRPr="00351BCB">
        <w:rPr>
          <w:rFonts w:ascii="Verdana" w:hAnsi="Verdana"/>
          <w:bCs/>
          <w:iCs/>
          <w:sz w:val="18"/>
          <w:szCs w:val="18"/>
        </w:rPr>
        <w:t>CAEs</w:t>
      </w:r>
      <w:proofErr w:type="spellEnd"/>
      <w:r w:rsidRPr="00351BCB">
        <w:rPr>
          <w:rFonts w:ascii="Verdana" w:hAnsi="Verdana"/>
          <w:bCs/>
          <w:iCs/>
          <w:sz w:val="18"/>
          <w:szCs w:val="18"/>
        </w:rPr>
        <w:t xml:space="preserve">). </w:t>
      </w:r>
    </w:p>
    <w:p w14:paraId="28E467CF"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687E6DBF">
          <v:rect id="_x0000_i1030" style="width:0;height:1.5pt" o:hralign="center" o:hrstd="t" o:hr="t" fillcolor="#a0a0a0" stroked="f"/>
        </w:pict>
      </w:r>
    </w:p>
    <w:p w14:paraId="5D6F38CE" w14:textId="351A6D2D" w:rsidR="00351BCB" w:rsidRPr="00BE6EA4" w:rsidRDefault="00351BCB" w:rsidP="0067497B">
      <w:pPr>
        <w:tabs>
          <w:tab w:val="left" w:pos="284"/>
        </w:tabs>
        <w:ind w:firstLine="284"/>
        <w:jc w:val="both"/>
        <w:rPr>
          <w:rFonts w:ascii="Verdana" w:hAnsi="Verdana" w:cs="Segoe UI Emoji"/>
          <w:b/>
          <w:bCs/>
          <w:iCs/>
          <w:color w:val="7F3F00"/>
          <w:sz w:val="18"/>
          <w:szCs w:val="18"/>
        </w:rPr>
      </w:pPr>
      <w:r w:rsidRPr="00BE6EA4">
        <w:rPr>
          <w:rFonts w:ascii="Verdana" w:hAnsi="Verdana" w:cs="Segoe UI Emoji"/>
          <w:b/>
          <w:bCs/>
          <w:iCs/>
          <w:color w:val="7F3F00"/>
          <w:sz w:val="18"/>
          <w:szCs w:val="18"/>
        </w:rPr>
        <w:t>Ayudas directas a sectores</w:t>
      </w:r>
    </w:p>
    <w:p w14:paraId="2569C461" w14:textId="77777777" w:rsidR="0067497B" w:rsidRPr="00351BCB" w:rsidRDefault="0067497B" w:rsidP="00351BCB">
      <w:pPr>
        <w:tabs>
          <w:tab w:val="left" w:pos="284"/>
        </w:tabs>
        <w:ind w:left="284"/>
        <w:jc w:val="both"/>
        <w:rPr>
          <w:rFonts w:ascii="Verdana" w:hAnsi="Verdana"/>
          <w:b/>
          <w:bCs/>
          <w:iCs/>
          <w:sz w:val="18"/>
          <w:szCs w:val="18"/>
        </w:rPr>
      </w:pPr>
    </w:p>
    <w:p w14:paraId="0EE3110E" w14:textId="51DB1696" w:rsidR="00351BCB" w:rsidRPr="00351BCB" w:rsidRDefault="00351BCB" w:rsidP="00351BCB">
      <w:pPr>
        <w:tabs>
          <w:tab w:val="left" w:pos="284"/>
        </w:tabs>
        <w:ind w:left="284"/>
        <w:jc w:val="both"/>
        <w:rPr>
          <w:rFonts w:ascii="Verdana" w:hAnsi="Verdana"/>
          <w:b/>
          <w:bCs/>
          <w:iCs/>
          <w:sz w:val="18"/>
          <w:szCs w:val="18"/>
        </w:rPr>
      </w:pPr>
      <w:r w:rsidRPr="00351BCB">
        <w:rPr>
          <w:rFonts w:ascii="Verdana" w:hAnsi="Verdana"/>
          <w:b/>
          <w:bCs/>
          <w:iCs/>
          <w:sz w:val="18"/>
          <w:szCs w:val="18"/>
        </w:rPr>
        <w:t>Gas</w:t>
      </w:r>
      <w:r w:rsidRPr="00351BCB">
        <w:rPr>
          <w:rFonts w:ascii="Verdana" w:hAnsi="Verdana" w:cs="Verdana"/>
          <w:b/>
          <w:bCs/>
          <w:iCs/>
          <w:sz w:val="18"/>
          <w:szCs w:val="18"/>
        </w:rPr>
        <w:t>ó</w:t>
      </w:r>
      <w:r w:rsidRPr="00351BCB">
        <w:rPr>
          <w:rFonts w:ascii="Verdana" w:hAnsi="Verdana"/>
          <w:b/>
          <w:bCs/>
          <w:iCs/>
          <w:sz w:val="18"/>
          <w:szCs w:val="18"/>
        </w:rPr>
        <w:t>leo profesional</w:t>
      </w:r>
    </w:p>
    <w:p w14:paraId="3811EDE0" w14:textId="77777777" w:rsidR="00351BCB" w:rsidRPr="00351BCB" w:rsidRDefault="00351BCB">
      <w:pPr>
        <w:numPr>
          <w:ilvl w:val="0"/>
          <w:numId w:val="48"/>
        </w:numPr>
        <w:tabs>
          <w:tab w:val="left" w:pos="284"/>
        </w:tabs>
        <w:jc w:val="both"/>
        <w:rPr>
          <w:rFonts w:ascii="Verdana" w:hAnsi="Verdana"/>
          <w:bCs/>
          <w:iCs/>
          <w:sz w:val="18"/>
          <w:szCs w:val="18"/>
        </w:rPr>
      </w:pPr>
      <w:r w:rsidRPr="00351BCB">
        <w:rPr>
          <w:rFonts w:ascii="Verdana" w:hAnsi="Verdana"/>
          <w:bCs/>
          <w:iCs/>
          <w:sz w:val="18"/>
          <w:szCs w:val="18"/>
        </w:rPr>
        <w:t xml:space="preserve">Ayuda de </w:t>
      </w:r>
      <w:r w:rsidRPr="00351BCB">
        <w:rPr>
          <w:rFonts w:ascii="Verdana" w:hAnsi="Verdana"/>
          <w:b/>
          <w:bCs/>
          <w:iCs/>
          <w:sz w:val="18"/>
          <w:szCs w:val="18"/>
        </w:rPr>
        <w:t>0,20 €/litro</w:t>
      </w:r>
      <w:r w:rsidRPr="00351BCB">
        <w:rPr>
          <w:rFonts w:ascii="Verdana" w:hAnsi="Verdana"/>
          <w:bCs/>
          <w:iCs/>
          <w:sz w:val="18"/>
          <w:szCs w:val="18"/>
        </w:rPr>
        <w:t xml:space="preserve"> (marzo–junio 2026). </w:t>
      </w:r>
    </w:p>
    <w:p w14:paraId="22DF6F29" w14:textId="77777777" w:rsidR="00351BCB" w:rsidRDefault="00351BCB">
      <w:pPr>
        <w:numPr>
          <w:ilvl w:val="0"/>
          <w:numId w:val="48"/>
        </w:numPr>
        <w:tabs>
          <w:tab w:val="left" w:pos="284"/>
        </w:tabs>
        <w:jc w:val="both"/>
        <w:rPr>
          <w:rFonts w:ascii="Verdana" w:hAnsi="Verdana"/>
          <w:bCs/>
          <w:iCs/>
          <w:sz w:val="18"/>
          <w:szCs w:val="18"/>
        </w:rPr>
      </w:pPr>
      <w:r w:rsidRPr="00351BCB">
        <w:rPr>
          <w:rFonts w:ascii="Verdana" w:hAnsi="Verdana"/>
          <w:bCs/>
          <w:iCs/>
          <w:sz w:val="18"/>
          <w:szCs w:val="18"/>
        </w:rPr>
        <w:t xml:space="preserve">Sustituye temporalmente la devolución de gasóleo profesional. </w:t>
      </w:r>
    </w:p>
    <w:p w14:paraId="32071EE5" w14:textId="77777777" w:rsidR="0067497B" w:rsidRPr="00351BCB" w:rsidRDefault="0067497B" w:rsidP="0067497B">
      <w:pPr>
        <w:tabs>
          <w:tab w:val="left" w:pos="284"/>
        </w:tabs>
        <w:ind w:left="720"/>
        <w:jc w:val="both"/>
        <w:rPr>
          <w:rFonts w:ascii="Verdana" w:hAnsi="Verdana"/>
          <w:bCs/>
          <w:iCs/>
          <w:sz w:val="18"/>
          <w:szCs w:val="18"/>
        </w:rPr>
      </w:pPr>
    </w:p>
    <w:p w14:paraId="70B847FD" w14:textId="5638F6A8" w:rsidR="00351BCB" w:rsidRPr="00351BCB" w:rsidRDefault="00351BCB" w:rsidP="00351BCB">
      <w:pPr>
        <w:tabs>
          <w:tab w:val="left" w:pos="284"/>
        </w:tabs>
        <w:ind w:left="284"/>
        <w:jc w:val="both"/>
        <w:rPr>
          <w:rFonts w:ascii="Verdana" w:hAnsi="Verdana"/>
          <w:b/>
          <w:bCs/>
          <w:iCs/>
          <w:sz w:val="18"/>
          <w:szCs w:val="18"/>
        </w:rPr>
      </w:pPr>
      <w:r w:rsidRPr="00351BCB">
        <w:rPr>
          <w:rFonts w:ascii="Verdana" w:hAnsi="Verdana"/>
          <w:b/>
          <w:bCs/>
          <w:iCs/>
          <w:sz w:val="18"/>
          <w:szCs w:val="18"/>
        </w:rPr>
        <w:t>Transporte, agrario y pesca</w:t>
      </w:r>
    </w:p>
    <w:p w14:paraId="68AEBBC7" w14:textId="77777777" w:rsidR="00351BCB" w:rsidRPr="00351BCB" w:rsidRDefault="00351BCB">
      <w:pPr>
        <w:numPr>
          <w:ilvl w:val="0"/>
          <w:numId w:val="49"/>
        </w:numPr>
        <w:tabs>
          <w:tab w:val="left" w:pos="284"/>
        </w:tabs>
        <w:jc w:val="both"/>
        <w:rPr>
          <w:rFonts w:ascii="Verdana" w:hAnsi="Verdana"/>
          <w:bCs/>
          <w:iCs/>
          <w:sz w:val="18"/>
          <w:szCs w:val="18"/>
        </w:rPr>
      </w:pPr>
      <w:r w:rsidRPr="00351BCB">
        <w:rPr>
          <w:rFonts w:ascii="Verdana" w:hAnsi="Verdana"/>
          <w:bCs/>
          <w:iCs/>
          <w:sz w:val="18"/>
          <w:szCs w:val="18"/>
        </w:rPr>
        <w:t xml:space="preserve">Extensión de ayudas a más colectivos. </w:t>
      </w:r>
    </w:p>
    <w:p w14:paraId="1266BFB3" w14:textId="77777777" w:rsidR="00351BCB" w:rsidRPr="00351BCB" w:rsidRDefault="00351BCB">
      <w:pPr>
        <w:numPr>
          <w:ilvl w:val="0"/>
          <w:numId w:val="49"/>
        </w:numPr>
        <w:tabs>
          <w:tab w:val="left" w:pos="284"/>
        </w:tabs>
        <w:jc w:val="both"/>
        <w:rPr>
          <w:rFonts w:ascii="Verdana" w:hAnsi="Verdana"/>
          <w:bCs/>
          <w:iCs/>
          <w:sz w:val="18"/>
          <w:szCs w:val="18"/>
        </w:rPr>
      </w:pPr>
      <w:r w:rsidRPr="00351BCB">
        <w:rPr>
          <w:rFonts w:ascii="Verdana" w:hAnsi="Verdana"/>
          <w:bCs/>
          <w:iCs/>
          <w:sz w:val="18"/>
          <w:szCs w:val="18"/>
        </w:rPr>
        <w:t xml:space="preserve">Subvenciones directas o por vehículo en ciertos casos. </w:t>
      </w:r>
    </w:p>
    <w:p w14:paraId="0AD4F9EA" w14:textId="77777777" w:rsidR="00351BCB" w:rsidRPr="00351BCB" w:rsidRDefault="00351BCB">
      <w:pPr>
        <w:numPr>
          <w:ilvl w:val="0"/>
          <w:numId w:val="49"/>
        </w:numPr>
        <w:tabs>
          <w:tab w:val="left" w:pos="284"/>
        </w:tabs>
        <w:jc w:val="both"/>
        <w:rPr>
          <w:rFonts w:ascii="Verdana" w:hAnsi="Verdana"/>
          <w:bCs/>
          <w:iCs/>
          <w:sz w:val="18"/>
          <w:szCs w:val="18"/>
        </w:rPr>
      </w:pPr>
      <w:r w:rsidRPr="00351BCB">
        <w:rPr>
          <w:rFonts w:ascii="Verdana" w:hAnsi="Verdana"/>
          <w:bCs/>
          <w:iCs/>
          <w:sz w:val="18"/>
          <w:szCs w:val="18"/>
        </w:rPr>
        <w:t xml:space="preserve">Ayudas específicas también para agricultura y sector pesquero. </w:t>
      </w:r>
    </w:p>
    <w:p w14:paraId="27844F37"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554537FD">
          <v:rect id="_x0000_i1031" style="width:0;height:1.5pt" o:hralign="center" o:hrstd="t" o:hr="t" fillcolor="#a0a0a0" stroked="f"/>
        </w:pict>
      </w:r>
    </w:p>
    <w:p w14:paraId="19DFB638" w14:textId="3CDDCBD9" w:rsidR="00351BCB" w:rsidRPr="00BE6EA4" w:rsidRDefault="00351BCB" w:rsidP="002973F2">
      <w:pPr>
        <w:tabs>
          <w:tab w:val="left" w:pos="284"/>
        </w:tabs>
        <w:ind w:firstLine="284"/>
        <w:jc w:val="both"/>
        <w:rPr>
          <w:rFonts w:ascii="Verdana" w:hAnsi="Verdana" w:cs="Segoe UI Emoji"/>
          <w:b/>
          <w:bCs/>
          <w:iCs/>
          <w:color w:val="7F3F00"/>
          <w:sz w:val="18"/>
          <w:szCs w:val="18"/>
        </w:rPr>
      </w:pPr>
      <w:r w:rsidRPr="00BE6EA4">
        <w:rPr>
          <w:rFonts w:ascii="Verdana" w:hAnsi="Verdana" w:cs="Segoe UI Emoji"/>
          <w:b/>
          <w:bCs/>
          <w:iCs/>
          <w:color w:val="7F3F00"/>
          <w:sz w:val="18"/>
          <w:szCs w:val="18"/>
        </w:rPr>
        <w:t>Incentivos fiscales a la eficiencia energética</w:t>
      </w:r>
    </w:p>
    <w:p w14:paraId="665C3AA4" w14:textId="77777777" w:rsidR="0067497B" w:rsidRPr="00351BCB" w:rsidRDefault="0067497B" w:rsidP="00351BCB">
      <w:pPr>
        <w:tabs>
          <w:tab w:val="left" w:pos="284"/>
        </w:tabs>
        <w:ind w:left="284"/>
        <w:jc w:val="both"/>
        <w:rPr>
          <w:rFonts w:ascii="Verdana" w:hAnsi="Verdana"/>
          <w:b/>
          <w:bCs/>
          <w:iCs/>
          <w:sz w:val="18"/>
          <w:szCs w:val="18"/>
        </w:rPr>
      </w:pPr>
    </w:p>
    <w:p w14:paraId="365E2F87" w14:textId="7B428961" w:rsidR="00351BCB" w:rsidRPr="00351BCB" w:rsidRDefault="00351BCB" w:rsidP="00351BCB">
      <w:pPr>
        <w:tabs>
          <w:tab w:val="left" w:pos="284"/>
        </w:tabs>
        <w:ind w:left="284"/>
        <w:jc w:val="both"/>
        <w:rPr>
          <w:rFonts w:ascii="Verdana" w:hAnsi="Verdana"/>
          <w:b/>
          <w:bCs/>
          <w:iCs/>
          <w:sz w:val="18"/>
          <w:szCs w:val="18"/>
        </w:rPr>
      </w:pPr>
      <w:r w:rsidRPr="00351BCB">
        <w:rPr>
          <w:rFonts w:ascii="Verdana" w:hAnsi="Verdana"/>
          <w:b/>
          <w:bCs/>
          <w:iCs/>
          <w:sz w:val="18"/>
          <w:szCs w:val="18"/>
        </w:rPr>
        <w:lastRenderedPageBreak/>
        <w:t>IRPF</w:t>
      </w:r>
    </w:p>
    <w:p w14:paraId="565215D3" w14:textId="77777777" w:rsidR="00351BCB" w:rsidRPr="00351BCB" w:rsidRDefault="00351BCB">
      <w:pPr>
        <w:numPr>
          <w:ilvl w:val="0"/>
          <w:numId w:val="50"/>
        </w:numPr>
        <w:tabs>
          <w:tab w:val="left" w:pos="284"/>
        </w:tabs>
        <w:jc w:val="both"/>
        <w:rPr>
          <w:rFonts w:ascii="Verdana" w:hAnsi="Verdana"/>
          <w:bCs/>
          <w:iCs/>
          <w:sz w:val="18"/>
          <w:szCs w:val="18"/>
        </w:rPr>
      </w:pPr>
      <w:r w:rsidRPr="00351BCB">
        <w:rPr>
          <w:rFonts w:ascii="Verdana" w:hAnsi="Verdana"/>
          <w:bCs/>
          <w:iCs/>
          <w:sz w:val="18"/>
          <w:szCs w:val="18"/>
        </w:rPr>
        <w:t xml:space="preserve">Deducciones por: </w:t>
      </w:r>
    </w:p>
    <w:p w14:paraId="261C19F1" w14:textId="77777777" w:rsidR="00351BCB" w:rsidRPr="00351BCB" w:rsidRDefault="00351BCB">
      <w:pPr>
        <w:numPr>
          <w:ilvl w:val="1"/>
          <w:numId w:val="50"/>
        </w:numPr>
        <w:tabs>
          <w:tab w:val="left" w:pos="284"/>
        </w:tabs>
        <w:jc w:val="both"/>
        <w:rPr>
          <w:rFonts w:ascii="Verdana" w:hAnsi="Verdana"/>
          <w:bCs/>
          <w:iCs/>
          <w:sz w:val="18"/>
          <w:szCs w:val="18"/>
        </w:rPr>
      </w:pPr>
      <w:r w:rsidRPr="00351BCB">
        <w:rPr>
          <w:rFonts w:ascii="Verdana" w:hAnsi="Verdana"/>
          <w:bCs/>
          <w:iCs/>
          <w:sz w:val="18"/>
          <w:szCs w:val="18"/>
        </w:rPr>
        <w:t xml:space="preserve">Rehabilitación energética (20%–60%). </w:t>
      </w:r>
    </w:p>
    <w:p w14:paraId="1F1C07AC" w14:textId="77777777" w:rsidR="00351BCB" w:rsidRPr="00351BCB" w:rsidRDefault="00351BCB">
      <w:pPr>
        <w:numPr>
          <w:ilvl w:val="1"/>
          <w:numId w:val="50"/>
        </w:numPr>
        <w:tabs>
          <w:tab w:val="left" w:pos="284"/>
        </w:tabs>
        <w:jc w:val="both"/>
        <w:rPr>
          <w:rFonts w:ascii="Verdana" w:hAnsi="Verdana"/>
          <w:bCs/>
          <w:iCs/>
          <w:sz w:val="18"/>
          <w:szCs w:val="18"/>
        </w:rPr>
      </w:pPr>
      <w:r w:rsidRPr="00351BCB">
        <w:rPr>
          <w:rFonts w:ascii="Verdana" w:hAnsi="Verdana"/>
          <w:bCs/>
          <w:iCs/>
          <w:sz w:val="18"/>
          <w:szCs w:val="18"/>
        </w:rPr>
        <w:t xml:space="preserve">Vehículos eléctricos (hasta 15%). </w:t>
      </w:r>
    </w:p>
    <w:p w14:paraId="115F1227" w14:textId="77777777" w:rsidR="00351BCB" w:rsidRDefault="00351BCB">
      <w:pPr>
        <w:numPr>
          <w:ilvl w:val="1"/>
          <w:numId w:val="50"/>
        </w:numPr>
        <w:tabs>
          <w:tab w:val="left" w:pos="284"/>
        </w:tabs>
        <w:jc w:val="both"/>
        <w:rPr>
          <w:rFonts w:ascii="Verdana" w:hAnsi="Verdana"/>
          <w:bCs/>
          <w:iCs/>
          <w:sz w:val="18"/>
          <w:szCs w:val="18"/>
        </w:rPr>
      </w:pPr>
      <w:r w:rsidRPr="00351BCB">
        <w:rPr>
          <w:rFonts w:ascii="Verdana" w:hAnsi="Verdana"/>
          <w:bCs/>
          <w:iCs/>
          <w:sz w:val="18"/>
          <w:szCs w:val="18"/>
        </w:rPr>
        <w:t xml:space="preserve">Autoconsumo renovable (10%–20%). </w:t>
      </w:r>
    </w:p>
    <w:p w14:paraId="27869A6C" w14:textId="77777777" w:rsidR="0067497B" w:rsidRPr="00351BCB" w:rsidRDefault="0067497B" w:rsidP="0067497B">
      <w:pPr>
        <w:tabs>
          <w:tab w:val="left" w:pos="284"/>
        </w:tabs>
        <w:ind w:left="1440"/>
        <w:jc w:val="both"/>
        <w:rPr>
          <w:rFonts w:ascii="Verdana" w:hAnsi="Verdana"/>
          <w:bCs/>
          <w:iCs/>
          <w:sz w:val="18"/>
          <w:szCs w:val="18"/>
        </w:rPr>
      </w:pPr>
    </w:p>
    <w:p w14:paraId="07480C48" w14:textId="3DCAF6EF" w:rsidR="00351BCB" w:rsidRPr="00351BCB" w:rsidRDefault="00351BCB" w:rsidP="00351BCB">
      <w:pPr>
        <w:tabs>
          <w:tab w:val="left" w:pos="284"/>
        </w:tabs>
        <w:ind w:left="284"/>
        <w:jc w:val="both"/>
        <w:rPr>
          <w:rFonts w:ascii="Verdana" w:hAnsi="Verdana"/>
          <w:b/>
          <w:bCs/>
          <w:iCs/>
          <w:sz w:val="18"/>
          <w:szCs w:val="18"/>
        </w:rPr>
      </w:pPr>
      <w:r w:rsidRPr="00351BCB">
        <w:rPr>
          <w:rFonts w:ascii="Verdana" w:hAnsi="Verdana"/>
          <w:b/>
          <w:bCs/>
          <w:iCs/>
          <w:sz w:val="18"/>
          <w:szCs w:val="18"/>
        </w:rPr>
        <w:t>Impuesto sobre Sociedades</w:t>
      </w:r>
    </w:p>
    <w:p w14:paraId="720BDCC7" w14:textId="77777777" w:rsidR="00351BCB" w:rsidRDefault="00351BCB">
      <w:pPr>
        <w:numPr>
          <w:ilvl w:val="0"/>
          <w:numId w:val="51"/>
        </w:numPr>
        <w:tabs>
          <w:tab w:val="left" w:pos="284"/>
        </w:tabs>
        <w:jc w:val="both"/>
        <w:rPr>
          <w:rFonts w:ascii="Verdana" w:hAnsi="Verdana"/>
          <w:bCs/>
          <w:iCs/>
          <w:sz w:val="18"/>
          <w:szCs w:val="18"/>
        </w:rPr>
      </w:pPr>
      <w:r w:rsidRPr="00351BCB">
        <w:rPr>
          <w:rFonts w:ascii="Verdana" w:hAnsi="Verdana"/>
          <w:b/>
          <w:bCs/>
          <w:iCs/>
          <w:sz w:val="18"/>
          <w:szCs w:val="18"/>
        </w:rPr>
        <w:t>Libertad de amortización</w:t>
      </w:r>
      <w:r w:rsidRPr="00351BCB">
        <w:rPr>
          <w:rFonts w:ascii="Verdana" w:hAnsi="Verdana"/>
          <w:bCs/>
          <w:iCs/>
          <w:sz w:val="18"/>
          <w:szCs w:val="18"/>
        </w:rPr>
        <w:t xml:space="preserve"> para inversiones verdes y electrificación. </w:t>
      </w:r>
    </w:p>
    <w:p w14:paraId="1B42B0D8" w14:textId="77777777" w:rsidR="0067497B" w:rsidRPr="00351BCB" w:rsidRDefault="0067497B" w:rsidP="0067497B">
      <w:pPr>
        <w:tabs>
          <w:tab w:val="left" w:pos="284"/>
        </w:tabs>
        <w:ind w:left="720"/>
        <w:jc w:val="both"/>
        <w:rPr>
          <w:rFonts w:ascii="Verdana" w:hAnsi="Verdana"/>
          <w:bCs/>
          <w:iCs/>
          <w:sz w:val="18"/>
          <w:szCs w:val="18"/>
        </w:rPr>
      </w:pPr>
    </w:p>
    <w:p w14:paraId="4C21A817" w14:textId="68872229" w:rsidR="00351BCB" w:rsidRPr="00351BCB" w:rsidRDefault="00351BCB" w:rsidP="00351BCB">
      <w:pPr>
        <w:tabs>
          <w:tab w:val="left" w:pos="284"/>
        </w:tabs>
        <w:ind w:left="284"/>
        <w:jc w:val="both"/>
        <w:rPr>
          <w:rFonts w:ascii="Verdana" w:hAnsi="Verdana"/>
          <w:b/>
          <w:bCs/>
          <w:iCs/>
          <w:sz w:val="18"/>
          <w:szCs w:val="18"/>
        </w:rPr>
      </w:pPr>
      <w:r w:rsidRPr="00351BCB">
        <w:rPr>
          <w:rFonts w:ascii="Verdana" w:hAnsi="Verdana"/>
          <w:b/>
          <w:bCs/>
          <w:iCs/>
          <w:sz w:val="18"/>
          <w:szCs w:val="18"/>
        </w:rPr>
        <w:t>Tributos locales</w:t>
      </w:r>
    </w:p>
    <w:p w14:paraId="423A667A" w14:textId="77777777" w:rsidR="00351BCB" w:rsidRPr="00351BCB" w:rsidRDefault="00351BCB">
      <w:pPr>
        <w:numPr>
          <w:ilvl w:val="0"/>
          <w:numId w:val="52"/>
        </w:numPr>
        <w:tabs>
          <w:tab w:val="left" w:pos="284"/>
        </w:tabs>
        <w:jc w:val="both"/>
        <w:rPr>
          <w:rFonts w:ascii="Verdana" w:hAnsi="Verdana"/>
          <w:bCs/>
          <w:iCs/>
          <w:sz w:val="18"/>
          <w:szCs w:val="18"/>
        </w:rPr>
      </w:pPr>
      <w:r w:rsidRPr="00351BCB">
        <w:rPr>
          <w:rFonts w:ascii="Verdana" w:hAnsi="Verdana"/>
          <w:bCs/>
          <w:iCs/>
          <w:sz w:val="18"/>
          <w:szCs w:val="18"/>
        </w:rPr>
        <w:t xml:space="preserve">IBI: bonificación de hasta </w:t>
      </w:r>
      <w:r w:rsidRPr="00351BCB">
        <w:rPr>
          <w:rFonts w:ascii="Verdana" w:hAnsi="Verdana"/>
          <w:b/>
          <w:bCs/>
          <w:iCs/>
          <w:sz w:val="18"/>
          <w:szCs w:val="18"/>
        </w:rPr>
        <w:t>50%</w:t>
      </w:r>
      <w:r w:rsidRPr="00351BCB">
        <w:rPr>
          <w:rFonts w:ascii="Verdana" w:hAnsi="Verdana"/>
          <w:bCs/>
          <w:iCs/>
          <w:sz w:val="18"/>
          <w:szCs w:val="18"/>
        </w:rPr>
        <w:t xml:space="preserve">. </w:t>
      </w:r>
    </w:p>
    <w:p w14:paraId="557A3448" w14:textId="77777777" w:rsidR="00351BCB" w:rsidRPr="00351BCB" w:rsidRDefault="00351BCB">
      <w:pPr>
        <w:numPr>
          <w:ilvl w:val="0"/>
          <w:numId w:val="52"/>
        </w:numPr>
        <w:tabs>
          <w:tab w:val="left" w:pos="284"/>
        </w:tabs>
        <w:jc w:val="both"/>
        <w:rPr>
          <w:rFonts w:ascii="Verdana" w:hAnsi="Verdana"/>
          <w:bCs/>
          <w:iCs/>
          <w:sz w:val="18"/>
          <w:szCs w:val="18"/>
        </w:rPr>
      </w:pPr>
      <w:r w:rsidRPr="00351BCB">
        <w:rPr>
          <w:rFonts w:ascii="Verdana" w:hAnsi="Verdana"/>
          <w:bCs/>
          <w:iCs/>
          <w:sz w:val="18"/>
          <w:szCs w:val="18"/>
        </w:rPr>
        <w:t xml:space="preserve">ICIO: bonificación de hasta </w:t>
      </w:r>
      <w:r w:rsidRPr="00351BCB">
        <w:rPr>
          <w:rFonts w:ascii="Verdana" w:hAnsi="Verdana"/>
          <w:b/>
          <w:bCs/>
          <w:iCs/>
          <w:sz w:val="18"/>
          <w:szCs w:val="18"/>
        </w:rPr>
        <w:t>95%</w:t>
      </w:r>
      <w:r w:rsidRPr="00351BCB">
        <w:rPr>
          <w:rFonts w:ascii="Verdana" w:hAnsi="Verdana"/>
          <w:bCs/>
          <w:iCs/>
          <w:sz w:val="18"/>
          <w:szCs w:val="18"/>
        </w:rPr>
        <w:t xml:space="preserve">. </w:t>
      </w:r>
    </w:p>
    <w:p w14:paraId="4C347F74"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5B81CB90">
          <v:rect id="_x0000_i1032" style="width:0;height:1.5pt" o:hralign="center" o:hrstd="t" o:hr="t" fillcolor="#a0a0a0" stroked="f"/>
        </w:pict>
      </w:r>
    </w:p>
    <w:p w14:paraId="150A620E" w14:textId="23367AFA" w:rsidR="00351BCB" w:rsidRPr="00351BCB" w:rsidRDefault="00351BCB" w:rsidP="002973F2">
      <w:pPr>
        <w:tabs>
          <w:tab w:val="left" w:pos="284"/>
        </w:tabs>
        <w:ind w:firstLine="284"/>
        <w:jc w:val="both"/>
        <w:rPr>
          <w:rFonts w:ascii="Segoe UI Emoji" w:hAnsi="Segoe UI Emoji" w:cs="Segoe UI Emoji"/>
          <w:b/>
          <w:bCs/>
          <w:iCs/>
          <w:color w:val="7F3F00"/>
          <w:sz w:val="18"/>
          <w:szCs w:val="18"/>
        </w:rPr>
      </w:pPr>
      <w:r w:rsidRPr="00351BCB">
        <w:rPr>
          <w:rFonts w:ascii="Segoe UI Emoji" w:hAnsi="Segoe UI Emoji" w:cs="Segoe UI Emoji"/>
          <w:b/>
          <w:bCs/>
          <w:iCs/>
          <w:color w:val="7F3F00"/>
          <w:sz w:val="18"/>
          <w:szCs w:val="18"/>
        </w:rPr>
        <w:t xml:space="preserve">Otras </w:t>
      </w:r>
      <w:r w:rsidRPr="00BE6EA4">
        <w:rPr>
          <w:rFonts w:ascii="Verdana" w:hAnsi="Verdana" w:cs="Segoe UI Emoji"/>
          <w:b/>
          <w:bCs/>
          <w:iCs/>
          <w:color w:val="7F3F00"/>
          <w:sz w:val="18"/>
          <w:szCs w:val="18"/>
        </w:rPr>
        <w:t>medidas</w:t>
      </w:r>
      <w:r w:rsidRPr="00351BCB">
        <w:rPr>
          <w:rFonts w:ascii="Segoe UI Emoji" w:hAnsi="Segoe UI Emoji" w:cs="Segoe UI Emoji"/>
          <w:b/>
          <w:bCs/>
          <w:iCs/>
          <w:color w:val="7F3F00"/>
          <w:sz w:val="18"/>
          <w:szCs w:val="18"/>
        </w:rPr>
        <w:t xml:space="preserve"> </w:t>
      </w:r>
      <w:r w:rsidRPr="00E00D86">
        <w:rPr>
          <w:rFonts w:ascii="Verdana" w:hAnsi="Verdana" w:cs="Segoe UI Emoji"/>
          <w:b/>
          <w:bCs/>
          <w:iCs/>
          <w:color w:val="7F3F00"/>
          <w:sz w:val="18"/>
          <w:szCs w:val="18"/>
        </w:rPr>
        <w:t>relevantes</w:t>
      </w:r>
    </w:p>
    <w:p w14:paraId="4A606F8E" w14:textId="77777777" w:rsidR="00351BCB" w:rsidRPr="00351BCB" w:rsidRDefault="00351BCB">
      <w:pPr>
        <w:numPr>
          <w:ilvl w:val="0"/>
          <w:numId w:val="53"/>
        </w:numPr>
        <w:tabs>
          <w:tab w:val="left" w:pos="284"/>
        </w:tabs>
        <w:jc w:val="both"/>
        <w:rPr>
          <w:rFonts w:ascii="Verdana" w:hAnsi="Verdana"/>
          <w:bCs/>
          <w:iCs/>
          <w:sz w:val="18"/>
          <w:szCs w:val="18"/>
        </w:rPr>
      </w:pPr>
      <w:r w:rsidRPr="00351BCB">
        <w:rPr>
          <w:rFonts w:ascii="Verdana" w:hAnsi="Verdana"/>
          <w:bCs/>
          <w:iCs/>
          <w:sz w:val="18"/>
          <w:szCs w:val="18"/>
        </w:rPr>
        <w:t xml:space="preserve">Reformas en el </w:t>
      </w:r>
      <w:r w:rsidRPr="00351BCB">
        <w:rPr>
          <w:rFonts w:ascii="Verdana" w:hAnsi="Verdana"/>
          <w:b/>
          <w:bCs/>
          <w:iCs/>
          <w:sz w:val="18"/>
          <w:szCs w:val="18"/>
        </w:rPr>
        <w:t>Sistema Nacional de Obligaciones de Eficiencia Energética (SNOEE)</w:t>
      </w:r>
      <w:r w:rsidRPr="00351BCB">
        <w:rPr>
          <w:rFonts w:ascii="Verdana" w:hAnsi="Verdana"/>
          <w:bCs/>
          <w:iCs/>
          <w:sz w:val="18"/>
          <w:szCs w:val="18"/>
        </w:rPr>
        <w:t xml:space="preserve">. </w:t>
      </w:r>
    </w:p>
    <w:p w14:paraId="70A46476" w14:textId="77777777" w:rsidR="00351BCB" w:rsidRPr="00351BCB" w:rsidRDefault="00351BCB">
      <w:pPr>
        <w:numPr>
          <w:ilvl w:val="0"/>
          <w:numId w:val="53"/>
        </w:numPr>
        <w:tabs>
          <w:tab w:val="left" w:pos="284"/>
        </w:tabs>
        <w:jc w:val="both"/>
        <w:rPr>
          <w:rFonts w:ascii="Verdana" w:hAnsi="Verdana"/>
          <w:bCs/>
          <w:iCs/>
          <w:sz w:val="18"/>
          <w:szCs w:val="18"/>
        </w:rPr>
      </w:pPr>
      <w:r w:rsidRPr="00351BCB">
        <w:rPr>
          <w:rFonts w:ascii="Verdana" w:hAnsi="Verdana"/>
          <w:bCs/>
          <w:iCs/>
          <w:sz w:val="18"/>
          <w:szCs w:val="18"/>
        </w:rPr>
        <w:t xml:space="preserve">Ampliación de sujetos obligados y cambios en el cálculo de obligaciones. </w:t>
      </w:r>
    </w:p>
    <w:p w14:paraId="6DAF06D0" w14:textId="77777777" w:rsidR="00351BCB" w:rsidRPr="00351BCB" w:rsidRDefault="00351BCB">
      <w:pPr>
        <w:numPr>
          <w:ilvl w:val="0"/>
          <w:numId w:val="53"/>
        </w:numPr>
        <w:tabs>
          <w:tab w:val="left" w:pos="284"/>
        </w:tabs>
        <w:jc w:val="both"/>
        <w:rPr>
          <w:rFonts w:ascii="Verdana" w:hAnsi="Verdana"/>
          <w:bCs/>
          <w:iCs/>
          <w:sz w:val="18"/>
          <w:szCs w:val="18"/>
        </w:rPr>
      </w:pPr>
      <w:r w:rsidRPr="00351BCB">
        <w:rPr>
          <w:rFonts w:ascii="Verdana" w:hAnsi="Verdana"/>
          <w:bCs/>
          <w:iCs/>
          <w:sz w:val="18"/>
          <w:szCs w:val="18"/>
        </w:rPr>
        <w:t xml:space="preserve">Aplicación a partir de </w:t>
      </w:r>
      <w:r w:rsidRPr="00351BCB">
        <w:rPr>
          <w:rFonts w:ascii="Verdana" w:hAnsi="Verdana"/>
          <w:b/>
          <w:bCs/>
          <w:iCs/>
          <w:sz w:val="18"/>
          <w:szCs w:val="18"/>
        </w:rPr>
        <w:t>2027</w:t>
      </w:r>
      <w:r w:rsidRPr="00351BCB">
        <w:rPr>
          <w:rFonts w:ascii="Verdana" w:hAnsi="Verdana"/>
          <w:bCs/>
          <w:iCs/>
          <w:sz w:val="18"/>
          <w:szCs w:val="18"/>
        </w:rPr>
        <w:t xml:space="preserve">. </w:t>
      </w:r>
    </w:p>
    <w:p w14:paraId="6EA554D1" w14:textId="77777777" w:rsidR="00351BCB" w:rsidRPr="00351BCB" w:rsidRDefault="00000000" w:rsidP="00351BCB">
      <w:pPr>
        <w:tabs>
          <w:tab w:val="left" w:pos="284"/>
        </w:tabs>
        <w:ind w:left="284"/>
        <w:jc w:val="both"/>
        <w:rPr>
          <w:rFonts w:ascii="Verdana" w:hAnsi="Verdana"/>
          <w:bCs/>
          <w:iCs/>
          <w:sz w:val="18"/>
          <w:szCs w:val="18"/>
        </w:rPr>
      </w:pPr>
      <w:r>
        <w:rPr>
          <w:rFonts w:ascii="Verdana" w:hAnsi="Verdana"/>
          <w:bCs/>
          <w:iCs/>
          <w:sz w:val="18"/>
          <w:szCs w:val="18"/>
        </w:rPr>
        <w:pict w14:anchorId="1D6B274F">
          <v:rect id="_x0000_i1033" style="width:0;height:1.5pt" o:hralign="center" o:hrstd="t" o:hr="t" fillcolor="#a0a0a0" stroked="f"/>
        </w:pict>
      </w:r>
    </w:p>
    <w:p w14:paraId="57B3CE7C" w14:textId="7C189ADD" w:rsidR="00351BCB" w:rsidRPr="00351BCB" w:rsidRDefault="00351BCB" w:rsidP="002973F2">
      <w:pPr>
        <w:tabs>
          <w:tab w:val="left" w:pos="284"/>
        </w:tabs>
        <w:ind w:firstLine="284"/>
        <w:jc w:val="both"/>
        <w:rPr>
          <w:rFonts w:ascii="Segoe UI Emoji" w:hAnsi="Segoe UI Emoji" w:cs="Segoe UI Emoji"/>
          <w:b/>
          <w:bCs/>
          <w:iCs/>
          <w:color w:val="7F3F00"/>
          <w:sz w:val="18"/>
          <w:szCs w:val="18"/>
        </w:rPr>
      </w:pPr>
      <w:r w:rsidRPr="00E00D86">
        <w:rPr>
          <w:rFonts w:ascii="Verdana" w:hAnsi="Verdana" w:cs="Segoe UI Emoji"/>
          <w:b/>
          <w:bCs/>
          <w:iCs/>
          <w:color w:val="7F3F00"/>
          <w:sz w:val="18"/>
          <w:szCs w:val="18"/>
        </w:rPr>
        <w:t>Conclusión</w:t>
      </w:r>
    </w:p>
    <w:p w14:paraId="28054EEE" w14:textId="77777777" w:rsidR="00351BCB" w:rsidRPr="00351BCB" w:rsidRDefault="00351BCB" w:rsidP="00351BCB">
      <w:pPr>
        <w:tabs>
          <w:tab w:val="left" w:pos="284"/>
        </w:tabs>
        <w:ind w:left="284"/>
        <w:jc w:val="both"/>
        <w:rPr>
          <w:rFonts w:ascii="Verdana" w:hAnsi="Verdana"/>
          <w:bCs/>
          <w:iCs/>
          <w:sz w:val="18"/>
          <w:szCs w:val="18"/>
        </w:rPr>
      </w:pPr>
      <w:r w:rsidRPr="00351BCB">
        <w:rPr>
          <w:rFonts w:ascii="Verdana" w:hAnsi="Verdana"/>
          <w:bCs/>
          <w:iCs/>
          <w:sz w:val="18"/>
          <w:szCs w:val="18"/>
        </w:rPr>
        <w:t xml:space="preserve">El RDL 7/2026 introduce un </w:t>
      </w:r>
      <w:r w:rsidRPr="00351BCB">
        <w:rPr>
          <w:rFonts w:ascii="Verdana" w:hAnsi="Verdana"/>
          <w:b/>
          <w:bCs/>
          <w:iCs/>
          <w:sz w:val="18"/>
          <w:szCs w:val="18"/>
        </w:rPr>
        <w:t>amplio paquete de medidas fiscales temporales</w:t>
      </w:r>
      <w:r w:rsidRPr="00351BCB">
        <w:rPr>
          <w:rFonts w:ascii="Verdana" w:hAnsi="Verdana"/>
          <w:bCs/>
          <w:iCs/>
          <w:sz w:val="18"/>
          <w:szCs w:val="18"/>
        </w:rPr>
        <w:t xml:space="preserve"> orientadas a:</w:t>
      </w:r>
    </w:p>
    <w:p w14:paraId="6EB1B8CE" w14:textId="77777777" w:rsidR="00351BCB" w:rsidRPr="00351BCB" w:rsidRDefault="00351BCB">
      <w:pPr>
        <w:numPr>
          <w:ilvl w:val="0"/>
          <w:numId w:val="54"/>
        </w:numPr>
        <w:tabs>
          <w:tab w:val="left" w:pos="284"/>
        </w:tabs>
        <w:jc w:val="both"/>
        <w:rPr>
          <w:rFonts w:ascii="Verdana" w:hAnsi="Verdana"/>
          <w:bCs/>
          <w:iCs/>
          <w:sz w:val="18"/>
          <w:szCs w:val="18"/>
        </w:rPr>
      </w:pPr>
      <w:r w:rsidRPr="00351BCB">
        <w:rPr>
          <w:rFonts w:ascii="Verdana" w:hAnsi="Verdana"/>
          <w:bCs/>
          <w:iCs/>
          <w:sz w:val="18"/>
          <w:szCs w:val="18"/>
        </w:rPr>
        <w:t xml:space="preserve">Reducir el coste energético para hogares y empresas. </w:t>
      </w:r>
    </w:p>
    <w:p w14:paraId="330BA774" w14:textId="77777777" w:rsidR="00351BCB" w:rsidRPr="00351BCB" w:rsidRDefault="00351BCB">
      <w:pPr>
        <w:numPr>
          <w:ilvl w:val="0"/>
          <w:numId w:val="54"/>
        </w:numPr>
        <w:tabs>
          <w:tab w:val="left" w:pos="284"/>
        </w:tabs>
        <w:jc w:val="both"/>
        <w:rPr>
          <w:rFonts w:ascii="Verdana" w:hAnsi="Verdana"/>
          <w:bCs/>
          <w:iCs/>
          <w:sz w:val="18"/>
          <w:szCs w:val="18"/>
        </w:rPr>
      </w:pPr>
      <w:r w:rsidRPr="00351BCB">
        <w:rPr>
          <w:rFonts w:ascii="Verdana" w:hAnsi="Verdana"/>
          <w:bCs/>
          <w:iCs/>
          <w:sz w:val="18"/>
          <w:szCs w:val="18"/>
        </w:rPr>
        <w:t xml:space="preserve">Apoyar sectores intensivos en energía. </w:t>
      </w:r>
    </w:p>
    <w:p w14:paraId="6123E747" w14:textId="77777777" w:rsidR="00351BCB" w:rsidRDefault="00351BCB">
      <w:pPr>
        <w:numPr>
          <w:ilvl w:val="0"/>
          <w:numId w:val="54"/>
        </w:numPr>
        <w:tabs>
          <w:tab w:val="left" w:pos="284"/>
        </w:tabs>
        <w:jc w:val="both"/>
        <w:rPr>
          <w:rFonts w:ascii="Verdana" w:hAnsi="Verdana"/>
          <w:bCs/>
          <w:iCs/>
          <w:sz w:val="18"/>
          <w:szCs w:val="18"/>
        </w:rPr>
      </w:pPr>
      <w:r w:rsidRPr="00351BCB">
        <w:rPr>
          <w:rFonts w:ascii="Verdana" w:hAnsi="Verdana"/>
          <w:bCs/>
          <w:iCs/>
          <w:sz w:val="18"/>
          <w:szCs w:val="18"/>
        </w:rPr>
        <w:t>Impulsar la transición energética mediante incentivos fiscales.</w:t>
      </w:r>
    </w:p>
    <w:p w14:paraId="145BFB51" w14:textId="77777777" w:rsidR="0062606C" w:rsidRDefault="0062606C" w:rsidP="0062606C">
      <w:pPr>
        <w:tabs>
          <w:tab w:val="left" w:pos="284"/>
        </w:tabs>
        <w:jc w:val="both"/>
        <w:rPr>
          <w:rFonts w:ascii="Verdana" w:hAnsi="Verdana"/>
          <w:bCs/>
          <w:iCs/>
          <w:sz w:val="18"/>
          <w:szCs w:val="18"/>
        </w:rPr>
      </w:pPr>
    </w:p>
    <w:p w14:paraId="4F6B9EF7" w14:textId="77777777" w:rsidR="0062606C" w:rsidRDefault="0062606C" w:rsidP="0062606C">
      <w:pPr>
        <w:tabs>
          <w:tab w:val="left" w:pos="284"/>
        </w:tabs>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62606C" w:rsidRPr="0062606C" w14:paraId="2BF3A0AF" w14:textId="77777777" w:rsidTr="001F797B">
        <w:tc>
          <w:tcPr>
            <w:tcW w:w="180" w:type="dxa"/>
            <w:shd w:val="clear" w:color="auto" w:fill="FF6600"/>
          </w:tcPr>
          <w:p w14:paraId="72DC49F6" w14:textId="77777777" w:rsidR="0062606C" w:rsidRPr="0062606C" w:rsidRDefault="0062606C" w:rsidP="001F797B">
            <w:pPr>
              <w:rPr>
                <w:rFonts w:ascii="Verdana" w:hAnsi="Verdana"/>
                <w:b/>
                <w:bCs/>
                <w:color w:val="800000"/>
                <w:sz w:val="18"/>
                <w:szCs w:val="18"/>
              </w:rPr>
            </w:pPr>
          </w:p>
        </w:tc>
        <w:tc>
          <w:tcPr>
            <w:tcW w:w="8460" w:type="dxa"/>
          </w:tcPr>
          <w:p w14:paraId="080E698B" w14:textId="40221A5A" w:rsidR="0062606C" w:rsidRPr="0062606C" w:rsidRDefault="0062606C">
            <w:pPr>
              <w:numPr>
                <w:ilvl w:val="0"/>
                <w:numId w:val="2"/>
              </w:numPr>
              <w:ind w:right="276"/>
              <w:jc w:val="both"/>
              <w:rPr>
                <w:rFonts w:ascii="Verdana" w:hAnsi="Verdana"/>
                <w:b/>
                <w:bCs/>
                <w:color w:val="800000"/>
                <w:sz w:val="18"/>
                <w:szCs w:val="18"/>
              </w:rPr>
            </w:pPr>
            <w:r w:rsidRPr="0062606C">
              <w:rPr>
                <w:rFonts w:ascii="Verdana" w:hAnsi="Verdana"/>
                <w:b/>
                <w:bCs/>
                <w:color w:val="800000"/>
                <w:sz w:val="18"/>
                <w:szCs w:val="18"/>
              </w:rPr>
              <w:t>IRPF E INTERESES DE DEMORA: EL SUPREMO REABRE EL DEBATE</w:t>
            </w:r>
          </w:p>
        </w:tc>
      </w:tr>
    </w:tbl>
    <w:p w14:paraId="694B3F73" w14:textId="77777777" w:rsidR="0062606C" w:rsidRPr="0062606C" w:rsidRDefault="0062606C" w:rsidP="0062606C">
      <w:pPr>
        <w:spacing w:before="100" w:beforeAutospacing="1" w:after="100" w:afterAutospacing="1"/>
        <w:ind w:left="284"/>
        <w:jc w:val="both"/>
        <w:rPr>
          <w:rFonts w:ascii="Verdana" w:hAnsi="Verdana"/>
          <w:sz w:val="18"/>
          <w:szCs w:val="18"/>
        </w:rPr>
      </w:pPr>
      <w:r w:rsidRPr="0062606C">
        <w:rPr>
          <w:rFonts w:ascii="Verdana" w:hAnsi="Verdana"/>
          <w:sz w:val="18"/>
          <w:szCs w:val="18"/>
        </w:rPr>
        <w:t xml:space="preserve">El Tribunal Supremo ha admitido a trámite un recurso de casación que podría cambiar nuevamente el criterio sobre la tributación en el IRPF de los intereses de demora abonados por la Agencia Tributaria. </w:t>
      </w:r>
    </w:p>
    <w:p w14:paraId="62CE8DD5" w14:textId="77777777" w:rsidR="00696968" w:rsidRDefault="0062606C" w:rsidP="00696968">
      <w:pPr>
        <w:ind w:left="284"/>
        <w:jc w:val="both"/>
        <w:rPr>
          <w:rFonts w:ascii="Verdana" w:hAnsi="Verdana"/>
          <w:b/>
          <w:bCs/>
          <w:sz w:val="18"/>
          <w:szCs w:val="18"/>
        </w:rPr>
      </w:pPr>
      <w:r w:rsidRPr="0062606C">
        <w:rPr>
          <w:rFonts w:ascii="Verdana" w:hAnsi="Verdana"/>
          <w:b/>
          <w:bCs/>
          <w:sz w:val="18"/>
          <w:szCs w:val="18"/>
        </w:rPr>
        <w:t>Cuestión clave</w:t>
      </w:r>
    </w:p>
    <w:p w14:paraId="06CE1D69" w14:textId="68CCF081" w:rsidR="0062606C" w:rsidRDefault="0062606C" w:rsidP="00696968">
      <w:pPr>
        <w:ind w:left="284"/>
        <w:jc w:val="both"/>
        <w:rPr>
          <w:rFonts w:ascii="Verdana" w:hAnsi="Verdana"/>
          <w:sz w:val="18"/>
          <w:szCs w:val="18"/>
        </w:rPr>
      </w:pPr>
      <w:r w:rsidRPr="0062606C">
        <w:rPr>
          <w:rFonts w:ascii="Verdana" w:hAnsi="Verdana"/>
          <w:sz w:val="18"/>
          <w:szCs w:val="18"/>
        </w:rPr>
        <w:t>Se debate si estos intereses, pagados cuando Hacienda devuelve ingresos indebidos, deben tributar como ganancia patrimonial o quedar exentos por su carácter indemnizatorio.</w:t>
      </w:r>
    </w:p>
    <w:p w14:paraId="2267DAFA" w14:textId="77777777" w:rsidR="00696968" w:rsidRPr="0062606C" w:rsidRDefault="00696968" w:rsidP="00696968">
      <w:pPr>
        <w:ind w:left="284"/>
        <w:jc w:val="both"/>
        <w:rPr>
          <w:rFonts w:ascii="Verdana" w:hAnsi="Verdana"/>
          <w:sz w:val="18"/>
          <w:szCs w:val="18"/>
        </w:rPr>
      </w:pPr>
    </w:p>
    <w:p w14:paraId="2C4AF793" w14:textId="77777777" w:rsidR="0062606C" w:rsidRPr="0062606C" w:rsidRDefault="0062606C" w:rsidP="00696968">
      <w:pPr>
        <w:ind w:left="284"/>
        <w:jc w:val="both"/>
        <w:rPr>
          <w:rFonts w:ascii="Verdana" w:hAnsi="Verdana"/>
          <w:sz w:val="18"/>
          <w:szCs w:val="18"/>
        </w:rPr>
      </w:pPr>
      <w:r w:rsidRPr="0062606C">
        <w:rPr>
          <w:rFonts w:ascii="Verdana" w:hAnsi="Verdana"/>
          <w:b/>
          <w:bCs/>
          <w:sz w:val="18"/>
          <w:szCs w:val="18"/>
        </w:rPr>
        <w:t>Evolución del criterio</w:t>
      </w:r>
    </w:p>
    <w:p w14:paraId="53087F3E" w14:textId="77777777" w:rsidR="0062606C" w:rsidRPr="0062606C" w:rsidRDefault="0062606C">
      <w:pPr>
        <w:numPr>
          <w:ilvl w:val="0"/>
          <w:numId w:val="55"/>
        </w:numPr>
        <w:tabs>
          <w:tab w:val="clear" w:pos="720"/>
        </w:tabs>
        <w:ind w:left="567" w:hanging="283"/>
        <w:jc w:val="both"/>
        <w:rPr>
          <w:rFonts w:ascii="Verdana" w:hAnsi="Verdana"/>
          <w:sz w:val="18"/>
          <w:szCs w:val="18"/>
        </w:rPr>
      </w:pPr>
      <w:r w:rsidRPr="0062606C">
        <w:rPr>
          <w:rFonts w:ascii="Verdana" w:hAnsi="Verdana"/>
          <w:b/>
          <w:bCs/>
          <w:sz w:val="18"/>
          <w:szCs w:val="18"/>
        </w:rPr>
        <w:t>2020</w:t>
      </w:r>
      <w:r w:rsidRPr="0062606C">
        <w:rPr>
          <w:rFonts w:ascii="Verdana" w:hAnsi="Verdana"/>
          <w:sz w:val="18"/>
          <w:szCs w:val="18"/>
        </w:rPr>
        <w:t xml:space="preserve">: El Supremo consideró que los intereses de demora eran indemnizaciones </w:t>
      </w:r>
      <w:r w:rsidRPr="0062606C">
        <w:rPr>
          <w:rFonts w:ascii="Arial" w:hAnsi="Arial" w:cs="Arial"/>
          <w:sz w:val="18"/>
          <w:szCs w:val="18"/>
        </w:rPr>
        <w:t>→</w:t>
      </w:r>
      <w:r w:rsidRPr="0062606C">
        <w:rPr>
          <w:rFonts w:ascii="Verdana" w:hAnsi="Verdana"/>
          <w:sz w:val="18"/>
          <w:szCs w:val="18"/>
        </w:rPr>
        <w:t xml:space="preserve"> </w:t>
      </w:r>
      <w:r w:rsidRPr="0062606C">
        <w:rPr>
          <w:rFonts w:ascii="Verdana" w:hAnsi="Verdana"/>
          <w:b/>
          <w:bCs/>
          <w:sz w:val="18"/>
          <w:szCs w:val="18"/>
        </w:rPr>
        <w:t>no tributan</w:t>
      </w:r>
      <w:r w:rsidRPr="0062606C">
        <w:rPr>
          <w:rFonts w:ascii="Verdana" w:hAnsi="Verdana"/>
          <w:sz w:val="18"/>
          <w:szCs w:val="18"/>
        </w:rPr>
        <w:t xml:space="preserve">. </w:t>
      </w:r>
    </w:p>
    <w:p w14:paraId="08065A40" w14:textId="77777777" w:rsidR="0062606C" w:rsidRDefault="0062606C">
      <w:pPr>
        <w:numPr>
          <w:ilvl w:val="0"/>
          <w:numId w:val="55"/>
        </w:numPr>
        <w:tabs>
          <w:tab w:val="clear" w:pos="720"/>
        </w:tabs>
        <w:ind w:left="567" w:hanging="283"/>
        <w:jc w:val="both"/>
        <w:rPr>
          <w:rFonts w:ascii="Verdana" w:hAnsi="Verdana"/>
          <w:sz w:val="18"/>
          <w:szCs w:val="18"/>
        </w:rPr>
      </w:pPr>
      <w:r w:rsidRPr="0062606C">
        <w:rPr>
          <w:rFonts w:ascii="Verdana" w:hAnsi="Verdana"/>
          <w:b/>
          <w:bCs/>
          <w:sz w:val="18"/>
          <w:szCs w:val="18"/>
        </w:rPr>
        <w:t>2023</w:t>
      </w:r>
      <w:r w:rsidRPr="0062606C">
        <w:rPr>
          <w:rFonts w:ascii="Verdana" w:hAnsi="Verdana"/>
          <w:sz w:val="18"/>
          <w:szCs w:val="18"/>
        </w:rPr>
        <w:t xml:space="preserve">: Cambio de doctrina </w:t>
      </w:r>
      <w:r w:rsidRPr="0062606C">
        <w:rPr>
          <w:rFonts w:ascii="Arial" w:hAnsi="Arial" w:cs="Arial"/>
          <w:sz w:val="18"/>
          <w:szCs w:val="18"/>
        </w:rPr>
        <w:t>→</w:t>
      </w:r>
      <w:r w:rsidRPr="0062606C">
        <w:rPr>
          <w:rFonts w:ascii="Verdana" w:hAnsi="Verdana"/>
          <w:sz w:val="18"/>
          <w:szCs w:val="18"/>
        </w:rPr>
        <w:t xml:space="preserve"> pasan a considerarse </w:t>
      </w:r>
      <w:r w:rsidRPr="0062606C">
        <w:rPr>
          <w:rFonts w:ascii="Verdana" w:hAnsi="Verdana"/>
          <w:b/>
          <w:bCs/>
          <w:sz w:val="18"/>
          <w:szCs w:val="18"/>
        </w:rPr>
        <w:t>ganancia patrimonial sujeta a IRPF</w:t>
      </w:r>
      <w:r w:rsidRPr="0062606C">
        <w:rPr>
          <w:rFonts w:ascii="Verdana" w:hAnsi="Verdana"/>
          <w:sz w:val="18"/>
          <w:szCs w:val="18"/>
        </w:rPr>
        <w:t xml:space="preserve">. </w:t>
      </w:r>
    </w:p>
    <w:p w14:paraId="220E3921" w14:textId="77777777" w:rsidR="00696968" w:rsidRPr="0062606C" w:rsidRDefault="00696968" w:rsidP="00696968">
      <w:pPr>
        <w:ind w:left="567"/>
        <w:jc w:val="both"/>
        <w:rPr>
          <w:rFonts w:ascii="Verdana" w:hAnsi="Verdana"/>
          <w:sz w:val="18"/>
          <w:szCs w:val="18"/>
        </w:rPr>
      </w:pPr>
    </w:p>
    <w:p w14:paraId="76C0EBDD" w14:textId="77777777" w:rsidR="0062606C" w:rsidRPr="0062606C" w:rsidRDefault="0062606C" w:rsidP="00696968">
      <w:pPr>
        <w:ind w:left="284"/>
        <w:rPr>
          <w:rFonts w:ascii="Verdana" w:hAnsi="Verdana"/>
          <w:sz w:val="18"/>
          <w:szCs w:val="18"/>
        </w:rPr>
      </w:pPr>
      <w:r w:rsidRPr="0062606C">
        <w:rPr>
          <w:rFonts w:ascii="Verdana" w:hAnsi="Verdana"/>
          <w:b/>
          <w:bCs/>
          <w:sz w:val="18"/>
          <w:szCs w:val="18"/>
        </w:rPr>
        <w:t>Nuevo recurso</w:t>
      </w:r>
      <w:r w:rsidRPr="0062606C">
        <w:rPr>
          <w:rFonts w:ascii="Verdana" w:hAnsi="Verdana"/>
          <w:sz w:val="18"/>
          <w:szCs w:val="18"/>
        </w:rPr>
        <w:br/>
        <w:t>El caso parte de un contribuyente que recibió más de 255.000 € en intereses. Hacienda le exigió tributar por ellos aplicando el criterio de 2023, lo que ha sido recurrido por posible vulneración de:</w:t>
      </w:r>
    </w:p>
    <w:p w14:paraId="62257A57" w14:textId="77777777" w:rsidR="0062606C" w:rsidRPr="0062606C" w:rsidRDefault="0062606C">
      <w:pPr>
        <w:numPr>
          <w:ilvl w:val="0"/>
          <w:numId w:val="56"/>
        </w:numPr>
        <w:tabs>
          <w:tab w:val="clear" w:pos="720"/>
        </w:tabs>
        <w:ind w:left="567" w:hanging="283"/>
        <w:jc w:val="both"/>
        <w:rPr>
          <w:rFonts w:ascii="Verdana" w:hAnsi="Verdana"/>
          <w:sz w:val="18"/>
          <w:szCs w:val="18"/>
        </w:rPr>
      </w:pPr>
      <w:r w:rsidRPr="0062606C">
        <w:rPr>
          <w:rFonts w:ascii="Verdana" w:hAnsi="Verdana"/>
          <w:sz w:val="18"/>
          <w:szCs w:val="18"/>
        </w:rPr>
        <w:t xml:space="preserve">Seguridad jurídica </w:t>
      </w:r>
    </w:p>
    <w:p w14:paraId="52D33B96" w14:textId="77777777" w:rsidR="0062606C" w:rsidRPr="0062606C" w:rsidRDefault="0062606C">
      <w:pPr>
        <w:numPr>
          <w:ilvl w:val="0"/>
          <w:numId w:val="56"/>
        </w:numPr>
        <w:tabs>
          <w:tab w:val="clear" w:pos="720"/>
        </w:tabs>
        <w:ind w:left="567" w:hanging="283"/>
        <w:jc w:val="both"/>
        <w:rPr>
          <w:rFonts w:ascii="Verdana" w:hAnsi="Verdana"/>
          <w:sz w:val="18"/>
          <w:szCs w:val="18"/>
        </w:rPr>
      </w:pPr>
      <w:r w:rsidRPr="0062606C">
        <w:rPr>
          <w:rFonts w:ascii="Verdana" w:hAnsi="Verdana"/>
          <w:sz w:val="18"/>
          <w:szCs w:val="18"/>
        </w:rPr>
        <w:t xml:space="preserve">Confianza legítima </w:t>
      </w:r>
    </w:p>
    <w:p w14:paraId="0CA1DD7C" w14:textId="77777777" w:rsidR="0062606C" w:rsidRDefault="0062606C">
      <w:pPr>
        <w:numPr>
          <w:ilvl w:val="0"/>
          <w:numId w:val="56"/>
        </w:numPr>
        <w:tabs>
          <w:tab w:val="clear" w:pos="720"/>
        </w:tabs>
        <w:ind w:left="567" w:hanging="283"/>
        <w:jc w:val="both"/>
        <w:rPr>
          <w:rFonts w:ascii="Verdana" w:hAnsi="Verdana"/>
          <w:sz w:val="18"/>
          <w:szCs w:val="18"/>
        </w:rPr>
      </w:pPr>
      <w:r w:rsidRPr="0062606C">
        <w:rPr>
          <w:rFonts w:ascii="Verdana" w:hAnsi="Verdana"/>
          <w:sz w:val="18"/>
          <w:szCs w:val="18"/>
        </w:rPr>
        <w:t xml:space="preserve">Irretroactividad </w:t>
      </w:r>
    </w:p>
    <w:p w14:paraId="0C371E16" w14:textId="77777777" w:rsidR="00696968" w:rsidRPr="0062606C" w:rsidRDefault="00696968" w:rsidP="00696968">
      <w:pPr>
        <w:ind w:left="426"/>
        <w:jc w:val="both"/>
        <w:rPr>
          <w:rFonts w:ascii="Verdana" w:hAnsi="Verdana"/>
          <w:sz w:val="18"/>
          <w:szCs w:val="18"/>
        </w:rPr>
      </w:pPr>
    </w:p>
    <w:p w14:paraId="38BA986B" w14:textId="77777777" w:rsidR="0062606C" w:rsidRPr="0062606C" w:rsidRDefault="0062606C" w:rsidP="00696968">
      <w:pPr>
        <w:ind w:left="284"/>
        <w:jc w:val="both"/>
        <w:rPr>
          <w:rFonts w:ascii="Verdana" w:hAnsi="Verdana"/>
          <w:sz w:val="18"/>
          <w:szCs w:val="18"/>
        </w:rPr>
      </w:pPr>
      <w:r w:rsidRPr="0062606C">
        <w:rPr>
          <w:rFonts w:ascii="Verdana" w:hAnsi="Verdana"/>
          <w:b/>
          <w:bCs/>
          <w:sz w:val="18"/>
          <w:szCs w:val="18"/>
        </w:rPr>
        <w:t>Aspectos que debe aclarar el Supremo</w:t>
      </w:r>
    </w:p>
    <w:p w14:paraId="69760774" w14:textId="77777777" w:rsidR="0062606C" w:rsidRPr="0062606C" w:rsidRDefault="0062606C">
      <w:pPr>
        <w:numPr>
          <w:ilvl w:val="0"/>
          <w:numId w:val="57"/>
        </w:numPr>
        <w:tabs>
          <w:tab w:val="clear" w:pos="720"/>
        </w:tabs>
        <w:ind w:left="567" w:hanging="283"/>
        <w:jc w:val="both"/>
        <w:rPr>
          <w:rFonts w:ascii="Verdana" w:hAnsi="Verdana"/>
          <w:sz w:val="18"/>
          <w:szCs w:val="18"/>
        </w:rPr>
      </w:pPr>
      <w:r w:rsidRPr="0062606C">
        <w:rPr>
          <w:rFonts w:ascii="Verdana" w:hAnsi="Verdana"/>
          <w:b/>
          <w:bCs/>
          <w:sz w:val="18"/>
          <w:szCs w:val="18"/>
        </w:rPr>
        <w:t>Naturaleza de los intereses</w:t>
      </w:r>
      <w:r w:rsidRPr="0062606C">
        <w:rPr>
          <w:rFonts w:ascii="Verdana" w:hAnsi="Verdana"/>
          <w:sz w:val="18"/>
          <w:szCs w:val="18"/>
        </w:rPr>
        <w:t xml:space="preserve">: indemnización (no tributan) vs. ganancia patrimonial (sí tributan). </w:t>
      </w:r>
    </w:p>
    <w:p w14:paraId="7008CB06" w14:textId="77777777" w:rsidR="0062606C" w:rsidRPr="0062606C" w:rsidRDefault="0062606C">
      <w:pPr>
        <w:numPr>
          <w:ilvl w:val="0"/>
          <w:numId w:val="57"/>
        </w:numPr>
        <w:tabs>
          <w:tab w:val="clear" w:pos="720"/>
        </w:tabs>
        <w:ind w:left="567" w:hanging="283"/>
        <w:jc w:val="both"/>
        <w:rPr>
          <w:rFonts w:ascii="Verdana" w:hAnsi="Verdana"/>
          <w:sz w:val="18"/>
          <w:szCs w:val="18"/>
        </w:rPr>
      </w:pPr>
      <w:r w:rsidRPr="0062606C">
        <w:rPr>
          <w:rFonts w:ascii="Verdana" w:hAnsi="Verdana"/>
          <w:b/>
          <w:bCs/>
          <w:sz w:val="18"/>
          <w:szCs w:val="18"/>
        </w:rPr>
        <w:t>Retroactividad del criterio de 2023</w:t>
      </w:r>
      <w:r w:rsidRPr="0062606C">
        <w:rPr>
          <w:rFonts w:ascii="Verdana" w:hAnsi="Verdana"/>
          <w:sz w:val="18"/>
          <w:szCs w:val="18"/>
        </w:rPr>
        <w:t xml:space="preserve">: si puede aplicarse a situaciones anteriores no firmes. </w:t>
      </w:r>
    </w:p>
    <w:p w14:paraId="1C6195E0" w14:textId="77777777" w:rsidR="0062606C" w:rsidRPr="0062606C" w:rsidRDefault="0062606C" w:rsidP="0062606C">
      <w:pPr>
        <w:spacing w:before="100" w:beforeAutospacing="1" w:after="100" w:afterAutospacing="1"/>
        <w:ind w:left="284"/>
        <w:rPr>
          <w:rFonts w:ascii="Verdana" w:hAnsi="Verdana"/>
          <w:sz w:val="18"/>
          <w:szCs w:val="18"/>
        </w:rPr>
      </w:pPr>
      <w:r w:rsidRPr="0062606C">
        <w:rPr>
          <w:rFonts w:ascii="Verdana" w:hAnsi="Verdana"/>
          <w:b/>
          <w:bCs/>
          <w:sz w:val="18"/>
          <w:szCs w:val="18"/>
        </w:rPr>
        <w:lastRenderedPageBreak/>
        <w:t>Impacto potencial</w:t>
      </w:r>
      <w:r w:rsidRPr="0062606C">
        <w:rPr>
          <w:rFonts w:ascii="Verdana" w:hAnsi="Verdana"/>
          <w:sz w:val="18"/>
          <w:szCs w:val="18"/>
        </w:rPr>
        <w:br/>
        <w:t>La decisión podría afectar a miles de contribuyentes. Si se limita la retroactividad o se vuelve al criterio de 2020, muchos podrían evitar tributar por estos intereses.</w:t>
      </w:r>
    </w:p>
    <w:p w14:paraId="6D8F5A91" w14:textId="77777777" w:rsidR="00351BCB" w:rsidRPr="00FA421C" w:rsidRDefault="00351BCB" w:rsidP="00FA421C">
      <w:pPr>
        <w:ind w:right="-1"/>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222B9" w:rsidRPr="00EC22F6" w14:paraId="486A3CCC" w14:textId="77777777" w:rsidTr="009D2C31">
        <w:tc>
          <w:tcPr>
            <w:tcW w:w="180" w:type="dxa"/>
            <w:shd w:val="clear" w:color="auto" w:fill="FF6600"/>
          </w:tcPr>
          <w:p w14:paraId="680FD610" w14:textId="77777777" w:rsidR="00C222B9" w:rsidRPr="00EC22F6" w:rsidRDefault="00C222B9" w:rsidP="009D2C31">
            <w:pPr>
              <w:rPr>
                <w:rFonts w:ascii="Verdana" w:hAnsi="Verdana"/>
                <w:b/>
                <w:bCs/>
                <w:color w:val="800000"/>
                <w:sz w:val="18"/>
                <w:szCs w:val="18"/>
              </w:rPr>
            </w:pPr>
            <w:bookmarkStart w:id="2" w:name="_Hlk98349015"/>
          </w:p>
        </w:tc>
        <w:tc>
          <w:tcPr>
            <w:tcW w:w="8460" w:type="dxa"/>
          </w:tcPr>
          <w:p w14:paraId="4294255D" w14:textId="53A26312" w:rsidR="00C222B9" w:rsidRPr="00EC22F6" w:rsidRDefault="009914F1">
            <w:pPr>
              <w:numPr>
                <w:ilvl w:val="0"/>
                <w:numId w:val="2"/>
              </w:numPr>
              <w:ind w:right="276"/>
              <w:jc w:val="both"/>
              <w:rPr>
                <w:rFonts w:ascii="Verdana" w:hAnsi="Verdana"/>
                <w:b/>
                <w:bCs/>
                <w:color w:val="800000"/>
                <w:sz w:val="18"/>
                <w:szCs w:val="18"/>
              </w:rPr>
            </w:pPr>
            <w:r w:rsidRPr="009914F1">
              <w:rPr>
                <w:rFonts w:ascii="Verdana" w:hAnsi="Verdana"/>
                <w:b/>
                <w:bCs/>
                <w:color w:val="800000"/>
                <w:sz w:val="18"/>
                <w:szCs w:val="18"/>
              </w:rPr>
              <w:t>ITP - EL TRIBUNAL CONSTITUCIONAL AVALA EL “VALOR DE REFERENCIA” COMO BASE IMPONIBLE EN EL IMPUESTO SOBRE TRANSMISIONES PATRIMONIALES</w:t>
            </w:r>
          </w:p>
        </w:tc>
      </w:tr>
      <w:bookmarkEnd w:id="2"/>
    </w:tbl>
    <w:p w14:paraId="2EAB3A0C" w14:textId="77777777" w:rsidR="00C222B9" w:rsidRDefault="00C222B9" w:rsidP="00657350">
      <w:pPr>
        <w:shd w:val="clear" w:color="auto" w:fill="FFFFFF"/>
        <w:tabs>
          <w:tab w:val="left" w:pos="0"/>
        </w:tabs>
        <w:jc w:val="both"/>
        <w:rPr>
          <w:rFonts w:ascii="Verdana" w:hAnsi="Verdana"/>
          <w:bCs/>
          <w:sz w:val="18"/>
          <w:szCs w:val="18"/>
        </w:rPr>
      </w:pPr>
    </w:p>
    <w:p w14:paraId="2EA50173" w14:textId="7CA85633"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 xml:space="preserve">El Tribunal Constitucional </w:t>
      </w:r>
      <w:r w:rsidRPr="009914F1">
        <w:rPr>
          <w:rFonts w:ascii="Verdana" w:hAnsi="Verdana"/>
          <w:b/>
          <w:bCs/>
          <w:i/>
          <w:iCs/>
          <w:sz w:val="18"/>
          <w:szCs w:val="18"/>
        </w:rPr>
        <w:t>en su Sentencia de 12 de febrero de 2026 (</w:t>
      </w:r>
      <w:proofErr w:type="spellStart"/>
      <w:r w:rsidRPr="009914F1">
        <w:rPr>
          <w:rFonts w:ascii="Verdana" w:hAnsi="Verdana"/>
          <w:b/>
          <w:bCs/>
          <w:i/>
          <w:iCs/>
          <w:sz w:val="18"/>
          <w:szCs w:val="18"/>
        </w:rPr>
        <w:t>rec.</w:t>
      </w:r>
      <w:proofErr w:type="spellEnd"/>
      <w:r w:rsidRPr="009914F1">
        <w:rPr>
          <w:rFonts w:ascii="Verdana" w:hAnsi="Verdana"/>
          <w:b/>
          <w:bCs/>
          <w:i/>
          <w:iCs/>
          <w:sz w:val="18"/>
          <w:szCs w:val="18"/>
        </w:rPr>
        <w:t xml:space="preserve"> 3631/2025), </w:t>
      </w:r>
      <w:r w:rsidRPr="009914F1">
        <w:rPr>
          <w:rFonts w:ascii="Verdana" w:hAnsi="Verdana"/>
          <w:bCs/>
          <w:iCs/>
          <w:sz w:val="18"/>
          <w:szCs w:val="18"/>
        </w:rPr>
        <w:t xml:space="preserve">ha desestimado la cuestión de inconstitucionalidad planteada respecto de los arts. 10.2, 10.3, 10.4 y 46.1 del TRLITP y AJD, así como de la disposición final tercera del TRLCI, en la redacción dada por la Ley 11/2021, confirmando la adecuación al art. 31.1 CE del sistema de determinación objetiva de la base imponible mediante el denominado </w:t>
      </w:r>
      <w:r w:rsidRPr="009914F1">
        <w:rPr>
          <w:rFonts w:ascii="Verdana" w:hAnsi="Verdana"/>
          <w:b/>
          <w:iCs/>
          <w:sz w:val="18"/>
          <w:szCs w:val="18"/>
        </w:rPr>
        <w:t>“valor de referencia”</w:t>
      </w:r>
      <w:r w:rsidRPr="009914F1">
        <w:rPr>
          <w:rFonts w:ascii="Verdana" w:hAnsi="Verdana"/>
          <w:bCs/>
          <w:iCs/>
          <w:sz w:val="18"/>
          <w:szCs w:val="18"/>
        </w:rPr>
        <w:t>.</w:t>
      </w:r>
    </w:p>
    <w:p w14:paraId="0B3573E5"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4CD15B0B">
          <v:rect id="_x0000_i1034" style="width:0;height:1.5pt" o:hralign="center" o:hrstd="t" o:hr="t" fillcolor="#a0a0a0" stroked="f"/>
        </w:pict>
      </w:r>
    </w:p>
    <w:p w14:paraId="1CABC6E0"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1. Objeto del proceso constitucional</w:t>
      </w:r>
    </w:p>
    <w:p w14:paraId="04F93913" w14:textId="77777777" w:rsid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 xml:space="preserve">La cuestión de inconstitucionalidad se centraba en determinar si la fijación imperativa de la base imponible del ITP (modalidad TPO) conforme al valor de referencia catastral —cuando este sea superior al valor declarado— vulnera el principio de capacidad económica, en su dimensión de </w:t>
      </w:r>
      <w:r w:rsidRPr="009914F1">
        <w:rPr>
          <w:rFonts w:ascii="Verdana" w:hAnsi="Verdana"/>
          <w:b/>
          <w:bCs/>
          <w:iCs/>
          <w:sz w:val="18"/>
          <w:szCs w:val="18"/>
        </w:rPr>
        <w:t>medida de la imposición</w:t>
      </w:r>
      <w:r w:rsidRPr="009914F1">
        <w:rPr>
          <w:rFonts w:ascii="Verdana" w:hAnsi="Verdana"/>
          <w:bCs/>
          <w:iCs/>
          <w:sz w:val="18"/>
          <w:szCs w:val="18"/>
        </w:rPr>
        <w:t>.</w:t>
      </w:r>
    </w:p>
    <w:p w14:paraId="791BF11D" w14:textId="77777777" w:rsidR="00925101" w:rsidRPr="009914F1" w:rsidRDefault="00925101" w:rsidP="009914F1">
      <w:pPr>
        <w:tabs>
          <w:tab w:val="left" w:pos="284"/>
        </w:tabs>
        <w:ind w:left="284"/>
        <w:jc w:val="both"/>
        <w:rPr>
          <w:rFonts w:ascii="Verdana" w:hAnsi="Verdana"/>
          <w:bCs/>
          <w:iCs/>
          <w:sz w:val="18"/>
          <w:szCs w:val="18"/>
        </w:rPr>
      </w:pPr>
    </w:p>
    <w:p w14:paraId="680F3C22"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El órgano judicial promotor sostenía que:</w:t>
      </w:r>
    </w:p>
    <w:p w14:paraId="2B82C0F7" w14:textId="77777777" w:rsidR="009914F1" w:rsidRPr="009914F1" w:rsidRDefault="009914F1">
      <w:pPr>
        <w:numPr>
          <w:ilvl w:val="0"/>
          <w:numId w:val="3"/>
        </w:numPr>
        <w:tabs>
          <w:tab w:val="left" w:pos="284"/>
        </w:tabs>
        <w:jc w:val="both"/>
        <w:rPr>
          <w:rFonts w:ascii="Verdana" w:hAnsi="Verdana"/>
          <w:bCs/>
          <w:iCs/>
          <w:sz w:val="18"/>
          <w:szCs w:val="18"/>
        </w:rPr>
      </w:pPr>
      <w:r w:rsidRPr="009914F1">
        <w:rPr>
          <w:rFonts w:ascii="Verdana" w:hAnsi="Verdana"/>
          <w:bCs/>
          <w:iCs/>
          <w:sz w:val="18"/>
          <w:szCs w:val="18"/>
        </w:rPr>
        <w:t xml:space="preserve">El sistema establece un método </w:t>
      </w:r>
      <w:r w:rsidRPr="009914F1">
        <w:rPr>
          <w:rFonts w:ascii="Verdana" w:hAnsi="Verdana"/>
          <w:b/>
          <w:bCs/>
          <w:iCs/>
          <w:sz w:val="18"/>
          <w:szCs w:val="18"/>
        </w:rPr>
        <w:t>objetivo, general y obligatorio</w:t>
      </w:r>
      <w:r w:rsidRPr="009914F1">
        <w:rPr>
          <w:rFonts w:ascii="Verdana" w:hAnsi="Verdana"/>
          <w:bCs/>
          <w:iCs/>
          <w:sz w:val="18"/>
          <w:szCs w:val="18"/>
        </w:rPr>
        <w:t>, sin singularización efectiva del inmueble.</w:t>
      </w:r>
    </w:p>
    <w:p w14:paraId="52318AB0" w14:textId="77777777" w:rsidR="009914F1" w:rsidRPr="009914F1" w:rsidRDefault="009914F1">
      <w:pPr>
        <w:numPr>
          <w:ilvl w:val="0"/>
          <w:numId w:val="3"/>
        </w:numPr>
        <w:tabs>
          <w:tab w:val="left" w:pos="284"/>
        </w:tabs>
        <w:jc w:val="both"/>
        <w:rPr>
          <w:rFonts w:ascii="Verdana" w:hAnsi="Verdana"/>
          <w:bCs/>
          <w:iCs/>
          <w:sz w:val="18"/>
          <w:szCs w:val="18"/>
        </w:rPr>
      </w:pPr>
      <w:r w:rsidRPr="009914F1">
        <w:rPr>
          <w:rFonts w:ascii="Verdana" w:hAnsi="Verdana"/>
          <w:bCs/>
          <w:iCs/>
          <w:sz w:val="18"/>
          <w:szCs w:val="18"/>
        </w:rPr>
        <w:t>Se elimina el procedimiento clásico de comprobación de valores.</w:t>
      </w:r>
    </w:p>
    <w:p w14:paraId="51A25C4D" w14:textId="77777777" w:rsidR="009914F1" w:rsidRPr="009914F1" w:rsidRDefault="009914F1">
      <w:pPr>
        <w:numPr>
          <w:ilvl w:val="0"/>
          <w:numId w:val="3"/>
        </w:numPr>
        <w:tabs>
          <w:tab w:val="left" w:pos="284"/>
        </w:tabs>
        <w:jc w:val="both"/>
        <w:rPr>
          <w:rFonts w:ascii="Verdana" w:hAnsi="Verdana"/>
          <w:bCs/>
          <w:iCs/>
          <w:sz w:val="18"/>
          <w:szCs w:val="18"/>
        </w:rPr>
      </w:pPr>
      <w:r w:rsidRPr="009914F1">
        <w:rPr>
          <w:rFonts w:ascii="Verdana" w:hAnsi="Verdana"/>
          <w:bCs/>
          <w:iCs/>
          <w:sz w:val="18"/>
          <w:szCs w:val="18"/>
        </w:rPr>
        <w:t>Se desplaza al contribuyente la carga de impugnación del valor aplicado.</w:t>
      </w:r>
    </w:p>
    <w:p w14:paraId="5CBBD20F" w14:textId="77777777" w:rsidR="009914F1" w:rsidRPr="009914F1" w:rsidRDefault="009914F1">
      <w:pPr>
        <w:numPr>
          <w:ilvl w:val="0"/>
          <w:numId w:val="3"/>
        </w:numPr>
        <w:tabs>
          <w:tab w:val="left" w:pos="284"/>
        </w:tabs>
        <w:jc w:val="both"/>
        <w:rPr>
          <w:rFonts w:ascii="Verdana" w:hAnsi="Verdana"/>
          <w:bCs/>
          <w:iCs/>
          <w:sz w:val="18"/>
          <w:szCs w:val="18"/>
        </w:rPr>
      </w:pPr>
      <w:r w:rsidRPr="009914F1">
        <w:rPr>
          <w:rFonts w:ascii="Verdana" w:hAnsi="Verdana"/>
          <w:bCs/>
          <w:iCs/>
          <w:sz w:val="18"/>
          <w:szCs w:val="18"/>
        </w:rPr>
        <w:t>Puede generar gravamen de capacidades económicas inexistentes o ficticias.</w:t>
      </w:r>
    </w:p>
    <w:p w14:paraId="2C766C5B"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169EA16C">
          <v:rect id="_x0000_i1035" style="width:0;height:1.5pt" o:hralign="center" o:hrstd="t" o:hr="t" fillcolor="#a0a0a0" stroked="f"/>
        </w:pict>
      </w:r>
    </w:p>
    <w:p w14:paraId="5627AFE8"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2. Doctrina constitucional aplicada</w:t>
      </w:r>
    </w:p>
    <w:p w14:paraId="4B9430BF" w14:textId="77777777" w:rsid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El Tribunal parte de su jurisprudencia consolidada sobre el art. 31.1 CE, especialmente en materia de métodos objetivos de cuantificación de bases imponibles:</w:t>
      </w:r>
    </w:p>
    <w:p w14:paraId="0849CD85" w14:textId="77777777" w:rsidR="00925101" w:rsidRPr="009914F1" w:rsidRDefault="00925101" w:rsidP="009914F1">
      <w:pPr>
        <w:tabs>
          <w:tab w:val="left" w:pos="284"/>
        </w:tabs>
        <w:ind w:left="284"/>
        <w:jc w:val="both"/>
        <w:rPr>
          <w:rFonts w:ascii="Verdana" w:hAnsi="Verdana"/>
          <w:bCs/>
          <w:iCs/>
          <w:sz w:val="18"/>
          <w:szCs w:val="18"/>
        </w:rPr>
      </w:pPr>
    </w:p>
    <w:p w14:paraId="0F1EE495"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a) Capacidad económica como fundamento y como medida</w:t>
      </w:r>
    </w:p>
    <w:p w14:paraId="2F33EFC3" w14:textId="77777777" w:rsidR="009914F1" w:rsidRPr="009914F1" w:rsidRDefault="009914F1">
      <w:pPr>
        <w:numPr>
          <w:ilvl w:val="0"/>
          <w:numId w:val="4"/>
        </w:numPr>
        <w:tabs>
          <w:tab w:val="left" w:pos="284"/>
        </w:tabs>
        <w:jc w:val="both"/>
        <w:rPr>
          <w:rFonts w:ascii="Verdana" w:hAnsi="Verdana"/>
          <w:bCs/>
          <w:iCs/>
          <w:sz w:val="18"/>
          <w:szCs w:val="18"/>
        </w:rPr>
      </w:pPr>
      <w:r w:rsidRPr="009914F1">
        <w:rPr>
          <w:rFonts w:ascii="Verdana" w:hAnsi="Verdana"/>
          <w:bCs/>
          <w:iCs/>
          <w:sz w:val="18"/>
          <w:szCs w:val="18"/>
        </w:rPr>
        <w:t>La adquisición onerosa de un inmueble constituye manifestación inequívoca de capacidad económica (fundamento).</w:t>
      </w:r>
    </w:p>
    <w:p w14:paraId="7681D830" w14:textId="77777777" w:rsidR="009914F1" w:rsidRDefault="009914F1">
      <w:pPr>
        <w:numPr>
          <w:ilvl w:val="0"/>
          <w:numId w:val="4"/>
        </w:numPr>
        <w:tabs>
          <w:tab w:val="left" w:pos="284"/>
        </w:tabs>
        <w:jc w:val="both"/>
        <w:rPr>
          <w:rFonts w:ascii="Verdana" w:hAnsi="Verdana"/>
          <w:bCs/>
          <w:iCs/>
          <w:sz w:val="18"/>
          <w:szCs w:val="18"/>
        </w:rPr>
      </w:pPr>
      <w:r w:rsidRPr="009914F1">
        <w:rPr>
          <w:rFonts w:ascii="Verdana" w:hAnsi="Verdana"/>
          <w:bCs/>
          <w:iCs/>
          <w:sz w:val="18"/>
          <w:szCs w:val="18"/>
        </w:rPr>
        <w:t>La controversia se sitúa en la dimensión cuantitativa (medida), es decir, si el método normativo se aparta de forma arbitraria o irrazonable de la riqueza efectivamente puesta de manifiesto.</w:t>
      </w:r>
    </w:p>
    <w:p w14:paraId="3FA6CA60" w14:textId="77777777" w:rsidR="00925101" w:rsidRPr="009914F1" w:rsidRDefault="00925101" w:rsidP="00925101">
      <w:pPr>
        <w:tabs>
          <w:tab w:val="left" w:pos="284"/>
        </w:tabs>
        <w:ind w:left="720"/>
        <w:jc w:val="both"/>
        <w:rPr>
          <w:rFonts w:ascii="Verdana" w:hAnsi="Verdana"/>
          <w:bCs/>
          <w:iCs/>
          <w:sz w:val="18"/>
          <w:szCs w:val="18"/>
        </w:rPr>
      </w:pPr>
    </w:p>
    <w:p w14:paraId="6E4FAD29"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b) Legitimidad de métodos objetivos o estimativos</w:t>
      </w:r>
    </w:p>
    <w:p w14:paraId="01B2E453"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 xml:space="preserve">El Tribunal reitera que el legislador dispone de un </w:t>
      </w:r>
      <w:r w:rsidRPr="009914F1">
        <w:rPr>
          <w:rFonts w:ascii="Verdana" w:hAnsi="Verdana"/>
          <w:b/>
          <w:bCs/>
          <w:iCs/>
          <w:sz w:val="18"/>
          <w:szCs w:val="18"/>
        </w:rPr>
        <w:t>amplio margen de configuración</w:t>
      </w:r>
      <w:r w:rsidRPr="009914F1">
        <w:rPr>
          <w:rFonts w:ascii="Verdana" w:hAnsi="Verdana"/>
          <w:bCs/>
          <w:iCs/>
          <w:sz w:val="18"/>
          <w:szCs w:val="18"/>
        </w:rPr>
        <w:t>, pudiendo:</w:t>
      </w:r>
    </w:p>
    <w:p w14:paraId="46EE0351" w14:textId="77777777" w:rsidR="009914F1" w:rsidRPr="009914F1" w:rsidRDefault="009914F1">
      <w:pPr>
        <w:numPr>
          <w:ilvl w:val="0"/>
          <w:numId w:val="5"/>
        </w:numPr>
        <w:tabs>
          <w:tab w:val="left" w:pos="284"/>
        </w:tabs>
        <w:jc w:val="both"/>
        <w:rPr>
          <w:rFonts w:ascii="Verdana" w:hAnsi="Verdana"/>
          <w:bCs/>
          <w:iCs/>
          <w:sz w:val="18"/>
          <w:szCs w:val="18"/>
        </w:rPr>
      </w:pPr>
      <w:r w:rsidRPr="009914F1">
        <w:rPr>
          <w:rFonts w:ascii="Verdana" w:hAnsi="Verdana"/>
          <w:bCs/>
          <w:iCs/>
          <w:sz w:val="18"/>
          <w:szCs w:val="18"/>
        </w:rPr>
        <w:t>Optar por métodos objetivos.</w:t>
      </w:r>
    </w:p>
    <w:p w14:paraId="340218FD" w14:textId="77777777" w:rsidR="009914F1" w:rsidRPr="009914F1" w:rsidRDefault="009914F1">
      <w:pPr>
        <w:numPr>
          <w:ilvl w:val="0"/>
          <w:numId w:val="5"/>
        </w:numPr>
        <w:tabs>
          <w:tab w:val="left" w:pos="284"/>
        </w:tabs>
        <w:jc w:val="both"/>
        <w:rPr>
          <w:rFonts w:ascii="Verdana" w:hAnsi="Verdana"/>
          <w:bCs/>
          <w:iCs/>
          <w:sz w:val="18"/>
          <w:szCs w:val="18"/>
        </w:rPr>
      </w:pPr>
      <w:r w:rsidRPr="009914F1">
        <w:rPr>
          <w:rFonts w:ascii="Verdana" w:hAnsi="Verdana"/>
          <w:bCs/>
          <w:iCs/>
          <w:sz w:val="18"/>
          <w:szCs w:val="18"/>
        </w:rPr>
        <w:t>Gravar capacidades potenciales o presuntas.</w:t>
      </w:r>
    </w:p>
    <w:p w14:paraId="4F85753B" w14:textId="77777777" w:rsidR="009914F1" w:rsidRDefault="009914F1">
      <w:pPr>
        <w:numPr>
          <w:ilvl w:val="0"/>
          <w:numId w:val="5"/>
        </w:numPr>
        <w:tabs>
          <w:tab w:val="left" w:pos="284"/>
        </w:tabs>
        <w:jc w:val="both"/>
        <w:rPr>
          <w:rFonts w:ascii="Verdana" w:hAnsi="Verdana"/>
          <w:bCs/>
          <w:iCs/>
          <w:sz w:val="18"/>
          <w:szCs w:val="18"/>
        </w:rPr>
      </w:pPr>
      <w:r w:rsidRPr="009914F1">
        <w:rPr>
          <w:rFonts w:ascii="Verdana" w:hAnsi="Verdana"/>
          <w:bCs/>
          <w:iCs/>
          <w:sz w:val="18"/>
          <w:szCs w:val="18"/>
        </w:rPr>
        <w:t>Introducir técnicas de simplificación por razones de practicabilidad administrativa, seguridad jurídica y reducción de litigiosidad.</w:t>
      </w:r>
    </w:p>
    <w:p w14:paraId="4B67DB9F" w14:textId="77777777" w:rsidR="00925101" w:rsidRPr="009914F1" w:rsidRDefault="00925101" w:rsidP="00925101">
      <w:pPr>
        <w:tabs>
          <w:tab w:val="left" w:pos="284"/>
        </w:tabs>
        <w:ind w:left="720"/>
        <w:jc w:val="both"/>
        <w:rPr>
          <w:rFonts w:ascii="Verdana" w:hAnsi="Verdana"/>
          <w:bCs/>
          <w:iCs/>
          <w:sz w:val="18"/>
          <w:szCs w:val="18"/>
        </w:rPr>
      </w:pPr>
    </w:p>
    <w:p w14:paraId="4DEF31AC"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La única exigencia constitucional es que el método:</w:t>
      </w:r>
    </w:p>
    <w:p w14:paraId="6C517A22" w14:textId="77777777" w:rsidR="009914F1" w:rsidRPr="009914F1" w:rsidRDefault="009914F1">
      <w:pPr>
        <w:numPr>
          <w:ilvl w:val="0"/>
          <w:numId w:val="6"/>
        </w:numPr>
        <w:tabs>
          <w:tab w:val="left" w:pos="284"/>
        </w:tabs>
        <w:jc w:val="both"/>
        <w:rPr>
          <w:rFonts w:ascii="Verdana" w:hAnsi="Verdana"/>
          <w:bCs/>
          <w:iCs/>
          <w:sz w:val="18"/>
          <w:szCs w:val="18"/>
        </w:rPr>
      </w:pPr>
      <w:r w:rsidRPr="009914F1">
        <w:rPr>
          <w:rFonts w:ascii="Verdana" w:hAnsi="Verdana"/>
          <w:bCs/>
          <w:iCs/>
          <w:sz w:val="18"/>
          <w:szCs w:val="18"/>
        </w:rPr>
        <w:t>No sea arbitrario.</w:t>
      </w:r>
    </w:p>
    <w:p w14:paraId="0CC764B7" w14:textId="77777777" w:rsidR="009914F1" w:rsidRPr="009914F1" w:rsidRDefault="009914F1">
      <w:pPr>
        <w:numPr>
          <w:ilvl w:val="0"/>
          <w:numId w:val="6"/>
        </w:numPr>
        <w:tabs>
          <w:tab w:val="left" w:pos="284"/>
        </w:tabs>
        <w:jc w:val="both"/>
        <w:rPr>
          <w:rFonts w:ascii="Verdana" w:hAnsi="Verdana"/>
          <w:bCs/>
          <w:iCs/>
          <w:sz w:val="18"/>
          <w:szCs w:val="18"/>
        </w:rPr>
      </w:pPr>
      <w:r w:rsidRPr="009914F1">
        <w:rPr>
          <w:rFonts w:ascii="Verdana" w:hAnsi="Verdana"/>
          <w:bCs/>
          <w:iCs/>
          <w:sz w:val="18"/>
          <w:szCs w:val="18"/>
        </w:rPr>
        <w:t>Cuente con justificación objetiva y razonable.</w:t>
      </w:r>
    </w:p>
    <w:p w14:paraId="586F656B" w14:textId="77777777" w:rsidR="009914F1" w:rsidRPr="009914F1" w:rsidRDefault="009914F1">
      <w:pPr>
        <w:numPr>
          <w:ilvl w:val="0"/>
          <w:numId w:val="6"/>
        </w:numPr>
        <w:tabs>
          <w:tab w:val="left" w:pos="284"/>
        </w:tabs>
        <w:jc w:val="both"/>
        <w:rPr>
          <w:rFonts w:ascii="Verdana" w:hAnsi="Verdana"/>
          <w:bCs/>
          <w:iCs/>
          <w:sz w:val="18"/>
          <w:szCs w:val="18"/>
        </w:rPr>
      </w:pPr>
      <w:r w:rsidRPr="009914F1">
        <w:rPr>
          <w:rFonts w:ascii="Verdana" w:hAnsi="Verdana"/>
          <w:bCs/>
          <w:iCs/>
          <w:sz w:val="18"/>
          <w:szCs w:val="18"/>
        </w:rPr>
        <w:t>No conduzca sistemáticamente al gravamen de rentas irreales.</w:t>
      </w:r>
    </w:p>
    <w:p w14:paraId="4492A8C4"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5EA35957">
          <v:rect id="_x0000_i1036" style="width:0;height:1.5pt" o:hralign="center" o:hrstd="t" o:hr="t" fillcolor="#a0a0a0" stroked="f"/>
        </w:pict>
      </w:r>
    </w:p>
    <w:p w14:paraId="49613A73"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3. Naturaleza y configuración del valor de referencia</w:t>
      </w:r>
    </w:p>
    <w:p w14:paraId="320C200D"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El Tribunal destaca los siguientes elementos estructurales del sistema:</w:t>
      </w:r>
    </w:p>
    <w:p w14:paraId="16365723" w14:textId="77777777" w:rsidR="009914F1" w:rsidRPr="009914F1" w:rsidRDefault="009914F1">
      <w:pPr>
        <w:numPr>
          <w:ilvl w:val="0"/>
          <w:numId w:val="7"/>
        </w:numPr>
        <w:tabs>
          <w:tab w:val="left" w:pos="284"/>
        </w:tabs>
        <w:jc w:val="both"/>
        <w:rPr>
          <w:rFonts w:ascii="Verdana" w:hAnsi="Verdana"/>
          <w:bCs/>
          <w:iCs/>
          <w:sz w:val="18"/>
          <w:szCs w:val="18"/>
        </w:rPr>
      </w:pPr>
      <w:r w:rsidRPr="009914F1">
        <w:rPr>
          <w:rFonts w:ascii="Verdana" w:hAnsi="Verdana"/>
          <w:bCs/>
          <w:iCs/>
          <w:sz w:val="18"/>
          <w:szCs w:val="18"/>
        </w:rPr>
        <w:t>Se determina a partir de precios comunicados por fedatarios públicos en escrituras de compraventa.</w:t>
      </w:r>
    </w:p>
    <w:p w14:paraId="3DB986F9" w14:textId="77777777" w:rsidR="009914F1" w:rsidRPr="009914F1" w:rsidRDefault="009914F1">
      <w:pPr>
        <w:numPr>
          <w:ilvl w:val="0"/>
          <w:numId w:val="7"/>
        </w:numPr>
        <w:tabs>
          <w:tab w:val="left" w:pos="284"/>
        </w:tabs>
        <w:jc w:val="both"/>
        <w:rPr>
          <w:rFonts w:ascii="Verdana" w:hAnsi="Verdana"/>
          <w:bCs/>
          <w:iCs/>
          <w:sz w:val="18"/>
          <w:szCs w:val="18"/>
        </w:rPr>
      </w:pPr>
      <w:r w:rsidRPr="009914F1">
        <w:rPr>
          <w:rFonts w:ascii="Verdana" w:hAnsi="Verdana"/>
          <w:bCs/>
          <w:iCs/>
          <w:sz w:val="18"/>
          <w:szCs w:val="18"/>
        </w:rPr>
        <w:t>Se basa en ámbitos territoriales homogéneos.</w:t>
      </w:r>
    </w:p>
    <w:p w14:paraId="117BCD36" w14:textId="77777777" w:rsidR="009914F1" w:rsidRPr="009914F1" w:rsidRDefault="009914F1">
      <w:pPr>
        <w:numPr>
          <w:ilvl w:val="0"/>
          <w:numId w:val="7"/>
        </w:numPr>
        <w:tabs>
          <w:tab w:val="left" w:pos="284"/>
        </w:tabs>
        <w:jc w:val="both"/>
        <w:rPr>
          <w:rFonts w:ascii="Verdana" w:hAnsi="Verdana"/>
          <w:bCs/>
          <w:iCs/>
          <w:sz w:val="18"/>
          <w:szCs w:val="18"/>
        </w:rPr>
      </w:pPr>
      <w:r w:rsidRPr="009914F1">
        <w:rPr>
          <w:rFonts w:ascii="Verdana" w:hAnsi="Verdana"/>
          <w:bCs/>
          <w:iCs/>
          <w:sz w:val="18"/>
          <w:szCs w:val="18"/>
        </w:rPr>
        <w:t>Se individualiza conforme a datos catastrales del inmueble.</w:t>
      </w:r>
    </w:p>
    <w:p w14:paraId="557C406C" w14:textId="77777777" w:rsidR="009914F1" w:rsidRPr="009914F1" w:rsidRDefault="009914F1">
      <w:pPr>
        <w:numPr>
          <w:ilvl w:val="0"/>
          <w:numId w:val="7"/>
        </w:numPr>
        <w:tabs>
          <w:tab w:val="left" w:pos="284"/>
        </w:tabs>
        <w:jc w:val="both"/>
        <w:rPr>
          <w:rFonts w:ascii="Verdana" w:hAnsi="Verdana"/>
          <w:bCs/>
          <w:iCs/>
          <w:sz w:val="18"/>
          <w:szCs w:val="18"/>
        </w:rPr>
      </w:pPr>
      <w:r w:rsidRPr="009914F1">
        <w:rPr>
          <w:rFonts w:ascii="Verdana" w:hAnsi="Verdana"/>
          <w:bCs/>
          <w:iCs/>
          <w:sz w:val="18"/>
          <w:szCs w:val="18"/>
        </w:rPr>
        <w:t>Incorpora un factor de minoración para evitar superar el valor de mercado.</w:t>
      </w:r>
    </w:p>
    <w:p w14:paraId="1AC044BB" w14:textId="77777777" w:rsidR="009914F1" w:rsidRPr="009914F1" w:rsidRDefault="009914F1">
      <w:pPr>
        <w:numPr>
          <w:ilvl w:val="0"/>
          <w:numId w:val="7"/>
        </w:numPr>
        <w:tabs>
          <w:tab w:val="left" w:pos="284"/>
        </w:tabs>
        <w:jc w:val="both"/>
        <w:rPr>
          <w:rFonts w:ascii="Verdana" w:hAnsi="Verdana"/>
          <w:bCs/>
          <w:iCs/>
          <w:sz w:val="18"/>
          <w:szCs w:val="18"/>
        </w:rPr>
      </w:pPr>
      <w:r w:rsidRPr="009914F1">
        <w:rPr>
          <w:rFonts w:ascii="Verdana" w:hAnsi="Verdana"/>
          <w:bCs/>
          <w:iCs/>
          <w:sz w:val="18"/>
          <w:szCs w:val="18"/>
        </w:rPr>
        <w:t>Tiene carácter público y es susceptible de impugnación.</w:t>
      </w:r>
    </w:p>
    <w:p w14:paraId="2F2AF3F2" w14:textId="77777777" w:rsidR="00925101" w:rsidRDefault="00925101" w:rsidP="009914F1">
      <w:pPr>
        <w:tabs>
          <w:tab w:val="left" w:pos="284"/>
        </w:tabs>
        <w:ind w:left="284"/>
        <w:jc w:val="both"/>
        <w:rPr>
          <w:rFonts w:ascii="Verdana" w:hAnsi="Verdana"/>
          <w:bCs/>
          <w:iCs/>
          <w:sz w:val="18"/>
          <w:szCs w:val="18"/>
        </w:rPr>
      </w:pPr>
    </w:p>
    <w:p w14:paraId="5D197713" w14:textId="4583837F"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 xml:space="preserve">No se trata de una presunción </w:t>
      </w:r>
      <w:r w:rsidR="00925101">
        <w:rPr>
          <w:rFonts w:ascii="Verdana" w:hAnsi="Verdana"/>
          <w:bCs/>
          <w:iCs/>
          <w:sz w:val="18"/>
          <w:szCs w:val="18"/>
        </w:rPr>
        <w:t>“</w:t>
      </w:r>
      <w:r w:rsidRPr="009914F1">
        <w:rPr>
          <w:rFonts w:ascii="Verdana" w:hAnsi="Verdana"/>
          <w:bCs/>
          <w:iCs/>
          <w:sz w:val="18"/>
          <w:szCs w:val="18"/>
        </w:rPr>
        <w:t>iuris et de iure</w:t>
      </w:r>
      <w:r w:rsidR="00925101">
        <w:rPr>
          <w:rFonts w:ascii="Verdana" w:hAnsi="Verdana"/>
          <w:bCs/>
          <w:iCs/>
          <w:sz w:val="18"/>
          <w:szCs w:val="18"/>
        </w:rPr>
        <w:t>”</w:t>
      </w:r>
      <w:r w:rsidRPr="009914F1">
        <w:rPr>
          <w:rFonts w:ascii="Verdana" w:hAnsi="Verdana"/>
          <w:bCs/>
          <w:iCs/>
          <w:sz w:val="18"/>
          <w:szCs w:val="18"/>
        </w:rPr>
        <w:t xml:space="preserve">, sino de una </w:t>
      </w:r>
      <w:r w:rsidRPr="009914F1">
        <w:rPr>
          <w:rFonts w:ascii="Verdana" w:hAnsi="Verdana"/>
          <w:b/>
          <w:bCs/>
          <w:iCs/>
          <w:sz w:val="18"/>
          <w:szCs w:val="18"/>
        </w:rPr>
        <w:t>presunción iuris tantum</w:t>
      </w:r>
      <w:r w:rsidRPr="009914F1">
        <w:rPr>
          <w:rFonts w:ascii="Verdana" w:hAnsi="Verdana"/>
          <w:bCs/>
          <w:iCs/>
          <w:sz w:val="18"/>
          <w:szCs w:val="18"/>
        </w:rPr>
        <w:t>, susceptible de desvirtuación mediante prueba en contrario.</w:t>
      </w:r>
    </w:p>
    <w:p w14:paraId="34F9F622"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3BA745C8">
          <v:rect id="_x0000_i1037" style="width:0;height:1.5pt" o:hralign="center" o:hrstd="t" o:hr="t" fillcolor="#a0a0a0" stroked="f"/>
        </w:pict>
      </w:r>
    </w:p>
    <w:p w14:paraId="74645535"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4. Análisis de la supuesta vulneración del art. 31.1 CE</w:t>
      </w:r>
    </w:p>
    <w:p w14:paraId="4825D0CF"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a) ¿Existe gravamen de riqueza inexistente?</w:t>
      </w:r>
    </w:p>
    <w:p w14:paraId="6DC86718"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El Tribunal concluye que no. El valor de referencia:</w:t>
      </w:r>
    </w:p>
    <w:p w14:paraId="3C27F204" w14:textId="77777777" w:rsidR="009914F1" w:rsidRPr="009914F1" w:rsidRDefault="009914F1">
      <w:pPr>
        <w:numPr>
          <w:ilvl w:val="0"/>
          <w:numId w:val="8"/>
        </w:numPr>
        <w:tabs>
          <w:tab w:val="left" w:pos="284"/>
        </w:tabs>
        <w:jc w:val="both"/>
        <w:rPr>
          <w:rFonts w:ascii="Verdana" w:hAnsi="Verdana"/>
          <w:bCs/>
          <w:iCs/>
          <w:sz w:val="18"/>
          <w:szCs w:val="18"/>
        </w:rPr>
      </w:pPr>
      <w:r w:rsidRPr="009914F1">
        <w:rPr>
          <w:rFonts w:ascii="Verdana" w:hAnsi="Verdana"/>
          <w:bCs/>
          <w:iCs/>
          <w:sz w:val="18"/>
          <w:szCs w:val="18"/>
        </w:rPr>
        <w:t>Se encuentra vinculado a parámetros objetivos del mercado.</w:t>
      </w:r>
    </w:p>
    <w:p w14:paraId="637C4550" w14:textId="77777777" w:rsidR="009914F1" w:rsidRPr="009914F1" w:rsidRDefault="009914F1">
      <w:pPr>
        <w:numPr>
          <w:ilvl w:val="0"/>
          <w:numId w:val="8"/>
        </w:numPr>
        <w:tabs>
          <w:tab w:val="left" w:pos="284"/>
        </w:tabs>
        <w:jc w:val="both"/>
        <w:rPr>
          <w:rFonts w:ascii="Verdana" w:hAnsi="Verdana"/>
          <w:bCs/>
          <w:iCs/>
          <w:sz w:val="18"/>
          <w:szCs w:val="18"/>
        </w:rPr>
      </w:pPr>
      <w:r w:rsidRPr="009914F1">
        <w:rPr>
          <w:rFonts w:ascii="Verdana" w:hAnsi="Verdana"/>
          <w:bCs/>
          <w:iCs/>
          <w:sz w:val="18"/>
          <w:szCs w:val="18"/>
        </w:rPr>
        <w:t>No es un valor abstracto desconectado de la realidad económica.</w:t>
      </w:r>
    </w:p>
    <w:p w14:paraId="317C014E" w14:textId="77777777" w:rsidR="009914F1" w:rsidRPr="009914F1" w:rsidRDefault="009914F1">
      <w:pPr>
        <w:numPr>
          <w:ilvl w:val="0"/>
          <w:numId w:val="8"/>
        </w:numPr>
        <w:tabs>
          <w:tab w:val="left" w:pos="284"/>
        </w:tabs>
        <w:jc w:val="both"/>
        <w:rPr>
          <w:rFonts w:ascii="Verdana" w:hAnsi="Verdana"/>
          <w:bCs/>
          <w:iCs/>
          <w:sz w:val="18"/>
          <w:szCs w:val="18"/>
        </w:rPr>
      </w:pPr>
      <w:r w:rsidRPr="009914F1">
        <w:rPr>
          <w:rFonts w:ascii="Verdana" w:hAnsi="Verdana"/>
          <w:bCs/>
          <w:iCs/>
          <w:sz w:val="18"/>
          <w:szCs w:val="18"/>
        </w:rPr>
        <w:t>Opera como estándar objetivo que reduce discrecionalidad administrativa.</w:t>
      </w:r>
    </w:p>
    <w:p w14:paraId="7D4ACEBF" w14:textId="77777777" w:rsid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La eventual discrepancia puntual entre precio pactado y valor de referencia no implica, por sí sola, inconstitucionalidad.</w:t>
      </w:r>
    </w:p>
    <w:p w14:paraId="1C846535" w14:textId="77777777" w:rsidR="00925101" w:rsidRPr="009914F1" w:rsidRDefault="00925101" w:rsidP="009914F1">
      <w:pPr>
        <w:tabs>
          <w:tab w:val="left" w:pos="284"/>
        </w:tabs>
        <w:ind w:left="284"/>
        <w:jc w:val="both"/>
        <w:rPr>
          <w:rFonts w:ascii="Verdana" w:hAnsi="Verdana"/>
          <w:bCs/>
          <w:iCs/>
          <w:sz w:val="18"/>
          <w:szCs w:val="18"/>
        </w:rPr>
      </w:pPr>
    </w:p>
    <w:p w14:paraId="39EA652E"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b) ¿Se produce inversión inconstitucional de la carga de la prueba?</w:t>
      </w:r>
    </w:p>
    <w:p w14:paraId="70386FD9"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El Tribunal rechaza esta tesis. La configuración normativa:</w:t>
      </w:r>
    </w:p>
    <w:p w14:paraId="4027C561" w14:textId="77777777" w:rsidR="009914F1" w:rsidRPr="009914F1" w:rsidRDefault="009914F1">
      <w:pPr>
        <w:numPr>
          <w:ilvl w:val="0"/>
          <w:numId w:val="9"/>
        </w:numPr>
        <w:tabs>
          <w:tab w:val="left" w:pos="284"/>
        </w:tabs>
        <w:jc w:val="both"/>
        <w:rPr>
          <w:rFonts w:ascii="Verdana" w:hAnsi="Verdana"/>
          <w:bCs/>
          <w:iCs/>
          <w:sz w:val="18"/>
          <w:szCs w:val="18"/>
        </w:rPr>
      </w:pPr>
      <w:r w:rsidRPr="009914F1">
        <w:rPr>
          <w:rFonts w:ascii="Verdana" w:hAnsi="Verdana"/>
          <w:bCs/>
          <w:iCs/>
          <w:sz w:val="18"/>
          <w:szCs w:val="18"/>
        </w:rPr>
        <w:t>No presume fraude.</w:t>
      </w:r>
    </w:p>
    <w:p w14:paraId="50CBE34B" w14:textId="77777777" w:rsidR="009914F1" w:rsidRPr="009914F1" w:rsidRDefault="009914F1">
      <w:pPr>
        <w:numPr>
          <w:ilvl w:val="0"/>
          <w:numId w:val="9"/>
        </w:numPr>
        <w:tabs>
          <w:tab w:val="left" w:pos="284"/>
        </w:tabs>
        <w:jc w:val="both"/>
        <w:rPr>
          <w:rFonts w:ascii="Verdana" w:hAnsi="Verdana"/>
          <w:bCs/>
          <w:iCs/>
          <w:sz w:val="18"/>
          <w:szCs w:val="18"/>
        </w:rPr>
      </w:pPr>
      <w:r w:rsidRPr="009914F1">
        <w:rPr>
          <w:rFonts w:ascii="Verdana" w:hAnsi="Verdana"/>
          <w:bCs/>
          <w:iCs/>
          <w:sz w:val="18"/>
          <w:szCs w:val="18"/>
        </w:rPr>
        <w:t>No impide la impugnación administrativa o jurisdiccional.</w:t>
      </w:r>
    </w:p>
    <w:p w14:paraId="38DB91E8" w14:textId="77777777" w:rsidR="009914F1" w:rsidRPr="009914F1" w:rsidRDefault="009914F1">
      <w:pPr>
        <w:numPr>
          <w:ilvl w:val="0"/>
          <w:numId w:val="9"/>
        </w:numPr>
        <w:tabs>
          <w:tab w:val="left" w:pos="284"/>
        </w:tabs>
        <w:jc w:val="both"/>
        <w:rPr>
          <w:rFonts w:ascii="Verdana" w:hAnsi="Verdana"/>
          <w:bCs/>
          <w:iCs/>
          <w:sz w:val="18"/>
          <w:szCs w:val="18"/>
        </w:rPr>
      </w:pPr>
      <w:r w:rsidRPr="009914F1">
        <w:rPr>
          <w:rFonts w:ascii="Verdana" w:hAnsi="Verdana"/>
          <w:bCs/>
          <w:iCs/>
          <w:sz w:val="18"/>
          <w:szCs w:val="18"/>
        </w:rPr>
        <w:t>No impone una carga desproporcionada al contribuyente.</w:t>
      </w:r>
    </w:p>
    <w:p w14:paraId="5A794D11" w14:textId="77777777" w:rsid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La supresión del procedimiento tradicional de comprobación de valores no vulnera el art. 31.1 CE, al no existir un derecho constitucional a un concreto modelo de gestión tributaria.</w:t>
      </w:r>
    </w:p>
    <w:p w14:paraId="015F0345" w14:textId="77777777" w:rsidR="00925101" w:rsidRPr="009914F1" w:rsidRDefault="00925101" w:rsidP="009914F1">
      <w:pPr>
        <w:tabs>
          <w:tab w:val="left" w:pos="284"/>
        </w:tabs>
        <w:ind w:left="284"/>
        <w:jc w:val="both"/>
        <w:rPr>
          <w:rFonts w:ascii="Verdana" w:hAnsi="Verdana"/>
          <w:bCs/>
          <w:iCs/>
          <w:sz w:val="18"/>
          <w:szCs w:val="18"/>
        </w:rPr>
      </w:pPr>
    </w:p>
    <w:p w14:paraId="7A8E7291"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c) Comparación con la STC 182/2021 (IIVTNU)</w:t>
      </w:r>
    </w:p>
    <w:p w14:paraId="45CE2C5F"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A diferencia del modelo declarado inconstitucional en el IIVTNU:</w:t>
      </w:r>
    </w:p>
    <w:p w14:paraId="1189108E" w14:textId="77777777" w:rsidR="009914F1" w:rsidRPr="009914F1" w:rsidRDefault="009914F1">
      <w:pPr>
        <w:numPr>
          <w:ilvl w:val="0"/>
          <w:numId w:val="10"/>
        </w:numPr>
        <w:tabs>
          <w:tab w:val="left" w:pos="284"/>
        </w:tabs>
        <w:jc w:val="both"/>
        <w:rPr>
          <w:rFonts w:ascii="Verdana" w:hAnsi="Verdana"/>
          <w:bCs/>
          <w:iCs/>
          <w:sz w:val="18"/>
          <w:szCs w:val="18"/>
        </w:rPr>
      </w:pPr>
      <w:r w:rsidRPr="009914F1">
        <w:rPr>
          <w:rFonts w:ascii="Verdana" w:hAnsi="Verdana"/>
          <w:bCs/>
          <w:iCs/>
          <w:sz w:val="18"/>
          <w:szCs w:val="18"/>
        </w:rPr>
        <w:t>Aquí no se grava una plusvalía inexistente.</w:t>
      </w:r>
    </w:p>
    <w:p w14:paraId="524CDB78" w14:textId="77777777" w:rsidR="009914F1" w:rsidRPr="009914F1" w:rsidRDefault="009914F1">
      <w:pPr>
        <w:numPr>
          <w:ilvl w:val="0"/>
          <w:numId w:val="10"/>
        </w:numPr>
        <w:tabs>
          <w:tab w:val="left" w:pos="284"/>
        </w:tabs>
        <w:jc w:val="both"/>
        <w:rPr>
          <w:rFonts w:ascii="Verdana" w:hAnsi="Verdana"/>
          <w:bCs/>
          <w:iCs/>
          <w:sz w:val="18"/>
          <w:szCs w:val="18"/>
        </w:rPr>
      </w:pPr>
      <w:r w:rsidRPr="009914F1">
        <w:rPr>
          <w:rFonts w:ascii="Verdana" w:hAnsi="Verdana"/>
          <w:bCs/>
          <w:iCs/>
          <w:sz w:val="18"/>
          <w:szCs w:val="18"/>
        </w:rPr>
        <w:t>Existe conexión estructural entre la manifestación de capacidad económica y el parámetro cuantificador.</w:t>
      </w:r>
    </w:p>
    <w:p w14:paraId="698C7A29" w14:textId="77777777" w:rsidR="009914F1" w:rsidRPr="009914F1" w:rsidRDefault="009914F1">
      <w:pPr>
        <w:numPr>
          <w:ilvl w:val="0"/>
          <w:numId w:val="10"/>
        </w:numPr>
        <w:tabs>
          <w:tab w:val="left" w:pos="284"/>
        </w:tabs>
        <w:jc w:val="both"/>
        <w:rPr>
          <w:rFonts w:ascii="Verdana" w:hAnsi="Verdana"/>
          <w:bCs/>
          <w:iCs/>
          <w:sz w:val="18"/>
          <w:szCs w:val="18"/>
        </w:rPr>
      </w:pPr>
      <w:r w:rsidRPr="009914F1">
        <w:rPr>
          <w:rFonts w:ascii="Verdana" w:hAnsi="Verdana"/>
          <w:bCs/>
          <w:iCs/>
          <w:sz w:val="18"/>
          <w:szCs w:val="18"/>
        </w:rPr>
        <w:t>El método no ignora de manera absoluta la realidad económica del caso.</w:t>
      </w:r>
    </w:p>
    <w:p w14:paraId="4D37627E"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1B2CE812">
          <v:rect id="_x0000_i1038" style="width:0;height:1.5pt" o:hralign="center" o:hrstd="t" o:hr="t" fillcolor="#a0a0a0" stroked="f"/>
        </w:pict>
      </w:r>
    </w:p>
    <w:p w14:paraId="60CA4F51"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5. Consecuencias interpretativas</w:t>
      </w:r>
    </w:p>
    <w:p w14:paraId="4C51C492" w14:textId="77777777" w:rsidR="009914F1" w:rsidRP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La sentencia consolida las siguientes líneas doctrinales:</w:t>
      </w:r>
    </w:p>
    <w:p w14:paraId="77EEEF53" w14:textId="77777777" w:rsidR="009914F1" w:rsidRPr="009914F1" w:rsidRDefault="009914F1">
      <w:pPr>
        <w:numPr>
          <w:ilvl w:val="0"/>
          <w:numId w:val="11"/>
        </w:numPr>
        <w:tabs>
          <w:tab w:val="left" w:pos="284"/>
        </w:tabs>
        <w:jc w:val="both"/>
        <w:rPr>
          <w:rFonts w:ascii="Verdana" w:hAnsi="Verdana"/>
          <w:bCs/>
          <w:iCs/>
          <w:sz w:val="18"/>
          <w:szCs w:val="18"/>
        </w:rPr>
      </w:pPr>
      <w:r w:rsidRPr="009914F1">
        <w:rPr>
          <w:rFonts w:ascii="Verdana" w:hAnsi="Verdana"/>
          <w:bCs/>
          <w:iCs/>
          <w:sz w:val="18"/>
          <w:szCs w:val="18"/>
        </w:rPr>
        <w:t>El “valor de referencia” es compatible con el principio de capacidad económica.</w:t>
      </w:r>
    </w:p>
    <w:p w14:paraId="24603EA3" w14:textId="77777777" w:rsidR="009914F1" w:rsidRPr="009914F1" w:rsidRDefault="009914F1">
      <w:pPr>
        <w:numPr>
          <w:ilvl w:val="0"/>
          <w:numId w:val="11"/>
        </w:numPr>
        <w:tabs>
          <w:tab w:val="left" w:pos="284"/>
        </w:tabs>
        <w:jc w:val="both"/>
        <w:rPr>
          <w:rFonts w:ascii="Verdana" w:hAnsi="Verdana"/>
          <w:bCs/>
          <w:iCs/>
          <w:sz w:val="18"/>
          <w:szCs w:val="18"/>
        </w:rPr>
      </w:pPr>
      <w:r w:rsidRPr="009914F1">
        <w:rPr>
          <w:rFonts w:ascii="Verdana" w:hAnsi="Verdana"/>
          <w:bCs/>
          <w:iCs/>
          <w:sz w:val="18"/>
          <w:szCs w:val="18"/>
        </w:rPr>
        <w:t>La simplificación administrativa constituye justificación objetiva suficiente.</w:t>
      </w:r>
    </w:p>
    <w:p w14:paraId="1B4FB3E1" w14:textId="77777777" w:rsidR="009914F1" w:rsidRPr="009914F1" w:rsidRDefault="009914F1">
      <w:pPr>
        <w:numPr>
          <w:ilvl w:val="0"/>
          <w:numId w:val="11"/>
        </w:numPr>
        <w:tabs>
          <w:tab w:val="left" w:pos="284"/>
        </w:tabs>
        <w:jc w:val="both"/>
        <w:rPr>
          <w:rFonts w:ascii="Verdana" w:hAnsi="Verdana"/>
          <w:bCs/>
          <w:iCs/>
          <w:sz w:val="18"/>
          <w:szCs w:val="18"/>
        </w:rPr>
      </w:pPr>
      <w:r w:rsidRPr="009914F1">
        <w:rPr>
          <w:rFonts w:ascii="Verdana" w:hAnsi="Verdana"/>
          <w:bCs/>
          <w:iCs/>
          <w:sz w:val="18"/>
          <w:szCs w:val="18"/>
        </w:rPr>
        <w:t>La Constitución no impone la utilización de métodos de estimación directa.</w:t>
      </w:r>
    </w:p>
    <w:p w14:paraId="5BB48F36" w14:textId="77777777" w:rsidR="009914F1" w:rsidRPr="009914F1" w:rsidRDefault="009914F1">
      <w:pPr>
        <w:numPr>
          <w:ilvl w:val="0"/>
          <w:numId w:val="11"/>
        </w:numPr>
        <w:tabs>
          <w:tab w:val="left" w:pos="284"/>
        </w:tabs>
        <w:jc w:val="both"/>
        <w:rPr>
          <w:rFonts w:ascii="Verdana" w:hAnsi="Verdana"/>
          <w:bCs/>
          <w:iCs/>
          <w:sz w:val="18"/>
          <w:szCs w:val="18"/>
        </w:rPr>
      </w:pPr>
      <w:r w:rsidRPr="009914F1">
        <w:rPr>
          <w:rFonts w:ascii="Verdana" w:hAnsi="Verdana"/>
          <w:bCs/>
          <w:iCs/>
          <w:sz w:val="18"/>
          <w:szCs w:val="18"/>
        </w:rPr>
        <w:t>El control constitucional no se proyecta sobre la mayor o menor perfección técnica del método, sino sobre su razonabilidad estructural.</w:t>
      </w:r>
    </w:p>
    <w:p w14:paraId="38E6E79B"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24CFA8EC">
          <v:rect id="_x0000_i1039" style="width:0;height:1.5pt" o:hralign="center" o:hrstd="t" o:hr="t" fillcolor="#a0a0a0" stroked="f"/>
        </w:pict>
      </w:r>
    </w:p>
    <w:p w14:paraId="0D4FE8BF" w14:textId="77777777" w:rsidR="009914F1" w:rsidRPr="009914F1" w:rsidRDefault="009914F1" w:rsidP="009914F1">
      <w:pPr>
        <w:tabs>
          <w:tab w:val="left" w:pos="284"/>
        </w:tabs>
        <w:ind w:left="284"/>
        <w:jc w:val="both"/>
        <w:rPr>
          <w:rFonts w:ascii="Verdana" w:hAnsi="Verdana"/>
          <w:b/>
          <w:bCs/>
          <w:iCs/>
          <w:sz w:val="18"/>
          <w:szCs w:val="18"/>
        </w:rPr>
      </w:pPr>
      <w:r w:rsidRPr="009914F1">
        <w:rPr>
          <w:rFonts w:ascii="Verdana" w:hAnsi="Verdana"/>
          <w:b/>
          <w:bCs/>
          <w:iCs/>
          <w:sz w:val="18"/>
          <w:szCs w:val="18"/>
        </w:rPr>
        <w:t>6. Impacto en la práctica tributaria</w:t>
      </w:r>
    </w:p>
    <w:p w14:paraId="4DA0AD25" w14:textId="77777777" w:rsidR="009914F1" w:rsidRPr="009914F1" w:rsidRDefault="009914F1">
      <w:pPr>
        <w:numPr>
          <w:ilvl w:val="0"/>
          <w:numId w:val="12"/>
        </w:numPr>
        <w:tabs>
          <w:tab w:val="left" w:pos="284"/>
        </w:tabs>
        <w:jc w:val="both"/>
        <w:rPr>
          <w:rFonts w:ascii="Verdana" w:hAnsi="Verdana"/>
          <w:bCs/>
          <w:iCs/>
          <w:sz w:val="18"/>
          <w:szCs w:val="18"/>
        </w:rPr>
      </w:pPr>
      <w:r w:rsidRPr="009914F1">
        <w:rPr>
          <w:rFonts w:ascii="Verdana" w:hAnsi="Verdana"/>
          <w:bCs/>
          <w:iCs/>
          <w:sz w:val="18"/>
          <w:szCs w:val="18"/>
        </w:rPr>
        <w:t>Se refuerza la posición de la Administración tributaria autonómica en ITP y, por extensión, en ISD.</w:t>
      </w:r>
    </w:p>
    <w:p w14:paraId="281F4267" w14:textId="77777777" w:rsidR="009914F1" w:rsidRPr="009914F1" w:rsidRDefault="009914F1">
      <w:pPr>
        <w:numPr>
          <w:ilvl w:val="0"/>
          <w:numId w:val="12"/>
        </w:numPr>
        <w:tabs>
          <w:tab w:val="left" w:pos="284"/>
        </w:tabs>
        <w:jc w:val="both"/>
        <w:rPr>
          <w:rFonts w:ascii="Verdana" w:hAnsi="Verdana"/>
          <w:bCs/>
          <w:iCs/>
          <w:sz w:val="18"/>
          <w:szCs w:val="18"/>
        </w:rPr>
      </w:pPr>
      <w:r w:rsidRPr="009914F1">
        <w:rPr>
          <w:rFonts w:ascii="Verdana" w:hAnsi="Verdana"/>
          <w:bCs/>
          <w:iCs/>
          <w:sz w:val="18"/>
          <w:szCs w:val="18"/>
        </w:rPr>
        <w:t>Se reduce la viabilidad de impugnaciones basadas exclusivamente en la discrepancia entre precio declarado y valor de referencia.</w:t>
      </w:r>
    </w:p>
    <w:p w14:paraId="52433AB7" w14:textId="77777777" w:rsidR="009914F1" w:rsidRPr="009914F1" w:rsidRDefault="009914F1">
      <w:pPr>
        <w:numPr>
          <w:ilvl w:val="0"/>
          <w:numId w:val="12"/>
        </w:numPr>
        <w:tabs>
          <w:tab w:val="left" w:pos="284"/>
        </w:tabs>
        <w:jc w:val="both"/>
        <w:rPr>
          <w:rFonts w:ascii="Verdana" w:hAnsi="Verdana"/>
          <w:bCs/>
          <w:iCs/>
          <w:sz w:val="18"/>
          <w:szCs w:val="18"/>
        </w:rPr>
      </w:pPr>
      <w:r w:rsidRPr="009914F1">
        <w:rPr>
          <w:rFonts w:ascii="Verdana" w:hAnsi="Verdana"/>
          <w:bCs/>
          <w:iCs/>
          <w:sz w:val="18"/>
          <w:szCs w:val="18"/>
        </w:rPr>
        <w:t>La estrategia procesal deberá centrarse en la prueba técnica individualizada que acredite singularidades del inmueble.</w:t>
      </w:r>
    </w:p>
    <w:p w14:paraId="78305B63" w14:textId="6D5285F2" w:rsidR="009914F1" w:rsidRPr="009914F1" w:rsidRDefault="009914F1">
      <w:pPr>
        <w:numPr>
          <w:ilvl w:val="0"/>
          <w:numId w:val="12"/>
        </w:numPr>
        <w:tabs>
          <w:tab w:val="left" w:pos="284"/>
        </w:tabs>
        <w:jc w:val="both"/>
        <w:rPr>
          <w:rFonts w:ascii="Verdana" w:hAnsi="Verdana"/>
          <w:bCs/>
          <w:iCs/>
          <w:sz w:val="18"/>
          <w:szCs w:val="18"/>
        </w:rPr>
      </w:pPr>
      <w:r w:rsidRPr="009914F1">
        <w:rPr>
          <w:rFonts w:ascii="Verdana" w:hAnsi="Verdana"/>
          <w:bCs/>
          <w:iCs/>
          <w:sz w:val="18"/>
          <w:szCs w:val="18"/>
        </w:rPr>
        <w:t xml:space="preserve">Se consolida un modelo de tributación inmobiliaria basado en estándares objetivos </w:t>
      </w:r>
      <w:r w:rsidR="00FA421C">
        <w:rPr>
          <w:rFonts w:ascii="Verdana" w:hAnsi="Verdana"/>
          <w:bCs/>
          <w:iCs/>
          <w:sz w:val="18"/>
          <w:szCs w:val="18"/>
        </w:rPr>
        <w:t>“</w:t>
      </w:r>
      <w:r w:rsidRPr="009914F1">
        <w:rPr>
          <w:rFonts w:ascii="Verdana" w:hAnsi="Verdana"/>
          <w:bCs/>
          <w:iCs/>
          <w:sz w:val="18"/>
          <w:szCs w:val="18"/>
        </w:rPr>
        <w:t>ex ante</w:t>
      </w:r>
      <w:r w:rsidR="00FA421C">
        <w:rPr>
          <w:rFonts w:ascii="Verdana" w:hAnsi="Verdana"/>
          <w:bCs/>
          <w:iCs/>
          <w:sz w:val="18"/>
          <w:szCs w:val="18"/>
        </w:rPr>
        <w:t>”</w:t>
      </w:r>
      <w:r w:rsidRPr="009914F1">
        <w:rPr>
          <w:rFonts w:ascii="Verdana" w:hAnsi="Verdana"/>
          <w:bCs/>
          <w:iCs/>
          <w:sz w:val="18"/>
          <w:szCs w:val="18"/>
        </w:rPr>
        <w:t>.</w:t>
      </w:r>
    </w:p>
    <w:p w14:paraId="722EEE28" w14:textId="77777777" w:rsidR="009914F1" w:rsidRPr="009914F1" w:rsidRDefault="00000000" w:rsidP="009914F1">
      <w:pPr>
        <w:tabs>
          <w:tab w:val="left" w:pos="284"/>
        </w:tabs>
        <w:ind w:left="284"/>
        <w:jc w:val="both"/>
        <w:rPr>
          <w:rFonts w:ascii="Verdana" w:hAnsi="Verdana"/>
          <w:bCs/>
          <w:iCs/>
          <w:sz w:val="18"/>
          <w:szCs w:val="18"/>
        </w:rPr>
      </w:pPr>
      <w:r>
        <w:rPr>
          <w:rFonts w:ascii="Verdana" w:hAnsi="Verdana"/>
          <w:bCs/>
          <w:iCs/>
          <w:sz w:val="18"/>
          <w:szCs w:val="18"/>
        </w:rPr>
        <w:pict w14:anchorId="4D9029EB">
          <v:rect id="_x0000_i1040" style="width:0;height:1.5pt" o:hralign="center" o:hrstd="t" o:hr="t" fillcolor="#a0a0a0" stroked="f"/>
        </w:pict>
      </w:r>
    </w:p>
    <w:p w14:paraId="5550B1B6" w14:textId="77777777" w:rsidR="00925101" w:rsidRDefault="00925101" w:rsidP="009914F1">
      <w:pPr>
        <w:tabs>
          <w:tab w:val="left" w:pos="284"/>
        </w:tabs>
        <w:ind w:left="284"/>
        <w:jc w:val="both"/>
        <w:rPr>
          <w:rFonts w:ascii="Verdana" w:hAnsi="Verdana"/>
          <w:b/>
          <w:bCs/>
          <w:iCs/>
          <w:sz w:val="18"/>
          <w:szCs w:val="18"/>
        </w:rPr>
      </w:pPr>
    </w:p>
    <w:p w14:paraId="0D7364DA" w14:textId="0908D323" w:rsidR="009914F1" w:rsidRPr="009914F1" w:rsidRDefault="00375173" w:rsidP="009914F1">
      <w:pPr>
        <w:tabs>
          <w:tab w:val="left" w:pos="284"/>
        </w:tabs>
        <w:ind w:left="284"/>
        <w:jc w:val="both"/>
        <w:rPr>
          <w:rFonts w:ascii="Verdana" w:hAnsi="Verdana"/>
          <w:b/>
          <w:bCs/>
          <w:iCs/>
          <w:sz w:val="18"/>
          <w:szCs w:val="18"/>
        </w:rPr>
      </w:pPr>
      <w:r>
        <w:rPr>
          <w:rFonts w:ascii="Verdana" w:hAnsi="Verdana"/>
          <w:b/>
          <w:bCs/>
          <w:iCs/>
          <w:sz w:val="18"/>
          <w:szCs w:val="18"/>
        </w:rPr>
        <w:t>C</w:t>
      </w:r>
      <w:r w:rsidR="009914F1" w:rsidRPr="009914F1">
        <w:rPr>
          <w:rFonts w:ascii="Verdana" w:hAnsi="Verdana"/>
          <w:b/>
          <w:bCs/>
          <w:iCs/>
          <w:sz w:val="18"/>
          <w:szCs w:val="18"/>
        </w:rPr>
        <w:t>onclusión</w:t>
      </w:r>
    </w:p>
    <w:p w14:paraId="1EF0BD77" w14:textId="5AEFE158" w:rsidR="009914F1" w:rsidRDefault="009914F1" w:rsidP="009914F1">
      <w:pPr>
        <w:tabs>
          <w:tab w:val="left" w:pos="284"/>
        </w:tabs>
        <w:ind w:left="284"/>
        <w:jc w:val="both"/>
        <w:rPr>
          <w:rFonts w:ascii="Verdana" w:hAnsi="Verdana"/>
          <w:bCs/>
          <w:iCs/>
          <w:sz w:val="18"/>
          <w:szCs w:val="18"/>
        </w:rPr>
      </w:pPr>
      <w:r w:rsidRPr="009914F1">
        <w:rPr>
          <w:rFonts w:ascii="Verdana" w:hAnsi="Verdana"/>
          <w:bCs/>
          <w:iCs/>
          <w:sz w:val="18"/>
          <w:szCs w:val="18"/>
        </w:rPr>
        <w:t xml:space="preserve">El Tribunal Constitucional avala definitivamente el tránsito desde el concepto de “valor real” hacia un sistema de </w:t>
      </w:r>
      <w:r w:rsidRPr="009914F1">
        <w:rPr>
          <w:rFonts w:ascii="Verdana" w:hAnsi="Verdana"/>
          <w:b/>
          <w:bCs/>
          <w:iCs/>
          <w:sz w:val="18"/>
          <w:szCs w:val="18"/>
        </w:rPr>
        <w:t xml:space="preserve">determinación objetiva </w:t>
      </w:r>
      <w:r w:rsidR="00925101">
        <w:rPr>
          <w:rFonts w:ascii="Verdana" w:hAnsi="Verdana"/>
          <w:b/>
          <w:bCs/>
          <w:iCs/>
          <w:sz w:val="18"/>
          <w:szCs w:val="18"/>
        </w:rPr>
        <w:t>“</w:t>
      </w:r>
      <w:r w:rsidRPr="009914F1">
        <w:rPr>
          <w:rFonts w:ascii="Verdana" w:hAnsi="Verdana"/>
          <w:b/>
          <w:bCs/>
          <w:iCs/>
          <w:sz w:val="18"/>
          <w:szCs w:val="18"/>
        </w:rPr>
        <w:t>ex ante</w:t>
      </w:r>
      <w:r w:rsidR="00925101">
        <w:rPr>
          <w:rFonts w:ascii="Verdana" w:hAnsi="Verdana"/>
          <w:b/>
          <w:bCs/>
          <w:iCs/>
          <w:sz w:val="18"/>
          <w:szCs w:val="18"/>
        </w:rPr>
        <w:t>”</w:t>
      </w:r>
      <w:r w:rsidRPr="009914F1">
        <w:rPr>
          <w:rFonts w:ascii="Verdana" w:hAnsi="Verdana"/>
          <w:b/>
          <w:bCs/>
          <w:iCs/>
          <w:sz w:val="18"/>
          <w:szCs w:val="18"/>
        </w:rPr>
        <w:t xml:space="preserve"> de la base imponible</w:t>
      </w:r>
      <w:r w:rsidRPr="009914F1">
        <w:rPr>
          <w:rFonts w:ascii="Verdana" w:hAnsi="Verdana"/>
          <w:bCs/>
          <w:iCs/>
          <w:sz w:val="18"/>
          <w:szCs w:val="18"/>
        </w:rPr>
        <w:t>, declarando que el valor de referencia no vulnera el principio de capacidad económica en su vertiente de medida de la imposición.</w:t>
      </w:r>
    </w:p>
    <w:p w14:paraId="2D760509" w14:textId="77777777" w:rsidR="00351BCB" w:rsidRDefault="00351BCB" w:rsidP="009914F1">
      <w:pPr>
        <w:tabs>
          <w:tab w:val="left" w:pos="284"/>
        </w:tabs>
        <w:ind w:left="284"/>
        <w:jc w:val="both"/>
        <w:rPr>
          <w:rFonts w:ascii="Verdana" w:hAnsi="Verdana"/>
          <w:bCs/>
          <w:iCs/>
          <w:sz w:val="18"/>
          <w:szCs w:val="18"/>
        </w:rPr>
      </w:pPr>
    </w:p>
    <w:p w14:paraId="2028EC9E" w14:textId="77777777" w:rsidR="00702900" w:rsidRDefault="00702900" w:rsidP="00702900">
      <w:pPr>
        <w:tabs>
          <w:tab w:val="left" w:pos="284"/>
        </w:tabs>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A421C" w:rsidRPr="002917DD" w14:paraId="3A463F04" w14:textId="77777777" w:rsidTr="0056580A">
        <w:tc>
          <w:tcPr>
            <w:tcW w:w="180" w:type="dxa"/>
            <w:shd w:val="clear" w:color="auto" w:fill="FF6600"/>
          </w:tcPr>
          <w:p w14:paraId="021E69DD" w14:textId="77777777" w:rsidR="00FA421C" w:rsidRPr="002917DD" w:rsidRDefault="00FA421C" w:rsidP="0056580A">
            <w:pPr>
              <w:rPr>
                <w:rFonts w:ascii="Verdana" w:hAnsi="Verdana"/>
                <w:b/>
                <w:bCs/>
                <w:color w:val="800000"/>
                <w:sz w:val="18"/>
                <w:szCs w:val="18"/>
              </w:rPr>
            </w:pPr>
            <w:bookmarkStart w:id="3" w:name="_Hlk223366569"/>
          </w:p>
        </w:tc>
        <w:tc>
          <w:tcPr>
            <w:tcW w:w="8460" w:type="dxa"/>
          </w:tcPr>
          <w:p w14:paraId="63CFE9B9" w14:textId="0031CABD" w:rsidR="00FA421C" w:rsidRPr="002917DD" w:rsidRDefault="00FA421C">
            <w:pPr>
              <w:numPr>
                <w:ilvl w:val="0"/>
                <w:numId w:val="2"/>
              </w:numPr>
              <w:ind w:right="276"/>
              <w:jc w:val="both"/>
              <w:rPr>
                <w:rFonts w:ascii="Verdana" w:hAnsi="Verdana"/>
                <w:b/>
                <w:bCs/>
                <w:color w:val="800000"/>
                <w:sz w:val="18"/>
                <w:szCs w:val="18"/>
              </w:rPr>
            </w:pPr>
            <w:r w:rsidRPr="002917DD">
              <w:rPr>
                <w:rFonts w:ascii="Verdana" w:hAnsi="Verdana"/>
                <w:b/>
                <w:bCs/>
                <w:color w:val="800000"/>
                <w:sz w:val="18"/>
                <w:szCs w:val="18"/>
              </w:rPr>
              <w:t>IP - EXENCIÓN DE LA EMPRESA FAMILIAR EN EL IMPUESTO SOBRE EL PATRIMONIO. LOS PRÉSTAMOS A ENTIDADES VINCULADAS PUEDEN CONSIDERARSE ACTIVOS AFECTOS SI CUMPLEN CRITERIOS DE MERCADO Y NECESIDAD</w:t>
            </w:r>
          </w:p>
        </w:tc>
      </w:tr>
      <w:bookmarkEnd w:id="3"/>
    </w:tbl>
    <w:p w14:paraId="6AA8F086" w14:textId="77777777" w:rsidR="00702900" w:rsidRDefault="00702900" w:rsidP="00702900">
      <w:pPr>
        <w:tabs>
          <w:tab w:val="left" w:pos="284"/>
        </w:tabs>
        <w:ind w:left="284"/>
        <w:jc w:val="both"/>
        <w:rPr>
          <w:rFonts w:ascii="Verdana" w:hAnsi="Verdana"/>
          <w:bCs/>
          <w:iCs/>
          <w:sz w:val="18"/>
          <w:szCs w:val="18"/>
        </w:rPr>
      </w:pPr>
    </w:p>
    <w:p w14:paraId="51D6C912" w14:textId="03CD9370" w:rsidR="002917DD" w:rsidRPr="002917DD" w:rsidRDefault="002917DD" w:rsidP="002917DD">
      <w:pPr>
        <w:tabs>
          <w:tab w:val="left" w:pos="284"/>
        </w:tabs>
        <w:ind w:left="284"/>
        <w:jc w:val="both"/>
        <w:rPr>
          <w:rFonts w:ascii="Verdana" w:hAnsi="Verdana"/>
          <w:bCs/>
          <w:iCs/>
          <w:sz w:val="18"/>
          <w:szCs w:val="18"/>
        </w:rPr>
      </w:pPr>
      <w:r>
        <w:rPr>
          <w:rFonts w:ascii="Verdana" w:hAnsi="Verdana"/>
          <w:bCs/>
          <w:iCs/>
          <w:sz w:val="18"/>
          <w:szCs w:val="18"/>
        </w:rPr>
        <w:t xml:space="preserve">Analizamos </w:t>
      </w:r>
      <w:r w:rsidRPr="002917DD">
        <w:rPr>
          <w:rFonts w:ascii="Verdana" w:hAnsi="Verdana"/>
          <w:bCs/>
          <w:iCs/>
          <w:sz w:val="18"/>
          <w:szCs w:val="18"/>
        </w:rPr>
        <w:t xml:space="preserve">la </w:t>
      </w:r>
      <w:r w:rsidRPr="002917DD">
        <w:rPr>
          <w:rFonts w:ascii="Verdana" w:hAnsi="Verdana"/>
          <w:b/>
          <w:bCs/>
          <w:iCs/>
          <w:sz w:val="18"/>
          <w:szCs w:val="18"/>
        </w:rPr>
        <w:t>Consulta Vinculante V1787-25</w:t>
      </w:r>
      <w:r w:rsidRPr="002917DD">
        <w:rPr>
          <w:rFonts w:ascii="Verdana" w:hAnsi="Verdana"/>
          <w:bCs/>
          <w:iCs/>
          <w:sz w:val="18"/>
          <w:szCs w:val="18"/>
        </w:rPr>
        <w:t xml:space="preserve"> de la Dirección General de Tributos </w:t>
      </w:r>
      <w:r>
        <w:rPr>
          <w:rFonts w:ascii="Verdana" w:hAnsi="Verdana"/>
          <w:bCs/>
          <w:iCs/>
          <w:sz w:val="18"/>
          <w:szCs w:val="18"/>
        </w:rPr>
        <w:t xml:space="preserve">acerca de si </w:t>
      </w:r>
      <w:r w:rsidRPr="002917DD">
        <w:rPr>
          <w:rFonts w:ascii="Verdana" w:hAnsi="Verdana"/>
          <w:bCs/>
          <w:iCs/>
          <w:sz w:val="18"/>
          <w:szCs w:val="18"/>
        </w:rPr>
        <w:t xml:space="preserve">los </w:t>
      </w:r>
      <w:r w:rsidRPr="002917DD">
        <w:rPr>
          <w:rFonts w:ascii="Verdana" w:hAnsi="Verdana"/>
          <w:b/>
          <w:bCs/>
          <w:iCs/>
          <w:sz w:val="18"/>
          <w:szCs w:val="18"/>
        </w:rPr>
        <w:t xml:space="preserve">préstamos concedidos por una sociedad familiar a descendientes </w:t>
      </w:r>
      <w:r w:rsidRPr="002917DD">
        <w:rPr>
          <w:rFonts w:ascii="Verdana" w:hAnsi="Verdana"/>
          <w:b/>
          <w:bCs/>
          <w:iCs/>
          <w:sz w:val="18"/>
          <w:szCs w:val="18"/>
        </w:rPr>
        <w:lastRenderedPageBreak/>
        <w:t>y entidades vinculadas</w:t>
      </w:r>
      <w:r w:rsidRPr="002917DD">
        <w:rPr>
          <w:rFonts w:ascii="Verdana" w:hAnsi="Verdana"/>
          <w:bCs/>
          <w:iCs/>
          <w:sz w:val="18"/>
          <w:szCs w:val="18"/>
        </w:rPr>
        <w:t xml:space="preserve"> pueden considerarse </w:t>
      </w:r>
      <w:r w:rsidRPr="002917DD">
        <w:rPr>
          <w:rFonts w:ascii="Verdana" w:hAnsi="Verdana"/>
          <w:b/>
          <w:bCs/>
          <w:iCs/>
          <w:sz w:val="18"/>
          <w:szCs w:val="18"/>
        </w:rPr>
        <w:t>activos afectos a la actividad económica</w:t>
      </w:r>
      <w:r w:rsidRPr="002917DD">
        <w:rPr>
          <w:rFonts w:ascii="Verdana" w:hAnsi="Verdana"/>
          <w:bCs/>
          <w:iCs/>
          <w:sz w:val="18"/>
          <w:szCs w:val="18"/>
        </w:rPr>
        <w:t xml:space="preserve">, a efectos de aplicar la </w:t>
      </w:r>
      <w:r w:rsidRPr="002917DD">
        <w:rPr>
          <w:rFonts w:ascii="Verdana" w:hAnsi="Verdana"/>
          <w:b/>
          <w:bCs/>
          <w:iCs/>
          <w:sz w:val="18"/>
          <w:szCs w:val="18"/>
        </w:rPr>
        <w:t>exención en el Impuesto sobre el Patrimonio</w:t>
      </w:r>
      <w:r w:rsidRPr="002917DD">
        <w:rPr>
          <w:rFonts w:ascii="Verdana" w:hAnsi="Verdana"/>
          <w:bCs/>
          <w:iCs/>
          <w:sz w:val="18"/>
          <w:szCs w:val="18"/>
        </w:rPr>
        <w:t xml:space="preserve"> prevista en el artículo 4.Ocho.Dos de la Ley 19/1991.</w:t>
      </w:r>
    </w:p>
    <w:p w14:paraId="37EC9F51" w14:textId="77777777" w:rsidR="002917DD" w:rsidRPr="002917DD" w:rsidRDefault="00000000" w:rsidP="002917DD">
      <w:pPr>
        <w:tabs>
          <w:tab w:val="left" w:pos="284"/>
        </w:tabs>
        <w:ind w:left="284"/>
        <w:jc w:val="both"/>
        <w:rPr>
          <w:rFonts w:ascii="Verdana" w:hAnsi="Verdana"/>
          <w:bCs/>
          <w:iCs/>
          <w:sz w:val="18"/>
          <w:szCs w:val="18"/>
        </w:rPr>
      </w:pPr>
      <w:r>
        <w:rPr>
          <w:rFonts w:ascii="Verdana" w:hAnsi="Verdana"/>
          <w:bCs/>
          <w:iCs/>
          <w:sz w:val="18"/>
          <w:szCs w:val="18"/>
        </w:rPr>
        <w:pict w14:anchorId="00D49790">
          <v:rect id="_x0000_i1041" style="width:0;height:1.5pt" o:hrstd="t" o:hr="t" fillcolor="#a0a0a0" stroked="f"/>
        </w:pict>
      </w:r>
    </w:p>
    <w:p w14:paraId="0BA8AFDC" w14:textId="009DD77B" w:rsidR="002917DD" w:rsidRPr="002917DD" w:rsidRDefault="002917DD" w:rsidP="002917DD">
      <w:pPr>
        <w:tabs>
          <w:tab w:val="left" w:pos="284"/>
        </w:tabs>
        <w:ind w:left="284"/>
        <w:rPr>
          <w:rFonts w:ascii="Verdana" w:hAnsi="Verdana"/>
          <w:b/>
          <w:bCs/>
          <w:iCs/>
          <w:sz w:val="18"/>
          <w:szCs w:val="18"/>
        </w:rPr>
      </w:pPr>
      <w:r w:rsidRPr="002917DD">
        <w:rPr>
          <w:rFonts w:ascii="Verdana" w:hAnsi="Verdana"/>
          <w:b/>
          <w:bCs/>
          <w:iCs/>
          <w:sz w:val="18"/>
          <w:szCs w:val="18"/>
        </w:rPr>
        <w:t>Supuesto planteado</w:t>
      </w:r>
    </w:p>
    <w:p w14:paraId="616F3EB2" w14:textId="05F7B095" w:rsidR="002917DD" w:rsidRPr="002917DD" w:rsidRDefault="002917DD">
      <w:pPr>
        <w:numPr>
          <w:ilvl w:val="0"/>
          <w:numId w:val="13"/>
        </w:numPr>
        <w:tabs>
          <w:tab w:val="left" w:pos="284"/>
        </w:tabs>
        <w:rPr>
          <w:rFonts w:ascii="Verdana" w:hAnsi="Verdana"/>
          <w:bCs/>
          <w:iCs/>
          <w:sz w:val="18"/>
          <w:szCs w:val="18"/>
        </w:rPr>
      </w:pPr>
      <w:r w:rsidRPr="002917DD">
        <w:rPr>
          <w:rFonts w:ascii="Verdana" w:hAnsi="Verdana"/>
          <w:bCs/>
          <w:iCs/>
          <w:sz w:val="18"/>
          <w:szCs w:val="18"/>
        </w:rPr>
        <w:t>Matrimonio en régimen de gananciales</w:t>
      </w:r>
      <w:r>
        <w:rPr>
          <w:rFonts w:ascii="Verdana" w:hAnsi="Verdana"/>
          <w:bCs/>
          <w:iCs/>
          <w:sz w:val="18"/>
          <w:szCs w:val="18"/>
        </w:rPr>
        <w:t>,</w:t>
      </w:r>
      <w:r w:rsidRPr="002917DD">
        <w:rPr>
          <w:rFonts w:ascii="Verdana" w:hAnsi="Verdana"/>
          <w:bCs/>
          <w:iCs/>
          <w:sz w:val="18"/>
          <w:szCs w:val="18"/>
        </w:rPr>
        <w:t xml:space="preserve"> titular del 100% de una sociedad.</w:t>
      </w:r>
    </w:p>
    <w:p w14:paraId="03C52037" w14:textId="77777777" w:rsidR="002917DD" w:rsidRPr="002917DD" w:rsidRDefault="002917DD">
      <w:pPr>
        <w:numPr>
          <w:ilvl w:val="0"/>
          <w:numId w:val="13"/>
        </w:numPr>
        <w:tabs>
          <w:tab w:val="left" w:pos="284"/>
        </w:tabs>
        <w:rPr>
          <w:rFonts w:ascii="Verdana" w:hAnsi="Verdana"/>
          <w:bCs/>
          <w:iCs/>
          <w:sz w:val="18"/>
          <w:szCs w:val="18"/>
        </w:rPr>
      </w:pPr>
      <w:r w:rsidRPr="002917DD">
        <w:rPr>
          <w:rFonts w:ascii="Verdana" w:hAnsi="Verdana"/>
          <w:bCs/>
          <w:iCs/>
          <w:sz w:val="18"/>
          <w:szCs w:val="18"/>
        </w:rPr>
        <w:t>La sociedad desarrolla actividad de enseñanza y actividad inmobiliaria.</w:t>
      </w:r>
    </w:p>
    <w:p w14:paraId="3C718086" w14:textId="77777777" w:rsidR="002917DD" w:rsidRPr="002917DD" w:rsidRDefault="002917DD">
      <w:pPr>
        <w:numPr>
          <w:ilvl w:val="0"/>
          <w:numId w:val="13"/>
        </w:numPr>
        <w:tabs>
          <w:tab w:val="left" w:pos="284"/>
        </w:tabs>
        <w:rPr>
          <w:rFonts w:ascii="Verdana" w:hAnsi="Verdana"/>
          <w:bCs/>
          <w:iCs/>
          <w:sz w:val="18"/>
          <w:szCs w:val="18"/>
        </w:rPr>
      </w:pPr>
      <w:r w:rsidRPr="002917DD">
        <w:rPr>
          <w:rFonts w:ascii="Verdana" w:hAnsi="Verdana"/>
          <w:bCs/>
          <w:iCs/>
          <w:sz w:val="18"/>
          <w:szCs w:val="18"/>
        </w:rPr>
        <w:t>La esposa ejerce funciones de dirección, percibiendo remuneración superior al 50% de sus rendimientos del trabajo y actividades económicas.</w:t>
      </w:r>
    </w:p>
    <w:p w14:paraId="695C6467" w14:textId="77777777" w:rsidR="002917DD" w:rsidRPr="002917DD" w:rsidRDefault="002917DD">
      <w:pPr>
        <w:numPr>
          <w:ilvl w:val="0"/>
          <w:numId w:val="13"/>
        </w:numPr>
        <w:tabs>
          <w:tab w:val="left" w:pos="284"/>
        </w:tabs>
        <w:rPr>
          <w:rFonts w:ascii="Verdana" w:hAnsi="Verdana"/>
          <w:bCs/>
          <w:iCs/>
          <w:sz w:val="18"/>
          <w:szCs w:val="18"/>
        </w:rPr>
      </w:pPr>
      <w:r w:rsidRPr="002917DD">
        <w:rPr>
          <w:rFonts w:ascii="Verdana" w:hAnsi="Verdana"/>
          <w:bCs/>
          <w:iCs/>
          <w:sz w:val="18"/>
          <w:szCs w:val="18"/>
        </w:rPr>
        <w:t>La entidad concede préstamos a hijos y a sociedades vinculadas.</w:t>
      </w:r>
    </w:p>
    <w:p w14:paraId="1884A773" w14:textId="77777777" w:rsidR="002917DD" w:rsidRPr="002917DD" w:rsidRDefault="002917DD" w:rsidP="002917DD">
      <w:pPr>
        <w:tabs>
          <w:tab w:val="left" w:pos="284"/>
        </w:tabs>
        <w:ind w:left="284"/>
        <w:rPr>
          <w:rFonts w:ascii="Verdana" w:hAnsi="Verdana"/>
          <w:bCs/>
          <w:iCs/>
          <w:sz w:val="18"/>
          <w:szCs w:val="18"/>
        </w:rPr>
      </w:pPr>
      <w:r w:rsidRPr="002917DD">
        <w:rPr>
          <w:rFonts w:ascii="Verdana" w:hAnsi="Verdana"/>
          <w:bCs/>
          <w:iCs/>
          <w:sz w:val="18"/>
          <w:szCs w:val="18"/>
        </w:rPr>
        <w:t>Se cumple, en principio, el acceso a la exención por participaciones en empresa familiar.</w:t>
      </w:r>
    </w:p>
    <w:p w14:paraId="3418AD10" w14:textId="77777777" w:rsidR="002917DD" w:rsidRPr="002917DD" w:rsidRDefault="00000000" w:rsidP="002917DD">
      <w:pPr>
        <w:tabs>
          <w:tab w:val="left" w:pos="284"/>
        </w:tabs>
        <w:ind w:left="284"/>
        <w:rPr>
          <w:rFonts w:ascii="Verdana" w:hAnsi="Verdana"/>
          <w:bCs/>
          <w:iCs/>
          <w:sz w:val="18"/>
          <w:szCs w:val="18"/>
        </w:rPr>
      </w:pPr>
      <w:r>
        <w:rPr>
          <w:rFonts w:ascii="Verdana" w:hAnsi="Verdana"/>
          <w:bCs/>
          <w:iCs/>
          <w:sz w:val="18"/>
          <w:szCs w:val="18"/>
        </w:rPr>
        <w:pict w14:anchorId="76C718AB">
          <v:rect id="_x0000_i1042" style="width:0;height:1.5pt" o:hrstd="t" o:hr="t" fillcolor="#a0a0a0" stroked="f"/>
        </w:pict>
      </w:r>
    </w:p>
    <w:p w14:paraId="31B400D3" w14:textId="0A3DFC8E" w:rsidR="002917DD" w:rsidRPr="002917DD" w:rsidRDefault="002917DD" w:rsidP="002917DD">
      <w:pPr>
        <w:tabs>
          <w:tab w:val="left" w:pos="284"/>
        </w:tabs>
        <w:ind w:left="284"/>
        <w:rPr>
          <w:rFonts w:ascii="Verdana" w:hAnsi="Verdana"/>
          <w:b/>
          <w:bCs/>
          <w:iCs/>
          <w:sz w:val="18"/>
          <w:szCs w:val="18"/>
        </w:rPr>
      </w:pPr>
      <w:r w:rsidRPr="002917DD">
        <w:rPr>
          <w:rFonts w:ascii="Verdana" w:hAnsi="Verdana"/>
          <w:b/>
          <w:bCs/>
          <w:iCs/>
          <w:sz w:val="18"/>
          <w:szCs w:val="18"/>
        </w:rPr>
        <w:t>Criterio de la DGT</w:t>
      </w:r>
    </w:p>
    <w:p w14:paraId="61907977" w14:textId="77777777" w:rsidR="002917DD" w:rsidRDefault="002917DD" w:rsidP="002917DD">
      <w:pPr>
        <w:tabs>
          <w:tab w:val="left" w:pos="284"/>
        </w:tabs>
        <w:ind w:left="284"/>
        <w:rPr>
          <w:rFonts w:ascii="Verdana" w:hAnsi="Verdana"/>
          <w:bCs/>
          <w:iCs/>
          <w:sz w:val="18"/>
          <w:szCs w:val="18"/>
        </w:rPr>
      </w:pPr>
      <w:r w:rsidRPr="002917DD">
        <w:rPr>
          <w:rFonts w:ascii="Verdana" w:hAnsi="Verdana"/>
          <w:bCs/>
          <w:iCs/>
          <w:sz w:val="18"/>
          <w:szCs w:val="18"/>
        </w:rPr>
        <w:t>La DGT distingue entre:</w:t>
      </w:r>
    </w:p>
    <w:p w14:paraId="6EECD64E" w14:textId="77777777" w:rsidR="002917DD" w:rsidRPr="002917DD" w:rsidRDefault="002917DD" w:rsidP="002917DD">
      <w:pPr>
        <w:tabs>
          <w:tab w:val="left" w:pos="284"/>
        </w:tabs>
        <w:ind w:left="284"/>
        <w:rPr>
          <w:rFonts w:ascii="Verdana" w:hAnsi="Verdana"/>
          <w:bCs/>
          <w:iCs/>
          <w:sz w:val="18"/>
          <w:szCs w:val="18"/>
        </w:rPr>
      </w:pPr>
    </w:p>
    <w:p w14:paraId="7E90A9C3" w14:textId="1268E23D" w:rsidR="002917DD" w:rsidRDefault="002917DD" w:rsidP="002917DD">
      <w:pPr>
        <w:tabs>
          <w:tab w:val="left" w:pos="284"/>
        </w:tabs>
        <w:ind w:left="284"/>
        <w:rPr>
          <w:rFonts w:ascii="Verdana" w:hAnsi="Verdana"/>
          <w:bCs/>
          <w:iCs/>
          <w:sz w:val="18"/>
          <w:szCs w:val="18"/>
        </w:rPr>
      </w:pPr>
      <w:r>
        <w:rPr>
          <w:rFonts w:ascii="Verdana" w:hAnsi="Verdana"/>
          <w:b/>
          <w:bCs/>
          <w:iCs/>
          <w:sz w:val="18"/>
          <w:szCs w:val="18"/>
        </w:rPr>
        <w:t>A</w:t>
      </w:r>
      <w:r w:rsidRPr="002917DD">
        <w:rPr>
          <w:rFonts w:ascii="Verdana" w:hAnsi="Verdana"/>
          <w:b/>
          <w:bCs/>
          <w:iCs/>
          <w:sz w:val="18"/>
          <w:szCs w:val="18"/>
        </w:rPr>
        <w:t>cceso a la exención</w:t>
      </w:r>
      <w:r w:rsidRPr="002917DD">
        <w:rPr>
          <w:rFonts w:ascii="Verdana" w:hAnsi="Verdana"/>
          <w:bCs/>
          <w:iCs/>
          <w:sz w:val="18"/>
          <w:szCs w:val="18"/>
        </w:rPr>
        <w:t xml:space="preserve"> </w:t>
      </w:r>
      <w:r w:rsidRPr="002917DD">
        <w:rPr>
          <w:rFonts w:ascii="Arial" w:hAnsi="Arial" w:cs="Arial"/>
          <w:bCs/>
          <w:iCs/>
          <w:sz w:val="18"/>
          <w:szCs w:val="18"/>
        </w:rPr>
        <w:t>→</w:t>
      </w:r>
      <w:r w:rsidRPr="002917DD">
        <w:rPr>
          <w:rFonts w:ascii="Verdana" w:hAnsi="Verdana"/>
          <w:bCs/>
          <w:iCs/>
          <w:sz w:val="18"/>
          <w:szCs w:val="18"/>
        </w:rPr>
        <w:t xml:space="preserve"> Se cumplen los requisitos legales.</w:t>
      </w:r>
      <w:r w:rsidRPr="002917DD">
        <w:rPr>
          <w:rFonts w:ascii="Verdana" w:hAnsi="Verdana"/>
          <w:bCs/>
          <w:iCs/>
          <w:sz w:val="18"/>
          <w:szCs w:val="18"/>
        </w:rPr>
        <w:br/>
      </w:r>
      <w:r w:rsidRPr="002917DD">
        <w:rPr>
          <w:rFonts w:ascii="Verdana" w:hAnsi="Verdana"/>
          <w:b/>
          <w:bCs/>
          <w:iCs/>
          <w:sz w:val="18"/>
          <w:szCs w:val="18"/>
        </w:rPr>
        <w:t>Alcance de la exención</w:t>
      </w:r>
      <w:r w:rsidRPr="002917DD">
        <w:rPr>
          <w:rFonts w:ascii="Verdana" w:hAnsi="Verdana"/>
          <w:bCs/>
          <w:iCs/>
          <w:sz w:val="18"/>
          <w:szCs w:val="18"/>
        </w:rPr>
        <w:t xml:space="preserve"> </w:t>
      </w:r>
      <w:r w:rsidRPr="002917DD">
        <w:rPr>
          <w:rFonts w:ascii="Arial" w:hAnsi="Arial" w:cs="Arial"/>
          <w:bCs/>
          <w:iCs/>
          <w:sz w:val="18"/>
          <w:szCs w:val="18"/>
        </w:rPr>
        <w:t>→</w:t>
      </w:r>
      <w:r w:rsidRPr="002917DD">
        <w:rPr>
          <w:rFonts w:ascii="Verdana" w:hAnsi="Verdana"/>
          <w:bCs/>
          <w:iCs/>
          <w:sz w:val="18"/>
          <w:szCs w:val="18"/>
        </w:rPr>
        <w:t xml:space="preserve"> Solo se aplica sobre la parte del valor de las participaciones correspondiente a </w:t>
      </w:r>
      <w:r w:rsidRPr="002917DD">
        <w:rPr>
          <w:rFonts w:ascii="Verdana" w:hAnsi="Verdana"/>
          <w:b/>
          <w:bCs/>
          <w:iCs/>
          <w:sz w:val="18"/>
          <w:szCs w:val="18"/>
        </w:rPr>
        <w:t>activos afectos</w:t>
      </w:r>
      <w:r w:rsidRPr="002917DD">
        <w:rPr>
          <w:rFonts w:ascii="Verdana" w:hAnsi="Verdana"/>
          <w:bCs/>
          <w:iCs/>
          <w:sz w:val="18"/>
          <w:szCs w:val="18"/>
        </w:rPr>
        <w:t xml:space="preserve"> a la actividad económica.</w:t>
      </w:r>
    </w:p>
    <w:p w14:paraId="30E42F61" w14:textId="77777777" w:rsidR="002917DD" w:rsidRPr="002917DD" w:rsidRDefault="002917DD" w:rsidP="002917DD">
      <w:pPr>
        <w:tabs>
          <w:tab w:val="left" w:pos="284"/>
        </w:tabs>
        <w:ind w:left="284"/>
        <w:rPr>
          <w:rFonts w:ascii="Verdana" w:hAnsi="Verdana"/>
          <w:bCs/>
          <w:iCs/>
          <w:sz w:val="18"/>
          <w:szCs w:val="18"/>
        </w:rPr>
      </w:pPr>
    </w:p>
    <w:p w14:paraId="0ECD8E63" w14:textId="77777777" w:rsidR="002917DD" w:rsidRPr="002917DD" w:rsidRDefault="002917DD" w:rsidP="002917DD">
      <w:pPr>
        <w:tabs>
          <w:tab w:val="left" w:pos="284"/>
        </w:tabs>
        <w:ind w:left="284"/>
        <w:rPr>
          <w:rFonts w:ascii="Verdana" w:hAnsi="Verdana"/>
          <w:bCs/>
          <w:iCs/>
          <w:sz w:val="18"/>
          <w:szCs w:val="18"/>
        </w:rPr>
      </w:pPr>
      <w:r w:rsidRPr="002917DD">
        <w:rPr>
          <w:rFonts w:ascii="Verdana" w:hAnsi="Verdana"/>
          <w:bCs/>
          <w:iCs/>
          <w:sz w:val="18"/>
          <w:szCs w:val="18"/>
        </w:rPr>
        <w:t xml:space="preserve">En relación con los </w:t>
      </w:r>
      <w:r w:rsidRPr="002917DD">
        <w:rPr>
          <w:rFonts w:ascii="Verdana" w:hAnsi="Verdana"/>
          <w:b/>
          <w:bCs/>
          <w:iCs/>
          <w:sz w:val="18"/>
          <w:szCs w:val="18"/>
        </w:rPr>
        <w:t>préstamos concedidos</w:t>
      </w:r>
      <w:r w:rsidRPr="002917DD">
        <w:rPr>
          <w:rFonts w:ascii="Verdana" w:hAnsi="Verdana"/>
          <w:bCs/>
          <w:iCs/>
          <w:sz w:val="18"/>
          <w:szCs w:val="18"/>
        </w:rPr>
        <w:t>, la DGT señala que:</w:t>
      </w:r>
    </w:p>
    <w:p w14:paraId="7EDC18D8" w14:textId="77777777" w:rsidR="002917DD" w:rsidRPr="002917DD" w:rsidRDefault="002917DD">
      <w:pPr>
        <w:numPr>
          <w:ilvl w:val="0"/>
          <w:numId w:val="14"/>
        </w:numPr>
        <w:tabs>
          <w:tab w:val="left" w:pos="284"/>
        </w:tabs>
        <w:rPr>
          <w:rFonts w:ascii="Verdana" w:hAnsi="Verdana"/>
          <w:bCs/>
          <w:iCs/>
          <w:sz w:val="18"/>
          <w:szCs w:val="18"/>
        </w:rPr>
      </w:pPr>
      <w:r w:rsidRPr="002917DD">
        <w:rPr>
          <w:rFonts w:ascii="Verdana" w:hAnsi="Verdana"/>
          <w:bCs/>
          <w:iCs/>
          <w:sz w:val="18"/>
          <w:szCs w:val="18"/>
        </w:rPr>
        <w:t>Son activos representativos de la cesión de capitales a terceros.</w:t>
      </w:r>
    </w:p>
    <w:p w14:paraId="5CB20F1A" w14:textId="77777777" w:rsidR="002917DD" w:rsidRPr="002917DD" w:rsidRDefault="002917DD">
      <w:pPr>
        <w:numPr>
          <w:ilvl w:val="0"/>
          <w:numId w:val="14"/>
        </w:numPr>
        <w:tabs>
          <w:tab w:val="left" w:pos="284"/>
        </w:tabs>
        <w:rPr>
          <w:rFonts w:ascii="Verdana" w:hAnsi="Verdana"/>
          <w:bCs/>
          <w:iCs/>
          <w:sz w:val="18"/>
          <w:szCs w:val="18"/>
        </w:rPr>
      </w:pPr>
      <w:r w:rsidRPr="002917DD">
        <w:rPr>
          <w:rFonts w:ascii="Verdana" w:hAnsi="Verdana"/>
          <w:b/>
          <w:bCs/>
          <w:iCs/>
          <w:sz w:val="18"/>
          <w:szCs w:val="18"/>
        </w:rPr>
        <w:t>Podrían considerarse afectos</w:t>
      </w:r>
      <w:r w:rsidRPr="002917DD">
        <w:rPr>
          <w:rFonts w:ascii="Verdana" w:hAnsi="Verdana"/>
          <w:bCs/>
          <w:iCs/>
          <w:sz w:val="18"/>
          <w:szCs w:val="18"/>
        </w:rPr>
        <w:t>, siempre que:</w:t>
      </w:r>
    </w:p>
    <w:p w14:paraId="35FA435E" w14:textId="77777777" w:rsidR="002917DD" w:rsidRPr="002917DD" w:rsidRDefault="002917DD">
      <w:pPr>
        <w:numPr>
          <w:ilvl w:val="1"/>
          <w:numId w:val="14"/>
        </w:numPr>
        <w:tabs>
          <w:tab w:val="left" w:pos="284"/>
        </w:tabs>
        <w:rPr>
          <w:rFonts w:ascii="Verdana" w:hAnsi="Verdana"/>
          <w:bCs/>
          <w:iCs/>
          <w:sz w:val="18"/>
          <w:szCs w:val="18"/>
        </w:rPr>
      </w:pPr>
      <w:r w:rsidRPr="002917DD">
        <w:rPr>
          <w:rFonts w:ascii="Verdana" w:hAnsi="Verdana"/>
          <w:bCs/>
          <w:iCs/>
          <w:sz w:val="18"/>
          <w:szCs w:val="18"/>
        </w:rPr>
        <w:t xml:space="preserve">Se concedan en </w:t>
      </w:r>
      <w:r w:rsidRPr="002917DD">
        <w:rPr>
          <w:rFonts w:ascii="Verdana" w:hAnsi="Verdana"/>
          <w:b/>
          <w:bCs/>
          <w:iCs/>
          <w:sz w:val="18"/>
          <w:szCs w:val="18"/>
        </w:rPr>
        <w:t>condiciones de mercado</w:t>
      </w:r>
      <w:r w:rsidRPr="002917DD">
        <w:rPr>
          <w:rFonts w:ascii="Verdana" w:hAnsi="Verdana"/>
          <w:bCs/>
          <w:iCs/>
          <w:sz w:val="18"/>
          <w:szCs w:val="18"/>
        </w:rPr>
        <w:t>.</w:t>
      </w:r>
    </w:p>
    <w:p w14:paraId="5CF74EB4" w14:textId="77777777" w:rsidR="002917DD" w:rsidRPr="002917DD" w:rsidRDefault="002917DD">
      <w:pPr>
        <w:numPr>
          <w:ilvl w:val="1"/>
          <w:numId w:val="14"/>
        </w:numPr>
        <w:tabs>
          <w:tab w:val="left" w:pos="284"/>
        </w:tabs>
        <w:rPr>
          <w:rFonts w:ascii="Verdana" w:hAnsi="Verdana"/>
          <w:bCs/>
          <w:iCs/>
          <w:sz w:val="18"/>
          <w:szCs w:val="18"/>
        </w:rPr>
      </w:pPr>
      <w:r w:rsidRPr="002917DD">
        <w:rPr>
          <w:rFonts w:ascii="Verdana" w:hAnsi="Verdana"/>
          <w:bCs/>
          <w:iCs/>
          <w:sz w:val="18"/>
          <w:szCs w:val="18"/>
        </w:rPr>
        <w:t xml:space="preserve">Sean </w:t>
      </w:r>
      <w:r w:rsidRPr="002917DD">
        <w:rPr>
          <w:rFonts w:ascii="Verdana" w:hAnsi="Verdana"/>
          <w:b/>
          <w:bCs/>
          <w:iCs/>
          <w:sz w:val="18"/>
          <w:szCs w:val="18"/>
        </w:rPr>
        <w:t>necesarios para la obtención de rendimientos</w:t>
      </w:r>
      <w:r w:rsidRPr="002917DD">
        <w:rPr>
          <w:rFonts w:ascii="Verdana" w:hAnsi="Verdana"/>
          <w:bCs/>
          <w:iCs/>
          <w:sz w:val="18"/>
          <w:szCs w:val="18"/>
        </w:rPr>
        <w:t xml:space="preserve"> de la actividad.</w:t>
      </w:r>
    </w:p>
    <w:p w14:paraId="16933C44" w14:textId="77777777" w:rsidR="002917DD" w:rsidRPr="002917DD" w:rsidRDefault="002917DD">
      <w:pPr>
        <w:numPr>
          <w:ilvl w:val="0"/>
          <w:numId w:val="14"/>
        </w:numPr>
        <w:tabs>
          <w:tab w:val="left" w:pos="284"/>
        </w:tabs>
        <w:rPr>
          <w:rFonts w:ascii="Verdana" w:hAnsi="Verdana"/>
          <w:bCs/>
          <w:iCs/>
          <w:sz w:val="18"/>
          <w:szCs w:val="18"/>
        </w:rPr>
      </w:pPr>
      <w:r w:rsidRPr="002917DD">
        <w:rPr>
          <w:rFonts w:ascii="Verdana" w:hAnsi="Verdana"/>
          <w:bCs/>
          <w:iCs/>
          <w:sz w:val="18"/>
          <w:szCs w:val="18"/>
        </w:rPr>
        <w:t>La apreciación de la “necesariedad” requiere un análisis concreto que corresponde a los órganos de gestión e inspección.</w:t>
      </w:r>
    </w:p>
    <w:p w14:paraId="297BAD42" w14:textId="77777777" w:rsidR="002917DD" w:rsidRPr="002917DD" w:rsidRDefault="00000000" w:rsidP="002917DD">
      <w:pPr>
        <w:tabs>
          <w:tab w:val="left" w:pos="284"/>
        </w:tabs>
        <w:ind w:left="284"/>
        <w:rPr>
          <w:rFonts w:ascii="Verdana" w:hAnsi="Verdana"/>
          <w:bCs/>
          <w:iCs/>
          <w:sz w:val="18"/>
          <w:szCs w:val="18"/>
        </w:rPr>
      </w:pPr>
      <w:r>
        <w:rPr>
          <w:rFonts w:ascii="Verdana" w:hAnsi="Verdana"/>
          <w:bCs/>
          <w:iCs/>
          <w:sz w:val="18"/>
          <w:szCs w:val="18"/>
        </w:rPr>
        <w:pict w14:anchorId="4F0A6284">
          <v:rect id="_x0000_i1043" style="width:0;height:1.5pt" o:hrstd="t" o:hr="t" fillcolor="#a0a0a0" stroked="f"/>
        </w:pict>
      </w:r>
    </w:p>
    <w:p w14:paraId="08B28B6E" w14:textId="0EE672D0" w:rsidR="002917DD" w:rsidRPr="002917DD" w:rsidRDefault="002917DD" w:rsidP="002917DD">
      <w:pPr>
        <w:tabs>
          <w:tab w:val="left" w:pos="284"/>
        </w:tabs>
        <w:ind w:left="284"/>
        <w:rPr>
          <w:rFonts w:ascii="Verdana" w:hAnsi="Verdana"/>
          <w:b/>
          <w:bCs/>
          <w:iCs/>
          <w:sz w:val="18"/>
          <w:szCs w:val="18"/>
        </w:rPr>
      </w:pPr>
      <w:r w:rsidRPr="002917DD">
        <w:rPr>
          <w:rFonts w:ascii="Verdana" w:hAnsi="Verdana"/>
          <w:b/>
          <w:bCs/>
          <w:iCs/>
          <w:sz w:val="18"/>
          <w:szCs w:val="18"/>
        </w:rPr>
        <w:t>Jurisprudencia relevante</w:t>
      </w:r>
    </w:p>
    <w:p w14:paraId="449BB541" w14:textId="77777777" w:rsidR="002917DD" w:rsidRPr="002917DD" w:rsidRDefault="002917DD" w:rsidP="002917DD">
      <w:pPr>
        <w:tabs>
          <w:tab w:val="left" w:pos="284"/>
        </w:tabs>
        <w:ind w:left="284"/>
        <w:jc w:val="both"/>
        <w:rPr>
          <w:rFonts w:ascii="Verdana" w:hAnsi="Verdana"/>
          <w:bCs/>
          <w:iCs/>
          <w:sz w:val="18"/>
          <w:szCs w:val="18"/>
        </w:rPr>
      </w:pPr>
      <w:r w:rsidRPr="002917DD">
        <w:rPr>
          <w:rFonts w:ascii="Verdana" w:hAnsi="Verdana"/>
          <w:bCs/>
          <w:iCs/>
          <w:sz w:val="18"/>
          <w:szCs w:val="18"/>
        </w:rPr>
        <w:t>Se recuerda la doctrina del Tribunal Supremo (Sentencia 5/2022, de 10 de enero), que admite que activos financieros pueden considerarse afectos si responden a necesidades empresariales (capitalización, solvencia, liquidez, acceso al crédito), siempre que se acredite su vinculación real a la actividad.</w:t>
      </w:r>
    </w:p>
    <w:p w14:paraId="24856498" w14:textId="77777777" w:rsidR="002917DD" w:rsidRPr="002917DD" w:rsidRDefault="00000000" w:rsidP="002917DD">
      <w:pPr>
        <w:tabs>
          <w:tab w:val="left" w:pos="284"/>
        </w:tabs>
        <w:ind w:left="284"/>
        <w:jc w:val="both"/>
        <w:rPr>
          <w:rFonts w:ascii="Verdana" w:hAnsi="Verdana"/>
          <w:bCs/>
          <w:iCs/>
          <w:sz w:val="18"/>
          <w:szCs w:val="18"/>
        </w:rPr>
      </w:pPr>
      <w:r>
        <w:rPr>
          <w:rFonts w:ascii="Verdana" w:hAnsi="Verdana"/>
          <w:bCs/>
          <w:iCs/>
          <w:sz w:val="18"/>
          <w:szCs w:val="18"/>
        </w:rPr>
        <w:pict w14:anchorId="5C7233D9">
          <v:rect id="_x0000_i1044" style="width:0;height:1.5pt" o:hrstd="t" o:hr="t" fillcolor="#a0a0a0" stroked="f"/>
        </w:pict>
      </w:r>
    </w:p>
    <w:p w14:paraId="2C70D6DD" w14:textId="555BD318" w:rsidR="002917DD" w:rsidRPr="002917DD" w:rsidRDefault="002917DD" w:rsidP="002917DD">
      <w:pPr>
        <w:tabs>
          <w:tab w:val="left" w:pos="284"/>
        </w:tabs>
        <w:ind w:left="284"/>
        <w:rPr>
          <w:rFonts w:ascii="Verdana" w:hAnsi="Verdana"/>
          <w:b/>
          <w:bCs/>
          <w:iCs/>
          <w:sz w:val="18"/>
          <w:szCs w:val="18"/>
        </w:rPr>
      </w:pPr>
      <w:r w:rsidRPr="002917DD">
        <w:rPr>
          <w:rFonts w:ascii="Verdana" w:hAnsi="Verdana"/>
          <w:b/>
          <w:bCs/>
          <w:iCs/>
          <w:sz w:val="18"/>
          <w:szCs w:val="18"/>
        </w:rPr>
        <w:t>Conclusi</w:t>
      </w:r>
      <w:r w:rsidRPr="002917DD">
        <w:rPr>
          <w:rFonts w:ascii="Verdana" w:hAnsi="Verdana" w:cs="Verdana"/>
          <w:b/>
          <w:bCs/>
          <w:iCs/>
          <w:sz w:val="18"/>
          <w:szCs w:val="18"/>
        </w:rPr>
        <w:t>ó</w:t>
      </w:r>
      <w:r w:rsidRPr="002917DD">
        <w:rPr>
          <w:rFonts w:ascii="Verdana" w:hAnsi="Verdana"/>
          <w:b/>
          <w:bCs/>
          <w:iCs/>
          <w:sz w:val="18"/>
          <w:szCs w:val="18"/>
        </w:rPr>
        <w:t>n pr</w:t>
      </w:r>
      <w:r w:rsidRPr="002917DD">
        <w:rPr>
          <w:rFonts w:ascii="Verdana" w:hAnsi="Verdana" w:cs="Verdana"/>
          <w:b/>
          <w:bCs/>
          <w:iCs/>
          <w:sz w:val="18"/>
          <w:szCs w:val="18"/>
        </w:rPr>
        <w:t>á</w:t>
      </w:r>
      <w:r w:rsidRPr="002917DD">
        <w:rPr>
          <w:rFonts w:ascii="Verdana" w:hAnsi="Verdana"/>
          <w:b/>
          <w:bCs/>
          <w:iCs/>
          <w:sz w:val="18"/>
          <w:szCs w:val="18"/>
        </w:rPr>
        <w:t>ctica</w:t>
      </w:r>
    </w:p>
    <w:p w14:paraId="7FEFA63C" w14:textId="77777777" w:rsidR="002917DD" w:rsidRDefault="002917DD" w:rsidP="002917DD">
      <w:pPr>
        <w:tabs>
          <w:tab w:val="left" w:pos="284"/>
        </w:tabs>
        <w:ind w:left="284"/>
        <w:rPr>
          <w:rFonts w:ascii="Verdana" w:hAnsi="Verdana"/>
          <w:bCs/>
          <w:iCs/>
          <w:sz w:val="18"/>
          <w:szCs w:val="18"/>
        </w:rPr>
      </w:pPr>
      <w:r w:rsidRPr="002917DD">
        <w:rPr>
          <w:rFonts w:ascii="Verdana" w:hAnsi="Verdana"/>
          <w:bCs/>
          <w:iCs/>
          <w:sz w:val="18"/>
          <w:szCs w:val="18"/>
        </w:rPr>
        <w:t xml:space="preserve">Los préstamos a familiares o entidades vinculadas </w:t>
      </w:r>
      <w:r w:rsidRPr="002917DD">
        <w:rPr>
          <w:rFonts w:ascii="Verdana" w:hAnsi="Verdana"/>
          <w:b/>
          <w:bCs/>
          <w:iCs/>
          <w:sz w:val="18"/>
          <w:szCs w:val="18"/>
        </w:rPr>
        <w:t>no quedan automáticamente excluidos</w:t>
      </w:r>
      <w:r w:rsidRPr="002917DD">
        <w:rPr>
          <w:rFonts w:ascii="Verdana" w:hAnsi="Verdana"/>
          <w:bCs/>
          <w:iCs/>
          <w:sz w:val="18"/>
          <w:szCs w:val="18"/>
        </w:rPr>
        <w:t xml:space="preserve"> del concepto de activo afecto.</w:t>
      </w:r>
    </w:p>
    <w:p w14:paraId="6CD0D89D" w14:textId="77777777" w:rsidR="002917DD" w:rsidRPr="002917DD" w:rsidRDefault="002917DD" w:rsidP="002917DD">
      <w:pPr>
        <w:tabs>
          <w:tab w:val="left" w:pos="284"/>
        </w:tabs>
        <w:ind w:left="284"/>
        <w:rPr>
          <w:rFonts w:ascii="Verdana" w:hAnsi="Verdana"/>
          <w:bCs/>
          <w:iCs/>
          <w:sz w:val="18"/>
          <w:szCs w:val="18"/>
        </w:rPr>
      </w:pPr>
    </w:p>
    <w:p w14:paraId="27C956B7" w14:textId="77777777" w:rsidR="002917DD" w:rsidRPr="002917DD" w:rsidRDefault="002917DD" w:rsidP="002917DD">
      <w:pPr>
        <w:tabs>
          <w:tab w:val="left" w:pos="284"/>
        </w:tabs>
        <w:ind w:left="284"/>
        <w:rPr>
          <w:rFonts w:ascii="Verdana" w:hAnsi="Verdana"/>
          <w:bCs/>
          <w:iCs/>
          <w:sz w:val="18"/>
          <w:szCs w:val="18"/>
        </w:rPr>
      </w:pPr>
      <w:r w:rsidRPr="002917DD">
        <w:rPr>
          <w:rFonts w:ascii="Verdana" w:hAnsi="Verdana"/>
          <w:bCs/>
          <w:iCs/>
          <w:sz w:val="18"/>
          <w:szCs w:val="18"/>
        </w:rPr>
        <w:t>No obstante, será imprescindible justificar:</w:t>
      </w:r>
    </w:p>
    <w:p w14:paraId="72107B53" w14:textId="77777777" w:rsidR="002917DD" w:rsidRPr="002917DD" w:rsidRDefault="002917DD">
      <w:pPr>
        <w:numPr>
          <w:ilvl w:val="0"/>
          <w:numId w:val="15"/>
        </w:numPr>
        <w:tabs>
          <w:tab w:val="left" w:pos="284"/>
        </w:tabs>
        <w:rPr>
          <w:rFonts w:ascii="Verdana" w:hAnsi="Verdana"/>
          <w:bCs/>
          <w:iCs/>
          <w:sz w:val="18"/>
          <w:szCs w:val="18"/>
        </w:rPr>
      </w:pPr>
      <w:r w:rsidRPr="002917DD">
        <w:rPr>
          <w:rFonts w:ascii="Verdana" w:hAnsi="Verdana"/>
          <w:bCs/>
          <w:iCs/>
          <w:sz w:val="18"/>
          <w:szCs w:val="18"/>
        </w:rPr>
        <w:t xml:space="preserve">Su </w:t>
      </w:r>
      <w:r w:rsidRPr="002917DD">
        <w:rPr>
          <w:rFonts w:ascii="Verdana" w:hAnsi="Verdana"/>
          <w:b/>
          <w:bCs/>
          <w:iCs/>
          <w:sz w:val="18"/>
          <w:szCs w:val="18"/>
        </w:rPr>
        <w:t>adecuación a condiciones de mercado</w:t>
      </w:r>
      <w:r w:rsidRPr="002917DD">
        <w:rPr>
          <w:rFonts w:ascii="Verdana" w:hAnsi="Verdana"/>
          <w:bCs/>
          <w:iCs/>
          <w:sz w:val="18"/>
          <w:szCs w:val="18"/>
        </w:rPr>
        <w:t>.</w:t>
      </w:r>
    </w:p>
    <w:p w14:paraId="7D581EFA" w14:textId="77777777" w:rsidR="002917DD" w:rsidRPr="002917DD" w:rsidRDefault="002917DD">
      <w:pPr>
        <w:numPr>
          <w:ilvl w:val="0"/>
          <w:numId w:val="15"/>
        </w:numPr>
        <w:tabs>
          <w:tab w:val="left" w:pos="284"/>
        </w:tabs>
        <w:rPr>
          <w:rFonts w:ascii="Verdana" w:hAnsi="Verdana"/>
          <w:bCs/>
          <w:iCs/>
          <w:sz w:val="18"/>
          <w:szCs w:val="18"/>
        </w:rPr>
      </w:pPr>
      <w:r w:rsidRPr="002917DD">
        <w:rPr>
          <w:rFonts w:ascii="Verdana" w:hAnsi="Verdana"/>
          <w:bCs/>
          <w:iCs/>
          <w:sz w:val="18"/>
          <w:szCs w:val="18"/>
        </w:rPr>
        <w:t xml:space="preserve">Su </w:t>
      </w:r>
      <w:r w:rsidRPr="002917DD">
        <w:rPr>
          <w:rFonts w:ascii="Verdana" w:hAnsi="Verdana"/>
          <w:b/>
          <w:bCs/>
          <w:iCs/>
          <w:sz w:val="18"/>
          <w:szCs w:val="18"/>
        </w:rPr>
        <w:t>vinculación real y proporcional</w:t>
      </w:r>
      <w:r w:rsidRPr="002917DD">
        <w:rPr>
          <w:rFonts w:ascii="Verdana" w:hAnsi="Verdana"/>
          <w:bCs/>
          <w:iCs/>
          <w:sz w:val="18"/>
          <w:szCs w:val="18"/>
        </w:rPr>
        <w:t xml:space="preserve"> con la actividad empresarial.</w:t>
      </w:r>
    </w:p>
    <w:p w14:paraId="38A95887" w14:textId="77777777" w:rsidR="002917DD" w:rsidRDefault="002917DD">
      <w:pPr>
        <w:numPr>
          <w:ilvl w:val="0"/>
          <w:numId w:val="15"/>
        </w:numPr>
        <w:tabs>
          <w:tab w:val="left" w:pos="284"/>
        </w:tabs>
        <w:rPr>
          <w:rFonts w:ascii="Verdana" w:hAnsi="Verdana"/>
          <w:bCs/>
          <w:iCs/>
          <w:sz w:val="18"/>
          <w:szCs w:val="18"/>
        </w:rPr>
      </w:pPr>
      <w:r w:rsidRPr="002917DD">
        <w:rPr>
          <w:rFonts w:ascii="Verdana" w:hAnsi="Verdana"/>
          <w:bCs/>
          <w:iCs/>
          <w:sz w:val="18"/>
          <w:szCs w:val="18"/>
        </w:rPr>
        <w:t>Que no constituyen mera gestión patrimonial.</w:t>
      </w:r>
    </w:p>
    <w:p w14:paraId="2A9D1B7F" w14:textId="77777777" w:rsidR="002917DD" w:rsidRPr="002917DD" w:rsidRDefault="002917DD" w:rsidP="002917DD">
      <w:pPr>
        <w:tabs>
          <w:tab w:val="left" w:pos="284"/>
        </w:tabs>
        <w:ind w:left="720"/>
        <w:rPr>
          <w:rFonts w:ascii="Verdana" w:hAnsi="Verdana"/>
          <w:bCs/>
          <w:iCs/>
          <w:sz w:val="18"/>
          <w:szCs w:val="18"/>
        </w:rPr>
      </w:pPr>
    </w:p>
    <w:p w14:paraId="53B608AF" w14:textId="2167085E" w:rsidR="002917DD" w:rsidRPr="002917DD" w:rsidRDefault="002917DD" w:rsidP="002917DD">
      <w:pPr>
        <w:tabs>
          <w:tab w:val="left" w:pos="284"/>
        </w:tabs>
        <w:ind w:left="284"/>
        <w:jc w:val="both"/>
        <w:rPr>
          <w:rFonts w:ascii="Verdana" w:hAnsi="Verdana"/>
          <w:bCs/>
          <w:iCs/>
          <w:sz w:val="18"/>
          <w:szCs w:val="18"/>
        </w:rPr>
      </w:pPr>
      <w:r w:rsidRPr="002917DD">
        <w:rPr>
          <w:rFonts w:ascii="Verdana" w:hAnsi="Verdana"/>
          <w:bCs/>
          <w:iCs/>
          <w:sz w:val="18"/>
          <w:szCs w:val="18"/>
        </w:rPr>
        <w:t>En definitiva, la exención en el Impuesto sobre el Patrimonio solo alcanzará a la parte proporcional del valor de las participaciones vinculada a activos verdaderamente afectos a la actividad económica.</w:t>
      </w:r>
    </w:p>
    <w:p w14:paraId="64E8BBD3" w14:textId="77777777" w:rsidR="00702900" w:rsidRDefault="00702900" w:rsidP="002917DD">
      <w:pPr>
        <w:tabs>
          <w:tab w:val="left" w:pos="284"/>
        </w:tabs>
        <w:ind w:left="284"/>
        <w:rPr>
          <w:rFonts w:ascii="Verdana" w:hAnsi="Verdana"/>
          <w:bCs/>
          <w:iCs/>
          <w:sz w:val="18"/>
          <w:szCs w:val="18"/>
        </w:rPr>
      </w:pPr>
    </w:p>
    <w:p w14:paraId="7279713B" w14:textId="77777777" w:rsidR="0084016C" w:rsidRDefault="0084016C" w:rsidP="002917DD">
      <w:pPr>
        <w:tabs>
          <w:tab w:val="left" w:pos="284"/>
        </w:tabs>
        <w:ind w:left="284"/>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B615F" w:rsidRPr="000B615F" w14:paraId="338EF0D5" w14:textId="77777777" w:rsidTr="006B317C">
        <w:tc>
          <w:tcPr>
            <w:tcW w:w="180" w:type="dxa"/>
            <w:shd w:val="clear" w:color="auto" w:fill="FF6600"/>
          </w:tcPr>
          <w:p w14:paraId="0A2F652E" w14:textId="77777777" w:rsidR="000B615F" w:rsidRPr="000B615F" w:rsidRDefault="000B615F" w:rsidP="006B317C">
            <w:pPr>
              <w:rPr>
                <w:rFonts w:ascii="Verdana" w:hAnsi="Verdana"/>
                <w:b/>
                <w:bCs/>
                <w:color w:val="800000"/>
                <w:sz w:val="18"/>
                <w:szCs w:val="18"/>
              </w:rPr>
            </w:pPr>
          </w:p>
        </w:tc>
        <w:tc>
          <w:tcPr>
            <w:tcW w:w="8460" w:type="dxa"/>
          </w:tcPr>
          <w:p w14:paraId="574956AC" w14:textId="786AA80F" w:rsidR="000B615F" w:rsidRPr="000B615F" w:rsidRDefault="000B615F">
            <w:pPr>
              <w:numPr>
                <w:ilvl w:val="0"/>
                <w:numId w:val="2"/>
              </w:numPr>
              <w:ind w:right="276"/>
              <w:jc w:val="both"/>
              <w:rPr>
                <w:rFonts w:ascii="Verdana" w:hAnsi="Verdana"/>
                <w:b/>
                <w:bCs/>
                <w:color w:val="800000"/>
                <w:sz w:val="18"/>
                <w:szCs w:val="18"/>
              </w:rPr>
            </w:pPr>
            <w:r w:rsidRPr="000B615F">
              <w:rPr>
                <w:rFonts w:ascii="Verdana" w:hAnsi="Verdana"/>
                <w:b/>
                <w:bCs/>
                <w:color w:val="800000"/>
                <w:sz w:val="18"/>
                <w:szCs w:val="18"/>
              </w:rPr>
              <w:t>I.SUCESIONES- EL SUPREMO FACILITA LA DEDUCCIÓN DEL 95% EN EL RELEVO DE EMPRESAS FAMILIARES DE ALQUILER</w:t>
            </w:r>
          </w:p>
        </w:tc>
      </w:tr>
    </w:tbl>
    <w:p w14:paraId="5E7A6FE8" w14:textId="77777777" w:rsidR="00702900" w:rsidRPr="00A354EC" w:rsidRDefault="00702900" w:rsidP="00702900">
      <w:pPr>
        <w:tabs>
          <w:tab w:val="left" w:pos="284"/>
        </w:tabs>
        <w:ind w:left="284"/>
        <w:jc w:val="both"/>
        <w:rPr>
          <w:rFonts w:ascii="Verdana" w:hAnsi="Verdana"/>
          <w:bCs/>
          <w:iCs/>
          <w:sz w:val="18"/>
          <w:szCs w:val="18"/>
        </w:rPr>
      </w:pPr>
    </w:p>
    <w:p w14:paraId="189BF10D" w14:textId="77777777" w:rsidR="000B615F" w:rsidRPr="000B615F" w:rsidRDefault="000B615F" w:rsidP="00011133">
      <w:pPr>
        <w:spacing w:before="100" w:beforeAutospacing="1" w:after="100" w:afterAutospacing="1"/>
        <w:ind w:left="284"/>
        <w:contextualSpacing/>
        <w:outlineLvl w:val="1"/>
        <w:rPr>
          <w:rFonts w:ascii="Verdana" w:hAnsi="Verdana"/>
          <w:b/>
          <w:bCs/>
          <w:sz w:val="18"/>
          <w:szCs w:val="18"/>
        </w:rPr>
      </w:pPr>
      <w:r w:rsidRPr="000B615F">
        <w:rPr>
          <w:rFonts w:ascii="Verdana" w:hAnsi="Verdana"/>
          <w:b/>
          <w:bCs/>
          <w:sz w:val="18"/>
          <w:szCs w:val="18"/>
        </w:rPr>
        <w:t>Tribunal Supremo – Sentencia 186/2026, de 19 de febrero</w:t>
      </w:r>
    </w:p>
    <w:p w14:paraId="317B3D2B" w14:textId="77777777" w:rsidR="000B615F" w:rsidRDefault="000B615F" w:rsidP="00011133">
      <w:pPr>
        <w:spacing w:before="100" w:beforeAutospacing="1" w:after="100" w:afterAutospacing="1"/>
        <w:ind w:left="284"/>
        <w:contextualSpacing/>
        <w:rPr>
          <w:rFonts w:ascii="Verdana" w:hAnsi="Verdana"/>
          <w:b/>
          <w:bCs/>
          <w:sz w:val="18"/>
          <w:szCs w:val="18"/>
        </w:rPr>
      </w:pPr>
      <w:r w:rsidRPr="000B615F">
        <w:rPr>
          <w:rFonts w:ascii="Verdana" w:hAnsi="Verdana"/>
          <w:b/>
          <w:bCs/>
          <w:sz w:val="18"/>
          <w:szCs w:val="18"/>
        </w:rPr>
        <w:t>Sala de lo Contencioso-Administrativo – Recurso 1326/2024</w:t>
      </w:r>
    </w:p>
    <w:p w14:paraId="01D593AD" w14:textId="77777777" w:rsidR="000B615F" w:rsidRPr="000B615F" w:rsidRDefault="000B615F" w:rsidP="00011133">
      <w:pPr>
        <w:spacing w:before="100" w:beforeAutospacing="1" w:after="100" w:afterAutospacing="1"/>
        <w:ind w:left="284"/>
        <w:contextualSpacing/>
        <w:rPr>
          <w:rFonts w:ascii="Verdana" w:hAnsi="Verdana"/>
          <w:sz w:val="18"/>
          <w:szCs w:val="18"/>
        </w:rPr>
      </w:pPr>
    </w:p>
    <w:p w14:paraId="5FE66300" w14:textId="798EF3C4" w:rsidR="000B615F" w:rsidRPr="000B615F" w:rsidRDefault="000B615F" w:rsidP="00011133">
      <w:pPr>
        <w:spacing w:before="100" w:beforeAutospacing="1" w:after="100" w:afterAutospacing="1"/>
        <w:ind w:left="284"/>
        <w:outlineLvl w:val="2"/>
        <w:rPr>
          <w:rFonts w:ascii="Verdana" w:hAnsi="Verdana"/>
          <w:b/>
          <w:bCs/>
          <w:sz w:val="18"/>
          <w:szCs w:val="18"/>
        </w:rPr>
      </w:pPr>
      <w:r w:rsidRPr="000B615F">
        <w:rPr>
          <w:rFonts w:ascii="Verdana" w:hAnsi="Verdana"/>
          <w:b/>
          <w:bCs/>
          <w:sz w:val="18"/>
          <w:szCs w:val="18"/>
        </w:rPr>
        <w:t>Materia</w:t>
      </w:r>
    </w:p>
    <w:p w14:paraId="2470E2AD" w14:textId="77F075A8"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t xml:space="preserve">Impuesto sobre Sucesiones y Donaciones (ISD) – Reducción del 95% por transmisión inter vivos de participaciones en empresa familiar (art. 20.6 LISD) – Exención en Impuesto sobre el Patrimonio (art. </w:t>
      </w:r>
      <w:r w:rsidR="00F725FD" w:rsidRPr="000B615F">
        <w:rPr>
          <w:rFonts w:ascii="Verdana" w:hAnsi="Verdana"/>
          <w:sz w:val="18"/>
          <w:szCs w:val="18"/>
        </w:rPr>
        <w:t>4. Ocho</w:t>
      </w:r>
      <w:r w:rsidRPr="000B615F">
        <w:rPr>
          <w:rFonts w:ascii="Verdana" w:hAnsi="Verdana"/>
          <w:sz w:val="18"/>
          <w:szCs w:val="18"/>
        </w:rPr>
        <w:t xml:space="preserve"> LIP) – Actividad económica en arrendamiento de inmuebles – Requisito de empleado a jornada completa.</w:t>
      </w:r>
    </w:p>
    <w:p w14:paraId="4576B2A9" w14:textId="7C2A8E94" w:rsidR="000B615F" w:rsidRPr="000B615F" w:rsidRDefault="000B615F" w:rsidP="00011133">
      <w:pPr>
        <w:spacing w:before="100" w:beforeAutospacing="1" w:after="100" w:afterAutospacing="1"/>
        <w:ind w:left="284"/>
        <w:outlineLvl w:val="2"/>
        <w:rPr>
          <w:rFonts w:ascii="Verdana" w:hAnsi="Verdana"/>
          <w:b/>
          <w:bCs/>
          <w:sz w:val="18"/>
          <w:szCs w:val="18"/>
        </w:rPr>
      </w:pPr>
      <w:r w:rsidRPr="000B615F">
        <w:rPr>
          <w:rFonts w:ascii="Verdana" w:hAnsi="Verdana"/>
          <w:b/>
          <w:bCs/>
          <w:sz w:val="18"/>
          <w:szCs w:val="18"/>
        </w:rPr>
        <w:t>Supuesto de hecho</w:t>
      </w:r>
    </w:p>
    <w:p w14:paraId="75B0D80E" w14:textId="07ACB596"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lastRenderedPageBreak/>
        <w:t>Se impugnó una liquidación del ISD derivada de la donación de participaciones sociales de una sociedad holding familiar.</w:t>
      </w:r>
    </w:p>
    <w:p w14:paraId="1C5D890C" w14:textId="4263F775"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t xml:space="preserve">La Administración negó la aplicación íntegra de la reducción del 95% prevista en el art. 20.6 LISD al considerar que una de las sociedades participadas, dedicada al arrendamiento de fincas rústicas, </w:t>
      </w:r>
      <w:r w:rsidRPr="000B615F">
        <w:rPr>
          <w:rFonts w:ascii="Verdana" w:hAnsi="Verdana"/>
          <w:b/>
          <w:bCs/>
          <w:sz w:val="18"/>
          <w:szCs w:val="18"/>
        </w:rPr>
        <w:t>no realizaba actividad económica</w:t>
      </w:r>
      <w:r w:rsidRPr="000B615F">
        <w:rPr>
          <w:rFonts w:ascii="Verdana" w:hAnsi="Verdana"/>
          <w:sz w:val="18"/>
          <w:szCs w:val="18"/>
        </w:rPr>
        <w:t>, al no contar formalmente con un empleado contratado a jornada completa, tal como exige el art. 27.2 LIRPF.</w:t>
      </w:r>
    </w:p>
    <w:p w14:paraId="4B5F63DB" w14:textId="77777777"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t>Sin embargo, la gestión de dicha actividad se realizaba mediante empleados contratados por otras sociedades del mismo grupo empresarial.</w:t>
      </w:r>
    </w:p>
    <w:p w14:paraId="38FCD5A2" w14:textId="044746B2" w:rsidR="000B615F" w:rsidRPr="000B615F" w:rsidRDefault="000B615F" w:rsidP="00011133">
      <w:pPr>
        <w:spacing w:before="100" w:beforeAutospacing="1" w:after="100" w:afterAutospacing="1"/>
        <w:ind w:left="284"/>
        <w:outlineLvl w:val="2"/>
        <w:rPr>
          <w:rFonts w:ascii="Verdana" w:hAnsi="Verdana"/>
          <w:b/>
          <w:bCs/>
          <w:sz w:val="18"/>
          <w:szCs w:val="18"/>
        </w:rPr>
      </w:pPr>
      <w:r w:rsidRPr="000B615F">
        <w:rPr>
          <w:rFonts w:ascii="Verdana" w:hAnsi="Verdana"/>
          <w:b/>
          <w:bCs/>
          <w:sz w:val="18"/>
          <w:szCs w:val="18"/>
        </w:rPr>
        <w:t>Cuestión jurídica</w:t>
      </w:r>
    </w:p>
    <w:p w14:paraId="569C77B9" w14:textId="77777777"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t>Determinar si, a efectos de aplicar la reducción del 95% en el ISD, puede considerarse cumplido el requisito de empleado a jornada completa cuando:</w:t>
      </w:r>
    </w:p>
    <w:p w14:paraId="4BA9E62C" w14:textId="77777777" w:rsidR="000B615F" w:rsidRPr="000B615F" w:rsidRDefault="000B615F">
      <w:pPr>
        <w:numPr>
          <w:ilvl w:val="0"/>
          <w:numId w:val="39"/>
        </w:numPr>
        <w:spacing w:before="100" w:beforeAutospacing="1" w:after="100" w:afterAutospacing="1"/>
        <w:ind w:left="426" w:hanging="284"/>
        <w:rPr>
          <w:rFonts w:ascii="Verdana" w:hAnsi="Verdana"/>
          <w:sz w:val="18"/>
          <w:szCs w:val="18"/>
        </w:rPr>
      </w:pPr>
      <w:r w:rsidRPr="000B615F">
        <w:rPr>
          <w:rFonts w:ascii="Verdana" w:hAnsi="Verdana"/>
          <w:sz w:val="18"/>
          <w:szCs w:val="18"/>
        </w:rPr>
        <w:t>La sociedad arrendadora pertenece a un grupo empresarial.</w:t>
      </w:r>
    </w:p>
    <w:p w14:paraId="4FF00A63" w14:textId="77777777" w:rsidR="000B615F" w:rsidRPr="000B615F" w:rsidRDefault="000B615F">
      <w:pPr>
        <w:numPr>
          <w:ilvl w:val="0"/>
          <w:numId w:val="39"/>
        </w:numPr>
        <w:spacing w:before="100" w:beforeAutospacing="1" w:after="100" w:afterAutospacing="1"/>
        <w:ind w:left="426" w:hanging="284"/>
        <w:rPr>
          <w:rFonts w:ascii="Verdana" w:hAnsi="Verdana"/>
          <w:sz w:val="18"/>
          <w:szCs w:val="18"/>
        </w:rPr>
      </w:pPr>
      <w:r w:rsidRPr="000B615F">
        <w:rPr>
          <w:rFonts w:ascii="Verdana" w:hAnsi="Verdana"/>
          <w:sz w:val="18"/>
          <w:szCs w:val="18"/>
        </w:rPr>
        <w:t>La actividad está integrada funcionalmente en la actividad económica del grupo.</w:t>
      </w:r>
    </w:p>
    <w:p w14:paraId="46CB6117" w14:textId="77777777" w:rsidR="000B615F" w:rsidRPr="000B615F" w:rsidRDefault="000B615F">
      <w:pPr>
        <w:numPr>
          <w:ilvl w:val="0"/>
          <w:numId w:val="39"/>
        </w:numPr>
        <w:spacing w:before="100" w:beforeAutospacing="1" w:after="100" w:afterAutospacing="1"/>
        <w:ind w:left="426" w:hanging="284"/>
        <w:rPr>
          <w:rFonts w:ascii="Verdana" w:hAnsi="Verdana"/>
          <w:sz w:val="18"/>
          <w:szCs w:val="18"/>
        </w:rPr>
      </w:pPr>
      <w:r w:rsidRPr="000B615F">
        <w:rPr>
          <w:rFonts w:ascii="Verdana" w:hAnsi="Verdana"/>
          <w:sz w:val="18"/>
          <w:szCs w:val="18"/>
        </w:rPr>
        <w:t>Los medios personales están centralizados en otra entidad del grupo.</w:t>
      </w:r>
    </w:p>
    <w:p w14:paraId="75AB3F4F" w14:textId="10191268" w:rsidR="000B615F" w:rsidRPr="000B615F" w:rsidRDefault="000B615F" w:rsidP="00011133">
      <w:pPr>
        <w:spacing w:before="100" w:beforeAutospacing="1" w:after="100" w:afterAutospacing="1"/>
        <w:ind w:left="284"/>
        <w:outlineLvl w:val="2"/>
        <w:rPr>
          <w:rFonts w:ascii="Verdana" w:hAnsi="Verdana"/>
          <w:b/>
          <w:bCs/>
          <w:sz w:val="18"/>
          <w:szCs w:val="18"/>
        </w:rPr>
      </w:pPr>
      <w:r w:rsidRPr="000B615F">
        <w:rPr>
          <w:rFonts w:ascii="Verdana" w:hAnsi="Verdana"/>
          <w:b/>
          <w:bCs/>
          <w:sz w:val="18"/>
          <w:szCs w:val="18"/>
        </w:rPr>
        <w:t>Criterio del Tribunal Supremo</w:t>
      </w:r>
    </w:p>
    <w:p w14:paraId="45A8ADFD" w14:textId="77777777"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sz w:val="18"/>
          <w:szCs w:val="18"/>
        </w:rPr>
        <w:t xml:space="preserve">El Tribunal Supremo estima el recurso y fija la siguiente </w:t>
      </w:r>
      <w:r w:rsidRPr="000B615F">
        <w:rPr>
          <w:rFonts w:ascii="Verdana" w:hAnsi="Verdana"/>
          <w:b/>
          <w:bCs/>
          <w:sz w:val="18"/>
          <w:szCs w:val="18"/>
        </w:rPr>
        <w:t>doctrina</w:t>
      </w:r>
      <w:r w:rsidRPr="000B615F">
        <w:rPr>
          <w:rFonts w:ascii="Verdana" w:hAnsi="Verdana"/>
          <w:sz w:val="18"/>
          <w:szCs w:val="18"/>
        </w:rPr>
        <w:t>:</w:t>
      </w:r>
    </w:p>
    <w:p w14:paraId="73279926" w14:textId="2CE3DD86" w:rsidR="000B615F" w:rsidRPr="000B615F" w:rsidRDefault="000B615F" w:rsidP="00011133">
      <w:pPr>
        <w:spacing w:before="100" w:beforeAutospacing="1" w:after="100" w:afterAutospacing="1"/>
        <w:ind w:left="284"/>
        <w:rPr>
          <w:rFonts w:ascii="Verdana" w:hAnsi="Verdana"/>
          <w:sz w:val="18"/>
          <w:szCs w:val="18"/>
        </w:rPr>
      </w:pPr>
      <w:r w:rsidRPr="000B615F">
        <w:rPr>
          <w:rFonts w:ascii="Verdana" w:hAnsi="Verdana"/>
          <w:b/>
          <w:bCs/>
          <w:sz w:val="18"/>
          <w:szCs w:val="18"/>
        </w:rPr>
        <w:t>Sí puede considerarse cumplido el requisito del empleado a jornada completa</w:t>
      </w:r>
      <w:r w:rsidRPr="000B615F">
        <w:rPr>
          <w:rFonts w:ascii="Verdana" w:hAnsi="Verdana"/>
          <w:sz w:val="18"/>
          <w:szCs w:val="18"/>
        </w:rPr>
        <w:t>, aunque no esté formalmente contratado por la sociedad arrendadora, cuando:</w:t>
      </w:r>
    </w:p>
    <w:p w14:paraId="512B49A1" w14:textId="77777777" w:rsidR="000B615F" w:rsidRPr="000B615F" w:rsidRDefault="000B615F">
      <w:pPr>
        <w:numPr>
          <w:ilvl w:val="0"/>
          <w:numId w:val="40"/>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 xml:space="preserve">Existe un grupo de sociedades en los términos del art. 42 </w:t>
      </w:r>
      <w:proofErr w:type="spellStart"/>
      <w:r w:rsidRPr="000B615F">
        <w:rPr>
          <w:rFonts w:ascii="Verdana" w:hAnsi="Verdana"/>
          <w:sz w:val="18"/>
          <w:szCs w:val="18"/>
        </w:rPr>
        <w:t>CCom</w:t>
      </w:r>
      <w:proofErr w:type="spellEnd"/>
      <w:r w:rsidRPr="000B615F">
        <w:rPr>
          <w:rFonts w:ascii="Verdana" w:hAnsi="Verdana"/>
          <w:sz w:val="18"/>
          <w:szCs w:val="18"/>
        </w:rPr>
        <w:t>.</w:t>
      </w:r>
    </w:p>
    <w:p w14:paraId="04B48507" w14:textId="77777777" w:rsidR="000B615F" w:rsidRPr="000B615F" w:rsidRDefault="000B615F">
      <w:pPr>
        <w:numPr>
          <w:ilvl w:val="0"/>
          <w:numId w:val="40"/>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La actividad de arrendamiento se integra funcionalmente en la actividad económica real del grupo.</w:t>
      </w:r>
    </w:p>
    <w:p w14:paraId="1C60015C" w14:textId="77777777" w:rsidR="000B615F" w:rsidRPr="000B615F" w:rsidRDefault="000B615F">
      <w:pPr>
        <w:numPr>
          <w:ilvl w:val="0"/>
          <w:numId w:val="40"/>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Existe una ordenación efectiva y conjunta de medios personales y materiales a nivel de grupo.</w:t>
      </w:r>
    </w:p>
    <w:p w14:paraId="2A20F985" w14:textId="77777777" w:rsidR="000B615F" w:rsidRPr="000B615F" w:rsidRDefault="000B615F">
      <w:pPr>
        <w:numPr>
          <w:ilvl w:val="0"/>
          <w:numId w:val="40"/>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La sociedad arrendadora no se limita a un arrendamiento pasivo, sino que participa en una actividad económica compleja.</w:t>
      </w:r>
    </w:p>
    <w:p w14:paraId="4E1127A7" w14:textId="77777777" w:rsidR="000B615F" w:rsidRPr="000B615F" w:rsidRDefault="000B615F" w:rsidP="00011133">
      <w:pPr>
        <w:spacing w:before="100" w:beforeAutospacing="1" w:after="100" w:afterAutospacing="1"/>
        <w:ind w:left="284"/>
        <w:jc w:val="both"/>
        <w:rPr>
          <w:rFonts w:ascii="Verdana" w:hAnsi="Verdana"/>
          <w:sz w:val="18"/>
          <w:szCs w:val="18"/>
        </w:rPr>
      </w:pPr>
      <w:r w:rsidRPr="000B615F">
        <w:rPr>
          <w:rFonts w:ascii="Verdana" w:hAnsi="Verdana"/>
          <w:sz w:val="18"/>
          <w:szCs w:val="18"/>
        </w:rPr>
        <w:t xml:space="preserve">El Tribunal rechaza una interpretación formalista del art. 27.2 LIRPF y adopta una interpretación </w:t>
      </w:r>
      <w:r w:rsidRPr="000B615F">
        <w:rPr>
          <w:rFonts w:ascii="Verdana" w:hAnsi="Verdana"/>
          <w:b/>
          <w:bCs/>
          <w:sz w:val="18"/>
          <w:szCs w:val="18"/>
        </w:rPr>
        <w:t>teleológica y finalista</w:t>
      </w:r>
      <w:r w:rsidRPr="000B615F">
        <w:rPr>
          <w:rFonts w:ascii="Verdana" w:hAnsi="Verdana"/>
          <w:sz w:val="18"/>
          <w:szCs w:val="18"/>
        </w:rPr>
        <w:t>, alineada con la finalidad de protección de la empresa familiar.</w:t>
      </w:r>
    </w:p>
    <w:p w14:paraId="236B62A9" w14:textId="20320F36" w:rsidR="000B615F" w:rsidRPr="000B615F" w:rsidRDefault="00F725FD" w:rsidP="00F725FD">
      <w:pPr>
        <w:spacing w:before="100" w:beforeAutospacing="1" w:after="100" w:afterAutospacing="1"/>
        <w:outlineLvl w:val="2"/>
        <w:rPr>
          <w:rFonts w:ascii="Verdana" w:hAnsi="Verdana"/>
          <w:b/>
          <w:bCs/>
          <w:sz w:val="18"/>
          <w:szCs w:val="18"/>
        </w:rPr>
      </w:pPr>
      <w:r>
        <w:rPr>
          <w:rFonts w:ascii="Verdana" w:hAnsi="Verdana"/>
          <w:b/>
          <w:bCs/>
          <w:sz w:val="18"/>
          <w:szCs w:val="18"/>
        </w:rPr>
        <w:t xml:space="preserve">   </w:t>
      </w:r>
      <w:r w:rsidR="000B615F" w:rsidRPr="000B615F">
        <w:rPr>
          <w:rFonts w:ascii="Verdana" w:hAnsi="Verdana"/>
          <w:b/>
          <w:bCs/>
          <w:sz w:val="18"/>
          <w:szCs w:val="18"/>
        </w:rPr>
        <w:t>Fundamento interpretativo relevante</w:t>
      </w:r>
    </w:p>
    <w:p w14:paraId="69B4C330" w14:textId="77777777" w:rsidR="000B615F" w:rsidRPr="000B615F" w:rsidRDefault="000B615F">
      <w:pPr>
        <w:numPr>
          <w:ilvl w:val="0"/>
          <w:numId w:val="41"/>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La remisión del art. 4.Ocho LIP al art. 27 LIRPF no impide analizar la realidad económica del grupo.</w:t>
      </w:r>
    </w:p>
    <w:p w14:paraId="56B0F874" w14:textId="77777777" w:rsidR="000B615F" w:rsidRPr="000B615F" w:rsidRDefault="000B615F">
      <w:pPr>
        <w:numPr>
          <w:ilvl w:val="0"/>
          <w:numId w:val="41"/>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 xml:space="preserve">La finalidad de la reducción </w:t>
      </w:r>
      <w:r w:rsidRPr="000B615F">
        <w:rPr>
          <w:rFonts w:ascii="Verdana" w:hAnsi="Verdana"/>
          <w:sz w:val="18"/>
          <w:szCs w:val="18"/>
          <w:u w:val="single"/>
        </w:rPr>
        <w:t>es favorecer la continuidad de la empresa familiar</w:t>
      </w:r>
      <w:r w:rsidRPr="000B615F">
        <w:rPr>
          <w:rFonts w:ascii="Verdana" w:hAnsi="Verdana"/>
          <w:sz w:val="18"/>
          <w:szCs w:val="18"/>
        </w:rPr>
        <w:t>.</w:t>
      </w:r>
    </w:p>
    <w:p w14:paraId="5E38692F" w14:textId="77777777" w:rsidR="000B615F" w:rsidRPr="000B615F" w:rsidRDefault="000B615F">
      <w:pPr>
        <w:numPr>
          <w:ilvl w:val="0"/>
          <w:numId w:val="41"/>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Se atiende a recomendaciones europeas sobre la transmisión empresarial.</w:t>
      </w:r>
    </w:p>
    <w:p w14:paraId="35281142" w14:textId="77777777" w:rsidR="000B615F" w:rsidRPr="000B615F" w:rsidRDefault="000B615F">
      <w:pPr>
        <w:numPr>
          <w:ilvl w:val="0"/>
          <w:numId w:val="41"/>
        </w:numPr>
        <w:spacing w:before="100" w:beforeAutospacing="1" w:after="100" w:afterAutospacing="1"/>
        <w:ind w:left="426" w:hanging="284"/>
        <w:jc w:val="both"/>
        <w:rPr>
          <w:rFonts w:ascii="Verdana" w:hAnsi="Verdana"/>
          <w:sz w:val="18"/>
          <w:szCs w:val="18"/>
        </w:rPr>
      </w:pPr>
      <w:r w:rsidRPr="000B615F">
        <w:rPr>
          <w:rFonts w:ascii="Verdana" w:hAnsi="Verdana"/>
          <w:sz w:val="18"/>
          <w:szCs w:val="18"/>
        </w:rPr>
        <w:t xml:space="preserve">Lo decisivo es la </w:t>
      </w:r>
      <w:r w:rsidRPr="000B615F">
        <w:rPr>
          <w:rFonts w:ascii="Verdana" w:hAnsi="Verdana"/>
          <w:b/>
          <w:bCs/>
          <w:sz w:val="18"/>
          <w:szCs w:val="18"/>
        </w:rPr>
        <w:t>realidad económica y funcional</w:t>
      </w:r>
      <w:r w:rsidRPr="000B615F">
        <w:rPr>
          <w:rFonts w:ascii="Verdana" w:hAnsi="Verdana"/>
          <w:sz w:val="18"/>
          <w:szCs w:val="18"/>
        </w:rPr>
        <w:t>, no la mera formalidad contractual.</w:t>
      </w:r>
    </w:p>
    <w:p w14:paraId="5020A0E2" w14:textId="75328EA0" w:rsidR="000B615F" w:rsidRPr="000B615F" w:rsidRDefault="000B615F" w:rsidP="00011133">
      <w:pPr>
        <w:spacing w:before="100" w:beforeAutospacing="1" w:after="100" w:afterAutospacing="1"/>
        <w:ind w:left="284"/>
        <w:outlineLvl w:val="2"/>
        <w:rPr>
          <w:rFonts w:ascii="Verdana" w:hAnsi="Verdana"/>
          <w:b/>
          <w:bCs/>
          <w:sz w:val="18"/>
          <w:szCs w:val="18"/>
        </w:rPr>
      </w:pPr>
      <w:r w:rsidRPr="000B615F">
        <w:rPr>
          <w:rFonts w:ascii="Verdana" w:hAnsi="Verdana"/>
          <w:b/>
          <w:bCs/>
          <w:sz w:val="18"/>
          <w:szCs w:val="18"/>
        </w:rPr>
        <w:t>Fallo</w:t>
      </w:r>
    </w:p>
    <w:p w14:paraId="0EC8F10B" w14:textId="77777777" w:rsidR="000B615F" w:rsidRPr="000B615F" w:rsidRDefault="000B615F">
      <w:pPr>
        <w:numPr>
          <w:ilvl w:val="0"/>
          <w:numId w:val="42"/>
        </w:numPr>
        <w:spacing w:before="100" w:beforeAutospacing="1" w:after="100" w:afterAutospacing="1"/>
        <w:ind w:left="426" w:hanging="284"/>
        <w:rPr>
          <w:rFonts w:ascii="Verdana" w:hAnsi="Verdana"/>
          <w:sz w:val="18"/>
          <w:szCs w:val="18"/>
        </w:rPr>
      </w:pPr>
      <w:r w:rsidRPr="000B615F">
        <w:rPr>
          <w:rFonts w:ascii="Verdana" w:hAnsi="Verdana"/>
          <w:sz w:val="18"/>
          <w:szCs w:val="18"/>
        </w:rPr>
        <w:t>Se estima el recurso de casación.</w:t>
      </w:r>
    </w:p>
    <w:p w14:paraId="4DD3FEE6" w14:textId="77777777" w:rsidR="000B615F" w:rsidRPr="000B615F" w:rsidRDefault="000B615F">
      <w:pPr>
        <w:numPr>
          <w:ilvl w:val="0"/>
          <w:numId w:val="42"/>
        </w:numPr>
        <w:spacing w:before="100" w:beforeAutospacing="1" w:after="100" w:afterAutospacing="1"/>
        <w:ind w:left="426" w:hanging="284"/>
        <w:rPr>
          <w:rFonts w:ascii="Verdana" w:hAnsi="Verdana"/>
          <w:sz w:val="18"/>
          <w:szCs w:val="18"/>
        </w:rPr>
      </w:pPr>
      <w:r w:rsidRPr="000B615F">
        <w:rPr>
          <w:rFonts w:ascii="Verdana" w:hAnsi="Verdana"/>
          <w:sz w:val="18"/>
          <w:szCs w:val="18"/>
        </w:rPr>
        <w:t>Se anula la sentencia del TSJ de Murcia.</w:t>
      </w:r>
    </w:p>
    <w:p w14:paraId="58E69778" w14:textId="77777777" w:rsidR="000B615F" w:rsidRPr="000B615F" w:rsidRDefault="000B615F">
      <w:pPr>
        <w:numPr>
          <w:ilvl w:val="0"/>
          <w:numId w:val="42"/>
        </w:numPr>
        <w:spacing w:before="100" w:beforeAutospacing="1" w:after="100" w:afterAutospacing="1"/>
        <w:ind w:left="426" w:hanging="284"/>
        <w:rPr>
          <w:rFonts w:ascii="Verdana" w:hAnsi="Verdana"/>
          <w:sz w:val="18"/>
          <w:szCs w:val="18"/>
        </w:rPr>
      </w:pPr>
      <w:r w:rsidRPr="000B615F">
        <w:rPr>
          <w:rFonts w:ascii="Verdana" w:hAnsi="Verdana"/>
          <w:sz w:val="18"/>
          <w:szCs w:val="18"/>
        </w:rPr>
        <w:t>Se anula la liquidación practicada por la Administración.</w:t>
      </w:r>
    </w:p>
    <w:p w14:paraId="214DAF3C" w14:textId="77777777" w:rsidR="000B615F" w:rsidRPr="000B615F" w:rsidRDefault="000B615F">
      <w:pPr>
        <w:numPr>
          <w:ilvl w:val="0"/>
          <w:numId w:val="42"/>
        </w:numPr>
        <w:spacing w:before="100" w:beforeAutospacing="1" w:after="100" w:afterAutospacing="1"/>
        <w:ind w:left="426" w:hanging="284"/>
        <w:rPr>
          <w:rFonts w:ascii="Verdana" w:hAnsi="Verdana"/>
          <w:sz w:val="18"/>
          <w:szCs w:val="18"/>
        </w:rPr>
      </w:pPr>
      <w:r w:rsidRPr="000B615F">
        <w:rPr>
          <w:rFonts w:ascii="Verdana" w:hAnsi="Verdana"/>
          <w:sz w:val="18"/>
          <w:szCs w:val="18"/>
        </w:rPr>
        <w:t>Procede la aplicación íntegra de la reducción del 95% del art. 20.6 LISD.</w:t>
      </w:r>
    </w:p>
    <w:p w14:paraId="408068C7" w14:textId="678D36DE" w:rsidR="000B615F" w:rsidRPr="000B615F" w:rsidRDefault="00F725FD" w:rsidP="00F725FD">
      <w:pPr>
        <w:spacing w:before="100" w:beforeAutospacing="1" w:after="100" w:afterAutospacing="1"/>
        <w:outlineLvl w:val="2"/>
        <w:rPr>
          <w:rFonts w:ascii="Verdana" w:hAnsi="Verdana"/>
          <w:b/>
          <w:bCs/>
          <w:sz w:val="18"/>
          <w:szCs w:val="18"/>
        </w:rPr>
      </w:pPr>
      <w:r>
        <w:rPr>
          <w:rFonts w:ascii="Verdana" w:hAnsi="Verdana"/>
          <w:b/>
          <w:bCs/>
          <w:sz w:val="18"/>
          <w:szCs w:val="18"/>
        </w:rPr>
        <w:t xml:space="preserve">   </w:t>
      </w:r>
      <w:r w:rsidR="000B615F" w:rsidRPr="000B615F">
        <w:rPr>
          <w:rFonts w:ascii="Verdana" w:hAnsi="Verdana"/>
          <w:b/>
          <w:bCs/>
          <w:sz w:val="18"/>
          <w:szCs w:val="18"/>
        </w:rPr>
        <w:t>Conclusión práctica</w:t>
      </w:r>
    </w:p>
    <w:p w14:paraId="19406287" w14:textId="77777777" w:rsidR="000B615F" w:rsidRPr="000B615F" w:rsidRDefault="000B615F" w:rsidP="00011133">
      <w:pPr>
        <w:spacing w:before="100" w:beforeAutospacing="1" w:after="100" w:afterAutospacing="1"/>
        <w:ind w:left="142"/>
        <w:rPr>
          <w:rFonts w:ascii="Verdana" w:hAnsi="Verdana"/>
          <w:sz w:val="18"/>
          <w:szCs w:val="18"/>
        </w:rPr>
      </w:pPr>
      <w:r w:rsidRPr="000B615F">
        <w:rPr>
          <w:rFonts w:ascii="Verdana" w:hAnsi="Verdana"/>
          <w:sz w:val="18"/>
          <w:szCs w:val="18"/>
        </w:rPr>
        <w:lastRenderedPageBreak/>
        <w:t>Esta sentencia consolida un criterio relevante en materia de empresa familiar:</w:t>
      </w:r>
    </w:p>
    <w:p w14:paraId="56108C6A" w14:textId="3F342C5D" w:rsidR="000B615F" w:rsidRPr="000B615F" w:rsidRDefault="000B615F" w:rsidP="00011133">
      <w:pPr>
        <w:spacing w:before="100" w:beforeAutospacing="1" w:after="100" w:afterAutospacing="1"/>
        <w:ind w:left="142"/>
        <w:jc w:val="both"/>
        <w:rPr>
          <w:rFonts w:ascii="Verdana" w:hAnsi="Verdana"/>
          <w:sz w:val="18"/>
          <w:szCs w:val="18"/>
        </w:rPr>
      </w:pPr>
      <w:r w:rsidRPr="000B615F">
        <w:rPr>
          <w:rFonts w:ascii="Verdana" w:hAnsi="Verdana"/>
          <w:sz w:val="18"/>
          <w:szCs w:val="18"/>
        </w:rPr>
        <w:t>En estructuras de grupo, el requisito de empleado a jornada completa en actividades de arrendamiento puede cumplirse a nivel de grupo, siempre que exista integración funcional real.</w:t>
      </w:r>
    </w:p>
    <w:p w14:paraId="53E7A143" w14:textId="77777777" w:rsidR="000B615F" w:rsidRPr="000B615F" w:rsidRDefault="000B615F" w:rsidP="00011133">
      <w:pPr>
        <w:spacing w:before="100" w:beforeAutospacing="1" w:after="100" w:afterAutospacing="1"/>
        <w:ind w:left="142"/>
        <w:rPr>
          <w:rFonts w:ascii="Verdana" w:hAnsi="Verdana"/>
          <w:sz w:val="18"/>
          <w:szCs w:val="18"/>
        </w:rPr>
      </w:pPr>
      <w:r w:rsidRPr="000B615F">
        <w:rPr>
          <w:rFonts w:ascii="Verdana" w:hAnsi="Verdana"/>
          <w:sz w:val="18"/>
          <w:szCs w:val="18"/>
        </w:rPr>
        <w:t>Supone un importante respaldo a las estructuras empresariales familiares organizadas bajo holdings y centralización de medios.</w:t>
      </w:r>
    </w:p>
    <w:p w14:paraId="30CBE6B2" w14:textId="77777777" w:rsidR="009E1E17" w:rsidRDefault="009E1E17">
      <w:pPr>
        <w:rPr>
          <w:rFonts w:ascii="Verdana" w:hAnsi="Verdana"/>
          <w:b/>
          <w:bCs/>
          <w:color w:val="800000"/>
          <w:sz w:val="20"/>
          <w:szCs w:val="20"/>
        </w:rPr>
      </w:pPr>
    </w:p>
    <w:p w14:paraId="45A22B71" w14:textId="77777777" w:rsidR="009E1E17" w:rsidRDefault="009E1E17">
      <w:pPr>
        <w:rPr>
          <w:rFonts w:ascii="Verdana" w:hAnsi="Verdana"/>
          <w:b/>
          <w:bCs/>
          <w:color w:val="800000"/>
          <w:sz w:val="20"/>
          <w:szCs w:val="20"/>
        </w:rPr>
      </w:pPr>
    </w:p>
    <w:p w14:paraId="5936E4DB" w14:textId="77777777" w:rsidR="009E1E17" w:rsidRDefault="009E1E17">
      <w:pPr>
        <w:rPr>
          <w:rFonts w:ascii="Verdana" w:hAnsi="Verdana"/>
          <w:b/>
          <w:bCs/>
          <w:color w:val="800000"/>
          <w:sz w:val="20"/>
          <w:szCs w:val="20"/>
        </w:rPr>
      </w:pPr>
    </w:p>
    <w:p w14:paraId="72AA24E5" w14:textId="77777777" w:rsidR="009E1E17" w:rsidRDefault="009E1E17">
      <w:pPr>
        <w:rPr>
          <w:rFonts w:ascii="Verdana" w:hAnsi="Verdana"/>
          <w:b/>
          <w:bCs/>
          <w:color w:val="800000"/>
          <w:sz w:val="20"/>
          <w:szCs w:val="20"/>
        </w:rPr>
      </w:pPr>
    </w:p>
    <w:p w14:paraId="7DD38F98" w14:textId="77777777" w:rsidR="009E1E17" w:rsidRDefault="009E1E17">
      <w:pPr>
        <w:rPr>
          <w:rFonts w:ascii="Verdana" w:hAnsi="Verdana"/>
          <w:b/>
          <w:bCs/>
          <w:color w:val="800000"/>
          <w:sz w:val="20"/>
          <w:szCs w:val="20"/>
        </w:rPr>
      </w:pPr>
    </w:p>
    <w:p w14:paraId="746B665C" w14:textId="77777777" w:rsidR="009E1E17" w:rsidRDefault="009E1E17">
      <w:pPr>
        <w:rPr>
          <w:rFonts w:ascii="Verdana" w:hAnsi="Verdana"/>
          <w:b/>
          <w:bCs/>
          <w:color w:val="800000"/>
          <w:sz w:val="20"/>
          <w:szCs w:val="20"/>
        </w:rPr>
      </w:pPr>
    </w:p>
    <w:p w14:paraId="37DBA387" w14:textId="77777777" w:rsidR="009E1E17" w:rsidRDefault="009E1E17">
      <w:pPr>
        <w:rPr>
          <w:rFonts w:ascii="Verdana" w:hAnsi="Verdana"/>
          <w:b/>
          <w:bCs/>
          <w:color w:val="800000"/>
          <w:sz w:val="20"/>
          <w:szCs w:val="20"/>
        </w:rPr>
      </w:pPr>
    </w:p>
    <w:p w14:paraId="4763F98F" w14:textId="5742C710" w:rsidR="00F35540" w:rsidRDefault="00F35540">
      <w:pPr>
        <w:rPr>
          <w:rFonts w:ascii="Verdana" w:hAnsi="Verdana"/>
          <w:b/>
          <w:bCs/>
          <w:color w:val="800000"/>
          <w:sz w:val="20"/>
          <w:szCs w:val="20"/>
        </w:rPr>
      </w:pPr>
      <w:r>
        <w:rPr>
          <w:rFonts w:ascii="Verdana" w:hAnsi="Verdana"/>
          <w:b/>
          <w:bCs/>
          <w:color w:val="800000"/>
          <w:sz w:val="20"/>
          <w:szCs w:val="20"/>
        </w:rPr>
        <w:br w:type="page"/>
      </w:r>
    </w:p>
    <w:p w14:paraId="4775AADA" w14:textId="7385AFA2" w:rsidR="008A21F6" w:rsidRPr="001B4C47" w:rsidRDefault="008A21F6" w:rsidP="008A21F6">
      <w:pPr>
        <w:shd w:val="clear" w:color="auto" w:fill="FFFFFF"/>
        <w:tabs>
          <w:tab w:val="left" w:pos="0"/>
        </w:tabs>
        <w:jc w:val="both"/>
        <w:rPr>
          <w:rFonts w:ascii="Verdana" w:hAnsi="Verdana"/>
          <w:bCs/>
          <w:sz w:val="18"/>
          <w:szCs w:val="18"/>
        </w:rPr>
      </w:pPr>
      <w:r w:rsidRPr="00F11108">
        <w:rPr>
          <w:rFonts w:ascii="Verdana" w:hAnsi="Verdana"/>
          <w:b/>
          <w:bCs/>
          <w:color w:val="800000"/>
          <w:sz w:val="20"/>
          <w:szCs w:val="20"/>
        </w:rPr>
        <w:lastRenderedPageBreak/>
        <w:t xml:space="preserve">DISPOSICIONES PUBLICADAS DURANTE </w:t>
      </w:r>
      <w:r>
        <w:rPr>
          <w:rFonts w:ascii="Verdana" w:hAnsi="Verdana"/>
          <w:b/>
          <w:bCs/>
          <w:color w:val="800000"/>
          <w:sz w:val="20"/>
          <w:szCs w:val="20"/>
        </w:rPr>
        <w:t>LOS MESES DE FEBRERO Y</w:t>
      </w:r>
      <w:r w:rsidRPr="00F11108">
        <w:rPr>
          <w:rFonts w:ascii="Verdana" w:hAnsi="Verdana"/>
          <w:b/>
          <w:bCs/>
          <w:color w:val="800000"/>
          <w:sz w:val="20"/>
          <w:szCs w:val="20"/>
        </w:rPr>
        <w:t xml:space="preserve"> </w:t>
      </w:r>
      <w:r>
        <w:rPr>
          <w:rFonts w:ascii="Verdana" w:hAnsi="Verdana"/>
          <w:b/>
          <w:bCs/>
          <w:color w:val="800000"/>
          <w:sz w:val="20"/>
          <w:szCs w:val="20"/>
        </w:rPr>
        <w:t xml:space="preserve">MARZO </w:t>
      </w:r>
      <w:r w:rsidRPr="00F11108">
        <w:rPr>
          <w:rFonts w:ascii="Verdana" w:hAnsi="Verdana"/>
          <w:b/>
          <w:bCs/>
          <w:color w:val="800000"/>
          <w:sz w:val="20"/>
          <w:szCs w:val="20"/>
        </w:rPr>
        <w:t xml:space="preserve">DE </w:t>
      </w:r>
      <w:r w:rsidR="00E077F2">
        <w:rPr>
          <w:rFonts w:ascii="Verdana" w:hAnsi="Verdana"/>
          <w:b/>
          <w:bCs/>
          <w:color w:val="800000"/>
          <w:sz w:val="20"/>
          <w:szCs w:val="20"/>
        </w:rPr>
        <w:t>202</w:t>
      </w:r>
      <w:r w:rsidR="004B66DB">
        <w:rPr>
          <w:rFonts w:ascii="Verdana" w:hAnsi="Verdana"/>
          <w:b/>
          <w:bCs/>
          <w:color w:val="800000"/>
          <w:sz w:val="20"/>
          <w:szCs w:val="20"/>
        </w:rPr>
        <w:t>6</w:t>
      </w:r>
    </w:p>
    <w:p w14:paraId="082835CE" w14:textId="77777777" w:rsidR="008A21F6" w:rsidRDefault="008A21F6" w:rsidP="008A21F6">
      <w:pPr>
        <w:shd w:val="clear" w:color="auto" w:fill="FFFFFF"/>
        <w:tabs>
          <w:tab w:val="left" w:pos="0"/>
        </w:tabs>
        <w:jc w:val="both"/>
        <w:rPr>
          <w:rFonts w:ascii="Verdana" w:hAnsi="Verdana"/>
          <w:b/>
          <w:bCs/>
          <w:color w:val="800000"/>
          <w:sz w:val="18"/>
          <w:szCs w:val="18"/>
        </w:rPr>
      </w:pPr>
    </w:p>
    <w:p w14:paraId="06925E3B" w14:textId="77777777" w:rsidR="00250385" w:rsidRPr="00250385" w:rsidRDefault="00250385" w:rsidP="00250385">
      <w:pPr>
        <w:shd w:val="clear" w:color="auto" w:fill="FFFFFF"/>
        <w:tabs>
          <w:tab w:val="left" w:pos="0"/>
        </w:tabs>
        <w:jc w:val="both"/>
        <w:rPr>
          <w:rFonts w:ascii="Verdana" w:hAnsi="Verdana"/>
          <w:b/>
          <w:bCs/>
          <w:color w:val="800000"/>
          <w:sz w:val="18"/>
          <w:szCs w:val="18"/>
        </w:rPr>
      </w:pPr>
      <w:r w:rsidRPr="00250385">
        <w:rPr>
          <w:rFonts w:ascii="Verdana" w:hAnsi="Verdana"/>
          <w:b/>
          <w:bCs/>
          <w:color w:val="800000"/>
          <w:sz w:val="18"/>
          <w:szCs w:val="18"/>
        </w:rPr>
        <w:t>Avales. Gestión informatizada</w:t>
      </w:r>
    </w:p>
    <w:p w14:paraId="14AE36FE" w14:textId="3835AB11" w:rsidR="00E77021" w:rsidRPr="00250385" w:rsidRDefault="00250385" w:rsidP="00250385">
      <w:pPr>
        <w:shd w:val="clear" w:color="auto" w:fill="FFFFFF"/>
        <w:tabs>
          <w:tab w:val="left" w:pos="0"/>
        </w:tabs>
        <w:jc w:val="both"/>
        <w:rPr>
          <w:rFonts w:ascii="Verdana" w:hAnsi="Verdana"/>
          <w:i/>
          <w:iCs/>
          <w:sz w:val="18"/>
          <w:szCs w:val="18"/>
        </w:rPr>
      </w:pPr>
      <w:r w:rsidRPr="00250385">
        <w:rPr>
          <w:rFonts w:ascii="Verdana" w:hAnsi="Verdana"/>
          <w:sz w:val="18"/>
          <w:szCs w:val="18"/>
        </w:rPr>
        <w:t>Resolución de 26 de febrero de 2026, de la Dirección General de la Agencia Estatal de Administración Tributaria, por la que se modifica la de 28 de febrero de 2006, por la que se establecen las condiciones generales y el procedimiento para la validación mediante un código NRC de los avales otorgados por las entidades de crédito y por las sociedades de garantía recíproca y presentados por los interesados ante la Administración Tributaria</w:t>
      </w:r>
      <w:r w:rsidRPr="00250385">
        <w:rPr>
          <w:rFonts w:ascii="Verdana" w:hAnsi="Verdana"/>
          <w:b/>
          <w:bCs/>
          <w:sz w:val="18"/>
          <w:szCs w:val="18"/>
        </w:rPr>
        <w:t>.</w:t>
      </w:r>
      <w:r w:rsidR="00E077F2" w:rsidRPr="00250385">
        <w:rPr>
          <w:rFonts w:ascii="Verdana" w:hAnsi="Verdana"/>
          <w:sz w:val="18"/>
          <w:szCs w:val="18"/>
        </w:rPr>
        <w:t xml:space="preserve"> </w:t>
      </w:r>
    </w:p>
    <w:p w14:paraId="280952BC" w14:textId="77777777" w:rsidR="00F725FD" w:rsidRDefault="00250385" w:rsidP="00F725FD">
      <w:pPr>
        <w:pBdr>
          <w:bottom w:val="single" w:sz="6" w:space="31" w:color="F4F4F4"/>
        </w:pBdr>
        <w:shd w:val="clear" w:color="auto" w:fill="FFFFFF"/>
        <w:contextualSpacing/>
        <w:jc w:val="both"/>
        <w:rPr>
          <w:rFonts w:ascii="Verdana" w:hAnsi="Verdana"/>
          <w:i/>
          <w:iCs/>
          <w:color w:val="333333"/>
          <w:sz w:val="18"/>
          <w:szCs w:val="18"/>
        </w:rPr>
      </w:pPr>
      <w:bookmarkStart w:id="4" w:name="_Hlk225612589"/>
      <w:r w:rsidRPr="00250385">
        <w:rPr>
          <w:rFonts w:ascii="Verdana" w:hAnsi="Verdana"/>
          <w:i/>
          <w:iCs/>
          <w:color w:val="333333"/>
          <w:sz w:val="18"/>
          <w:szCs w:val="18"/>
        </w:rPr>
        <w:t>Ministerio de Hacienda. B.O.E. núm. 59 de 7 de marzo de 2026.</w:t>
      </w:r>
    </w:p>
    <w:bookmarkEnd w:id="4"/>
    <w:p w14:paraId="0C5D128D" w14:textId="77777777" w:rsidR="00F725FD" w:rsidRDefault="00F725FD" w:rsidP="00F725FD">
      <w:pPr>
        <w:pBdr>
          <w:bottom w:val="single" w:sz="6" w:space="31" w:color="F4F4F4"/>
        </w:pBdr>
        <w:shd w:val="clear" w:color="auto" w:fill="FFFFFF"/>
        <w:contextualSpacing/>
        <w:jc w:val="both"/>
        <w:rPr>
          <w:rFonts w:ascii="Verdana" w:hAnsi="Verdana"/>
          <w:i/>
          <w:iCs/>
          <w:color w:val="333333"/>
          <w:sz w:val="18"/>
          <w:szCs w:val="18"/>
        </w:rPr>
      </w:pPr>
    </w:p>
    <w:p w14:paraId="72AA4E89" w14:textId="08B7C068" w:rsidR="0020129A" w:rsidRPr="00F725FD" w:rsidRDefault="0020129A" w:rsidP="00F725FD">
      <w:pPr>
        <w:pBdr>
          <w:bottom w:val="single" w:sz="6" w:space="31" w:color="F4F4F4"/>
        </w:pBdr>
        <w:shd w:val="clear" w:color="auto" w:fill="FFFFFF"/>
        <w:contextualSpacing/>
        <w:jc w:val="both"/>
        <w:rPr>
          <w:rFonts w:ascii="Verdana" w:hAnsi="Verdana"/>
          <w:i/>
          <w:iCs/>
          <w:color w:val="333333"/>
          <w:sz w:val="18"/>
          <w:szCs w:val="18"/>
        </w:rPr>
      </w:pPr>
      <w:r w:rsidRPr="0020129A">
        <w:rPr>
          <w:rFonts w:ascii="Verdana" w:hAnsi="Verdana"/>
          <w:b/>
          <w:bCs/>
          <w:color w:val="800000"/>
          <w:sz w:val="18"/>
          <w:szCs w:val="18"/>
        </w:rPr>
        <w:t>Medidas urgentes</w:t>
      </w:r>
    </w:p>
    <w:p w14:paraId="399F5721" w14:textId="0A93DC41" w:rsidR="0020129A" w:rsidRPr="0020129A" w:rsidRDefault="0020129A" w:rsidP="0020129A">
      <w:pPr>
        <w:pBdr>
          <w:bottom w:val="single" w:sz="6" w:space="31" w:color="F4F4F4"/>
        </w:pBdr>
        <w:shd w:val="clear" w:color="auto" w:fill="FFFFFF"/>
        <w:contextualSpacing/>
        <w:jc w:val="both"/>
        <w:rPr>
          <w:rFonts w:ascii="Verdana" w:hAnsi="Verdana"/>
          <w:color w:val="333333"/>
          <w:sz w:val="18"/>
          <w:szCs w:val="18"/>
        </w:rPr>
      </w:pPr>
      <w:r w:rsidRPr="0020129A">
        <w:rPr>
          <w:rFonts w:ascii="Verdana" w:hAnsi="Verdana"/>
          <w:color w:val="333333"/>
          <w:sz w:val="18"/>
          <w:szCs w:val="18"/>
        </w:rPr>
        <w:t>Real Decreto-ley 7/2026, de 20 de marzo, por el que se aprueba el Plan Integral de Respuesta a la Crisis en Oriente Medio.</w:t>
      </w:r>
    </w:p>
    <w:p w14:paraId="604226E4" w14:textId="067A44E7" w:rsidR="0020129A" w:rsidRDefault="0020129A" w:rsidP="0020129A">
      <w:pPr>
        <w:pBdr>
          <w:bottom w:val="single" w:sz="6" w:space="31" w:color="F4F4F4"/>
        </w:pBdr>
        <w:shd w:val="clear" w:color="auto" w:fill="FFFFFF"/>
        <w:contextualSpacing/>
        <w:jc w:val="both"/>
        <w:rPr>
          <w:rFonts w:ascii="Verdana" w:hAnsi="Verdana"/>
          <w:i/>
          <w:iCs/>
          <w:color w:val="333333"/>
          <w:sz w:val="18"/>
          <w:szCs w:val="18"/>
        </w:rPr>
      </w:pPr>
      <w:r>
        <w:rPr>
          <w:rFonts w:ascii="Verdana" w:hAnsi="Verdana"/>
          <w:i/>
          <w:iCs/>
          <w:color w:val="333333"/>
          <w:sz w:val="18"/>
          <w:szCs w:val="18"/>
        </w:rPr>
        <w:t>Jefatura del Estado. B.O.E. núm. 71 de 21 de marzo de 2026.</w:t>
      </w:r>
    </w:p>
    <w:p w14:paraId="19C1CBA1" w14:textId="77777777" w:rsidR="006154C5" w:rsidRDefault="006154C5" w:rsidP="0020129A">
      <w:pPr>
        <w:pBdr>
          <w:bottom w:val="single" w:sz="6" w:space="31" w:color="F4F4F4"/>
        </w:pBdr>
        <w:shd w:val="clear" w:color="auto" w:fill="FFFFFF"/>
        <w:contextualSpacing/>
        <w:jc w:val="both"/>
        <w:rPr>
          <w:rFonts w:ascii="Verdana" w:hAnsi="Verdana"/>
          <w:i/>
          <w:iCs/>
          <w:color w:val="333333"/>
          <w:sz w:val="18"/>
          <w:szCs w:val="18"/>
        </w:rPr>
      </w:pPr>
    </w:p>
    <w:p w14:paraId="073CE182" w14:textId="052CB025" w:rsidR="00E6163C" w:rsidRPr="00E6163C" w:rsidRDefault="00E6163C" w:rsidP="0020129A">
      <w:pPr>
        <w:pBdr>
          <w:bottom w:val="single" w:sz="6" w:space="31" w:color="F4F4F4"/>
        </w:pBdr>
        <w:shd w:val="clear" w:color="auto" w:fill="FFFFFF"/>
        <w:contextualSpacing/>
        <w:jc w:val="both"/>
        <w:rPr>
          <w:rFonts w:ascii="Verdana" w:hAnsi="Verdana"/>
          <w:sz w:val="18"/>
          <w:szCs w:val="18"/>
        </w:rPr>
      </w:pPr>
      <w:r w:rsidRPr="00E6163C">
        <w:rPr>
          <w:rFonts w:ascii="Verdana" w:hAnsi="Verdana"/>
          <w:sz w:val="18"/>
          <w:szCs w:val="18"/>
        </w:rPr>
        <w:t>Resolución de 26 de marzo de 2026, del Congreso de los Diputados, por la que se ordena la publicación del Acuerdo de convalidación del Real Decreto-ley 7/2026, de 20 de marzo, por el que se aprueba el Plan Integral de Respuesta a la Crisis en Oriente Medio.</w:t>
      </w:r>
    </w:p>
    <w:p w14:paraId="39E1693B" w14:textId="073AB512" w:rsidR="00E6163C" w:rsidRDefault="00E6163C" w:rsidP="0020129A">
      <w:pPr>
        <w:pBdr>
          <w:bottom w:val="single" w:sz="6" w:space="31" w:color="F4F4F4"/>
        </w:pBdr>
        <w:shd w:val="clear" w:color="auto" w:fill="FFFFFF"/>
        <w:contextualSpacing/>
        <w:jc w:val="both"/>
        <w:rPr>
          <w:rFonts w:ascii="Verdana" w:hAnsi="Verdana"/>
          <w:i/>
          <w:iCs/>
          <w:color w:val="333333"/>
          <w:sz w:val="18"/>
          <w:szCs w:val="18"/>
        </w:rPr>
      </w:pPr>
      <w:r>
        <w:rPr>
          <w:rFonts w:ascii="Verdana" w:hAnsi="Verdana"/>
          <w:i/>
          <w:iCs/>
          <w:color w:val="333333"/>
          <w:sz w:val="18"/>
          <w:szCs w:val="18"/>
        </w:rPr>
        <w:t xml:space="preserve">Cortes Generales. B.O.E. núm.77 de 28 de marzo de 2026. </w:t>
      </w:r>
    </w:p>
    <w:p w14:paraId="570FD623" w14:textId="77777777" w:rsidR="00F725FD" w:rsidRDefault="00F725FD" w:rsidP="0020129A">
      <w:pPr>
        <w:pBdr>
          <w:bottom w:val="single" w:sz="6" w:space="31" w:color="F4F4F4"/>
        </w:pBdr>
        <w:shd w:val="clear" w:color="auto" w:fill="FFFFFF"/>
        <w:contextualSpacing/>
        <w:jc w:val="both"/>
        <w:rPr>
          <w:rFonts w:ascii="Verdana" w:hAnsi="Verdana"/>
          <w:i/>
          <w:iCs/>
          <w:color w:val="333333"/>
          <w:sz w:val="18"/>
          <w:szCs w:val="18"/>
        </w:rPr>
      </w:pPr>
    </w:p>
    <w:p w14:paraId="2D4A6570" w14:textId="6470E17F" w:rsidR="00F725FD" w:rsidRPr="00F725FD" w:rsidRDefault="00F725FD" w:rsidP="00F725FD">
      <w:pPr>
        <w:pBdr>
          <w:bottom w:val="single" w:sz="6" w:space="31" w:color="F4F4F4"/>
        </w:pBdr>
        <w:shd w:val="clear" w:color="auto" w:fill="FFFFFF"/>
        <w:contextualSpacing/>
        <w:jc w:val="both"/>
        <w:rPr>
          <w:rFonts w:ascii="Verdana" w:hAnsi="Verdana"/>
          <w:b/>
          <w:bCs/>
          <w:color w:val="800000"/>
          <w:sz w:val="18"/>
          <w:szCs w:val="18"/>
        </w:rPr>
      </w:pPr>
      <w:r w:rsidRPr="00F725FD">
        <w:rPr>
          <w:rFonts w:ascii="Verdana" w:hAnsi="Verdana"/>
          <w:b/>
          <w:bCs/>
          <w:color w:val="800000"/>
          <w:sz w:val="18"/>
          <w:szCs w:val="18"/>
        </w:rPr>
        <w:t>Impuestos</w:t>
      </w:r>
      <w:r>
        <w:rPr>
          <w:rFonts w:ascii="Verdana" w:hAnsi="Verdana"/>
          <w:b/>
          <w:bCs/>
          <w:color w:val="800000"/>
          <w:sz w:val="18"/>
          <w:szCs w:val="18"/>
        </w:rPr>
        <w:t>.</w:t>
      </w:r>
      <w:r w:rsidRPr="00F725FD">
        <w:rPr>
          <w:rFonts w:ascii="Verdana" w:hAnsi="Verdana"/>
          <w:color w:val="333333"/>
          <w:sz w:val="18"/>
          <w:szCs w:val="18"/>
        </w:rPr>
        <w:t xml:space="preserve"> </w:t>
      </w:r>
      <w:r>
        <w:rPr>
          <w:rFonts w:ascii="Verdana" w:hAnsi="Verdana"/>
          <w:b/>
          <w:bCs/>
          <w:color w:val="800000"/>
          <w:sz w:val="18"/>
          <w:szCs w:val="18"/>
        </w:rPr>
        <w:t>M</w:t>
      </w:r>
      <w:r w:rsidRPr="00F725FD">
        <w:rPr>
          <w:rFonts w:ascii="Verdana" w:hAnsi="Verdana"/>
          <w:b/>
          <w:bCs/>
          <w:color w:val="800000"/>
          <w:sz w:val="18"/>
          <w:szCs w:val="18"/>
        </w:rPr>
        <w:t>odelos de declaración del Impuesto sobre la Renta de las Personas Físicas y del Impuesto sobre el Patrimonio</w:t>
      </w:r>
      <w:r>
        <w:rPr>
          <w:rFonts w:ascii="Verdana" w:hAnsi="Verdana"/>
          <w:b/>
          <w:bCs/>
          <w:color w:val="800000"/>
          <w:sz w:val="18"/>
          <w:szCs w:val="18"/>
        </w:rPr>
        <w:t xml:space="preserve"> </w:t>
      </w:r>
    </w:p>
    <w:p w14:paraId="562ABD56" w14:textId="1A225720" w:rsidR="00F725FD" w:rsidRDefault="00F725FD" w:rsidP="00F725FD">
      <w:pPr>
        <w:pBdr>
          <w:bottom w:val="single" w:sz="6" w:space="31" w:color="F4F4F4"/>
        </w:pBdr>
        <w:shd w:val="clear" w:color="auto" w:fill="FFFFFF"/>
        <w:contextualSpacing/>
        <w:jc w:val="both"/>
        <w:rPr>
          <w:rFonts w:ascii="Verdana" w:hAnsi="Verdana"/>
          <w:color w:val="333333"/>
          <w:sz w:val="18"/>
          <w:szCs w:val="18"/>
        </w:rPr>
      </w:pPr>
      <w:r w:rsidRPr="00F725FD">
        <w:rPr>
          <w:rFonts w:ascii="Verdana" w:hAnsi="Verdana"/>
          <w:color w:val="333333"/>
          <w:sz w:val="18"/>
          <w:szCs w:val="18"/>
        </w:rPr>
        <w:t xml:space="preserve">Orden HAC/277/2026, de 25 de marzo, por la que se aprueban los </w:t>
      </w:r>
      <w:bookmarkStart w:id="5" w:name="_Hlk225612565"/>
      <w:r w:rsidRPr="00F725FD">
        <w:rPr>
          <w:rFonts w:ascii="Verdana" w:hAnsi="Verdana"/>
          <w:color w:val="333333"/>
          <w:sz w:val="18"/>
          <w:szCs w:val="18"/>
        </w:rPr>
        <w:t>modelos de declaración del Impuesto sobre la Renta de las Personas Físicas y del Impuesto sobre el Patrimonio</w:t>
      </w:r>
      <w:bookmarkEnd w:id="5"/>
      <w:r w:rsidRPr="00F725FD">
        <w:rPr>
          <w:rFonts w:ascii="Verdana" w:hAnsi="Verdana"/>
          <w:color w:val="333333"/>
          <w:sz w:val="18"/>
          <w:szCs w:val="18"/>
        </w:rPr>
        <w:t>, ejercicio 2025, se determinan el lugar, forma y plazos de presentación de los mismos, se establecen los procedimientos de obtención, modificación, confirmación y presentación del borrador de declaración del Impuesto sobre la Renta de las Personas Físicas y se determinan las condiciones generales y el procedimiento para la presentación de ambos por medios electrónicos.</w:t>
      </w:r>
    </w:p>
    <w:p w14:paraId="79A4A0BB" w14:textId="25E06C8B" w:rsidR="00F725FD" w:rsidRDefault="00F725FD" w:rsidP="00F725FD">
      <w:pPr>
        <w:pBdr>
          <w:bottom w:val="single" w:sz="6" w:space="31" w:color="F4F4F4"/>
        </w:pBdr>
        <w:shd w:val="clear" w:color="auto" w:fill="FFFFFF"/>
        <w:contextualSpacing/>
        <w:jc w:val="both"/>
        <w:rPr>
          <w:rFonts w:ascii="Verdana" w:hAnsi="Verdana"/>
          <w:i/>
          <w:iCs/>
          <w:color w:val="333333"/>
          <w:sz w:val="18"/>
          <w:szCs w:val="18"/>
        </w:rPr>
      </w:pPr>
      <w:r w:rsidRPr="00250385">
        <w:rPr>
          <w:rFonts w:ascii="Verdana" w:hAnsi="Verdana"/>
          <w:i/>
          <w:iCs/>
          <w:color w:val="333333"/>
          <w:sz w:val="18"/>
          <w:szCs w:val="18"/>
        </w:rPr>
        <w:t xml:space="preserve">Ministerio de Hacienda. B.O.E. núm. </w:t>
      </w:r>
      <w:r>
        <w:rPr>
          <w:rFonts w:ascii="Verdana" w:hAnsi="Verdana"/>
          <w:i/>
          <w:iCs/>
          <w:color w:val="333333"/>
          <w:sz w:val="18"/>
          <w:szCs w:val="18"/>
        </w:rPr>
        <w:t>76</w:t>
      </w:r>
      <w:r w:rsidRPr="00250385">
        <w:rPr>
          <w:rFonts w:ascii="Verdana" w:hAnsi="Verdana"/>
          <w:i/>
          <w:iCs/>
          <w:color w:val="333333"/>
          <w:sz w:val="18"/>
          <w:szCs w:val="18"/>
        </w:rPr>
        <w:t xml:space="preserve"> de</w:t>
      </w:r>
      <w:r>
        <w:rPr>
          <w:rFonts w:ascii="Verdana" w:hAnsi="Verdana"/>
          <w:i/>
          <w:iCs/>
          <w:color w:val="333333"/>
          <w:sz w:val="18"/>
          <w:szCs w:val="18"/>
        </w:rPr>
        <w:t xml:space="preserve"> 2</w:t>
      </w:r>
      <w:r w:rsidRPr="00250385">
        <w:rPr>
          <w:rFonts w:ascii="Verdana" w:hAnsi="Verdana"/>
          <w:i/>
          <w:iCs/>
          <w:color w:val="333333"/>
          <w:sz w:val="18"/>
          <w:szCs w:val="18"/>
        </w:rPr>
        <w:t>7 de marzo de 2026.</w:t>
      </w:r>
    </w:p>
    <w:p w14:paraId="4C853399" w14:textId="77777777" w:rsidR="00F725FD" w:rsidRPr="00F725FD" w:rsidRDefault="00F725FD" w:rsidP="00F725FD">
      <w:pPr>
        <w:pBdr>
          <w:bottom w:val="single" w:sz="6" w:space="31" w:color="F4F4F4"/>
        </w:pBdr>
        <w:shd w:val="clear" w:color="auto" w:fill="FFFFFF"/>
        <w:contextualSpacing/>
        <w:jc w:val="both"/>
        <w:rPr>
          <w:rFonts w:ascii="Verdana" w:hAnsi="Verdana"/>
          <w:color w:val="333333"/>
          <w:sz w:val="18"/>
          <w:szCs w:val="18"/>
        </w:rPr>
      </w:pPr>
    </w:p>
    <w:p w14:paraId="36A2644B" w14:textId="0EEE52F6" w:rsidR="008A21F6" w:rsidRDefault="008A21F6" w:rsidP="008A21F6">
      <w:pPr>
        <w:pBdr>
          <w:bottom w:val="single" w:sz="6" w:space="31" w:color="F4F4F4"/>
        </w:pBdr>
        <w:shd w:val="clear" w:color="auto" w:fill="FFFFFF"/>
        <w:contextualSpacing/>
        <w:jc w:val="both"/>
        <w:rPr>
          <w:rFonts w:ascii="Verdana" w:hAnsi="Verdana"/>
          <w:color w:val="333333"/>
          <w:sz w:val="18"/>
          <w:szCs w:val="18"/>
        </w:rPr>
      </w:pPr>
    </w:p>
    <w:p w14:paraId="67F1664E" w14:textId="00977101" w:rsidR="008A21F6" w:rsidRDefault="008A21F6" w:rsidP="008A21F6">
      <w:pPr>
        <w:pBdr>
          <w:bottom w:val="single" w:sz="6" w:space="31" w:color="F4F4F4"/>
        </w:pBdr>
        <w:shd w:val="clear" w:color="auto" w:fill="FFFFFF"/>
        <w:contextualSpacing/>
        <w:jc w:val="center"/>
        <w:rPr>
          <w:rFonts w:ascii="Verdana" w:hAnsi="Verdana"/>
          <w:b/>
          <w:bCs/>
          <w:color w:val="800000"/>
          <w:sz w:val="20"/>
          <w:szCs w:val="20"/>
        </w:rPr>
      </w:pPr>
      <w:r w:rsidRPr="00E65B0A">
        <w:rPr>
          <w:rFonts w:ascii="Verdana" w:hAnsi="Verdana"/>
          <w:b/>
          <w:bCs/>
          <w:color w:val="800000"/>
          <w:sz w:val="20"/>
          <w:szCs w:val="20"/>
        </w:rPr>
        <w:t>COMUNIDADES AUTÓNOMAS Y FORALES</w:t>
      </w:r>
    </w:p>
    <w:p w14:paraId="7750FD94" w14:textId="77777777" w:rsidR="00250385" w:rsidRDefault="00250385" w:rsidP="008A21F6">
      <w:pPr>
        <w:pBdr>
          <w:bottom w:val="single" w:sz="6" w:space="31" w:color="F4F4F4"/>
        </w:pBdr>
        <w:shd w:val="clear" w:color="auto" w:fill="FFFFFF"/>
        <w:contextualSpacing/>
        <w:jc w:val="center"/>
        <w:rPr>
          <w:rFonts w:ascii="Verdana" w:hAnsi="Verdana"/>
          <w:b/>
          <w:bCs/>
          <w:color w:val="800000"/>
          <w:sz w:val="20"/>
          <w:szCs w:val="20"/>
        </w:rPr>
      </w:pPr>
    </w:p>
    <w:p w14:paraId="4B3FF692" w14:textId="77777777" w:rsidR="00E6163C" w:rsidRDefault="00E6163C" w:rsidP="008A21F6">
      <w:pPr>
        <w:pBdr>
          <w:bottom w:val="single" w:sz="6" w:space="31" w:color="F4F4F4"/>
        </w:pBdr>
        <w:shd w:val="clear" w:color="auto" w:fill="FFFFFF"/>
        <w:contextualSpacing/>
        <w:jc w:val="center"/>
        <w:rPr>
          <w:rFonts w:ascii="Verdana" w:hAnsi="Verdana"/>
          <w:b/>
          <w:bCs/>
          <w:color w:val="800000"/>
          <w:sz w:val="20"/>
          <w:szCs w:val="20"/>
        </w:rPr>
      </w:pPr>
    </w:p>
    <w:p w14:paraId="7B1591DF" w14:textId="77777777" w:rsidR="00250385" w:rsidRPr="00250385" w:rsidRDefault="00250385" w:rsidP="00250385">
      <w:pPr>
        <w:pBdr>
          <w:bottom w:val="single" w:sz="6" w:space="31" w:color="F4F4F4"/>
        </w:pBdr>
        <w:shd w:val="clear" w:color="auto" w:fill="FFFFFF"/>
        <w:contextualSpacing/>
        <w:jc w:val="both"/>
        <w:rPr>
          <w:rFonts w:ascii="Verdana" w:hAnsi="Verdana"/>
          <w:b/>
          <w:bCs/>
          <w:color w:val="800000"/>
          <w:sz w:val="20"/>
          <w:szCs w:val="20"/>
        </w:rPr>
      </w:pPr>
      <w:r w:rsidRPr="00250385">
        <w:rPr>
          <w:rFonts w:ascii="Verdana" w:hAnsi="Verdana"/>
          <w:b/>
          <w:bCs/>
          <w:color w:val="800000"/>
          <w:sz w:val="20"/>
          <w:szCs w:val="20"/>
        </w:rPr>
        <w:t>COMUNIDAD FORAL DE NAVARRA</w:t>
      </w:r>
    </w:p>
    <w:p w14:paraId="058A02F0" w14:textId="77777777" w:rsidR="00250385" w:rsidRPr="00250385" w:rsidRDefault="00250385" w:rsidP="00250385">
      <w:pPr>
        <w:pBdr>
          <w:bottom w:val="single" w:sz="6" w:space="31" w:color="F4F4F4"/>
        </w:pBdr>
        <w:shd w:val="clear" w:color="auto" w:fill="FFFFFF"/>
        <w:contextualSpacing/>
        <w:jc w:val="both"/>
        <w:rPr>
          <w:rFonts w:ascii="Verdana" w:hAnsi="Verdana"/>
          <w:b/>
          <w:bCs/>
          <w:color w:val="800000"/>
          <w:sz w:val="20"/>
          <w:szCs w:val="20"/>
        </w:rPr>
      </w:pPr>
      <w:r w:rsidRPr="00250385">
        <w:rPr>
          <w:rFonts w:ascii="Verdana" w:hAnsi="Verdana"/>
          <w:b/>
          <w:bCs/>
          <w:color w:val="800000"/>
          <w:sz w:val="20"/>
          <w:szCs w:val="20"/>
        </w:rPr>
        <w:t>Presupuestos</w:t>
      </w:r>
    </w:p>
    <w:p w14:paraId="6B29A3DF" w14:textId="1A9F6C75" w:rsidR="00250385" w:rsidRDefault="00250385" w:rsidP="00250385">
      <w:pPr>
        <w:pBdr>
          <w:bottom w:val="single" w:sz="6" w:space="31" w:color="F4F4F4"/>
        </w:pBdr>
        <w:shd w:val="clear" w:color="auto" w:fill="FFFFFF"/>
        <w:contextualSpacing/>
        <w:jc w:val="both"/>
        <w:rPr>
          <w:rFonts w:ascii="Verdana" w:hAnsi="Verdana"/>
          <w:sz w:val="20"/>
          <w:szCs w:val="20"/>
        </w:rPr>
      </w:pPr>
      <w:r w:rsidRPr="00250385">
        <w:rPr>
          <w:rFonts w:ascii="Verdana" w:hAnsi="Verdana"/>
          <w:sz w:val="20"/>
          <w:szCs w:val="20"/>
        </w:rPr>
        <w:t>Ley Foral 16/2025, de 22 de diciembre, de Presupuestos Generales de Navarra para el año 2026.</w:t>
      </w:r>
    </w:p>
    <w:p w14:paraId="38A72F7D" w14:textId="673292AC" w:rsidR="00250385" w:rsidRDefault="00250385" w:rsidP="00250385">
      <w:pPr>
        <w:pBdr>
          <w:bottom w:val="single" w:sz="6" w:space="31" w:color="F4F4F4"/>
        </w:pBdr>
        <w:shd w:val="clear" w:color="auto" w:fill="FFFFFF"/>
        <w:contextualSpacing/>
        <w:jc w:val="both"/>
        <w:rPr>
          <w:rFonts w:ascii="Verdana" w:hAnsi="Verdana"/>
          <w:i/>
          <w:iCs/>
          <w:sz w:val="20"/>
          <w:szCs w:val="20"/>
        </w:rPr>
      </w:pPr>
      <w:bookmarkStart w:id="6" w:name="_Hlk225262905"/>
      <w:r w:rsidRPr="00250385">
        <w:rPr>
          <w:rFonts w:ascii="Verdana" w:hAnsi="Verdana"/>
          <w:i/>
          <w:iCs/>
          <w:sz w:val="20"/>
          <w:szCs w:val="20"/>
        </w:rPr>
        <w:t>B.O.E. núm. 62 de 11 de marzo de 2026.</w:t>
      </w:r>
    </w:p>
    <w:bookmarkEnd w:id="6"/>
    <w:p w14:paraId="34EC3125" w14:textId="77777777" w:rsidR="00373BD6" w:rsidRDefault="00373BD6" w:rsidP="00250385">
      <w:pPr>
        <w:pBdr>
          <w:bottom w:val="single" w:sz="6" w:space="31" w:color="F4F4F4"/>
        </w:pBdr>
        <w:shd w:val="clear" w:color="auto" w:fill="FFFFFF"/>
        <w:contextualSpacing/>
        <w:jc w:val="both"/>
        <w:rPr>
          <w:rFonts w:ascii="Verdana" w:hAnsi="Verdana"/>
          <w:i/>
          <w:iCs/>
          <w:sz w:val="20"/>
          <w:szCs w:val="20"/>
        </w:rPr>
      </w:pPr>
    </w:p>
    <w:p w14:paraId="05B65F7C" w14:textId="77777777" w:rsidR="00373BD6" w:rsidRPr="00373BD6" w:rsidRDefault="00373BD6" w:rsidP="00373BD6">
      <w:pPr>
        <w:pBdr>
          <w:bottom w:val="single" w:sz="6" w:space="31" w:color="F4F4F4"/>
        </w:pBdr>
        <w:shd w:val="clear" w:color="auto" w:fill="FFFFFF"/>
        <w:contextualSpacing/>
        <w:jc w:val="both"/>
        <w:rPr>
          <w:rFonts w:ascii="Verdana" w:hAnsi="Verdana"/>
          <w:b/>
          <w:bCs/>
          <w:color w:val="800000"/>
          <w:sz w:val="20"/>
          <w:szCs w:val="20"/>
        </w:rPr>
      </w:pPr>
      <w:r w:rsidRPr="00373BD6">
        <w:rPr>
          <w:rFonts w:ascii="Verdana" w:hAnsi="Verdana"/>
          <w:b/>
          <w:bCs/>
          <w:color w:val="800000"/>
          <w:sz w:val="20"/>
          <w:szCs w:val="20"/>
        </w:rPr>
        <w:t>COMUNIDAD AUTÓNOMA DE CATALUÑA</w:t>
      </w:r>
    </w:p>
    <w:p w14:paraId="4079BC50" w14:textId="77777777" w:rsidR="00373BD6" w:rsidRPr="00373BD6" w:rsidRDefault="00373BD6" w:rsidP="00373BD6">
      <w:pPr>
        <w:pBdr>
          <w:bottom w:val="single" w:sz="6" w:space="31" w:color="F4F4F4"/>
        </w:pBdr>
        <w:shd w:val="clear" w:color="auto" w:fill="FFFFFF"/>
        <w:contextualSpacing/>
        <w:jc w:val="both"/>
        <w:rPr>
          <w:rFonts w:ascii="Verdana" w:hAnsi="Verdana"/>
          <w:b/>
          <w:bCs/>
          <w:color w:val="800000"/>
          <w:sz w:val="20"/>
          <w:szCs w:val="20"/>
        </w:rPr>
      </w:pPr>
      <w:r w:rsidRPr="00373BD6">
        <w:rPr>
          <w:rFonts w:ascii="Verdana" w:hAnsi="Verdana"/>
          <w:b/>
          <w:bCs/>
          <w:color w:val="800000"/>
          <w:sz w:val="20"/>
          <w:szCs w:val="20"/>
        </w:rPr>
        <w:t>Impuestos</w:t>
      </w:r>
    </w:p>
    <w:p w14:paraId="28D9A087" w14:textId="193A1F9B" w:rsidR="00373BD6" w:rsidRDefault="00373BD6" w:rsidP="00373BD6">
      <w:pPr>
        <w:pBdr>
          <w:bottom w:val="single" w:sz="6" w:space="31" w:color="F4F4F4"/>
        </w:pBdr>
        <w:shd w:val="clear" w:color="auto" w:fill="FFFFFF"/>
        <w:contextualSpacing/>
        <w:jc w:val="both"/>
        <w:rPr>
          <w:rFonts w:ascii="Verdana" w:hAnsi="Verdana"/>
          <w:sz w:val="20"/>
          <w:szCs w:val="20"/>
        </w:rPr>
      </w:pPr>
      <w:r w:rsidRPr="00373BD6">
        <w:rPr>
          <w:rFonts w:ascii="Verdana" w:hAnsi="Verdana"/>
          <w:sz w:val="20"/>
          <w:szCs w:val="20"/>
        </w:rPr>
        <w:t>Ley 2/2026, de 6 de marzo, de modificación del impuesto sobre las estancias en establecimientos turísticos y de creación de la tasa por el servicio de gestión y recaudación del recargo municipal del impuesto.</w:t>
      </w:r>
    </w:p>
    <w:p w14:paraId="0749279D" w14:textId="33BCD553" w:rsidR="00373BD6" w:rsidRPr="00373BD6" w:rsidRDefault="00373BD6" w:rsidP="00373BD6">
      <w:pPr>
        <w:pBdr>
          <w:bottom w:val="single" w:sz="6" w:space="31" w:color="F4F4F4"/>
        </w:pBdr>
        <w:shd w:val="clear" w:color="auto" w:fill="FFFFFF"/>
        <w:contextualSpacing/>
        <w:jc w:val="both"/>
        <w:rPr>
          <w:rFonts w:ascii="Verdana" w:hAnsi="Verdana"/>
          <w:i/>
          <w:iCs/>
          <w:sz w:val="20"/>
          <w:szCs w:val="20"/>
        </w:rPr>
      </w:pPr>
      <w:r w:rsidRPr="00373BD6">
        <w:rPr>
          <w:rFonts w:ascii="Verdana" w:hAnsi="Verdana"/>
          <w:i/>
          <w:iCs/>
          <w:sz w:val="20"/>
          <w:szCs w:val="20"/>
        </w:rPr>
        <w:t xml:space="preserve">B.O.E. núm. </w:t>
      </w:r>
      <w:r>
        <w:rPr>
          <w:rFonts w:ascii="Verdana" w:hAnsi="Verdana"/>
          <w:i/>
          <w:iCs/>
          <w:sz w:val="20"/>
          <w:szCs w:val="20"/>
        </w:rPr>
        <w:t>72</w:t>
      </w:r>
      <w:r w:rsidRPr="00373BD6">
        <w:rPr>
          <w:rFonts w:ascii="Verdana" w:hAnsi="Verdana"/>
          <w:i/>
          <w:iCs/>
          <w:sz w:val="20"/>
          <w:szCs w:val="20"/>
        </w:rPr>
        <w:t xml:space="preserve"> de </w:t>
      </w:r>
      <w:r w:rsidR="001105D4">
        <w:rPr>
          <w:rFonts w:ascii="Verdana" w:hAnsi="Verdana"/>
          <w:i/>
          <w:iCs/>
          <w:sz w:val="20"/>
          <w:szCs w:val="20"/>
        </w:rPr>
        <w:t>23</w:t>
      </w:r>
      <w:r w:rsidRPr="00373BD6">
        <w:rPr>
          <w:rFonts w:ascii="Verdana" w:hAnsi="Verdana"/>
          <w:i/>
          <w:iCs/>
          <w:sz w:val="20"/>
          <w:szCs w:val="20"/>
        </w:rPr>
        <w:t xml:space="preserve"> de marzo de 2026.</w:t>
      </w:r>
    </w:p>
    <w:p w14:paraId="756B2B3A" w14:textId="77777777" w:rsidR="00373BD6" w:rsidRPr="00373BD6" w:rsidRDefault="00373BD6" w:rsidP="00373BD6">
      <w:pPr>
        <w:pBdr>
          <w:bottom w:val="single" w:sz="6" w:space="31" w:color="F4F4F4"/>
        </w:pBdr>
        <w:shd w:val="clear" w:color="auto" w:fill="FFFFFF"/>
        <w:contextualSpacing/>
        <w:jc w:val="both"/>
        <w:rPr>
          <w:rFonts w:ascii="Verdana" w:hAnsi="Verdana"/>
          <w:sz w:val="20"/>
          <w:szCs w:val="20"/>
        </w:rPr>
      </w:pPr>
    </w:p>
    <w:p w14:paraId="53376743" w14:textId="77777777" w:rsidR="004B66DB" w:rsidRDefault="004B66DB">
      <w:pPr>
        <w:rPr>
          <w:rFonts w:ascii="Verdana" w:hAnsi="Verdana"/>
          <w:b/>
          <w:color w:val="800000"/>
          <w:sz w:val="20"/>
          <w:szCs w:val="20"/>
        </w:rPr>
      </w:pPr>
      <w:r>
        <w:rPr>
          <w:rFonts w:ascii="Verdana" w:hAnsi="Verdana"/>
          <w:b/>
          <w:color w:val="800000"/>
          <w:sz w:val="20"/>
          <w:szCs w:val="20"/>
        </w:rPr>
        <w:br w:type="page"/>
      </w:r>
    </w:p>
    <w:p w14:paraId="1939BD4C" w14:textId="5155863A" w:rsidR="00506CDC" w:rsidRDefault="00B73427" w:rsidP="001C762F">
      <w:pPr>
        <w:pBdr>
          <w:bottom w:val="single" w:sz="6" w:space="2" w:color="F4F4F4"/>
        </w:pBdr>
        <w:shd w:val="clear" w:color="auto" w:fill="FFFFFF"/>
        <w:contextualSpacing/>
        <w:jc w:val="both"/>
        <w:rPr>
          <w:rFonts w:ascii="Verdana" w:hAnsi="Verdana"/>
          <w:b/>
          <w:bCs/>
          <w:color w:val="800000"/>
          <w:sz w:val="18"/>
          <w:szCs w:val="18"/>
        </w:rPr>
      </w:pPr>
      <w:r w:rsidRPr="00A758A4">
        <w:rPr>
          <w:rFonts w:ascii="Verdana" w:hAnsi="Verdana"/>
          <w:b/>
          <w:color w:val="800000"/>
          <w:sz w:val="20"/>
          <w:szCs w:val="20"/>
        </w:rPr>
        <w:lastRenderedPageBreak/>
        <w:t xml:space="preserve">CALENDARIO FISCAL PARA EL MES DE ABRIL DE </w:t>
      </w:r>
      <w:r w:rsidR="004B66DB">
        <w:rPr>
          <w:rFonts w:ascii="Verdana" w:hAnsi="Verdana"/>
          <w:b/>
          <w:color w:val="800000"/>
          <w:sz w:val="20"/>
          <w:szCs w:val="20"/>
        </w:rPr>
        <w:t>2026</w:t>
      </w:r>
    </w:p>
    <w:p w14:paraId="7B4EF8AC" w14:textId="77777777" w:rsidR="00506CDC" w:rsidRDefault="00506CDC" w:rsidP="001C762F">
      <w:pPr>
        <w:pBdr>
          <w:bottom w:val="single" w:sz="6" w:space="2" w:color="F4F4F4"/>
        </w:pBdr>
        <w:shd w:val="clear" w:color="auto" w:fill="FFFFFF"/>
        <w:contextualSpacing/>
        <w:jc w:val="both"/>
        <w:rPr>
          <w:rFonts w:ascii="Verdana" w:hAnsi="Verdana"/>
          <w:b/>
          <w:bCs/>
          <w:color w:val="800000"/>
          <w:sz w:val="18"/>
          <w:szCs w:val="18"/>
        </w:rPr>
      </w:pPr>
    </w:p>
    <w:p w14:paraId="29DBB8EB" w14:textId="624782E6"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DESDE EL 8 DE ABRIL HASTA EL 30 DE JUNIO</w:t>
      </w:r>
    </w:p>
    <w:p w14:paraId="6D51E250"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Renta y Patrimonio</w:t>
      </w:r>
    </w:p>
    <w:p w14:paraId="79641A2F" w14:textId="1C58C7C5" w:rsidR="00462294" w:rsidRPr="00462294" w:rsidRDefault="00462294" w:rsidP="00462294">
      <w:p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Presentación por Internet de las declaraciones de Renta 2025 y Patrimonio 2025</w:t>
      </w:r>
      <w:r>
        <w:rPr>
          <w:rFonts w:ascii="Verdana" w:hAnsi="Verdana"/>
          <w:sz w:val="18"/>
          <w:szCs w:val="18"/>
        </w:rPr>
        <w:t>.</w:t>
      </w:r>
    </w:p>
    <w:p w14:paraId="7772EC36" w14:textId="3FF45404" w:rsidR="00462294" w:rsidRDefault="00462294" w:rsidP="00462294">
      <w:p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Con resultado a ingresar con domiciliación en cuenta, hasta el 25 de junio</w:t>
      </w:r>
      <w:r>
        <w:rPr>
          <w:rFonts w:ascii="Verdana" w:hAnsi="Verdana"/>
          <w:sz w:val="18"/>
          <w:szCs w:val="18"/>
        </w:rPr>
        <w:t>.</w:t>
      </w:r>
    </w:p>
    <w:p w14:paraId="5A035647" w14:textId="77777777" w:rsidR="00462294" w:rsidRDefault="00462294" w:rsidP="00462294">
      <w:pPr>
        <w:pBdr>
          <w:bottom w:val="single" w:sz="6" w:space="2" w:color="F4F4F4"/>
        </w:pBdr>
        <w:shd w:val="clear" w:color="auto" w:fill="FFFFFF"/>
        <w:contextualSpacing/>
        <w:jc w:val="both"/>
        <w:rPr>
          <w:rFonts w:ascii="Verdana" w:hAnsi="Verdana"/>
          <w:sz w:val="18"/>
          <w:szCs w:val="18"/>
        </w:rPr>
      </w:pPr>
    </w:p>
    <w:p w14:paraId="313BD954" w14:textId="567F1C32"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HASTA EL 13 DE ABRIL</w:t>
      </w:r>
    </w:p>
    <w:p w14:paraId="600D3B2A"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INTRASTAT - Estadística Comercio Intracomunitario</w:t>
      </w:r>
    </w:p>
    <w:p w14:paraId="3C15EA80" w14:textId="65698679" w:rsidR="00462294" w:rsidRDefault="00462294" w:rsidP="00462294">
      <w:p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Obligados a suministrar información estadística</w:t>
      </w:r>
      <w:r>
        <w:rPr>
          <w:rFonts w:ascii="Verdana" w:hAnsi="Verdana"/>
          <w:sz w:val="18"/>
          <w:szCs w:val="18"/>
        </w:rPr>
        <w:t>.</w:t>
      </w:r>
    </w:p>
    <w:p w14:paraId="0606EE51" w14:textId="77777777" w:rsidR="00462294" w:rsidRDefault="00462294" w:rsidP="00462294">
      <w:pPr>
        <w:pBdr>
          <w:bottom w:val="single" w:sz="6" w:space="2" w:color="F4F4F4"/>
        </w:pBdr>
        <w:shd w:val="clear" w:color="auto" w:fill="FFFFFF"/>
        <w:contextualSpacing/>
        <w:jc w:val="both"/>
        <w:rPr>
          <w:rFonts w:ascii="Verdana" w:hAnsi="Verdana"/>
          <w:sz w:val="18"/>
          <w:szCs w:val="18"/>
        </w:rPr>
      </w:pPr>
    </w:p>
    <w:p w14:paraId="315D550B" w14:textId="4F538930"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HASTA EL 20 DE ABRIL</w:t>
      </w:r>
    </w:p>
    <w:p w14:paraId="6494670D"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Renta y Sociedades</w:t>
      </w:r>
    </w:p>
    <w:p w14:paraId="2C4258AE" w14:textId="77777777" w:rsidR="00462294" w:rsidRPr="00462294" w:rsidRDefault="00462294" w:rsidP="00462294">
      <w:p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0850E7D3" w14:textId="77777777" w:rsidR="00462294" w:rsidRPr="00462294" w:rsidRDefault="00462294">
      <w:pPr>
        <w:numPr>
          <w:ilvl w:val="0"/>
          <w:numId w:val="16"/>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Grandes empresas: 111, 115, 117, 123, 124, 126, 128, 216, 230</w:t>
      </w:r>
    </w:p>
    <w:p w14:paraId="22DA509D" w14:textId="77777777" w:rsidR="00462294" w:rsidRPr="00462294" w:rsidRDefault="00462294">
      <w:pPr>
        <w:numPr>
          <w:ilvl w:val="0"/>
          <w:numId w:val="16"/>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111, 115, 117, 123, 124, 126, 128, 136, 210, 216</w:t>
      </w:r>
    </w:p>
    <w:p w14:paraId="2C534B09"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Pagos fraccionados Renta</w:t>
      </w:r>
    </w:p>
    <w:p w14:paraId="1272745C" w14:textId="77777777" w:rsidR="00462294" w:rsidRPr="00462294" w:rsidRDefault="00462294">
      <w:pPr>
        <w:numPr>
          <w:ilvl w:val="0"/>
          <w:numId w:val="1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w:t>
      </w:r>
    </w:p>
    <w:p w14:paraId="4BE6A9F7" w14:textId="77777777" w:rsidR="00462294" w:rsidRPr="00462294" w:rsidRDefault="00462294">
      <w:pPr>
        <w:numPr>
          <w:ilvl w:val="1"/>
          <w:numId w:val="1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Estimación directa: 130</w:t>
      </w:r>
    </w:p>
    <w:p w14:paraId="6B133993" w14:textId="77777777" w:rsidR="00462294" w:rsidRPr="00462294" w:rsidRDefault="00462294">
      <w:pPr>
        <w:numPr>
          <w:ilvl w:val="1"/>
          <w:numId w:val="1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Estimación objetiva: 131</w:t>
      </w:r>
    </w:p>
    <w:p w14:paraId="5B94BC3B"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Pagos fraccionados Sociedades y establecimientos permanentes de no residentes</w:t>
      </w:r>
    </w:p>
    <w:p w14:paraId="7405F8C6" w14:textId="77777777" w:rsidR="00462294" w:rsidRPr="00462294" w:rsidRDefault="00462294">
      <w:pPr>
        <w:numPr>
          <w:ilvl w:val="0"/>
          <w:numId w:val="1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Ejercicio en curso:</w:t>
      </w:r>
    </w:p>
    <w:p w14:paraId="2425BFDD" w14:textId="77777777" w:rsidR="00462294" w:rsidRPr="00462294" w:rsidRDefault="00462294">
      <w:pPr>
        <w:numPr>
          <w:ilvl w:val="1"/>
          <w:numId w:val="1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Régimen general: 202</w:t>
      </w:r>
    </w:p>
    <w:p w14:paraId="573E458B" w14:textId="77777777" w:rsidR="00462294" w:rsidRPr="00462294" w:rsidRDefault="00462294">
      <w:pPr>
        <w:numPr>
          <w:ilvl w:val="1"/>
          <w:numId w:val="1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Régimen de consolidación fiscal (grupos fiscales): 222</w:t>
      </w:r>
    </w:p>
    <w:p w14:paraId="0AFED18C"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IVA</w:t>
      </w:r>
    </w:p>
    <w:p w14:paraId="6CB9987C"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Declaración recapitulativa de operaciones intracomunitarias: 349</w:t>
      </w:r>
    </w:p>
    <w:p w14:paraId="271BC8D5"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Autoliquidación: 303</w:t>
      </w:r>
    </w:p>
    <w:p w14:paraId="6FF4498D"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Declaración-liquidación no periódica: 309</w:t>
      </w:r>
    </w:p>
    <w:p w14:paraId="09B68C94"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Declaración recapitulativa de operaciones intracomunitarias: 349</w:t>
      </w:r>
    </w:p>
    <w:p w14:paraId="3B3BC20A"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Operaciones asimiladas a las importaciones: 380</w:t>
      </w:r>
    </w:p>
    <w:p w14:paraId="7E8FBCEA"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Solicitud de devolución de cuotas reembolsadas a viajeros por empresarios en recargo de equivalencia: 308</w:t>
      </w:r>
    </w:p>
    <w:p w14:paraId="6B4F618E"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5F5E6ADD" w14:textId="77777777" w:rsidR="00462294" w:rsidRPr="00462294" w:rsidRDefault="00462294">
      <w:pPr>
        <w:numPr>
          <w:ilvl w:val="0"/>
          <w:numId w:val="1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Reintegro de compensaciones en el régimen especial de la agricultura, ganadería y pesca: 341</w:t>
      </w:r>
    </w:p>
    <w:p w14:paraId="443677E0"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 sobre las Primas de Seguros</w:t>
      </w:r>
    </w:p>
    <w:p w14:paraId="78A1B32C" w14:textId="77777777" w:rsidR="00462294" w:rsidRPr="00462294" w:rsidRDefault="00462294">
      <w:pPr>
        <w:numPr>
          <w:ilvl w:val="0"/>
          <w:numId w:val="20"/>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430</w:t>
      </w:r>
    </w:p>
    <w:p w14:paraId="6E63A747"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Impuestos Especiales de Fabricación</w:t>
      </w:r>
    </w:p>
    <w:p w14:paraId="00153839"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Enero 2026. Grandes empresas: 561, 562, 563</w:t>
      </w:r>
    </w:p>
    <w:p w14:paraId="491A85B3"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548, 566, 581</w:t>
      </w:r>
    </w:p>
    <w:p w14:paraId="1987F734"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573 (Autoliquidación), A24 (Solicitud de devolución)</w:t>
      </w:r>
    </w:p>
    <w:p w14:paraId="10233878"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521, 522, 547</w:t>
      </w:r>
    </w:p>
    <w:p w14:paraId="323A1E60"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Actividades V1, F1: 553 (establecimientos autorizados para la llevanza de la contabilidad en soporte papel)</w:t>
      </w:r>
    </w:p>
    <w:p w14:paraId="7AAC06FD"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Solicitudes de devolución: 506, 507, 508, 524, 572</w:t>
      </w:r>
    </w:p>
    <w:p w14:paraId="34950801" w14:textId="77777777" w:rsidR="00462294" w:rsidRPr="00462294" w:rsidRDefault="00462294">
      <w:pPr>
        <w:numPr>
          <w:ilvl w:val="0"/>
          <w:numId w:val="2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Declaración de operaciones por los destinatarios registrados y representantes fiscales: 510</w:t>
      </w:r>
    </w:p>
    <w:p w14:paraId="5460DE03"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 Especial sobre la Electricidad</w:t>
      </w:r>
    </w:p>
    <w:p w14:paraId="2331F627" w14:textId="77777777" w:rsidR="00462294" w:rsidRPr="00462294" w:rsidRDefault="00462294">
      <w:pPr>
        <w:numPr>
          <w:ilvl w:val="0"/>
          <w:numId w:val="22"/>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Grandes empresas: 560</w:t>
      </w:r>
    </w:p>
    <w:p w14:paraId="4EBD0092" w14:textId="77777777" w:rsidR="00462294" w:rsidRPr="00462294" w:rsidRDefault="00462294">
      <w:pPr>
        <w:numPr>
          <w:ilvl w:val="0"/>
          <w:numId w:val="22"/>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lastRenderedPageBreak/>
        <w:t>Primer trimestre 2026. Excepto grandes empresas: 560</w:t>
      </w:r>
    </w:p>
    <w:p w14:paraId="43CBC90A" w14:textId="77777777" w:rsidR="00462294" w:rsidRPr="00462294" w:rsidRDefault="00462294">
      <w:pPr>
        <w:numPr>
          <w:ilvl w:val="0"/>
          <w:numId w:val="22"/>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Año 2025. Autoliquidación anual: 560</w:t>
      </w:r>
    </w:p>
    <w:p w14:paraId="7BEC62F7"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Impuestos Medioambientales</w:t>
      </w:r>
    </w:p>
    <w:p w14:paraId="369D91DF" w14:textId="77777777" w:rsidR="00462294" w:rsidRPr="00462294" w:rsidRDefault="00462294">
      <w:pPr>
        <w:numPr>
          <w:ilvl w:val="0"/>
          <w:numId w:val="2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Impuesto especial sobre los envases de plástico no reutilizables. Autoliquidación: 592</w:t>
      </w:r>
    </w:p>
    <w:p w14:paraId="55F1E077" w14:textId="77777777" w:rsidR="00462294" w:rsidRPr="00462294" w:rsidRDefault="00462294">
      <w:pPr>
        <w:numPr>
          <w:ilvl w:val="0"/>
          <w:numId w:val="2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Impuesto sobre los gases fluorados de efecto invernadero. Autoliquidación: 587. Solicitud de devolución: A23. Presentación contabilidad de existencias</w:t>
      </w:r>
    </w:p>
    <w:p w14:paraId="3B3D27DF" w14:textId="77777777" w:rsidR="00462294" w:rsidRPr="00462294" w:rsidRDefault="00462294">
      <w:pPr>
        <w:numPr>
          <w:ilvl w:val="0"/>
          <w:numId w:val="2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Impuesto especial sobre los envases de plástico no reutilizables. Autoliquidación: 592. Solicitud de devolución: A22</w:t>
      </w:r>
    </w:p>
    <w:p w14:paraId="342F6C68" w14:textId="77777777" w:rsidR="00462294" w:rsidRPr="00462294" w:rsidRDefault="00462294">
      <w:pPr>
        <w:numPr>
          <w:ilvl w:val="0"/>
          <w:numId w:val="2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Año 2025. Impuesto sobre el Valor de la Extracción de Gas, Petróleo y Condensados. Autoliquidación anual: 589</w:t>
      </w:r>
    </w:p>
    <w:p w14:paraId="1A5E95D2" w14:textId="77777777" w:rsidR="00462294" w:rsidRPr="00462294" w:rsidRDefault="00462294">
      <w:pPr>
        <w:numPr>
          <w:ilvl w:val="0"/>
          <w:numId w:val="2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Año 2026. Impuesto sobre el almacenamiento de combustible nuclear gastado y residuos radiactivos en instalaciones centralizadas. Primer pago fraccionado 585</w:t>
      </w:r>
    </w:p>
    <w:p w14:paraId="39A64A11"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 Especial sobre el Carbón</w:t>
      </w:r>
    </w:p>
    <w:p w14:paraId="3B745188" w14:textId="77777777" w:rsidR="00462294" w:rsidRPr="00462294" w:rsidRDefault="00462294">
      <w:pPr>
        <w:numPr>
          <w:ilvl w:val="0"/>
          <w:numId w:val="24"/>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595</w:t>
      </w:r>
    </w:p>
    <w:p w14:paraId="7868A2B3"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 sobre las Transacciones Financieras</w:t>
      </w:r>
    </w:p>
    <w:p w14:paraId="61369421" w14:textId="77777777" w:rsidR="00462294" w:rsidRPr="00462294" w:rsidRDefault="00462294">
      <w:pPr>
        <w:numPr>
          <w:ilvl w:val="0"/>
          <w:numId w:val="25"/>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604</w:t>
      </w:r>
    </w:p>
    <w:p w14:paraId="05DD8D6F"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Aportación a realizar por los prestadores del servicio de comunicación audiovisual televisivo y por los prestadores del servicio de intercambio de vídeos a través de plataforma de ámbito geográfico estatal o superior al de una Comunidad Autónoma</w:t>
      </w:r>
    </w:p>
    <w:p w14:paraId="1F878DD4" w14:textId="77777777" w:rsidR="00462294" w:rsidRDefault="00462294">
      <w:pPr>
        <w:numPr>
          <w:ilvl w:val="0"/>
          <w:numId w:val="26"/>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Pago a cuenta 1P 2026: 793</w:t>
      </w:r>
    </w:p>
    <w:p w14:paraId="183E3423" w14:textId="77777777" w:rsidR="00462294" w:rsidRDefault="00462294" w:rsidP="00462294">
      <w:pPr>
        <w:pBdr>
          <w:bottom w:val="single" w:sz="6" w:space="2" w:color="F4F4F4"/>
        </w:pBdr>
        <w:shd w:val="clear" w:color="auto" w:fill="FFFFFF"/>
        <w:contextualSpacing/>
        <w:jc w:val="both"/>
        <w:rPr>
          <w:rFonts w:ascii="Verdana" w:hAnsi="Verdana"/>
          <w:sz w:val="18"/>
          <w:szCs w:val="18"/>
        </w:rPr>
      </w:pPr>
    </w:p>
    <w:p w14:paraId="25933D21" w14:textId="18C7CE5C"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HASTA EL 30 DE ABRIL</w:t>
      </w:r>
    </w:p>
    <w:p w14:paraId="1C9CE40C"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IVA</w:t>
      </w:r>
    </w:p>
    <w:p w14:paraId="49E557A8"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Autoliquidación: 303</w:t>
      </w:r>
    </w:p>
    <w:p w14:paraId="7E60A3D1"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Grupo de entidades, modelo individual: 322</w:t>
      </w:r>
    </w:p>
    <w:p w14:paraId="5C797652"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Grupo de entidades, modelo agregado: 353</w:t>
      </w:r>
    </w:p>
    <w:p w14:paraId="3ABD091F"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Ventanilla única - Régimen de importación: 369</w:t>
      </w:r>
    </w:p>
    <w:p w14:paraId="0113C23B"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Operaciones asimiladas a las importaciones: 380</w:t>
      </w:r>
    </w:p>
    <w:p w14:paraId="6E0F0E59" w14:textId="77777777" w:rsidR="00462294" w:rsidRPr="00462294" w:rsidRDefault="00462294">
      <w:pPr>
        <w:numPr>
          <w:ilvl w:val="0"/>
          <w:numId w:val="2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Ventanilla única – Regímenes exterior y de la Unión: 369</w:t>
      </w:r>
    </w:p>
    <w:p w14:paraId="52A66006"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Número de Identificación Fiscal</w:t>
      </w:r>
    </w:p>
    <w:p w14:paraId="53BE9694" w14:textId="77777777" w:rsidR="00462294" w:rsidRPr="00462294" w:rsidRDefault="00462294">
      <w:pPr>
        <w:numPr>
          <w:ilvl w:val="0"/>
          <w:numId w:val="2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Cuentas y operaciones cuyos titulares no han facilitado el NIF a las entidades de crédito: 195</w:t>
      </w:r>
    </w:p>
    <w:p w14:paraId="51A381C8"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 sobre Determinados Servicios Digitales</w:t>
      </w:r>
    </w:p>
    <w:p w14:paraId="08B6C394" w14:textId="77777777" w:rsidR="00462294" w:rsidRPr="00462294" w:rsidRDefault="00462294">
      <w:pPr>
        <w:numPr>
          <w:ilvl w:val="0"/>
          <w:numId w:val="29"/>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490</w:t>
      </w:r>
    </w:p>
    <w:p w14:paraId="6679CA26"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Impuestos Medioambientales</w:t>
      </w:r>
    </w:p>
    <w:p w14:paraId="694CF549" w14:textId="77777777" w:rsidR="00462294" w:rsidRPr="00462294" w:rsidRDefault="00462294">
      <w:pPr>
        <w:numPr>
          <w:ilvl w:val="0"/>
          <w:numId w:val="30"/>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Impuesto especial sobre los envases de plástico no reutilizables. Presentación contabilidad y libro registro de existencias</w:t>
      </w:r>
    </w:p>
    <w:p w14:paraId="486AD76C" w14:textId="77777777" w:rsidR="00462294" w:rsidRPr="00462294" w:rsidRDefault="00462294">
      <w:pPr>
        <w:numPr>
          <w:ilvl w:val="0"/>
          <w:numId w:val="31"/>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Impuesto especial sobre los envases de plástico no reutilizables. Presentación contabilidad y libro registro de existencias</w:t>
      </w:r>
    </w:p>
    <w:p w14:paraId="45D72546" w14:textId="77777777" w:rsidR="00462294" w:rsidRPr="00462294" w:rsidRDefault="00462294">
      <w:pPr>
        <w:numPr>
          <w:ilvl w:val="0"/>
          <w:numId w:val="32"/>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Impuesto sobre el depósito de residuos en vertederos, la incineración y la coincineración de residuos. Autoliquidación: 593</w:t>
      </w:r>
    </w:p>
    <w:p w14:paraId="69BDBC81"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2EF5850B" w14:textId="77777777" w:rsidR="00462294" w:rsidRPr="00462294" w:rsidRDefault="00462294">
      <w:pPr>
        <w:numPr>
          <w:ilvl w:val="0"/>
          <w:numId w:val="33"/>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170</w:t>
      </w:r>
    </w:p>
    <w:p w14:paraId="1BFDCB38"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7269DD1C" w14:textId="77777777" w:rsidR="00462294" w:rsidRPr="00462294" w:rsidRDefault="00462294">
      <w:pPr>
        <w:numPr>
          <w:ilvl w:val="0"/>
          <w:numId w:val="34"/>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Marzo 2026: 196</w:t>
      </w:r>
    </w:p>
    <w:p w14:paraId="62547D19"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Declaración informativa de actualización de determinados mecanismos transfronterizos comercializables</w:t>
      </w:r>
    </w:p>
    <w:p w14:paraId="5E5000B8" w14:textId="77777777" w:rsidR="00462294" w:rsidRPr="00462294" w:rsidRDefault="00462294">
      <w:pPr>
        <w:numPr>
          <w:ilvl w:val="0"/>
          <w:numId w:val="35"/>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lastRenderedPageBreak/>
        <w:t>Primer trimestre 2026: 235</w:t>
      </w:r>
    </w:p>
    <w:p w14:paraId="3E388E7A"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Declaración informativa trimestral de operaciones de comercio de bienes corporales realizadas en la zona especial canaria sin que las mercancías transiten por territorio canario</w:t>
      </w:r>
    </w:p>
    <w:p w14:paraId="1ABEACEC" w14:textId="77777777" w:rsidR="00462294" w:rsidRPr="00462294" w:rsidRDefault="00462294">
      <w:pPr>
        <w:numPr>
          <w:ilvl w:val="0"/>
          <w:numId w:val="36"/>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281</w:t>
      </w:r>
    </w:p>
    <w:p w14:paraId="1FFCA1F8" w14:textId="77777777"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Declaración informativa sobre pagos transfronterizos</w:t>
      </w:r>
    </w:p>
    <w:p w14:paraId="39DE5E77" w14:textId="77777777" w:rsidR="00462294" w:rsidRPr="00462294" w:rsidRDefault="00462294">
      <w:pPr>
        <w:numPr>
          <w:ilvl w:val="0"/>
          <w:numId w:val="37"/>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Primer trimestre 2026: 379</w:t>
      </w:r>
    </w:p>
    <w:p w14:paraId="22DADDFD" w14:textId="0E8B97F1" w:rsidR="00462294" w:rsidRPr="00462294" w:rsidRDefault="00462294" w:rsidP="00462294">
      <w:pPr>
        <w:pBdr>
          <w:bottom w:val="single" w:sz="6" w:space="2" w:color="F4F4F4"/>
        </w:pBdr>
        <w:shd w:val="clear" w:color="auto" w:fill="FFFFFF"/>
        <w:contextualSpacing/>
        <w:jc w:val="both"/>
        <w:rPr>
          <w:rFonts w:ascii="Verdana" w:hAnsi="Verdana"/>
          <w:b/>
          <w:bCs/>
          <w:color w:val="800000"/>
          <w:sz w:val="18"/>
          <w:szCs w:val="18"/>
        </w:rPr>
      </w:pPr>
      <w:r w:rsidRPr="00462294">
        <w:rPr>
          <w:rFonts w:ascii="Verdana" w:hAnsi="Verdana"/>
          <w:b/>
          <w:bCs/>
          <w:color w:val="800000"/>
          <w:sz w:val="18"/>
          <w:szCs w:val="18"/>
        </w:rPr>
        <w:t>DESDE EL 30 DE ABRIL AL 30 DE JUNIO</w:t>
      </w:r>
    </w:p>
    <w:p w14:paraId="4182F5D2" w14:textId="77777777" w:rsidR="00462294" w:rsidRPr="00462294" w:rsidRDefault="00462294">
      <w:pPr>
        <w:numPr>
          <w:ilvl w:val="0"/>
          <w:numId w:val="3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Comunicación de la entidad constitutiva declarante de la declaración informativa del Impuesto Complementario. Para periodos impositivos finalizados antes del 31 de marzo de 2025: 240</w:t>
      </w:r>
    </w:p>
    <w:p w14:paraId="581D5AFF" w14:textId="77777777" w:rsidR="00462294" w:rsidRPr="00462294" w:rsidRDefault="00462294">
      <w:pPr>
        <w:numPr>
          <w:ilvl w:val="0"/>
          <w:numId w:val="38"/>
        </w:numPr>
        <w:pBdr>
          <w:bottom w:val="single" w:sz="6" w:space="2" w:color="F4F4F4"/>
        </w:pBdr>
        <w:shd w:val="clear" w:color="auto" w:fill="FFFFFF"/>
        <w:contextualSpacing/>
        <w:jc w:val="both"/>
        <w:rPr>
          <w:rFonts w:ascii="Verdana" w:hAnsi="Verdana"/>
          <w:sz w:val="18"/>
          <w:szCs w:val="18"/>
        </w:rPr>
      </w:pPr>
      <w:r w:rsidRPr="00462294">
        <w:rPr>
          <w:rFonts w:ascii="Verdana" w:hAnsi="Verdana"/>
          <w:sz w:val="18"/>
          <w:szCs w:val="18"/>
        </w:rPr>
        <w:t>Declaración informativa del Impuesto Complementario. Para periodos impositivos finalizados antes del 31 de marzo de 2025: 241</w:t>
      </w:r>
    </w:p>
    <w:p w14:paraId="5F29C028" w14:textId="77777777" w:rsidR="00462294" w:rsidRPr="00462294" w:rsidRDefault="00462294" w:rsidP="00462294">
      <w:pPr>
        <w:pBdr>
          <w:bottom w:val="single" w:sz="6" w:space="2" w:color="F4F4F4"/>
        </w:pBdr>
        <w:shd w:val="clear" w:color="auto" w:fill="FFFFFF"/>
        <w:contextualSpacing/>
        <w:jc w:val="both"/>
        <w:rPr>
          <w:rFonts w:ascii="Verdana" w:hAnsi="Verdana"/>
          <w:sz w:val="18"/>
          <w:szCs w:val="18"/>
        </w:rPr>
      </w:pPr>
    </w:p>
    <w:p w14:paraId="0BD885D9" w14:textId="77777777" w:rsidR="00462294" w:rsidRDefault="00462294" w:rsidP="00462294">
      <w:pPr>
        <w:pBdr>
          <w:bottom w:val="single" w:sz="6" w:space="2" w:color="F4F4F4"/>
        </w:pBdr>
        <w:shd w:val="clear" w:color="auto" w:fill="FFFFFF"/>
        <w:contextualSpacing/>
        <w:jc w:val="both"/>
        <w:rPr>
          <w:rFonts w:ascii="Verdana" w:hAnsi="Verdana"/>
          <w:sz w:val="18"/>
          <w:szCs w:val="18"/>
        </w:rPr>
      </w:pPr>
    </w:p>
    <w:sectPr w:rsidR="00462294" w:rsidSect="00A158DD">
      <w:pgSz w:w="11906" w:h="16838" w:code="9"/>
      <w:pgMar w:top="1702" w:right="1416" w:bottom="1418" w:left="2127" w:header="709" w:footer="106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083" w14:textId="77777777" w:rsidR="00990950" w:rsidRDefault="00990950">
      <w:r>
        <w:separator/>
      </w:r>
    </w:p>
  </w:endnote>
  <w:endnote w:type="continuationSeparator" w:id="0">
    <w:p w14:paraId="0BBFCB49" w14:textId="77777777" w:rsidR="00990950" w:rsidRDefault="0099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1290" w14:textId="77777777" w:rsidR="00990950" w:rsidRDefault="00990950">
      <w:r>
        <w:separator/>
      </w:r>
    </w:p>
  </w:footnote>
  <w:footnote w:type="continuationSeparator" w:id="0">
    <w:p w14:paraId="148EAC2C" w14:textId="77777777" w:rsidR="00990950" w:rsidRDefault="0099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188"/>
    <w:multiLevelType w:val="multilevel"/>
    <w:tmpl w:val="C740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09DA"/>
    <w:multiLevelType w:val="multilevel"/>
    <w:tmpl w:val="40A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669A5"/>
    <w:multiLevelType w:val="multilevel"/>
    <w:tmpl w:val="4870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455E7"/>
    <w:multiLevelType w:val="multilevel"/>
    <w:tmpl w:val="A8AC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155"/>
    <w:multiLevelType w:val="multilevel"/>
    <w:tmpl w:val="238C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71FC3"/>
    <w:multiLevelType w:val="multilevel"/>
    <w:tmpl w:val="5C1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D50D3"/>
    <w:multiLevelType w:val="multilevel"/>
    <w:tmpl w:val="0EC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C2751"/>
    <w:multiLevelType w:val="multilevel"/>
    <w:tmpl w:val="003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F047E"/>
    <w:multiLevelType w:val="multilevel"/>
    <w:tmpl w:val="EE82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9513A"/>
    <w:multiLevelType w:val="multilevel"/>
    <w:tmpl w:val="BD18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1699C"/>
    <w:multiLevelType w:val="multilevel"/>
    <w:tmpl w:val="B2B8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96F60"/>
    <w:multiLevelType w:val="multilevel"/>
    <w:tmpl w:val="254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531D8"/>
    <w:multiLevelType w:val="multilevel"/>
    <w:tmpl w:val="E48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77DA5"/>
    <w:multiLevelType w:val="multilevel"/>
    <w:tmpl w:val="F34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F3BEE"/>
    <w:multiLevelType w:val="multilevel"/>
    <w:tmpl w:val="8EAA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C3657"/>
    <w:multiLevelType w:val="multilevel"/>
    <w:tmpl w:val="EFA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F4CB6"/>
    <w:multiLevelType w:val="multilevel"/>
    <w:tmpl w:val="4AD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F5056"/>
    <w:multiLevelType w:val="multilevel"/>
    <w:tmpl w:val="8004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DC7C76"/>
    <w:multiLevelType w:val="multilevel"/>
    <w:tmpl w:val="2982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35AA6"/>
    <w:multiLevelType w:val="multilevel"/>
    <w:tmpl w:val="A818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B7CFC"/>
    <w:multiLevelType w:val="multilevel"/>
    <w:tmpl w:val="342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00285C"/>
    <w:multiLevelType w:val="multilevel"/>
    <w:tmpl w:val="3A3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1421A"/>
    <w:multiLevelType w:val="multilevel"/>
    <w:tmpl w:val="4600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4148A2"/>
    <w:multiLevelType w:val="multilevel"/>
    <w:tmpl w:val="7DBA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34F59"/>
    <w:multiLevelType w:val="multilevel"/>
    <w:tmpl w:val="A0FE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F55669"/>
    <w:multiLevelType w:val="multilevel"/>
    <w:tmpl w:val="6330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B1371"/>
    <w:multiLevelType w:val="multilevel"/>
    <w:tmpl w:val="36D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807959"/>
    <w:multiLevelType w:val="multilevel"/>
    <w:tmpl w:val="3FB0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A195D"/>
    <w:multiLevelType w:val="multilevel"/>
    <w:tmpl w:val="7F4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54F54"/>
    <w:multiLevelType w:val="multilevel"/>
    <w:tmpl w:val="380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741C7"/>
    <w:multiLevelType w:val="multilevel"/>
    <w:tmpl w:val="60A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F74DF"/>
    <w:multiLevelType w:val="multilevel"/>
    <w:tmpl w:val="CCBE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A0199"/>
    <w:multiLevelType w:val="multilevel"/>
    <w:tmpl w:val="D0B8E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143217"/>
    <w:multiLevelType w:val="multilevel"/>
    <w:tmpl w:val="A4C4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4189E"/>
    <w:multiLevelType w:val="multilevel"/>
    <w:tmpl w:val="232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B5833"/>
    <w:multiLevelType w:val="multilevel"/>
    <w:tmpl w:val="B9F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4572A"/>
    <w:multiLevelType w:val="multilevel"/>
    <w:tmpl w:val="66E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A842C6"/>
    <w:multiLevelType w:val="multilevel"/>
    <w:tmpl w:val="B2C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4D3689"/>
    <w:multiLevelType w:val="multilevel"/>
    <w:tmpl w:val="C0D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C86BE3"/>
    <w:multiLevelType w:val="multilevel"/>
    <w:tmpl w:val="6CD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03557"/>
    <w:multiLevelType w:val="multilevel"/>
    <w:tmpl w:val="148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784DEB"/>
    <w:multiLevelType w:val="multilevel"/>
    <w:tmpl w:val="E91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E359C6"/>
    <w:multiLevelType w:val="hybridMultilevel"/>
    <w:tmpl w:val="02A271F2"/>
    <w:lvl w:ilvl="0" w:tplc="0C0A000F">
      <w:start w:val="1"/>
      <w:numFmt w:val="decimal"/>
      <w:lvlText w:val="%1."/>
      <w:lvlJc w:val="left"/>
      <w:pPr>
        <w:tabs>
          <w:tab w:val="num" w:pos="360"/>
        </w:tabs>
        <w:ind w:left="360" w:hanging="360"/>
      </w:pPr>
    </w:lvl>
    <w:lvl w:ilvl="1" w:tplc="EF38CE86">
      <w:start w:val="13"/>
      <w:numFmt w:val="bullet"/>
      <w:lvlText w:val="-"/>
      <w:legacy w:legacy="1" w:legacySpace="360" w:legacyIndent="360"/>
      <w:lvlJc w:val="left"/>
      <w:pPr>
        <w:ind w:left="1080" w:hanging="360"/>
      </w:pPr>
      <w:rPr>
        <w:rFonts w:ascii="Times New Roman" w:hAnsi="Times New Roman"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6307599A"/>
    <w:multiLevelType w:val="hybridMultilevel"/>
    <w:tmpl w:val="7CB6DCC0"/>
    <w:lvl w:ilvl="0" w:tplc="292CC49C">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571246"/>
    <w:multiLevelType w:val="multilevel"/>
    <w:tmpl w:val="70AAB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150DD5"/>
    <w:multiLevelType w:val="multilevel"/>
    <w:tmpl w:val="A7B8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9B0D9E"/>
    <w:multiLevelType w:val="multilevel"/>
    <w:tmpl w:val="525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A80A8C"/>
    <w:multiLevelType w:val="multilevel"/>
    <w:tmpl w:val="9FCA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BE23C8"/>
    <w:multiLevelType w:val="multilevel"/>
    <w:tmpl w:val="D79C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5A0DF1"/>
    <w:multiLevelType w:val="multilevel"/>
    <w:tmpl w:val="288A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823A0"/>
    <w:multiLevelType w:val="multilevel"/>
    <w:tmpl w:val="E7D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5852D4"/>
    <w:multiLevelType w:val="multilevel"/>
    <w:tmpl w:val="9E3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5E2250"/>
    <w:multiLevelType w:val="multilevel"/>
    <w:tmpl w:val="FB4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8B610F"/>
    <w:multiLevelType w:val="multilevel"/>
    <w:tmpl w:val="805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E92C90"/>
    <w:multiLevelType w:val="multilevel"/>
    <w:tmpl w:val="980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885A63"/>
    <w:multiLevelType w:val="multilevel"/>
    <w:tmpl w:val="AB7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FB07C0"/>
    <w:multiLevelType w:val="multilevel"/>
    <w:tmpl w:val="E97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6654">
    <w:abstractNumId w:val="42"/>
  </w:num>
  <w:num w:numId="2" w16cid:durableId="161556931">
    <w:abstractNumId w:val="43"/>
  </w:num>
  <w:num w:numId="3" w16cid:durableId="417095580">
    <w:abstractNumId w:val="28"/>
  </w:num>
  <w:num w:numId="4" w16cid:durableId="1768310927">
    <w:abstractNumId w:val="25"/>
  </w:num>
  <w:num w:numId="5" w16cid:durableId="101269064">
    <w:abstractNumId w:val="48"/>
  </w:num>
  <w:num w:numId="6" w16cid:durableId="878203662">
    <w:abstractNumId w:val="17"/>
  </w:num>
  <w:num w:numId="7" w16cid:durableId="1442802913">
    <w:abstractNumId w:val="55"/>
  </w:num>
  <w:num w:numId="8" w16cid:durableId="1315641572">
    <w:abstractNumId w:val="34"/>
  </w:num>
  <w:num w:numId="9" w16cid:durableId="71244343">
    <w:abstractNumId w:val="5"/>
  </w:num>
  <w:num w:numId="10" w16cid:durableId="1723360384">
    <w:abstractNumId w:val="46"/>
  </w:num>
  <w:num w:numId="11" w16cid:durableId="649673181">
    <w:abstractNumId w:val="24"/>
  </w:num>
  <w:num w:numId="12" w16cid:durableId="991522920">
    <w:abstractNumId w:val="6"/>
  </w:num>
  <w:num w:numId="13" w16cid:durableId="2079134294">
    <w:abstractNumId w:val="36"/>
  </w:num>
  <w:num w:numId="14" w16cid:durableId="588003321">
    <w:abstractNumId w:val="8"/>
  </w:num>
  <w:num w:numId="15" w16cid:durableId="52853981">
    <w:abstractNumId w:val="1"/>
  </w:num>
  <w:num w:numId="16" w16cid:durableId="1005744632">
    <w:abstractNumId w:val="16"/>
  </w:num>
  <w:num w:numId="17" w16cid:durableId="880478398">
    <w:abstractNumId w:val="14"/>
  </w:num>
  <w:num w:numId="18" w16cid:durableId="259030213">
    <w:abstractNumId w:val="10"/>
  </w:num>
  <w:num w:numId="19" w16cid:durableId="1882397260">
    <w:abstractNumId w:val="39"/>
  </w:num>
  <w:num w:numId="20" w16cid:durableId="556356517">
    <w:abstractNumId w:val="9"/>
  </w:num>
  <w:num w:numId="21" w16cid:durableId="727341942">
    <w:abstractNumId w:val="21"/>
  </w:num>
  <w:num w:numId="22" w16cid:durableId="1940680090">
    <w:abstractNumId w:val="7"/>
  </w:num>
  <w:num w:numId="23" w16cid:durableId="2042509909">
    <w:abstractNumId w:val="54"/>
  </w:num>
  <w:num w:numId="24" w16cid:durableId="449473395">
    <w:abstractNumId w:val="15"/>
  </w:num>
  <w:num w:numId="25" w16cid:durableId="440295722">
    <w:abstractNumId w:val="40"/>
  </w:num>
  <w:num w:numId="26" w16cid:durableId="1231386341">
    <w:abstractNumId w:val="26"/>
  </w:num>
  <w:num w:numId="27" w16cid:durableId="217136736">
    <w:abstractNumId w:val="38"/>
  </w:num>
  <w:num w:numId="28" w16cid:durableId="1190297149">
    <w:abstractNumId w:val="23"/>
  </w:num>
  <w:num w:numId="29" w16cid:durableId="1727333360">
    <w:abstractNumId w:val="31"/>
  </w:num>
  <w:num w:numId="30" w16cid:durableId="1720787710">
    <w:abstractNumId w:val="29"/>
  </w:num>
  <w:num w:numId="31" w16cid:durableId="881133153">
    <w:abstractNumId w:val="13"/>
  </w:num>
  <w:num w:numId="32" w16cid:durableId="1878275567">
    <w:abstractNumId w:val="49"/>
  </w:num>
  <w:num w:numId="33" w16cid:durableId="148524416">
    <w:abstractNumId w:val="37"/>
  </w:num>
  <w:num w:numId="34" w16cid:durableId="45302494">
    <w:abstractNumId w:val="56"/>
  </w:num>
  <w:num w:numId="35" w16cid:durableId="901448579">
    <w:abstractNumId w:val="4"/>
  </w:num>
  <w:num w:numId="36" w16cid:durableId="91633096">
    <w:abstractNumId w:val="41"/>
  </w:num>
  <w:num w:numId="37" w16cid:durableId="1754622736">
    <w:abstractNumId w:val="51"/>
  </w:num>
  <w:num w:numId="38" w16cid:durableId="1224489354">
    <w:abstractNumId w:val="11"/>
  </w:num>
  <w:num w:numId="39" w16cid:durableId="1092311845">
    <w:abstractNumId w:val="52"/>
  </w:num>
  <w:num w:numId="40" w16cid:durableId="1532835771">
    <w:abstractNumId w:val="47"/>
  </w:num>
  <w:num w:numId="41" w16cid:durableId="703138826">
    <w:abstractNumId w:val="30"/>
  </w:num>
  <w:num w:numId="42" w16cid:durableId="2059550800">
    <w:abstractNumId w:val="3"/>
  </w:num>
  <w:num w:numId="43" w16cid:durableId="1273899782">
    <w:abstractNumId w:val="20"/>
  </w:num>
  <w:num w:numId="44" w16cid:durableId="1043864088">
    <w:abstractNumId w:val="22"/>
  </w:num>
  <w:num w:numId="45" w16cid:durableId="403333342">
    <w:abstractNumId w:val="33"/>
  </w:num>
  <w:num w:numId="46" w16cid:durableId="783040272">
    <w:abstractNumId w:val="44"/>
  </w:num>
  <w:num w:numId="47" w16cid:durableId="813261153">
    <w:abstractNumId w:val="0"/>
  </w:num>
  <w:num w:numId="48" w16cid:durableId="685983537">
    <w:abstractNumId w:val="18"/>
  </w:num>
  <w:num w:numId="49" w16cid:durableId="1407844633">
    <w:abstractNumId w:val="53"/>
  </w:num>
  <w:num w:numId="50" w16cid:durableId="301883819">
    <w:abstractNumId w:val="32"/>
  </w:num>
  <w:num w:numId="51" w16cid:durableId="614017295">
    <w:abstractNumId w:val="19"/>
  </w:num>
  <w:num w:numId="52" w16cid:durableId="2074891021">
    <w:abstractNumId w:val="35"/>
  </w:num>
  <w:num w:numId="53" w16cid:durableId="2004048591">
    <w:abstractNumId w:val="45"/>
  </w:num>
  <w:num w:numId="54" w16cid:durableId="1424761845">
    <w:abstractNumId w:val="50"/>
  </w:num>
  <w:num w:numId="55" w16cid:durableId="1042443755">
    <w:abstractNumId w:val="27"/>
  </w:num>
  <w:num w:numId="56" w16cid:durableId="495144864">
    <w:abstractNumId w:val="12"/>
  </w:num>
  <w:num w:numId="57" w16cid:durableId="107231322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activeWritingStyle w:appName="MSWord" w:lang="es-ES" w:vendorID="64" w:dllVersion="4096" w:nlCheck="1" w:checkStyle="0"/>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1F"/>
    <w:rsid w:val="00000E9E"/>
    <w:rsid w:val="00002E10"/>
    <w:rsid w:val="0000304A"/>
    <w:rsid w:val="00005842"/>
    <w:rsid w:val="00010A1F"/>
    <w:rsid w:val="00011133"/>
    <w:rsid w:val="00012FBD"/>
    <w:rsid w:val="000130DD"/>
    <w:rsid w:val="000147C9"/>
    <w:rsid w:val="0001659C"/>
    <w:rsid w:val="00016B3D"/>
    <w:rsid w:val="000212CD"/>
    <w:rsid w:val="0002290D"/>
    <w:rsid w:val="00025979"/>
    <w:rsid w:val="00034648"/>
    <w:rsid w:val="0003735D"/>
    <w:rsid w:val="000375B2"/>
    <w:rsid w:val="00040E94"/>
    <w:rsid w:val="00044464"/>
    <w:rsid w:val="00044943"/>
    <w:rsid w:val="00045412"/>
    <w:rsid w:val="00051214"/>
    <w:rsid w:val="0005394A"/>
    <w:rsid w:val="00053FFB"/>
    <w:rsid w:val="00054328"/>
    <w:rsid w:val="00057583"/>
    <w:rsid w:val="0005769C"/>
    <w:rsid w:val="000627DC"/>
    <w:rsid w:val="0006341C"/>
    <w:rsid w:val="00063DBD"/>
    <w:rsid w:val="0006618B"/>
    <w:rsid w:val="000712AA"/>
    <w:rsid w:val="00074BE1"/>
    <w:rsid w:val="00075063"/>
    <w:rsid w:val="00076508"/>
    <w:rsid w:val="00080753"/>
    <w:rsid w:val="00080CE2"/>
    <w:rsid w:val="00082115"/>
    <w:rsid w:val="00084604"/>
    <w:rsid w:val="00085144"/>
    <w:rsid w:val="00087162"/>
    <w:rsid w:val="00092A61"/>
    <w:rsid w:val="000938E8"/>
    <w:rsid w:val="000960D0"/>
    <w:rsid w:val="0009620F"/>
    <w:rsid w:val="000965F0"/>
    <w:rsid w:val="00096A35"/>
    <w:rsid w:val="000A0EC2"/>
    <w:rsid w:val="000A2909"/>
    <w:rsid w:val="000A2B15"/>
    <w:rsid w:val="000A3847"/>
    <w:rsid w:val="000A46D7"/>
    <w:rsid w:val="000A50CE"/>
    <w:rsid w:val="000A619F"/>
    <w:rsid w:val="000B1C03"/>
    <w:rsid w:val="000B2044"/>
    <w:rsid w:val="000B3BB2"/>
    <w:rsid w:val="000B615F"/>
    <w:rsid w:val="000C15D9"/>
    <w:rsid w:val="000C1F83"/>
    <w:rsid w:val="000C2B52"/>
    <w:rsid w:val="000C483D"/>
    <w:rsid w:val="000D1F3F"/>
    <w:rsid w:val="000D3EBB"/>
    <w:rsid w:val="000D7161"/>
    <w:rsid w:val="000E0695"/>
    <w:rsid w:val="000E211D"/>
    <w:rsid w:val="000E2463"/>
    <w:rsid w:val="000E63D3"/>
    <w:rsid w:val="000E7811"/>
    <w:rsid w:val="000F16EF"/>
    <w:rsid w:val="000F2E1D"/>
    <w:rsid w:val="000F309F"/>
    <w:rsid w:val="000F359B"/>
    <w:rsid w:val="000F6D9E"/>
    <w:rsid w:val="000F6DDF"/>
    <w:rsid w:val="000F6E7F"/>
    <w:rsid w:val="001020A4"/>
    <w:rsid w:val="001027E1"/>
    <w:rsid w:val="001102FD"/>
    <w:rsid w:val="001105D4"/>
    <w:rsid w:val="00112C0F"/>
    <w:rsid w:val="001143C7"/>
    <w:rsid w:val="00114C6A"/>
    <w:rsid w:val="00115056"/>
    <w:rsid w:val="00115BF3"/>
    <w:rsid w:val="00116EF7"/>
    <w:rsid w:val="00117460"/>
    <w:rsid w:val="00117871"/>
    <w:rsid w:val="001256A5"/>
    <w:rsid w:val="00125DD8"/>
    <w:rsid w:val="00130C61"/>
    <w:rsid w:val="00131C1E"/>
    <w:rsid w:val="00133727"/>
    <w:rsid w:val="00135246"/>
    <w:rsid w:val="00140878"/>
    <w:rsid w:val="001414B7"/>
    <w:rsid w:val="0014197C"/>
    <w:rsid w:val="00141CEC"/>
    <w:rsid w:val="00143E31"/>
    <w:rsid w:val="00145A07"/>
    <w:rsid w:val="00151A95"/>
    <w:rsid w:val="001557AF"/>
    <w:rsid w:val="001578BE"/>
    <w:rsid w:val="00157E52"/>
    <w:rsid w:val="001601A7"/>
    <w:rsid w:val="00160942"/>
    <w:rsid w:val="00161D51"/>
    <w:rsid w:val="00164C07"/>
    <w:rsid w:val="00164C8F"/>
    <w:rsid w:val="0017527D"/>
    <w:rsid w:val="00175D92"/>
    <w:rsid w:val="00177905"/>
    <w:rsid w:val="001803C3"/>
    <w:rsid w:val="0018107E"/>
    <w:rsid w:val="00183561"/>
    <w:rsid w:val="0018389D"/>
    <w:rsid w:val="00183908"/>
    <w:rsid w:val="00183B80"/>
    <w:rsid w:val="00183DBB"/>
    <w:rsid w:val="00184211"/>
    <w:rsid w:val="001848C9"/>
    <w:rsid w:val="001856E5"/>
    <w:rsid w:val="0018578A"/>
    <w:rsid w:val="001910D0"/>
    <w:rsid w:val="001924B4"/>
    <w:rsid w:val="00192B06"/>
    <w:rsid w:val="00192C42"/>
    <w:rsid w:val="00193681"/>
    <w:rsid w:val="00195EB6"/>
    <w:rsid w:val="00196DDB"/>
    <w:rsid w:val="00197E71"/>
    <w:rsid w:val="001A1D0D"/>
    <w:rsid w:val="001A354C"/>
    <w:rsid w:val="001A5C26"/>
    <w:rsid w:val="001A7784"/>
    <w:rsid w:val="001A7CA5"/>
    <w:rsid w:val="001B1C3E"/>
    <w:rsid w:val="001B3DAD"/>
    <w:rsid w:val="001B4C47"/>
    <w:rsid w:val="001B562D"/>
    <w:rsid w:val="001B5A31"/>
    <w:rsid w:val="001B6DF8"/>
    <w:rsid w:val="001B6E70"/>
    <w:rsid w:val="001B72B1"/>
    <w:rsid w:val="001B73F4"/>
    <w:rsid w:val="001C0BAC"/>
    <w:rsid w:val="001C10B9"/>
    <w:rsid w:val="001C2E8C"/>
    <w:rsid w:val="001C3524"/>
    <w:rsid w:val="001C762F"/>
    <w:rsid w:val="001D092C"/>
    <w:rsid w:val="001E1ABE"/>
    <w:rsid w:val="001E356A"/>
    <w:rsid w:val="001E40E8"/>
    <w:rsid w:val="001F70B0"/>
    <w:rsid w:val="001F7662"/>
    <w:rsid w:val="001F787E"/>
    <w:rsid w:val="00200304"/>
    <w:rsid w:val="0020129A"/>
    <w:rsid w:val="00201B94"/>
    <w:rsid w:val="00202847"/>
    <w:rsid w:val="002063EF"/>
    <w:rsid w:val="002077A3"/>
    <w:rsid w:val="00207CA0"/>
    <w:rsid w:val="0021041A"/>
    <w:rsid w:val="00210FCE"/>
    <w:rsid w:val="002118F9"/>
    <w:rsid w:val="00212538"/>
    <w:rsid w:val="00212696"/>
    <w:rsid w:val="00212F26"/>
    <w:rsid w:val="00213730"/>
    <w:rsid w:val="002137B0"/>
    <w:rsid w:val="0021481A"/>
    <w:rsid w:val="002212CD"/>
    <w:rsid w:val="0022181C"/>
    <w:rsid w:val="00222507"/>
    <w:rsid w:val="00222BF8"/>
    <w:rsid w:val="002248B0"/>
    <w:rsid w:val="0022784A"/>
    <w:rsid w:val="002310B8"/>
    <w:rsid w:val="002316D1"/>
    <w:rsid w:val="002326F1"/>
    <w:rsid w:val="00234DDA"/>
    <w:rsid w:val="00236F79"/>
    <w:rsid w:val="00240320"/>
    <w:rsid w:val="00241E3A"/>
    <w:rsid w:val="002424CE"/>
    <w:rsid w:val="002425A4"/>
    <w:rsid w:val="00242F13"/>
    <w:rsid w:val="00244281"/>
    <w:rsid w:val="00245864"/>
    <w:rsid w:val="0024589A"/>
    <w:rsid w:val="00247B73"/>
    <w:rsid w:val="00250385"/>
    <w:rsid w:val="00250626"/>
    <w:rsid w:val="0025369C"/>
    <w:rsid w:val="002539EE"/>
    <w:rsid w:val="00256A4F"/>
    <w:rsid w:val="0026001B"/>
    <w:rsid w:val="0026097F"/>
    <w:rsid w:val="00263519"/>
    <w:rsid w:val="002651FF"/>
    <w:rsid w:val="00265773"/>
    <w:rsid w:val="002664D2"/>
    <w:rsid w:val="00266D56"/>
    <w:rsid w:val="00271AD9"/>
    <w:rsid w:val="00272965"/>
    <w:rsid w:val="002734DA"/>
    <w:rsid w:val="00273E3A"/>
    <w:rsid w:val="002755E6"/>
    <w:rsid w:val="00275923"/>
    <w:rsid w:val="002759A2"/>
    <w:rsid w:val="0027703B"/>
    <w:rsid w:val="0027768A"/>
    <w:rsid w:val="00277ACE"/>
    <w:rsid w:val="002805E4"/>
    <w:rsid w:val="002817D9"/>
    <w:rsid w:val="002857DF"/>
    <w:rsid w:val="00286F19"/>
    <w:rsid w:val="00287566"/>
    <w:rsid w:val="002878CA"/>
    <w:rsid w:val="00287918"/>
    <w:rsid w:val="00287BF5"/>
    <w:rsid w:val="00287C5F"/>
    <w:rsid w:val="0029037B"/>
    <w:rsid w:val="00290C61"/>
    <w:rsid w:val="0029148B"/>
    <w:rsid w:val="002917DD"/>
    <w:rsid w:val="00294776"/>
    <w:rsid w:val="00296716"/>
    <w:rsid w:val="002973F2"/>
    <w:rsid w:val="00297989"/>
    <w:rsid w:val="00297FFE"/>
    <w:rsid w:val="002A21A2"/>
    <w:rsid w:val="002A26D3"/>
    <w:rsid w:val="002A2932"/>
    <w:rsid w:val="002A7F7F"/>
    <w:rsid w:val="002B194D"/>
    <w:rsid w:val="002B2265"/>
    <w:rsid w:val="002B37E9"/>
    <w:rsid w:val="002B5F4B"/>
    <w:rsid w:val="002B65B7"/>
    <w:rsid w:val="002B6A09"/>
    <w:rsid w:val="002B6BB6"/>
    <w:rsid w:val="002C2908"/>
    <w:rsid w:val="002C78BD"/>
    <w:rsid w:val="002D080E"/>
    <w:rsid w:val="002D1094"/>
    <w:rsid w:val="002D2D49"/>
    <w:rsid w:val="002D6716"/>
    <w:rsid w:val="002E0673"/>
    <w:rsid w:val="002E08F8"/>
    <w:rsid w:val="002E09B2"/>
    <w:rsid w:val="002E3438"/>
    <w:rsid w:val="002E47F2"/>
    <w:rsid w:val="002E6739"/>
    <w:rsid w:val="002E6D10"/>
    <w:rsid w:val="002F35D5"/>
    <w:rsid w:val="002F506E"/>
    <w:rsid w:val="002F5E10"/>
    <w:rsid w:val="002F6740"/>
    <w:rsid w:val="002F6FA7"/>
    <w:rsid w:val="002F7CD4"/>
    <w:rsid w:val="002F7D97"/>
    <w:rsid w:val="00300B86"/>
    <w:rsid w:val="003041B3"/>
    <w:rsid w:val="00304711"/>
    <w:rsid w:val="00304CC2"/>
    <w:rsid w:val="00306EE9"/>
    <w:rsid w:val="00310020"/>
    <w:rsid w:val="00311D15"/>
    <w:rsid w:val="00313366"/>
    <w:rsid w:val="00314164"/>
    <w:rsid w:val="00315807"/>
    <w:rsid w:val="00316828"/>
    <w:rsid w:val="00320A3D"/>
    <w:rsid w:val="00320E27"/>
    <w:rsid w:val="003211D9"/>
    <w:rsid w:val="00322471"/>
    <w:rsid w:val="003226F1"/>
    <w:rsid w:val="00330896"/>
    <w:rsid w:val="00332C58"/>
    <w:rsid w:val="0033726C"/>
    <w:rsid w:val="00341E2B"/>
    <w:rsid w:val="0034212D"/>
    <w:rsid w:val="003427C9"/>
    <w:rsid w:val="0034398C"/>
    <w:rsid w:val="00344113"/>
    <w:rsid w:val="0034553C"/>
    <w:rsid w:val="003455B5"/>
    <w:rsid w:val="00345D9B"/>
    <w:rsid w:val="00351BCB"/>
    <w:rsid w:val="00351BD3"/>
    <w:rsid w:val="0035237A"/>
    <w:rsid w:val="003537B7"/>
    <w:rsid w:val="00354C5A"/>
    <w:rsid w:val="00355BE4"/>
    <w:rsid w:val="00355E7E"/>
    <w:rsid w:val="00356FA6"/>
    <w:rsid w:val="00357C95"/>
    <w:rsid w:val="003600F3"/>
    <w:rsid w:val="0036551F"/>
    <w:rsid w:val="0036598A"/>
    <w:rsid w:val="00366FCA"/>
    <w:rsid w:val="00371407"/>
    <w:rsid w:val="0037154F"/>
    <w:rsid w:val="00373BD6"/>
    <w:rsid w:val="00374C71"/>
    <w:rsid w:val="00375173"/>
    <w:rsid w:val="00376517"/>
    <w:rsid w:val="003831CD"/>
    <w:rsid w:val="00384396"/>
    <w:rsid w:val="003923FC"/>
    <w:rsid w:val="00392479"/>
    <w:rsid w:val="0039292A"/>
    <w:rsid w:val="00393D5C"/>
    <w:rsid w:val="00394469"/>
    <w:rsid w:val="0039656A"/>
    <w:rsid w:val="003A0B55"/>
    <w:rsid w:val="003A381B"/>
    <w:rsid w:val="003A45A5"/>
    <w:rsid w:val="003A522A"/>
    <w:rsid w:val="003A5D65"/>
    <w:rsid w:val="003A66F7"/>
    <w:rsid w:val="003B0A14"/>
    <w:rsid w:val="003B123A"/>
    <w:rsid w:val="003B1884"/>
    <w:rsid w:val="003B1C71"/>
    <w:rsid w:val="003B301F"/>
    <w:rsid w:val="003B55F9"/>
    <w:rsid w:val="003B5759"/>
    <w:rsid w:val="003B5CC4"/>
    <w:rsid w:val="003C09F9"/>
    <w:rsid w:val="003C1E36"/>
    <w:rsid w:val="003C5CAB"/>
    <w:rsid w:val="003D1EA7"/>
    <w:rsid w:val="003D1FBB"/>
    <w:rsid w:val="003D25AC"/>
    <w:rsid w:val="003D340B"/>
    <w:rsid w:val="003D4F4C"/>
    <w:rsid w:val="003D532D"/>
    <w:rsid w:val="003E2034"/>
    <w:rsid w:val="003E2072"/>
    <w:rsid w:val="003E4650"/>
    <w:rsid w:val="003E6579"/>
    <w:rsid w:val="003F1208"/>
    <w:rsid w:val="003F2E78"/>
    <w:rsid w:val="003F3858"/>
    <w:rsid w:val="003F4705"/>
    <w:rsid w:val="003F5A53"/>
    <w:rsid w:val="003F7B58"/>
    <w:rsid w:val="00404435"/>
    <w:rsid w:val="00405517"/>
    <w:rsid w:val="00405A84"/>
    <w:rsid w:val="0040621D"/>
    <w:rsid w:val="00412044"/>
    <w:rsid w:val="00413E95"/>
    <w:rsid w:val="00415A93"/>
    <w:rsid w:val="0042240C"/>
    <w:rsid w:val="004263A5"/>
    <w:rsid w:val="004272BE"/>
    <w:rsid w:val="004274ED"/>
    <w:rsid w:val="00427666"/>
    <w:rsid w:val="004278B4"/>
    <w:rsid w:val="004311F5"/>
    <w:rsid w:val="0043124F"/>
    <w:rsid w:val="00431443"/>
    <w:rsid w:val="004319A0"/>
    <w:rsid w:val="0043342F"/>
    <w:rsid w:val="004349FD"/>
    <w:rsid w:val="00434B19"/>
    <w:rsid w:val="00437BC2"/>
    <w:rsid w:val="00437C23"/>
    <w:rsid w:val="00441E9D"/>
    <w:rsid w:val="00442C1D"/>
    <w:rsid w:val="00442E6E"/>
    <w:rsid w:val="004475CE"/>
    <w:rsid w:val="00447E6D"/>
    <w:rsid w:val="00453430"/>
    <w:rsid w:val="004537E4"/>
    <w:rsid w:val="00462294"/>
    <w:rsid w:val="00462E30"/>
    <w:rsid w:val="004638A2"/>
    <w:rsid w:val="00465912"/>
    <w:rsid w:val="0046655E"/>
    <w:rsid w:val="004674D0"/>
    <w:rsid w:val="00470843"/>
    <w:rsid w:val="00473956"/>
    <w:rsid w:val="00474712"/>
    <w:rsid w:val="00474C09"/>
    <w:rsid w:val="004759A9"/>
    <w:rsid w:val="00475BAE"/>
    <w:rsid w:val="00475EDB"/>
    <w:rsid w:val="00476346"/>
    <w:rsid w:val="004821BC"/>
    <w:rsid w:val="00485781"/>
    <w:rsid w:val="0049295A"/>
    <w:rsid w:val="00493352"/>
    <w:rsid w:val="00495AB9"/>
    <w:rsid w:val="00497A68"/>
    <w:rsid w:val="00497AA5"/>
    <w:rsid w:val="004A5088"/>
    <w:rsid w:val="004A67DD"/>
    <w:rsid w:val="004B0AFD"/>
    <w:rsid w:val="004B51CA"/>
    <w:rsid w:val="004B66DB"/>
    <w:rsid w:val="004C0D61"/>
    <w:rsid w:val="004C1893"/>
    <w:rsid w:val="004C2052"/>
    <w:rsid w:val="004C23E1"/>
    <w:rsid w:val="004C4530"/>
    <w:rsid w:val="004C49B7"/>
    <w:rsid w:val="004C61B4"/>
    <w:rsid w:val="004C635F"/>
    <w:rsid w:val="004D408F"/>
    <w:rsid w:val="004D5781"/>
    <w:rsid w:val="004D6AA5"/>
    <w:rsid w:val="004D6C7D"/>
    <w:rsid w:val="004D7849"/>
    <w:rsid w:val="004D7F6B"/>
    <w:rsid w:val="004E012C"/>
    <w:rsid w:val="004E32A6"/>
    <w:rsid w:val="004E4A56"/>
    <w:rsid w:val="004F5AE5"/>
    <w:rsid w:val="005010ED"/>
    <w:rsid w:val="00501D50"/>
    <w:rsid w:val="00502130"/>
    <w:rsid w:val="00502AAB"/>
    <w:rsid w:val="00502CAA"/>
    <w:rsid w:val="00503C87"/>
    <w:rsid w:val="00504C7F"/>
    <w:rsid w:val="00505CD1"/>
    <w:rsid w:val="00506CDC"/>
    <w:rsid w:val="00507726"/>
    <w:rsid w:val="005102A0"/>
    <w:rsid w:val="00510A13"/>
    <w:rsid w:val="0051186B"/>
    <w:rsid w:val="005128D7"/>
    <w:rsid w:val="00512EEF"/>
    <w:rsid w:val="00515F53"/>
    <w:rsid w:val="00517CF7"/>
    <w:rsid w:val="00523CA5"/>
    <w:rsid w:val="00525ACC"/>
    <w:rsid w:val="00525B98"/>
    <w:rsid w:val="00526B17"/>
    <w:rsid w:val="00527E4D"/>
    <w:rsid w:val="00535D71"/>
    <w:rsid w:val="005371CE"/>
    <w:rsid w:val="0054350F"/>
    <w:rsid w:val="00544205"/>
    <w:rsid w:val="00545697"/>
    <w:rsid w:val="00545E11"/>
    <w:rsid w:val="005467ED"/>
    <w:rsid w:val="005512FB"/>
    <w:rsid w:val="0055282A"/>
    <w:rsid w:val="00555617"/>
    <w:rsid w:val="00557AE1"/>
    <w:rsid w:val="00563432"/>
    <w:rsid w:val="00564BF0"/>
    <w:rsid w:val="00570608"/>
    <w:rsid w:val="00576EC6"/>
    <w:rsid w:val="0057742B"/>
    <w:rsid w:val="005807C1"/>
    <w:rsid w:val="0058164E"/>
    <w:rsid w:val="00582B80"/>
    <w:rsid w:val="00583330"/>
    <w:rsid w:val="0058370F"/>
    <w:rsid w:val="00583D2B"/>
    <w:rsid w:val="005858FC"/>
    <w:rsid w:val="00585BEF"/>
    <w:rsid w:val="00586E4F"/>
    <w:rsid w:val="00591BC4"/>
    <w:rsid w:val="0059241F"/>
    <w:rsid w:val="005934D1"/>
    <w:rsid w:val="00595EAA"/>
    <w:rsid w:val="0059634B"/>
    <w:rsid w:val="00597794"/>
    <w:rsid w:val="005A1EA7"/>
    <w:rsid w:val="005A2C0C"/>
    <w:rsid w:val="005A3826"/>
    <w:rsid w:val="005A44CC"/>
    <w:rsid w:val="005A480A"/>
    <w:rsid w:val="005A4B71"/>
    <w:rsid w:val="005A4E6F"/>
    <w:rsid w:val="005A7B6A"/>
    <w:rsid w:val="005B07CD"/>
    <w:rsid w:val="005B4503"/>
    <w:rsid w:val="005B4A8A"/>
    <w:rsid w:val="005B5F84"/>
    <w:rsid w:val="005C2BDE"/>
    <w:rsid w:val="005D0101"/>
    <w:rsid w:val="005D2134"/>
    <w:rsid w:val="005D37D5"/>
    <w:rsid w:val="005D3846"/>
    <w:rsid w:val="005D3B7F"/>
    <w:rsid w:val="005D3F6F"/>
    <w:rsid w:val="005D629F"/>
    <w:rsid w:val="005D6B7D"/>
    <w:rsid w:val="005E16A3"/>
    <w:rsid w:val="005E3194"/>
    <w:rsid w:val="005F0AE2"/>
    <w:rsid w:val="005F37D9"/>
    <w:rsid w:val="005F40CD"/>
    <w:rsid w:val="005F4B03"/>
    <w:rsid w:val="005F4E71"/>
    <w:rsid w:val="00600405"/>
    <w:rsid w:val="00600C9A"/>
    <w:rsid w:val="00602D61"/>
    <w:rsid w:val="00604D7B"/>
    <w:rsid w:val="00610552"/>
    <w:rsid w:val="006105FA"/>
    <w:rsid w:val="0061407A"/>
    <w:rsid w:val="006154C5"/>
    <w:rsid w:val="00615848"/>
    <w:rsid w:val="00617143"/>
    <w:rsid w:val="006208A2"/>
    <w:rsid w:val="0062092E"/>
    <w:rsid w:val="006245A0"/>
    <w:rsid w:val="00624EE4"/>
    <w:rsid w:val="0062531E"/>
    <w:rsid w:val="0062606C"/>
    <w:rsid w:val="006265F8"/>
    <w:rsid w:val="00626FE7"/>
    <w:rsid w:val="00632A1D"/>
    <w:rsid w:val="00633C2B"/>
    <w:rsid w:val="00634773"/>
    <w:rsid w:val="00634E08"/>
    <w:rsid w:val="00640F8B"/>
    <w:rsid w:val="006425FD"/>
    <w:rsid w:val="00643B46"/>
    <w:rsid w:val="00644B28"/>
    <w:rsid w:val="00645B1D"/>
    <w:rsid w:val="00645E94"/>
    <w:rsid w:val="00646901"/>
    <w:rsid w:val="00647E8A"/>
    <w:rsid w:val="0065113C"/>
    <w:rsid w:val="006522ED"/>
    <w:rsid w:val="006530B7"/>
    <w:rsid w:val="00656BC0"/>
    <w:rsid w:val="00657350"/>
    <w:rsid w:val="00662B98"/>
    <w:rsid w:val="006654AC"/>
    <w:rsid w:val="00665F7F"/>
    <w:rsid w:val="0066605D"/>
    <w:rsid w:val="00666720"/>
    <w:rsid w:val="00667B9A"/>
    <w:rsid w:val="006703ED"/>
    <w:rsid w:val="00672EF9"/>
    <w:rsid w:val="00673D29"/>
    <w:rsid w:val="0067497B"/>
    <w:rsid w:val="00677D91"/>
    <w:rsid w:val="00684219"/>
    <w:rsid w:val="00684F5E"/>
    <w:rsid w:val="00685EB6"/>
    <w:rsid w:val="006931EF"/>
    <w:rsid w:val="00693C55"/>
    <w:rsid w:val="00693C7D"/>
    <w:rsid w:val="00694D5C"/>
    <w:rsid w:val="006952FA"/>
    <w:rsid w:val="006954BF"/>
    <w:rsid w:val="006954D9"/>
    <w:rsid w:val="00695E24"/>
    <w:rsid w:val="006964CF"/>
    <w:rsid w:val="00696857"/>
    <w:rsid w:val="00696968"/>
    <w:rsid w:val="00696E6E"/>
    <w:rsid w:val="006A1ADD"/>
    <w:rsid w:val="006A1BC7"/>
    <w:rsid w:val="006A57D0"/>
    <w:rsid w:val="006A5D01"/>
    <w:rsid w:val="006B116C"/>
    <w:rsid w:val="006B1991"/>
    <w:rsid w:val="006B274D"/>
    <w:rsid w:val="006B408B"/>
    <w:rsid w:val="006B528C"/>
    <w:rsid w:val="006B72D8"/>
    <w:rsid w:val="006C2D75"/>
    <w:rsid w:val="006C2F69"/>
    <w:rsid w:val="006C3948"/>
    <w:rsid w:val="006C452B"/>
    <w:rsid w:val="006C49B4"/>
    <w:rsid w:val="006C5850"/>
    <w:rsid w:val="006C6A0A"/>
    <w:rsid w:val="006D0CFF"/>
    <w:rsid w:val="006D3277"/>
    <w:rsid w:val="006D4344"/>
    <w:rsid w:val="006E061D"/>
    <w:rsid w:val="006E1FA0"/>
    <w:rsid w:val="006E29A0"/>
    <w:rsid w:val="006E49E8"/>
    <w:rsid w:val="006E4A38"/>
    <w:rsid w:val="006E67FA"/>
    <w:rsid w:val="006E6F9B"/>
    <w:rsid w:val="006E7258"/>
    <w:rsid w:val="006F0C9D"/>
    <w:rsid w:val="006F1737"/>
    <w:rsid w:val="006F1A48"/>
    <w:rsid w:val="006F357C"/>
    <w:rsid w:val="006F51CC"/>
    <w:rsid w:val="006F577E"/>
    <w:rsid w:val="006F7A67"/>
    <w:rsid w:val="007000F9"/>
    <w:rsid w:val="00701046"/>
    <w:rsid w:val="0070142D"/>
    <w:rsid w:val="007020F7"/>
    <w:rsid w:val="00702900"/>
    <w:rsid w:val="0070374E"/>
    <w:rsid w:val="007131C0"/>
    <w:rsid w:val="00713BBA"/>
    <w:rsid w:val="00714A38"/>
    <w:rsid w:val="00715B0F"/>
    <w:rsid w:val="00717D52"/>
    <w:rsid w:val="007211E8"/>
    <w:rsid w:val="007215FE"/>
    <w:rsid w:val="00723652"/>
    <w:rsid w:val="00724F55"/>
    <w:rsid w:val="00725EF4"/>
    <w:rsid w:val="00730F80"/>
    <w:rsid w:val="00731B2E"/>
    <w:rsid w:val="00734D82"/>
    <w:rsid w:val="00736671"/>
    <w:rsid w:val="0073716E"/>
    <w:rsid w:val="00737BBF"/>
    <w:rsid w:val="00740469"/>
    <w:rsid w:val="00740BC5"/>
    <w:rsid w:val="007425B9"/>
    <w:rsid w:val="007431A8"/>
    <w:rsid w:val="00743863"/>
    <w:rsid w:val="007449ED"/>
    <w:rsid w:val="007472F3"/>
    <w:rsid w:val="00747FE9"/>
    <w:rsid w:val="007520C4"/>
    <w:rsid w:val="00752A19"/>
    <w:rsid w:val="00754152"/>
    <w:rsid w:val="007565F3"/>
    <w:rsid w:val="00763CAC"/>
    <w:rsid w:val="00764861"/>
    <w:rsid w:val="0077012A"/>
    <w:rsid w:val="00770C91"/>
    <w:rsid w:val="0077173C"/>
    <w:rsid w:val="007719A1"/>
    <w:rsid w:val="0077467B"/>
    <w:rsid w:val="00780B9A"/>
    <w:rsid w:val="0078323E"/>
    <w:rsid w:val="0078387C"/>
    <w:rsid w:val="00783FA1"/>
    <w:rsid w:val="00787333"/>
    <w:rsid w:val="007903B0"/>
    <w:rsid w:val="007903D6"/>
    <w:rsid w:val="00790476"/>
    <w:rsid w:val="0079238A"/>
    <w:rsid w:val="007964AF"/>
    <w:rsid w:val="00796A5B"/>
    <w:rsid w:val="00796DBE"/>
    <w:rsid w:val="007A0DD7"/>
    <w:rsid w:val="007A16BC"/>
    <w:rsid w:val="007A17DE"/>
    <w:rsid w:val="007A2714"/>
    <w:rsid w:val="007A38AA"/>
    <w:rsid w:val="007A7C43"/>
    <w:rsid w:val="007B24A2"/>
    <w:rsid w:val="007B5176"/>
    <w:rsid w:val="007B5537"/>
    <w:rsid w:val="007B7426"/>
    <w:rsid w:val="007C1603"/>
    <w:rsid w:val="007C1DE7"/>
    <w:rsid w:val="007C5CC4"/>
    <w:rsid w:val="007C7D1A"/>
    <w:rsid w:val="007D1005"/>
    <w:rsid w:val="007D393F"/>
    <w:rsid w:val="007D416C"/>
    <w:rsid w:val="007D4ECA"/>
    <w:rsid w:val="007D60A9"/>
    <w:rsid w:val="007E0D1E"/>
    <w:rsid w:val="007E1F36"/>
    <w:rsid w:val="007E28B9"/>
    <w:rsid w:val="007E36BF"/>
    <w:rsid w:val="007E3D10"/>
    <w:rsid w:val="007E3D1A"/>
    <w:rsid w:val="007E5682"/>
    <w:rsid w:val="007E6561"/>
    <w:rsid w:val="007E68E1"/>
    <w:rsid w:val="007F1A76"/>
    <w:rsid w:val="007F248E"/>
    <w:rsid w:val="007F2B27"/>
    <w:rsid w:val="007F3F36"/>
    <w:rsid w:val="007F41CD"/>
    <w:rsid w:val="007F4505"/>
    <w:rsid w:val="007F4F85"/>
    <w:rsid w:val="0080002D"/>
    <w:rsid w:val="008008B2"/>
    <w:rsid w:val="00800A26"/>
    <w:rsid w:val="00801A32"/>
    <w:rsid w:val="008076A9"/>
    <w:rsid w:val="008116F1"/>
    <w:rsid w:val="00815630"/>
    <w:rsid w:val="00821D18"/>
    <w:rsid w:val="00822119"/>
    <w:rsid w:val="008240D6"/>
    <w:rsid w:val="00825801"/>
    <w:rsid w:val="00825B7B"/>
    <w:rsid w:val="00831753"/>
    <w:rsid w:val="0083306A"/>
    <w:rsid w:val="00834BB7"/>
    <w:rsid w:val="00835C25"/>
    <w:rsid w:val="008361B3"/>
    <w:rsid w:val="0084016C"/>
    <w:rsid w:val="00840277"/>
    <w:rsid w:val="008403F0"/>
    <w:rsid w:val="00840DC0"/>
    <w:rsid w:val="00840F00"/>
    <w:rsid w:val="0084129A"/>
    <w:rsid w:val="008420E5"/>
    <w:rsid w:val="00843315"/>
    <w:rsid w:val="00844BBD"/>
    <w:rsid w:val="00844E4F"/>
    <w:rsid w:val="00850499"/>
    <w:rsid w:val="0085125C"/>
    <w:rsid w:val="00851A23"/>
    <w:rsid w:val="008553E2"/>
    <w:rsid w:val="00861711"/>
    <w:rsid w:val="00862693"/>
    <w:rsid w:val="0086464D"/>
    <w:rsid w:val="0086669B"/>
    <w:rsid w:val="00866ADB"/>
    <w:rsid w:val="00867CF6"/>
    <w:rsid w:val="008701C1"/>
    <w:rsid w:val="00873782"/>
    <w:rsid w:val="00873D09"/>
    <w:rsid w:val="008758F6"/>
    <w:rsid w:val="00876B48"/>
    <w:rsid w:val="00880D52"/>
    <w:rsid w:val="0088280E"/>
    <w:rsid w:val="008851EB"/>
    <w:rsid w:val="00885C48"/>
    <w:rsid w:val="008876C8"/>
    <w:rsid w:val="00890CD9"/>
    <w:rsid w:val="0089119D"/>
    <w:rsid w:val="00891A78"/>
    <w:rsid w:val="00895A25"/>
    <w:rsid w:val="008A06DF"/>
    <w:rsid w:val="008A21F6"/>
    <w:rsid w:val="008A2CDF"/>
    <w:rsid w:val="008A3207"/>
    <w:rsid w:val="008A40A0"/>
    <w:rsid w:val="008A772D"/>
    <w:rsid w:val="008B589E"/>
    <w:rsid w:val="008B5A37"/>
    <w:rsid w:val="008B66A9"/>
    <w:rsid w:val="008B688C"/>
    <w:rsid w:val="008C407F"/>
    <w:rsid w:val="008C5CD1"/>
    <w:rsid w:val="008C5CF6"/>
    <w:rsid w:val="008C6CEC"/>
    <w:rsid w:val="008C6F2D"/>
    <w:rsid w:val="008D2AE7"/>
    <w:rsid w:val="008D4591"/>
    <w:rsid w:val="008D56D9"/>
    <w:rsid w:val="008D665A"/>
    <w:rsid w:val="008D6D5A"/>
    <w:rsid w:val="008E167F"/>
    <w:rsid w:val="008E2447"/>
    <w:rsid w:val="008E3234"/>
    <w:rsid w:val="008E485E"/>
    <w:rsid w:val="008E5F5B"/>
    <w:rsid w:val="008F1942"/>
    <w:rsid w:val="008F1D24"/>
    <w:rsid w:val="008F278C"/>
    <w:rsid w:val="008F338D"/>
    <w:rsid w:val="008F5112"/>
    <w:rsid w:val="008F6268"/>
    <w:rsid w:val="008F62B2"/>
    <w:rsid w:val="008F6F97"/>
    <w:rsid w:val="009027BF"/>
    <w:rsid w:val="009108AB"/>
    <w:rsid w:val="00910BC0"/>
    <w:rsid w:val="00914028"/>
    <w:rsid w:val="009155DF"/>
    <w:rsid w:val="00916538"/>
    <w:rsid w:val="00920B34"/>
    <w:rsid w:val="00925101"/>
    <w:rsid w:val="0092594C"/>
    <w:rsid w:val="00925BB1"/>
    <w:rsid w:val="00930976"/>
    <w:rsid w:val="0093290E"/>
    <w:rsid w:val="00935997"/>
    <w:rsid w:val="0094009F"/>
    <w:rsid w:val="009408B7"/>
    <w:rsid w:val="00940F3A"/>
    <w:rsid w:val="00942067"/>
    <w:rsid w:val="00942C80"/>
    <w:rsid w:val="0094323B"/>
    <w:rsid w:val="009448AF"/>
    <w:rsid w:val="00944FB8"/>
    <w:rsid w:val="00945DDC"/>
    <w:rsid w:val="0094726A"/>
    <w:rsid w:val="009472E1"/>
    <w:rsid w:val="0095221C"/>
    <w:rsid w:val="00952B57"/>
    <w:rsid w:val="00953098"/>
    <w:rsid w:val="009537F1"/>
    <w:rsid w:val="00954395"/>
    <w:rsid w:val="00955071"/>
    <w:rsid w:val="009579DA"/>
    <w:rsid w:val="00960881"/>
    <w:rsid w:val="00960A52"/>
    <w:rsid w:val="00961520"/>
    <w:rsid w:val="00961737"/>
    <w:rsid w:val="009624A9"/>
    <w:rsid w:val="0096398D"/>
    <w:rsid w:val="009639E2"/>
    <w:rsid w:val="00964BDC"/>
    <w:rsid w:val="009653C5"/>
    <w:rsid w:val="00967A0C"/>
    <w:rsid w:val="00967F1F"/>
    <w:rsid w:val="00972485"/>
    <w:rsid w:val="00972CF4"/>
    <w:rsid w:val="009735FF"/>
    <w:rsid w:val="00977AFB"/>
    <w:rsid w:val="00981CCE"/>
    <w:rsid w:val="0098416B"/>
    <w:rsid w:val="00984EA4"/>
    <w:rsid w:val="00985972"/>
    <w:rsid w:val="00986513"/>
    <w:rsid w:val="009901BC"/>
    <w:rsid w:val="00990950"/>
    <w:rsid w:val="009914F1"/>
    <w:rsid w:val="00991BA6"/>
    <w:rsid w:val="00991EF5"/>
    <w:rsid w:val="009932F2"/>
    <w:rsid w:val="00994175"/>
    <w:rsid w:val="00994CB4"/>
    <w:rsid w:val="0099531F"/>
    <w:rsid w:val="00997607"/>
    <w:rsid w:val="009A3034"/>
    <w:rsid w:val="009A52D9"/>
    <w:rsid w:val="009A6367"/>
    <w:rsid w:val="009A6C1F"/>
    <w:rsid w:val="009B0480"/>
    <w:rsid w:val="009B110B"/>
    <w:rsid w:val="009B37EE"/>
    <w:rsid w:val="009B51B3"/>
    <w:rsid w:val="009B573C"/>
    <w:rsid w:val="009B7543"/>
    <w:rsid w:val="009B7724"/>
    <w:rsid w:val="009C083D"/>
    <w:rsid w:val="009C0AA2"/>
    <w:rsid w:val="009C14DD"/>
    <w:rsid w:val="009C1F97"/>
    <w:rsid w:val="009C3CFB"/>
    <w:rsid w:val="009C608A"/>
    <w:rsid w:val="009C6E45"/>
    <w:rsid w:val="009D05E2"/>
    <w:rsid w:val="009D06C4"/>
    <w:rsid w:val="009D06CF"/>
    <w:rsid w:val="009D2994"/>
    <w:rsid w:val="009D2C31"/>
    <w:rsid w:val="009D3481"/>
    <w:rsid w:val="009D3E66"/>
    <w:rsid w:val="009D7556"/>
    <w:rsid w:val="009E0499"/>
    <w:rsid w:val="009E0540"/>
    <w:rsid w:val="009E06CF"/>
    <w:rsid w:val="009E16DD"/>
    <w:rsid w:val="009E1E17"/>
    <w:rsid w:val="009E222A"/>
    <w:rsid w:val="009E5F2D"/>
    <w:rsid w:val="009E60A2"/>
    <w:rsid w:val="009E6581"/>
    <w:rsid w:val="009E7261"/>
    <w:rsid w:val="009E76E3"/>
    <w:rsid w:val="009F1DBD"/>
    <w:rsid w:val="009F6348"/>
    <w:rsid w:val="009F6C43"/>
    <w:rsid w:val="009F718E"/>
    <w:rsid w:val="009F7B40"/>
    <w:rsid w:val="00A0314D"/>
    <w:rsid w:val="00A04B9A"/>
    <w:rsid w:val="00A050C1"/>
    <w:rsid w:val="00A066B5"/>
    <w:rsid w:val="00A11429"/>
    <w:rsid w:val="00A1211A"/>
    <w:rsid w:val="00A158DD"/>
    <w:rsid w:val="00A22162"/>
    <w:rsid w:val="00A22EC7"/>
    <w:rsid w:val="00A2323D"/>
    <w:rsid w:val="00A264AC"/>
    <w:rsid w:val="00A27C82"/>
    <w:rsid w:val="00A32211"/>
    <w:rsid w:val="00A32403"/>
    <w:rsid w:val="00A333C4"/>
    <w:rsid w:val="00A33F8B"/>
    <w:rsid w:val="00A354EC"/>
    <w:rsid w:val="00A37F2C"/>
    <w:rsid w:val="00A4192A"/>
    <w:rsid w:val="00A430D2"/>
    <w:rsid w:val="00A43C4D"/>
    <w:rsid w:val="00A44925"/>
    <w:rsid w:val="00A45E2D"/>
    <w:rsid w:val="00A47437"/>
    <w:rsid w:val="00A5025B"/>
    <w:rsid w:val="00A53135"/>
    <w:rsid w:val="00A5317D"/>
    <w:rsid w:val="00A5436A"/>
    <w:rsid w:val="00A5493A"/>
    <w:rsid w:val="00A54E40"/>
    <w:rsid w:val="00A56AC3"/>
    <w:rsid w:val="00A6083B"/>
    <w:rsid w:val="00A623BB"/>
    <w:rsid w:val="00A62524"/>
    <w:rsid w:val="00A66E28"/>
    <w:rsid w:val="00A7404F"/>
    <w:rsid w:val="00A758A4"/>
    <w:rsid w:val="00A80006"/>
    <w:rsid w:val="00A805D8"/>
    <w:rsid w:val="00A82F32"/>
    <w:rsid w:val="00A842BA"/>
    <w:rsid w:val="00A84A2F"/>
    <w:rsid w:val="00A85767"/>
    <w:rsid w:val="00A857EA"/>
    <w:rsid w:val="00A867A5"/>
    <w:rsid w:val="00A87031"/>
    <w:rsid w:val="00A94B6B"/>
    <w:rsid w:val="00A95983"/>
    <w:rsid w:val="00A96677"/>
    <w:rsid w:val="00A979AB"/>
    <w:rsid w:val="00AA1BA1"/>
    <w:rsid w:val="00AA2355"/>
    <w:rsid w:val="00AA293F"/>
    <w:rsid w:val="00AA48CD"/>
    <w:rsid w:val="00AA4C46"/>
    <w:rsid w:val="00AA4EA8"/>
    <w:rsid w:val="00AA5193"/>
    <w:rsid w:val="00AA5825"/>
    <w:rsid w:val="00AA773A"/>
    <w:rsid w:val="00AB002F"/>
    <w:rsid w:val="00AB05A7"/>
    <w:rsid w:val="00AB1FC1"/>
    <w:rsid w:val="00AB239B"/>
    <w:rsid w:val="00AB2D70"/>
    <w:rsid w:val="00AB378B"/>
    <w:rsid w:val="00AB3F90"/>
    <w:rsid w:val="00AB4423"/>
    <w:rsid w:val="00AB51F4"/>
    <w:rsid w:val="00AB559A"/>
    <w:rsid w:val="00AB6A5E"/>
    <w:rsid w:val="00AB6C6F"/>
    <w:rsid w:val="00AC0BA9"/>
    <w:rsid w:val="00AC1E10"/>
    <w:rsid w:val="00AC28DB"/>
    <w:rsid w:val="00AC5FF2"/>
    <w:rsid w:val="00AD0E07"/>
    <w:rsid w:val="00AD4ADD"/>
    <w:rsid w:val="00AE07AE"/>
    <w:rsid w:val="00AE0B09"/>
    <w:rsid w:val="00AE0DAD"/>
    <w:rsid w:val="00AE0E4C"/>
    <w:rsid w:val="00AE33B1"/>
    <w:rsid w:val="00AE367B"/>
    <w:rsid w:val="00AE58F6"/>
    <w:rsid w:val="00AF098F"/>
    <w:rsid w:val="00AF333C"/>
    <w:rsid w:val="00AF3501"/>
    <w:rsid w:val="00AF5200"/>
    <w:rsid w:val="00AF5944"/>
    <w:rsid w:val="00AF5F72"/>
    <w:rsid w:val="00B0153C"/>
    <w:rsid w:val="00B01617"/>
    <w:rsid w:val="00B03A89"/>
    <w:rsid w:val="00B03C38"/>
    <w:rsid w:val="00B03F66"/>
    <w:rsid w:val="00B05B37"/>
    <w:rsid w:val="00B05CF9"/>
    <w:rsid w:val="00B06602"/>
    <w:rsid w:val="00B07495"/>
    <w:rsid w:val="00B074D6"/>
    <w:rsid w:val="00B21001"/>
    <w:rsid w:val="00B21D50"/>
    <w:rsid w:val="00B21EDD"/>
    <w:rsid w:val="00B2279C"/>
    <w:rsid w:val="00B23C1A"/>
    <w:rsid w:val="00B24C55"/>
    <w:rsid w:val="00B32004"/>
    <w:rsid w:val="00B32994"/>
    <w:rsid w:val="00B33966"/>
    <w:rsid w:val="00B339EB"/>
    <w:rsid w:val="00B358FA"/>
    <w:rsid w:val="00B40376"/>
    <w:rsid w:val="00B40561"/>
    <w:rsid w:val="00B43AB8"/>
    <w:rsid w:val="00B44F6E"/>
    <w:rsid w:val="00B454CA"/>
    <w:rsid w:val="00B46D47"/>
    <w:rsid w:val="00B477C8"/>
    <w:rsid w:val="00B5135B"/>
    <w:rsid w:val="00B5210D"/>
    <w:rsid w:val="00B52AD7"/>
    <w:rsid w:val="00B55223"/>
    <w:rsid w:val="00B5546F"/>
    <w:rsid w:val="00B56576"/>
    <w:rsid w:val="00B577B6"/>
    <w:rsid w:val="00B60BC8"/>
    <w:rsid w:val="00B6162E"/>
    <w:rsid w:val="00B61895"/>
    <w:rsid w:val="00B64EF2"/>
    <w:rsid w:val="00B651A9"/>
    <w:rsid w:val="00B67B9A"/>
    <w:rsid w:val="00B72507"/>
    <w:rsid w:val="00B73427"/>
    <w:rsid w:val="00B75AA7"/>
    <w:rsid w:val="00B75D32"/>
    <w:rsid w:val="00B763CA"/>
    <w:rsid w:val="00B7697A"/>
    <w:rsid w:val="00B80FBB"/>
    <w:rsid w:val="00B825F1"/>
    <w:rsid w:val="00B8434D"/>
    <w:rsid w:val="00B853E8"/>
    <w:rsid w:val="00B85E8A"/>
    <w:rsid w:val="00B862D4"/>
    <w:rsid w:val="00B86A88"/>
    <w:rsid w:val="00B8798E"/>
    <w:rsid w:val="00B87D2E"/>
    <w:rsid w:val="00B97792"/>
    <w:rsid w:val="00BA0C54"/>
    <w:rsid w:val="00BA37BC"/>
    <w:rsid w:val="00BA3905"/>
    <w:rsid w:val="00BA3D73"/>
    <w:rsid w:val="00BA52B7"/>
    <w:rsid w:val="00BA6737"/>
    <w:rsid w:val="00BA6D38"/>
    <w:rsid w:val="00BA79C4"/>
    <w:rsid w:val="00BB06A6"/>
    <w:rsid w:val="00BB1833"/>
    <w:rsid w:val="00BB31B3"/>
    <w:rsid w:val="00BB4ECC"/>
    <w:rsid w:val="00BB6F9A"/>
    <w:rsid w:val="00BB6FF8"/>
    <w:rsid w:val="00BB794C"/>
    <w:rsid w:val="00BC008F"/>
    <w:rsid w:val="00BC0E16"/>
    <w:rsid w:val="00BC39F1"/>
    <w:rsid w:val="00BC4496"/>
    <w:rsid w:val="00BC50B5"/>
    <w:rsid w:val="00BC5E01"/>
    <w:rsid w:val="00BC7D10"/>
    <w:rsid w:val="00BD2318"/>
    <w:rsid w:val="00BE0240"/>
    <w:rsid w:val="00BE21C7"/>
    <w:rsid w:val="00BE59F8"/>
    <w:rsid w:val="00BE5E3E"/>
    <w:rsid w:val="00BE6358"/>
    <w:rsid w:val="00BE6EA4"/>
    <w:rsid w:val="00BE79B1"/>
    <w:rsid w:val="00BF0031"/>
    <w:rsid w:val="00BF3008"/>
    <w:rsid w:val="00BF3177"/>
    <w:rsid w:val="00BF3649"/>
    <w:rsid w:val="00BF5CAE"/>
    <w:rsid w:val="00BF6917"/>
    <w:rsid w:val="00BF6D60"/>
    <w:rsid w:val="00C05CDD"/>
    <w:rsid w:val="00C0629A"/>
    <w:rsid w:val="00C11B82"/>
    <w:rsid w:val="00C12EDE"/>
    <w:rsid w:val="00C148D5"/>
    <w:rsid w:val="00C15228"/>
    <w:rsid w:val="00C16140"/>
    <w:rsid w:val="00C1629D"/>
    <w:rsid w:val="00C1633A"/>
    <w:rsid w:val="00C169E2"/>
    <w:rsid w:val="00C16C39"/>
    <w:rsid w:val="00C20DF3"/>
    <w:rsid w:val="00C20E31"/>
    <w:rsid w:val="00C22223"/>
    <w:rsid w:val="00C222B9"/>
    <w:rsid w:val="00C2591B"/>
    <w:rsid w:val="00C25FEF"/>
    <w:rsid w:val="00C271C3"/>
    <w:rsid w:val="00C326E4"/>
    <w:rsid w:val="00C32BAC"/>
    <w:rsid w:val="00C335A6"/>
    <w:rsid w:val="00C347A9"/>
    <w:rsid w:val="00C35269"/>
    <w:rsid w:val="00C4198D"/>
    <w:rsid w:val="00C43303"/>
    <w:rsid w:val="00C43A84"/>
    <w:rsid w:val="00C454F7"/>
    <w:rsid w:val="00C47331"/>
    <w:rsid w:val="00C47755"/>
    <w:rsid w:val="00C50F93"/>
    <w:rsid w:val="00C53158"/>
    <w:rsid w:val="00C5384A"/>
    <w:rsid w:val="00C53DBE"/>
    <w:rsid w:val="00C556E5"/>
    <w:rsid w:val="00C55E50"/>
    <w:rsid w:val="00C56C4E"/>
    <w:rsid w:val="00C57215"/>
    <w:rsid w:val="00C6265F"/>
    <w:rsid w:val="00C631BA"/>
    <w:rsid w:val="00C632CA"/>
    <w:rsid w:val="00C6504F"/>
    <w:rsid w:val="00C65C36"/>
    <w:rsid w:val="00C70642"/>
    <w:rsid w:val="00C710D7"/>
    <w:rsid w:val="00C71AE6"/>
    <w:rsid w:val="00C73A36"/>
    <w:rsid w:val="00C73D37"/>
    <w:rsid w:val="00C75811"/>
    <w:rsid w:val="00C75EBE"/>
    <w:rsid w:val="00C8033C"/>
    <w:rsid w:val="00C804DF"/>
    <w:rsid w:val="00C843B2"/>
    <w:rsid w:val="00C84BF3"/>
    <w:rsid w:val="00C85480"/>
    <w:rsid w:val="00C86E5D"/>
    <w:rsid w:val="00C87A9F"/>
    <w:rsid w:val="00C90086"/>
    <w:rsid w:val="00C90D4D"/>
    <w:rsid w:val="00C91897"/>
    <w:rsid w:val="00C9599B"/>
    <w:rsid w:val="00CA0F57"/>
    <w:rsid w:val="00CA2D5E"/>
    <w:rsid w:val="00CA4A92"/>
    <w:rsid w:val="00CA4C4E"/>
    <w:rsid w:val="00CA795D"/>
    <w:rsid w:val="00CB3976"/>
    <w:rsid w:val="00CB44CD"/>
    <w:rsid w:val="00CB4E13"/>
    <w:rsid w:val="00CB5379"/>
    <w:rsid w:val="00CB552A"/>
    <w:rsid w:val="00CB5AD6"/>
    <w:rsid w:val="00CB67E5"/>
    <w:rsid w:val="00CC1F0E"/>
    <w:rsid w:val="00CC3AC3"/>
    <w:rsid w:val="00CC4D8F"/>
    <w:rsid w:val="00CC67CD"/>
    <w:rsid w:val="00CC6E3B"/>
    <w:rsid w:val="00CD0154"/>
    <w:rsid w:val="00CD0798"/>
    <w:rsid w:val="00CD471C"/>
    <w:rsid w:val="00CD5650"/>
    <w:rsid w:val="00CD5A82"/>
    <w:rsid w:val="00CE75E3"/>
    <w:rsid w:val="00CF2B45"/>
    <w:rsid w:val="00D01EF8"/>
    <w:rsid w:val="00D02821"/>
    <w:rsid w:val="00D03219"/>
    <w:rsid w:val="00D03AB4"/>
    <w:rsid w:val="00D04715"/>
    <w:rsid w:val="00D07D35"/>
    <w:rsid w:val="00D104AF"/>
    <w:rsid w:val="00D1202F"/>
    <w:rsid w:val="00D133AF"/>
    <w:rsid w:val="00D155C0"/>
    <w:rsid w:val="00D22E02"/>
    <w:rsid w:val="00D2763E"/>
    <w:rsid w:val="00D375DB"/>
    <w:rsid w:val="00D37C5E"/>
    <w:rsid w:val="00D416E8"/>
    <w:rsid w:val="00D41D5B"/>
    <w:rsid w:val="00D41E03"/>
    <w:rsid w:val="00D44594"/>
    <w:rsid w:val="00D523F8"/>
    <w:rsid w:val="00D56B60"/>
    <w:rsid w:val="00D56D86"/>
    <w:rsid w:val="00D57950"/>
    <w:rsid w:val="00D57A2A"/>
    <w:rsid w:val="00D665D3"/>
    <w:rsid w:val="00D70353"/>
    <w:rsid w:val="00D7196E"/>
    <w:rsid w:val="00D761DF"/>
    <w:rsid w:val="00D7660B"/>
    <w:rsid w:val="00D76847"/>
    <w:rsid w:val="00D82496"/>
    <w:rsid w:val="00D84C51"/>
    <w:rsid w:val="00D91ED2"/>
    <w:rsid w:val="00D935B0"/>
    <w:rsid w:val="00D9393F"/>
    <w:rsid w:val="00DA24A3"/>
    <w:rsid w:val="00DA32FE"/>
    <w:rsid w:val="00DA37D6"/>
    <w:rsid w:val="00DA40AB"/>
    <w:rsid w:val="00DA5236"/>
    <w:rsid w:val="00DA6AB4"/>
    <w:rsid w:val="00DA6CD2"/>
    <w:rsid w:val="00DB17F6"/>
    <w:rsid w:val="00DB2BE4"/>
    <w:rsid w:val="00DB5B02"/>
    <w:rsid w:val="00DB73A5"/>
    <w:rsid w:val="00DC01B3"/>
    <w:rsid w:val="00DC141F"/>
    <w:rsid w:val="00DC1DA2"/>
    <w:rsid w:val="00DC331A"/>
    <w:rsid w:val="00DC3EA1"/>
    <w:rsid w:val="00DC4015"/>
    <w:rsid w:val="00DC5FE9"/>
    <w:rsid w:val="00DC60EC"/>
    <w:rsid w:val="00DC6E7E"/>
    <w:rsid w:val="00DE2B90"/>
    <w:rsid w:val="00DE31D5"/>
    <w:rsid w:val="00DF0552"/>
    <w:rsid w:val="00DF1DE4"/>
    <w:rsid w:val="00DF414C"/>
    <w:rsid w:val="00DF4300"/>
    <w:rsid w:val="00E00D86"/>
    <w:rsid w:val="00E01E38"/>
    <w:rsid w:val="00E02EB7"/>
    <w:rsid w:val="00E0311A"/>
    <w:rsid w:val="00E046B5"/>
    <w:rsid w:val="00E060AD"/>
    <w:rsid w:val="00E077F2"/>
    <w:rsid w:val="00E111A8"/>
    <w:rsid w:val="00E1298B"/>
    <w:rsid w:val="00E134B7"/>
    <w:rsid w:val="00E139D7"/>
    <w:rsid w:val="00E15EA8"/>
    <w:rsid w:val="00E15F60"/>
    <w:rsid w:val="00E205E2"/>
    <w:rsid w:val="00E22A70"/>
    <w:rsid w:val="00E22D14"/>
    <w:rsid w:val="00E2430C"/>
    <w:rsid w:val="00E24376"/>
    <w:rsid w:val="00E26ACF"/>
    <w:rsid w:val="00E314DB"/>
    <w:rsid w:val="00E33A18"/>
    <w:rsid w:val="00E34D9D"/>
    <w:rsid w:val="00E40D77"/>
    <w:rsid w:val="00E427AE"/>
    <w:rsid w:val="00E43CFA"/>
    <w:rsid w:val="00E449C6"/>
    <w:rsid w:val="00E45054"/>
    <w:rsid w:val="00E453FC"/>
    <w:rsid w:val="00E47A7E"/>
    <w:rsid w:val="00E50419"/>
    <w:rsid w:val="00E5188B"/>
    <w:rsid w:val="00E52013"/>
    <w:rsid w:val="00E540BF"/>
    <w:rsid w:val="00E5451D"/>
    <w:rsid w:val="00E57F35"/>
    <w:rsid w:val="00E60EA0"/>
    <w:rsid w:val="00E6163C"/>
    <w:rsid w:val="00E65B0A"/>
    <w:rsid w:val="00E671E9"/>
    <w:rsid w:val="00E67958"/>
    <w:rsid w:val="00E70A5D"/>
    <w:rsid w:val="00E71226"/>
    <w:rsid w:val="00E7272B"/>
    <w:rsid w:val="00E732C6"/>
    <w:rsid w:val="00E766EC"/>
    <w:rsid w:val="00E768FC"/>
    <w:rsid w:val="00E77021"/>
    <w:rsid w:val="00E774F8"/>
    <w:rsid w:val="00E77F49"/>
    <w:rsid w:val="00E8549F"/>
    <w:rsid w:val="00E864E0"/>
    <w:rsid w:val="00E87C31"/>
    <w:rsid w:val="00E901A0"/>
    <w:rsid w:val="00E9322D"/>
    <w:rsid w:val="00E93D1D"/>
    <w:rsid w:val="00E95453"/>
    <w:rsid w:val="00EA1B92"/>
    <w:rsid w:val="00EA4F10"/>
    <w:rsid w:val="00EA6CA7"/>
    <w:rsid w:val="00EB156A"/>
    <w:rsid w:val="00EB16C6"/>
    <w:rsid w:val="00EB18DF"/>
    <w:rsid w:val="00EB3823"/>
    <w:rsid w:val="00EB48F9"/>
    <w:rsid w:val="00EB4E4D"/>
    <w:rsid w:val="00EB50F5"/>
    <w:rsid w:val="00EB556B"/>
    <w:rsid w:val="00EB6184"/>
    <w:rsid w:val="00EB77F0"/>
    <w:rsid w:val="00EB7A1C"/>
    <w:rsid w:val="00EC22F6"/>
    <w:rsid w:val="00EC2B4B"/>
    <w:rsid w:val="00EC3879"/>
    <w:rsid w:val="00EC4BBA"/>
    <w:rsid w:val="00EC6648"/>
    <w:rsid w:val="00ED23ED"/>
    <w:rsid w:val="00ED74E7"/>
    <w:rsid w:val="00EE2889"/>
    <w:rsid w:val="00EE3597"/>
    <w:rsid w:val="00EE597E"/>
    <w:rsid w:val="00EE5B20"/>
    <w:rsid w:val="00EE6A72"/>
    <w:rsid w:val="00EF0872"/>
    <w:rsid w:val="00EF284C"/>
    <w:rsid w:val="00EF4A07"/>
    <w:rsid w:val="00EF556B"/>
    <w:rsid w:val="00EF5C61"/>
    <w:rsid w:val="00EF6465"/>
    <w:rsid w:val="00EF714B"/>
    <w:rsid w:val="00F00C11"/>
    <w:rsid w:val="00F01DD0"/>
    <w:rsid w:val="00F02238"/>
    <w:rsid w:val="00F051E5"/>
    <w:rsid w:val="00F05A89"/>
    <w:rsid w:val="00F05EDB"/>
    <w:rsid w:val="00F06C6B"/>
    <w:rsid w:val="00F07C03"/>
    <w:rsid w:val="00F11108"/>
    <w:rsid w:val="00F12005"/>
    <w:rsid w:val="00F146DD"/>
    <w:rsid w:val="00F16374"/>
    <w:rsid w:val="00F1710D"/>
    <w:rsid w:val="00F2192A"/>
    <w:rsid w:val="00F22F41"/>
    <w:rsid w:val="00F238AD"/>
    <w:rsid w:val="00F276D9"/>
    <w:rsid w:val="00F32572"/>
    <w:rsid w:val="00F332D7"/>
    <w:rsid w:val="00F33C94"/>
    <w:rsid w:val="00F34394"/>
    <w:rsid w:val="00F35540"/>
    <w:rsid w:val="00F35EE0"/>
    <w:rsid w:val="00F36333"/>
    <w:rsid w:val="00F37471"/>
    <w:rsid w:val="00F41829"/>
    <w:rsid w:val="00F44AF6"/>
    <w:rsid w:val="00F4667F"/>
    <w:rsid w:val="00F512EA"/>
    <w:rsid w:val="00F52592"/>
    <w:rsid w:val="00F535E8"/>
    <w:rsid w:val="00F55E88"/>
    <w:rsid w:val="00F56B6B"/>
    <w:rsid w:val="00F60B68"/>
    <w:rsid w:val="00F61373"/>
    <w:rsid w:val="00F632AD"/>
    <w:rsid w:val="00F63DE3"/>
    <w:rsid w:val="00F66016"/>
    <w:rsid w:val="00F664D5"/>
    <w:rsid w:val="00F7066C"/>
    <w:rsid w:val="00F713AD"/>
    <w:rsid w:val="00F71F27"/>
    <w:rsid w:val="00F725FD"/>
    <w:rsid w:val="00F7326E"/>
    <w:rsid w:val="00F7341C"/>
    <w:rsid w:val="00F76A3E"/>
    <w:rsid w:val="00F778B7"/>
    <w:rsid w:val="00F80306"/>
    <w:rsid w:val="00F86925"/>
    <w:rsid w:val="00F869CE"/>
    <w:rsid w:val="00F91825"/>
    <w:rsid w:val="00F91E28"/>
    <w:rsid w:val="00F9769F"/>
    <w:rsid w:val="00FA05C0"/>
    <w:rsid w:val="00FA223C"/>
    <w:rsid w:val="00FA2BD1"/>
    <w:rsid w:val="00FA421C"/>
    <w:rsid w:val="00FA44D6"/>
    <w:rsid w:val="00FA48B8"/>
    <w:rsid w:val="00FA63E6"/>
    <w:rsid w:val="00FA6952"/>
    <w:rsid w:val="00FB2E61"/>
    <w:rsid w:val="00FB312D"/>
    <w:rsid w:val="00FB541D"/>
    <w:rsid w:val="00FB577B"/>
    <w:rsid w:val="00FB6058"/>
    <w:rsid w:val="00FB79B0"/>
    <w:rsid w:val="00FC0556"/>
    <w:rsid w:val="00FC1372"/>
    <w:rsid w:val="00FC15EC"/>
    <w:rsid w:val="00FC183A"/>
    <w:rsid w:val="00FC1D72"/>
    <w:rsid w:val="00FC2FDD"/>
    <w:rsid w:val="00FC47ED"/>
    <w:rsid w:val="00FD58F1"/>
    <w:rsid w:val="00FD6AF6"/>
    <w:rsid w:val="00FD7605"/>
    <w:rsid w:val="00FE0503"/>
    <w:rsid w:val="00FE07B1"/>
    <w:rsid w:val="00FE0BE7"/>
    <w:rsid w:val="00FE30D0"/>
    <w:rsid w:val="00FE6551"/>
    <w:rsid w:val="00FE6FAA"/>
    <w:rsid w:val="00FF12FA"/>
    <w:rsid w:val="00FF1430"/>
    <w:rsid w:val="00FF2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65231"/>
  <w15:docId w15:val="{1AB787D7-E6DA-4D36-86FB-31F3EECD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06C"/>
    <w:rPr>
      <w:sz w:val="24"/>
      <w:szCs w:val="24"/>
    </w:rPr>
  </w:style>
  <w:style w:type="paragraph" w:styleId="Ttulo1">
    <w:name w:val="heading 1"/>
    <w:basedOn w:val="Normal"/>
    <w:next w:val="Normal"/>
    <w:qFormat/>
    <w:pPr>
      <w:keepNext/>
      <w:autoSpaceDE w:val="0"/>
      <w:autoSpaceDN w:val="0"/>
      <w:jc w:val="both"/>
      <w:outlineLvl w:val="0"/>
    </w:pPr>
    <w:rPr>
      <w:b/>
      <w:bCs/>
      <w:sz w:val="22"/>
      <w:szCs w:val="22"/>
      <w:lang w:val="es-ES_tradnl"/>
    </w:rPr>
  </w:style>
  <w:style w:type="paragraph" w:styleId="Ttulo2">
    <w:name w:val="heading 2"/>
    <w:basedOn w:val="Normal"/>
    <w:next w:val="Normal"/>
    <w:qFormat/>
    <w:pPr>
      <w:keepNext/>
      <w:autoSpaceDE w:val="0"/>
      <w:autoSpaceDN w:val="0"/>
      <w:jc w:val="both"/>
      <w:outlineLvl w:val="1"/>
    </w:pPr>
    <w:rPr>
      <w:b/>
      <w:bCs/>
      <w:sz w:val="22"/>
      <w:szCs w:val="22"/>
      <w:lang w:val="es-ES_tradnl"/>
    </w:rPr>
  </w:style>
  <w:style w:type="paragraph" w:styleId="Ttulo3">
    <w:name w:val="heading 3"/>
    <w:basedOn w:val="Normal"/>
    <w:next w:val="Normal"/>
    <w:qFormat/>
    <w:pPr>
      <w:keepNext/>
      <w:widowControl w:val="0"/>
      <w:autoSpaceDE w:val="0"/>
      <w:autoSpaceDN w:val="0"/>
      <w:adjustRightInd w:val="0"/>
      <w:jc w:val="center"/>
      <w:outlineLvl w:val="2"/>
    </w:pPr>
    <w:rPr>
      <w:b/>
      <w:bCs/>
      <w:i/>
      <w:iCs/>
      <w:sz w:val="20"/>
      <w:u w:val="single"/>
    </w:rPr>
  </w:style>
  <w:style w:type="paragraph" w:styleId="Ttulo4">
    <w:name w:val="heading 4"/>
    <w:basedOn w:val="Normal"/>
    <w:next w:val="Normal"/>
    <w:link w:val="Ttulo4Car"/>
    <w:qFormat/>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b/>
      <w:bCs/>
      <w:sz w:val="28"/>
      <w:szCs w:val="28"/>
      <w:lang w:val="x-none" w:eastAsia="x-none"/>
    </w:rPr>
  </w:style>
  <w:style w:type="paragraph" w:styleId="Ttulo5">
    <w:name w:val="heading 5"/>
    <w:basedOn w:val="Normal"/>
    <w:next w:val="Normal"/>
    <w:qFormat/>
    <w:pPr>
      <w:keepNext/>
      <w:outlineLvl w:val="4"/>
    </w:pPr>
    <w:rPr>
      <w:b/>
      <w:bCs/>
      <w:sz w:val="22"/>
      <w:szCs w:val="22"/>
    </w:rPr>
  </w:style>
  <w:style w:type="paragraph" w:styleId="Ttulo6">
    <w:name w:val="heading 6"/>
    <w:basedOn w:val="Normal"/>
    <w:next w:val="Normal"/>
    <w:qFormat/>
    <w:pPr>
      <w:keepNext/>
      <w:jc w:val="center"/>
      <w:outlineLvl w:val="5"/>
    </w:pPr>
    <w:rPr>
      <w:b/>
      <w:bCs/>
      <w:szCs w:val="32"/>
    </w:rPr>
  </w:style>
  <w:style w:type="paragraph" w:styleId="Ttulo7">
    <w:name w:val="heading 7"/>
    <w:basedOn w:val="Normal"/>
    <w:next w:val="Normal"/>
    <w:qFormat/>
    <w:pPr>
      <w:keepNext/>
      <w:ind w:left="180"/>
      <w:jc w:val="both"/>
      <w:outlineLvl w:val="6"/>
    </w:pPr>
    <w:rPr>
      <w:b/>
      <w:bCs/>
      <w:color w:val="993300"/>
      <w:szCs w:val="22"/>
    </w:rPr>
  </w:style>
  <w:style w:type="paragraph" w:styleId="Ttulo8">
    <w:name w:val="heading 8"/>
    <w:basedOn w:val="Normal"/>
    <w:next w:val="Normal"/>
    <w:qFormat/>
    <w:pPr>
      <w:keepNext/>
      <w:jc w:val="both"/>
      <w:outlineLvl w:val="7"/>
    </w:pPr>
    <w:rPr>
      <w:b/>
      <w:bCs/>
      <w:color w:val="8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360"/>
      </w:tabs>
      <w:jc w:val="both"/>
    </w:pPr>
    <w:rPr>
      <w:b/>
      <w:bCs/>
      <w:sz w:val="22"/>
      <w:szCs w:val="22"/>
      <w:lang w:val="x-none" w:eastAsia="x-none"/>
    </w:rPr>
  </w:style>
  <w:style w:type="paragraph" w:styleId="Sangradetextonormal">
    <w:name w:val="Body Text Indent"/>
    <w:basedOn w:val="Normal"/>
    <w:link w:val="SangradetextonormalCar"/>
    <w:pPr>
      <w:ind w:left="360"/>
      <w:jc w:val="both"/>
    </w:pPr>
    <w:rPr>
      <w:lang w:val="x-none" w:eastAsia="x-none"/>
    </w:rPr>
  </w:style>
  <w:style w:type="paragraph" w:styleId="Subttulo">
    <w:name w:val="Subtitle"/>
    <w:basedOn w:val="Normal"/>
    <w:qFormat/>
    <w:pPr>
      <w:widowControl w:val="0"/>
      <w:autoSpaceDE w:val="0"/>
      <w:autoSpaceDN w:val="0"/>
      <w:adjustRightInd w:val="0"/>
      <w:jc w:val="both"/>
    </w:pPr>
    <w:rPr>
      <w:b/>
      <w:bCs/>
      <w:sz w:val="28"/>
      <w:szCs w:val="28"/>
      <w:lang w:val="es-ES_tradnl"/>
    </w:rPr>
  </w:style>
  <w:style w:type="paragraph" w:styleId="Piedepgina">
    <w:name w:val="footer"/>
    <w:basedOn w:val="Normal"/>
    <w:link w:val="PiedepginaCar"/>
    <w:uiPriority w:val="99"/>
    <w:pPr>
      <w:tabs>
        <w:tab w:val="center" w:pos="4252"/>
        <w:tab w:val="right" w:pos="8504"/>
      </w:tabs>
    </w:pPr>
    <w:rPr>
      <w:rFonts w:ascii="Arial" w:hAnsi="Arial"/>
      <w:sz w:val="20"/>
      <w:lang w:val="x-none" w:eastAsia="x-none"/>
    </w:r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independiente2">
    <w:name w:val="Body Text 2"/>
    <w:basedOn w:val="Normal"/>
    <w:pPr>
      <w:jc w:val="both"/>
    </w:pPr>
    <w:rPr>
      <w:b/>
      <w:bCs/>
      <w:color w:val="800000"/>
      <w:sz w:val="22"/>
      <w:szCs w:val="22"/>
    </w:rPr>
  </w:style>
  <w:style w:type="paragraph" w:styleId="Textoindependiente3">
    <w:name w:val="Body Text 3"/>
    <w:basedOn w:val="Normal"/>
    <w:pPr>
      <w:tabs>
        <w:tab w:val="left" w:pos="360"/>
      </w:tabs>
      <w:jc w:val="both"/>
    </w:pPr>
    <w:rPr>
      <w:b/>
      <w:bCs/>
      <w:i/>
      <w:iCs/>
      <w:color w:val="800000"/>
      <w:szCs w:val="22"/>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
    <w:name w:val="Hyperlink"/>
    <w:rPr>
      <w:color w:val="0000FF"/>
      <w:u w:val="single"/>
    </w:rPr>
  </w:style>
  <w:style w:type="paragraph" w:styleId="Textodeglobo">
    <w:name w:val="Balloon Text"/>
    <w:basedOn w:val="Normal"/>
    <w:semiHidden/>
    <w:rPr>
      <w:rFonts w:ascii="Tahoma" w:hAnsi="Tahoma" w:cs="Tahoma"/>
      <w:sz w:val="16"/>
      <w:szCs w:val="16"/>
    </w:rPr>
  </w:style>
  <w:style w:type="character" w:styleId="Fuerte">
    <w:name w:val="Strong"/>
    <w:uiPriority w:val="22"/>
    <w:qFormat/>
    <w:rPr>
      <w:b/>
      <w:bCs/>
    </w:rPr>
  </w:style>
  <w:style w:type="paragraph" w:styleId="Sangra2detindependiente">
    <w:name w:val="Body Text Indent 2"/>
    <w:basedOn w:val="Normal"/>
    <w:pPr>
      <w:shd w:val="clear" w:color="auto" w:fill="FFFFFF"/>
      <w:ind w:left="180"/>
      <w:jc w:val="both"/>
    </w:pPr>
  </w:style>
  <w:style w:type="paragraph" w:styleId="Asuntodelcomentario">
    <w:name w:val="annotation subject"/>
    <w:basedOn w:val="Textocomentario"/>
    <w:next w:val="Textocomentario"/>
    <w:semiHidden/>
    <w:rPr>
      <w:b/>
      <w:bCs/>
    </w:rPr>
  </w:style>
  <w:style w:type="paragraph" w:styleId="Mapadeldocumento">
    <w:name w:val="Document Map"/>
    <w:basedOn w:val="Normal"/>
    <w:semiHidden/>
    <w:pPr>
      <w:shd w:val="clear" w:color="auto" w:fill="000080"/>
    </w:pPr>
    <w:rPr>
      <w:rFonts w:ascii="Tahoma" w:hAnsi="Tahoma" w:cs="Tahoma"/>
      <w:sz w:val="20"/>
      <w:szCs w:val="20"/>
    </w:rPr>
  </w:style>
  <w:style w:type="paragraph" w:styleId="Sangra3detindependiente">
    <w:name w:val="Body Text Indent 3"/>
    <w:basedOn w:val="Normal"/>
    <w:pPr>
      <w:ind w:left="180"/>
      <w:jc w:val="both"/>
    </w:pPr>
    <w:rPr>
      <w:i/>
      <w:iCs/>
      <w:szCs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61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grita1">
    <w:name w:val="negrita1"/>
    <w:rsid w:val="006D0CFF"/>
    <w:rPr>
      <w:b/>
      <w:bCs/>
    </w:rPr>
  </w:style>
  <w:style w:type="paragraph" w:customStyle="1" w:styleId="ana">
    <w:name w:val="ana"/>
    <w:basedOn w:val="Normal"/>
    <w:rsid w:val="006D0CFF"/>
    <w:pPr>
      <w:spacing w:before="100" w:beforeAutospacing="1" w:after="100" w:afterAutospacing="1"/>
    </w:pPr>
    <w:rPr>
      <w:color w:val="012D52"/>
      <w:sz w:val="18"/>
      <w:szCs w:val="18"/>
    </w:rPr>
  </w:style>
  <w:style w:type="character" w:customStyle="1" w:styleId="textofechaactualidad1">
    <w:name w:val="textofechaactualidad1"/>
    <w:rsid w:val="0006341C"/>
    <w:rPr>
      <w:rFonts w:ascii="Arial" w:hAnsi="Arial" w:cs="Arial" w:hint="default"/>
      <w:b/>
      <w:bCs/>
      <w:strike w:val="0"/>
      <w:dstrike w:val="0"/>
      <w:color w:val="666699"/>
      <w:sz w:val="14"/>
      <w:szCs w:val="14"/>
      <w:u w:val="none"/>
      <w:effect w:val="none"/>
    </w:rPr>
  </w:style>
  <w:style w:type="character" w:customStyle="1" w:styleId="TextoindependienteCar">
    <w:name w:val="Texto independiente Car"/>
    <w:link w:val="Textoindependiente"/>
    <w:rsid w:val="00EA1B92"/>
    <w:rPr>
      <w:b/>
      <w:bCs/>
      <w:sz w:val="22"/>
      <w:szCs w:val="22"/>
    </w:rPr>
  </w:style>
  <w:style w:type="paragraph" w:styleId="Prrafodelista">
    <w:name w:val="List Paragraph"/>
    <w:basedOn w:val="Normal"/>
    <w:uiPriority w:val="34"/>
    <w:qFormat/>
    <w:rsid w:val="007C1603"/>
    <w:pPr>
      <w:ind w:left="708"/>
    </w:pPr>
  </w:style>
  <w:style w:type="character" w:customStyle="1" w:styleId="PiedepginaCar">
    <w:name w:val="Pie de página Car"/>
    <w:link w:val="Piedepgina"/>
    <w:uiPriority w:val="99"/>
    <w:rsid w:val="00A84A2F"/>
    <w:rPr>
      <w:rFonts w:ascii="Arial" w:hAnsi="Arial"/>
      <w:szCs w:val="24"/>
    </w:rPr>
  </w:style>
  <w:style w:type="character" w:customStyle="1" w:styleId="SangradetextonormalCar">
    <w:name w:val="Sangría de texto normal Car"/>
    <w:link w:val="Sangradetextonormal"/>
    <w:rsid w:val="00B23C1A"/>
    <w:rPr>
      <w:sz w:val="24"/>
      <w:szCs w:val="24"/>
    </w:rPr>
  </w:style>
  <w:style w:type="character" w:customStyle="1" w:styleId="Ttulo4Car">
    <w:name w:val="Título 4 Car"/>
    <w:link w:val="Ttulo4"/>
    <w:rsid w:val="00A2323D"/>
    <w:rPr>
      <w:b/>
      <w:bCs/>
      <w:sz w:val="28"/>
      <w:szCs w:val="28"/>
      <w:shd w:val="clear" w:color="000000" w:fill="FFFFFF"/>
    </w:rPr>
  </w:style>
  <w:style w:type="character" w:customStyle="1" w:styleId="txtbold">
    <w:name w:val="txtbold"/>
    <w:rsid w:val="00C454F7"/>
  </w:style>
  <w:style w:type="character" w:styleId="nfasis">
    <w:name w:val="Emphasis"/>
    <w:basedOn w:val="Fuentedeprrafopredeter"/>
    <w:uiPriority w:val="20"/>
    <w:qFormat/>
    <w:rsid w:val="00B87D2E"/>
    <w:rPr>
      <w:i/>
      <w:iCs/>
    </w:rPr>
  </w:style>
  <w:style w:type="character" w:styleId="Mencinsinresolver">
    <w:name w:val="Unresolved Mention"/>
    <w:basedOn w:val="Fuentedeprrafopredeter"/>
    <w:uiPriority w:val="99"/>
    <w:semiHidden/>
    <w:unhideWhenUsed/>
    <w:rsid w:val="00B87D2E"/>
    <w:rPr>
      <w:color w:val="605E5C"/>
      <w:shd w:val="clear" w:color="auto" w:fill="E1DFDD"/>
    </w:rPr>
  </w:style>
  <w:style w:type="paragraph" w:styleId="Revisin">
    <w:name w:val="Revision"/>
    <w:hidden/>
    <w:uiPriority w:val="99"/>
    <w:semiHidden/>
    <w:rsid w:val="008E5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66">
      <w:bodyDiv w:val="1"/>
      <w:marLeft w:val="0"/>
      <w:marRight w:val="0"/>
      <w:marTop w:val="0"/>
      <w:marBottom w:val="0"/>
      <w:divBdr>
        <w:top w:val="none" w:sz="0" w:space="0" w:color="auto"/>
        <w:left w:val="none" w:sz="0" w:space="0" w:color="auto"/>
        <w:bottom w:val="none" w:sz="0" w:space="0" w:color="auto"/>
        <w:right w:val="none" w:sz="0" w:space="0" w:color="auto"/>
      </w:divBdr>
      <w:divsChild>
        <w:div w:id="379791299">
          <w:marLeft w:val="0"/>
          <w:marRight w:val="0"/>
          <w:marTop w:val="0"/>
          <w:marBottom w:val="0"/>
          <w:divBdr>
            <w:top w:val="none" w:sz="0" w:space="0" w:color="auto"/>
            <w:left w:val="none" w:sz="0" w:space="0" w:color="auto"/>
            <w:bottom w:val="none" w:sz="0" w:space="0" w:color="auto"/>
            <w:right w:val="none" w:sz="0" w:space="0" w:color="auto"/>
          </w:divBdr>
          <w:divsChild>
            <w:div w:id="20100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237">
      <w:bodyDiv w:val="1"/>
      <w:marLeft w:val="0"/>
      <w:marRight w:val="0"/>
      <w:marTop w:val="0"/>
      <w:marBottom w:val="0"/>
      <w:divBdr>
        <w:top w:val="none" w:sz="0" w:space="0" w:color="auto"/>
        <w:left w:val="none" w:sz="0" w:space="0" w:color="auto"/>
        <w:bottom w:val="none" w:sz="0" w:space="0" w:color="auto"/>
        <w:right w:val="none" w:sz="0" w:space="0" w:color="auto"/>
      </w:divBdr>
    </w:div>
    <w:div w:id="72555892">
      <w:bodyDiv w:val="1"/>
      <w:marLeft w:val="0"/>
      <w:marRight w:val="0"/>
      <w:marTop w:val="0"/>
      <w:marBottom w:val="0"/>
      <w:divBdr>
        <w:top w:val="single" w:sz="2" w:space="0" w:color="CC3640"/>
        <w:left w:val="none" w:sz="0" w:space="0" w:color="auto"/>
        <w:bottom w:val="none" w:sz="0" w:space="0" w:color="auto"/>
        <w:right w:val="none" w:sz="0" w:space="0" w:color="auto"/>
      </w:divBdr>
      <w:divsChild>
        <w:div w:id="842016424">
          <w:marLeft w:val="0"/>
          <w:marRight w:val="0"/>
          <w:marTop w:val="0"/>
          <w:marBottom w:val="0"/>
          <w:divBdr>
            <w:top w:val="single" w:sz="2" w:space="0" w:color="FF0000"/>
            <w:left w:val="single" w:sz="2" w:space="0" w:color="FF0000"/>
            <w:bottom w:val="single" w:sz="2" w:space="0" w:color="FF0000"/>
            <w:right w:val="single" w:sz="2" w:space="0" w:color="FF0000"/>
          </w:divBdr>
          <w:divsChild>
            <w:div w:id="1083641768">
              <w:marLeft w:val="0"/>
              <w:marRight w:val="0"/>
              <w:marTop w:val="0"/>
              <w:marBottom w:val="0"/>
              <w:divBdr>
                <w:top w:val="none" w:sz="0" w:space="0" w:color="auto"/>
                <w:left w:val="single" w:sz="6" w:space="0" w:color="DDDDDD"/>
                <w:bottom w:val="none" w:sz="0" w:space="0" w:color="auto"/>
                <w:right w:val="none" w:sz="0" w:space="0" w:color="auto"/>
              </w:divBdr>
              <w:divsChild>
                <w:div w:id="1390298489">
                  <w:marLeft w:val="0"/>
                  <w:marRight w:val="0"/>
                  <w:marTop w:val="0"/>
                  <w:marBottom w:val="0"/>
                  <w:divBdr>
                    <w:top w:val="single" w:sz="2" w:space="0" w:color="008000"/>
                    <w:left w:val="single" w:sz="2" w:space="0" w:color="008000"/>
                    <w:bottom w:val="single" w:sz="2" w:space="0" w:color="008000"/>
                    <w:right w:val="single" w:sz="2" w:space="0" w:color="008000"/>
                  </w:divBdr>
                  <w:divsChild>
                    <w:div w:id="1554847224">
                      <w:marLeft w:val="0"/>
                      <w:marRight w:val="0"/>
                      <w:marTop w:val="0"/>
                      <w:marBottom w:val="0"/>
                      <w:divBdr>
                        <w:top w:val="none" w:sz="0" w:space="0" w:color="auto"/>
                        <w:left w:val="none" w:sz="0" w:space="0" w:color="auto"/>
                        <w:bottom w:val="none" w:sz="0" w:space="0" w:color="auto"/>
                        <w:right w:val="none" w:sz="0" w:space="0" w:color="auto"/>
                      </w:divBdr>
                      <w:divsChild>
                        <w:div w:id="2052611698">
                          <w:marLeft w:val="0"/>
                          <w:marRight w:val="0"/>
                          <w:marTop w:val="0"/>
                          <w:marBottom w:val="0"/>
                          <w:divBdr>
                            <w:top w:val="none" w:sz="0" w:space="0" w:color="auto"/>
                            <w:left w:val="none" w:sz="0" w:space="0" w:color="auto"/>
                            <w:bottom w:val="none" w:sz="0" w:space="0" w:color="auto"/>
                            <w:right w:val="none" w:sz="0" w:space="0" w:color="auto"/>
                          </w:divBdr>
                          <w:divsChild>
                            <w:div w:id="22010146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162641">
      <w:bodyDiv w:val="1"/>
      <w:marLeft w:val="0"/>
      <w:marRight w:val="0"/>
      <w:marTop w:val="0"/>
      <w:marBottom w:val="0"/>
      <w:divBdr>
        <w:top w:val="none" w:sz="0" w:space="0" w:color="auto"/>
        <w:left w:val="none" w:sz="0" w:space="0" w:color="auto"/>
        <w:bottom w:val="none" w:sz="0" w:space="0" w:color="auto"/>
        <w:right w:val="none" w:sz="0" w:space="0" w:color="auto"/>
      </w:divBdr>
      <w:divsChild>
        <w:div w:id="1231623533">
          <w:marLeft w:val="0"/>
          <w:marRight w:val="0"/>
          <w:marTop w:val="0"/>
          <w:marBottom w:val="0"/>
          <w:divBdr>
            <w:top w:val="none" w:sz="0" w:space="0" w:color="auto"/>
            <w:left w:val="none" w:sz="0" w:space="0" w:color="auto"/>
            <w:bottom w:val="none" w:sz="0" w:space="0" w:color="auto"/>
            <w:right w:val="none" w:sz="0" w:space="0" w:color="auto"/>
          </w:divBdr>
          <w:divsChild>
            <w:div w:id="1464275014">
              <w:marLeft w:val="0"/>
              <w:marRight w:val="0"/>
              <w:marTop w:val="0"/>
              <w:marBottom w:val="0"/>
              <w:divBdr>
                <w:top w:val="none" w:sz="0" w:space="0" w:color="auto"/>
                <w:left w:val="none" w:sz="0" w:space="0" w:color="auto"/>
                <w:bottom w:val="none" w:sz="0" w:space="0" w:color="auto"/>
                <w:right w:val="none" w:sz="0" w:space="0" w:color="auto"/>
              </w:divBdr>
              <w:divsChild>
                <w:div w:id="380060305">
                  <w:marLeft w:val="0"/>
                  <w:marRight w:val="0"/>
                  <w:marTop w:val="0"/>
                  <w:marBottom w:val="0"/>
                  <w:divBdr>
                    <w:top w:val="none" w:sz="0" w:space="0" w:color="auto"/>
                    <w:left w:val="none" w:sz="0" w:space="0" w:color="auto"/>
                    <w:bottom w:val="none" w:sz="0" w:space="0" w:color="auto"/>
                    <w:right w:val="none" w:sz="0" w:space="0" w:color="auto"/>
                  </w:divBdr>
                </w:div>
                <w:div w:id="640160971">
                  <w:marLeft w:val="0"/>
                  <w:marRight w:val="0"/>
                  <w:marTop w:val="0"/>
                  <w:marBottom w:val="0"/>
                  <w:divBdr>
                    <w:top w:val="none" w:sz="0" w:space="0" w:color="auto"/>
                    <w:left w:val="none" w:sz="0" w:space="0" w:color="auto"/>
                    <w:bottom w:val="none" w:sz="0" w:space="0" w:color="auto"/>
                    <w:right w:val="none" w:sz="0" w:space="0" w:color="auto"/>
                  </w:divBdr>
                </w:div>
                <w:div w:id="1167862614">
                  <w:marLeft w:val="31"/>
                  <w:marRight w:val="0"/>
                  <w:marTop w:val="0"/>
                  <w:marBottom w:val="0"/>
                  <w:divBdr>
                    <w:top w:val="none" w:sz="0" w:space="0" w:color="auto"/>
                    <w:left w:val="none" w:sz="0" w:space="0" w:color="auto"/>
                    <w:bottom w:val="none" w:sz="0" w:space="0" w:color="auto"/>
                    <w:right w:val="none" w:sz="0" w:space="0" w:color="auto"/>
                  </w:divBdr>
                </w:div>
                <w:div w:id="1284075105">
                  <w:marLeft w:val="3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6237">
      <w:bodyDiv w:val="1"/>
      <w:marLeft w:val="0"/>
      <w:marRight w:val="0"/>
      <w:marTop w:val="0"/>
      <w:marBottom w:val="0"/>
      <w:divBdr>
        <w:top w:val="single" w:sz="2" w:space="0" w:color="CC3640"/>
        <w:left w:val="none" w:sz="0" w:space="0" w:color="auto"/>
        <w:bottom w:val="none" w:sz="0" w:space="0" w:color="auto"/>
        <w:right w:val="none" w:sz="0" w:space="0" w:color="auto"/>
      </w:divBdr>
      <w:divsChild>
        <w:div w:id="558135048">
          <w:marLeft w:val="0"/>
          <w:marRight w:val="0"/>
          <w:marTop w:val="0"/>
          <w:marBottom w:val="0"/>
          <w:divBdr>
            <w:top w:val="single" w:sz="2" w:space="0" w:color="FF0000"/>
            <w:left w:val="single" w:sz="2" w:space="0" w:color="FF0000"/>
            <w:bottom w:val="single" w:sz="2" w:space="0" w:color="FF0000"/>
            <w:right w:val="single" w:sz="2" w:space="0" w:color="FF0000"/>
          </w:divBdr>
          <w:divsChild>
            <w:div w:id="1113600188">
              <w:marLeft w:val="0"/>
              <w:marRight w:val="0"/>
              <w:marTop w:val="0"/>
              <w:marBottom w:val="0"/>
              <w:divBdr>
                <w:top w:val="none" w:sz="0" w:space="0" w:color="auto"/>
                <w:left w:val="single" w:sz="6" w:space="0" w:color="DDDDDD"/>
                <w:bottom w:val="none" w:sz="0" w:space="0" w:color="auto"/>
                <w:right w:val="none" w:sz="0" w:space="0" w:color="auto"/>
              </w:divBdr>
              <w:divsChild>
                <w:div w:id="1030644658">
                  <w:marLeft w:val="0"/>
                  <w:marRight w:val="0"/>
                  <w:marTop w:val="0"/>
                  <w:marBottom w:val="0"/>
                  <w:divBdr>
                    <w:top w:val="single" w:sz="2" w:space="0" w:color="008000"/>
                    <w:left w:val="single" w:sz="2" w:space="0" w:color="008000"/>
                    <w:bottom w:val="single" w:sz="2" w:space="0" w:color="008000"/>
                    <w:right w:val="single" w:sz="2" w:space="0" w:color="008000"/>
                  </w:divBdr>
                  <w:divsChild>
                    <w:div w:id="1591086296">
                      <w:marLeft w:val="0"/>
                      <w:marRight w:val="0"/>
                      <w:marTop w:val="0"/>
                      <w:marBottom w:val="0"/>
                      <w:divBdr>
                        <w:top w:val="none" w:sz="0" w:space="0" w:color="auto"/>
                        <w:left w:val="none" w:sz="0" w:space="0" w:color="auto"/>
                        <w:bottom w:val="none" w:sz="0" w:space="0" w:color="auto"/>
                        <w:right w:val="none" w:sz="0" w:space="0" w:color="auto"/>
                      </w:divBdr>
                      <w:divsChild>
                        <w:div w:id="1050232316">
                          <w:marLeft w:val="0"/>
                          <w:marRight w:val="0"/>
                          <w:marTop w:val="0"/>
                          <w:marBottom w:val="0"/>
                          <w:divBdr>
                            <w:top w:val="none" w:sz="0" w:space="0" w:color="auto"/>
                            <w:left w:val="none" w:sz="0" w:space="0" w:color="auto"/>
                            <w:bottom w:val="none" w:sz="0" w:space="0" w:color="auto"/>
                            <w:right w:val="none" w:sz="0" w:space="0" w:color="auto"/>
                          </w:divBdr>
                          <w:divsChild>
                            <w:div w:id="150689935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9985470">
      <w:bodyDiv w:val="1"/>
      <w:marLeft w:val="0"/>
      <w:marRight w:val="0"/>
      <w:marTop w:val="0"/>
      <w:marBottom w:val="0"/>
      <w:divBdr>
        <w:top w:val="none" w:sz="0" w:space="0" w:color="auto"/>
        <w:left w:val="none" w:sz="0" w:space="0" w:color="auto"/>
        <w:bottom w:val="none" w:sz="0" w:space="0" w:color="auto"/>
        <w:right w:val="none" w:sz="0" w:space="0" w:color="auto"/>
      </w:divBdr>
      <w:divsChild>
        <w:div w:id="587689408">
          <w:marLeft w:val="0"/>
          <w:marRight w:val="0"/>
          <w:marTop w:val="0"/>
          <w:marBottom w:val="0"/>
          <w:divBdr>
            <w:top w:val="none" w:sz="0" w:space="0" w:color="auto"/>
            <w:left w:val="none" w:sz="0" w:space="0" w:color="auto"/>
            <w:bottom w:val="none" w:sz="0" w:space="0" w:color="auto"/>
            <w:right w:val="none" w:sz="0" w:space="0" w:color="auto"/>
          </w:divBdr>
          <w:divsChild>
            <w:div w:id="468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7274">
      <w:bodyDiv w:val="1"/>
      <w:marLeft w:val="0"/>
      <w:marRight w:val="0"/>
      <w:marTop w:val="0"/>
      <w:marBottom w:val="0"/>
      <w:divBdr>
        <w:top w:val="none" w:sz="0" w:space="0" w:color="auto"/>
        <w:left w:val="none" w:sz="0" w:space="0" w:color="auto"/>
        <w:bottom w:val="none" w:sz="0" w:space="0" w:color="auto"/>
        <w:right w:val="none" w:sz="0" w:space="0" w:color="auto"/>
      </w:divBdr>
      <w:divsChild>
        <w:div w:id="449208894">
          <w:marLeft w:val="0"/>
          <w:marRight w:val="0"/>
          <w:marTop w:val="0"/>
          <w:marBottom w:val="0"/>
          <w:divBdr>
            <w:top w:val="none" w:sz="0" w:space="0" w:color="auto"/>
            <w:left w:val="none" w:sz="0" w:space="0" w:color="auto"/>
            <w:bottom w:val="none" w:sz="0" w:space="0" w:color="auto"/>
            <w:right w:val="none" w:sz="0" w:space="0" w:color="auto"/>
          </w:divBdr>
        </w:div>
        <w:div w:id="492911471">
          <w:marLeft w:val="0"/>
          <w:marRight w:val="0"/>
          <w:marTop w:val="0"/>
          <w:marBottom w:val="0"/>
          <w:divBdr>
            <w:top w:val="none" w:sz="0" w:space="0" w:color="auto"/>
            <w:left w:val="none" w:sz="0" w:space="0" w:color="auto"/>
            <w:bottom w:val="none" w:sz="0" w:space="0" w:color="auto"/>
            <w:right w:val="none" w:sz="0" w:space="0" w:color="auto"/>
          </w:divBdr>
        </w:div>
        <w:div w:id="956528184">
          <w:marLeft w:val="0"/>
          <w:marRight w:val="0"/>
          <w:marTop w:val="0"/>
          <w:marBottom w:val="0"/>
          <w:divBdr>
            <w:top w:val="none" w:sz="0" w:space="0" w:color="auto"/>
            <w:left w:val="none" w:sz="0" w:space="0" w:color="auto"/>
            <w:bottom w:val="none" w:sz="0" w:space="0" w:color="auto"/>
            <w:right w:val="none" w:sz="0" w:space="0" w:color="auto"/>
          </w:divBdr>
        </w:div>
        <w:div w:id="1038167001">
          <w:marLeft w:val="0"/>
          <w:marRight w:val="0"/>
          <w:marTop w:val="0"/>
          <w:marBottom w:val="170"/>
          <w:divBdr>
            <w:top w:val="none" w:sz="0" w:space="0" w:color="auto"/>
            <w:left w:val="none" w:sz="0" w:space="0" w:color="auto"/>
            <w:bottom w:val="none" w:sz="0" w:space="0" w:color="auto"/>
            <w:right w:val="none" w:sz="0" w:space="0" w:color="auto"/>
          </w:divBdr>
          <w:divsChild>
            <w:div w:id="1830754177">
              <w:marLeft w:val="0"/>
              <w:marRight w:val="0"/>
              <w:marTop w:val="170"/>
              <w:marBottom w:val="170"/>
              <w:divBdr>
                <w:top w:val="none" w:sz="0" w:space="0" w:color="auto"/>
                <w:left w:val="none" w:sz="0" w:space="0" w:color="auto"/>
                <w:bottom w:val="none" w:sz="0" w:space="0" w:color="auto"/>
                <w:right w:val="none" w:sz="0" w:space="0" w:color="auto"/>
              </w:divBdr>
            </w:div>
          </w:divsChild>
        </w:div>
        <w:div w:id="1557669051">
          <w:marLeft w:val="0"/>
          <w:marRight w:val="0"/>
          <w:marTop w:val="0"/>
          <w:marBottom w:val="0"/>
          <w:divBdr>
            <w:top w:val="none" w:sz="0" w:space="0" w:color="auto"/>
            <w:left w:val="none" w:sz="0" w:space="0" w:color="auto"/>
            <w:bottom w:val="none" w:sz="0" w:space="0" w:color="auto"/>
            <w:right w:val="none" w:sz="0" w:space="0" w:color="auto"/>
          </w:divBdr>
        </w:div>
      </w:divsChild>
    </w:div>
    <w:div w:id="133060213">
      <w:bodyDiv w:val="1"/>
      <w:marLeft w:val="0"/>
      <w:marRight w:val="0"/>
      <w:marTop w:val="0"/>
      <w:marBottom w:val="0"/>
      <w:divBdr>
        <w:top w:val="none" w:sz="0" w:space="0" w:color="auto"/>
        <w:left w:val="none" w:sz="0" w:space="0" w:color="auto"/>
        <w:bottom w:val="none" w:sz="0" w:space="0" w:color="auto"/>
        <w:right w:val="none" w:sz="0" w:space="0" w:color="auto"/>
      </w:divBdr>
      <w:divsChild>
        <w:div w:id="1755012373">
          <w:marLeft w:val="0"/>
          <w:marRight w:val="0"/>
          <w:marTop w:val="0"/>
          <w:marBottom w:val="0"/>
          <w:divBdr>
            <w:top w:val="none" w:sz="0" w:space="0" w:color="auto"/>
            <w:left w:val="none" w:sz="0" w:space="0" w:color="auto"/>
            <w:bottom w:val="none" w:sz="0" w:space="0" w:color="auto"/>
            <w:right w:val="none" w:sz="0" w:space="0" w:color="auto"/>
          </w:divBdr>
          <w:divsChild>
            <w:div w:id="1033916711">
              <w:marLeft w:val="0"/>
              <w:marRight w:val="0"/>
              <w:marTop w:val="0"/>
              <w:marBottom w:val="0"/>
              <w:divBdr>
                <w:top w:val="none" w:sz="0" w:space="0" w:color="auto"/>
                <w:left w:val="none" w:sz="0" w:space="0" w:color="auto"/>
                <w:bottom w:val="none" w:sz="0" w:space="0" w:color="auto"/>
                <w:right w:val="none" w:sz="0" w:space="0" w:color="auto"/>
              </w:divBdr>
              <w:divsChild>
                <w:div w:id="177083498">
                  <w:marLeft w:val="0"/>
                  <w:marRight w:val="0"/>
                  <w:marTop w:val="0"/>
                  <w:marBottom w:val="0"/>
                  <w:divBdr>
                    <w:top w:val="none" w:sz="0" w:space="0" w:color="auto"/>
                    <w:left w:val="none" w:sz="0" w:space="0" w:color="auto"/>
                    <w:bottom w:val="none" w:sz="0" w:space="0" w:color="auto"/>
                    <w:right w:val="none" w:sz="0" w:space="0" w:color="auto"/>
                  </w:divBdr>
                </w:div>
              </w:divsChild>
            </w:div>
            <w:div w:id="19111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8568">
      <w:bodyDiv w:val="1"/>
      <w:marLeft w:val="0"/>
      <w:marRight w:val="0"/>
      <w:marTop w:val="0"/>
      <w:marBottom w:val="0"/>
      <w:divBdr>
        <w:top w:val="none" w:sz="0" w:space="0" w:color="auto"/>
        <w:left w:val="none" w:sz="0" w:space="0" w:color="auto"/>
        <w:bottom w:val="none" w:sz="0" w:space="0" w:color="auto"/>
        <w:right w:val="none" w:sz="0" w:space="0" w:color="auto"/>
      </w:divBdr>
    </w:div>
    <w:div w:id="154229982">
      <w:bodyDiv w:val="1"/>
      <w:marLeft w:val="0"/>
      <w:marRight w:val="0"/>
      <w:marTop w:val="0"/>
      <w:marBottom w:val="0"/>
      <w:divBdr>
        <w:top w:val="none" w:sz="0" w:space="0" w:color="auto"/>
        <w:left w:val="none" w:sz="0" w:space="0" w:color="auto"/>
        <w:bottom w:val="none" w:sz="0" w:space="0" w:color="auto"/>
        <w:right w:val="none" w:sz="0" w:space="0" w:color="auto"/>
      </w:divBdr>
      <w:divsChild>
        <w:div w:id="841699164">
          <w:marLeft w:val="0"/>
          <w:marRight w:val="0"/>
          <w:marTop w:val="0"/>
          <w:marBottom w:val="0"/>
          <w:divBdr>
            <w:top w:val="none" w:sz="0" w:space="0" w:color="auto"/>
            <w:left w:val="none" w:sz="0" w:space="0" w:color="auto"/>
            <w:bottom w:val="none" w:sz="0" w:space="0" w:color="auto"/>
            <w:right w:val="none" w:sz="0" w:space="0" w:color="auto"/>
          </w:divBdr>
          <w:divsChild>
            <w:div w:id="1006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2508">
      <w:bodyDiv w:val="1"/>
      <w:marLeft w:val="0"/>
      <w:marRight w:val="0"/>
      <w:marTop w:val="0"/>
      <w:marBottom w:val="0"/>
      <w:divBdr>
        <w:top w:val="none" w:sz="0" w:space="0" w:color="auto"/>
        <w:left w:val="none" w:sz="0" w:space="0" w:color="auto"/>
        <w:bottom w:val="none" w:sz="0" w:space="0" w:color="auto"/>
        <w:right w:val="none" w:sz="0" w:space="0" w:color="auto"/>
      </w:divBdr>
      <w:divsChild>
        <w:div w:id="67923726">
          <w:marLeft w:val="0"/>
          <w:marRight w:val="0"/>
          <w:marTop w:val="0"/>
          <w:marBottom w:val="0"/>
          <w:divBdr>
            <w:top w:val="none" w:sz="0" w:space="0" w:color="auto"/>
            <w:left w:val="none" w:sz="0" w:space="0" w:color="auto"/>
            <w:bottom w:val="none" w:sz="0" w:space="0" w:color="auto"/>
            <w:right w:val="none" w:sz="0" w:space="0" w:color="auto"/>
          </w:divBdr>
          <w:divsChild>
            <w:div w:id="772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723">
      <w:bodyDiv w:val="1"/>
      <w:marLeft w:val="0"/>
      <w:marRight w:val="0"/>
      <w:marTop w:val="0"/>
      <w:marBottom w:val="0"/>
      <w:divBdr>
        <w:top w:val="single" w:sz="2" w:space="0" w:color="CC3640"/>
        <w:left w:val="none" w:sz="0" w:space="0" w:color="auto"/>
        <w:bottom w:val="none" w:sz="0" w:space="0" w:color="auto"/>
        <w:right w:val="none" w:sz="0" w:space="0" w:color="auto"/>
      </w:divBdr>
      <w:divsChild>
        <w:div w:id="1981811339">
          <w:marLeft w:val="0"/>
          <w:marRight w:val="0"/>
          <w:marTop w:val="0"/>
          <w:marBottom w:val="0"/>
          <w:divBdr>
            <w:top w:val="single" w:sz="2" w:space="0" w:color="FF0000"/>
            <w:left w:val="single" w:sz="2" w:space="0" w:color="FF0000"/>
            <w:bottom w:val="single" w:sz="2" w:space="0" w:color="FF0000"/>
            <w:right w:val="single" w:sz="2" w:space="0" w:color="FF0000"/>
          </w:divBdr>
          <w:divsChild>
            <w:div w:id="1092970933">
              <w:marLeft w:val="0"/>
              <w:marRight w:val="0"/>
              <w:marTop w:val="0"/>
              <w:marBottom w:val="0"/>
              <w:divBdr>
                <w:top w:val="none" w:sz="0" w:space="0" w:color="auto"/>
                <w:left w:val="single" w:sz="6" w:space="0" w:color="DDDDDD"/>
                <w:bottom w:val="none" w:sz="0" w:space="0" w:color="auto"/>
                <w:right w:val="none" w:sz="0" w:space="0" w:color="auto"/>
              </w:divBdr>
              <w:divsChild>
                <w:div w:id="1077751196">
                  <w:marLeft w:val="0"/>
                  <w:marRight w:val="0"/>
                  <w:marTop w:val="0"/>
                  <w:marBottom w:val="0"/>
                  <w:divBdr>
                    <w:top w:val="single" w:sz="2" w:space="0" w:color="008000"/>
                    <w:left w:val="single" w:sz="2" w:space="0" w:color="008000"/>
                    <w:bottom w:val="single" w:sz="2" w:space="0" w:color="008000"/>
                    <w:right w:val="single" w:sz="2" w:space="0" w:color="008000"/>
                  </w:divBdr>
                  <w:divsChild>
                    <w:div w:id="546644879">
                      <w:marLeft w:val="0"/>
                      <w:marRight w:val="0"/>
                      <w:marTop w:val="0"/>
                      <w:marBottom w:val="0"/>
                      <w:divBdr>
                        <w:top w:val="none" w:sz="0" w:space="0" w:color="auto"/>
                        <w:left w:val="none" w:sz="0" w:space="0" w:color="auto"/>
                        <w:bottom w:val="none" w:sz="0" w:space="0" w:color="auto"/>
                        <w:right w:val="none" w:sz="0" w:space="0" w:color="auto"/>
                      </w:divBdr>
                      <w:divsChild>
                        <w:div w:id="1022978213">
                          <w:marLeft w:val="0"/>
                          <w:marRight w:val="0"/>
                          <w:marTop w:val="0"/>
                          <w:marBottom w:val="0"/>
                          <w:divBdr>
                            <w:top w:val="none" w:sz="0" w:space="0" w:color="auto"/>
                            <w:left w:val="none" w:sz="0" w:space="0" w:color="auto"/>
                            <w:bottom w:val="none" w:sz="0" w:space="0" w:color="auto"/>
                            <w:right w:val="none" w:sz="0" w:space="0" w:color="auto"/>
                          </w:divBdr>
                          <w:divsChild>
                            <w:div w:id="146272425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63924918">
      <w:bodyDiv w:val="1"/>
      <w:marLeft w:val="0"/>
      <w:marRight w:val="0"/>
      <w:marTop w:val="0"/>
      <w:marBottom w:val="0"/>
      <w:divBdr>
        <w:top w:val="none" w:sz="0" w:space="0" w:color="auto"/>
        <w:left w:val="none" w:sz="0" w:space="0" w:color="auto"/>
        <w:bottom w:val="none" w:sz="0" w:space="0" w:color="auto"/>
        <w:right w:val="none" w:sz="0" w:space="0" w:color="auto"/>
      </w:divBdr>
      <w:divsChild>
        <w:div w:id="1519274423">
          <w:marLeft w:val="0"/>
          <w:marRight w:val="0"/>
          <w:marTop w:val="0"/>
          <w:marBottom w:val="0"/>
          <w:divBdr>
            <w:top w:val="none" w:sz="0" w:space="0" w:color="auto"/>
            <w:left w:val="none" w:sz="0" w:space="0" w:color="auto"/>
            <w:bottom w:val="none" w:sz="0" w:space="0" w:color="auto"/>
            <w:right w:val="none" w:sz="0" w:space="0" w:color="auto"/>
          </w:divBdr>
          <w:divsChild>
            <w:div w:id="4884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734">
      <w:bodyDiv w:val="1"/>
      <w:marLeft w:val="0"/>
      <w:marRight w:val="0"/>
      <w:marTop w:val="0"/>
      <w:marBottom w:val="0"/>
      <w:divBdr>
        <w:top w:val="none" w:sz="0" w:space="0" w:color="auto"/>
        <w:left w:val="none" w:sz="0" w:space="0" w:color="auto"/>
        <w:bottom w:val="none" w:sz="0" w:space="0" w:color="auto"/>
        <w:right w:val="none" w:sz="0" w:space="0" w:color="auto"/>
      </w:divBdr>
    </w:div>
    <w:div w:id="373703506">
      <w:bodyDiv w:val="1"/>
      <w:marLeft w:val="0"/>
      <w:marRight w:val="0"/>
      <w:marTop w:val="0"/>
      <w:marBottom w:val="0"/>
      <w:divBdr>
        <w:top w:val="none" w:sz="0" w:space="0" w:color="auto"/>
        <w:left w:val="none" w:sz="0" w:space="0" w:color="auto"/>
        <w:bottom w:val="none" w:sz="0" w:space="0" w:color="auto"/>
        <w:right w:val="none" w:sz="0" w:space="0" w:color="auto"/>
      </w:divBdr>
      <w:divsChild>
        <w:div w:id="51009153">
          <w:marLeft w:val="0"/>
          <w:marRight w:val="0"/>
          <w:marTop w:val="0"/>
          <w:marBottom w:val="0"/>
          <w:divBdr>
            <w:top w:val="none" w:sz="0" w:space="0" w:color="auto"/>
            <w:left w:val="none" w:sz="0" w:space="0" w:color="auto"/>
            <w:bottom w:val="none" w:sz="0" w:space="0" w:color="auto"/>
            <w:right w:val="none" w:sz="0" w:space="0" w:color="auto"/>
          </w:divBdr>
        </w:div>
        <w:div w:id="1175069289">
          <w:marLeft w:val="0"/>
          <w:marRight w:val="0"/>
          <w:marTop w:val="0"/>
          <w:marBottom w:val="0"/>
          <w:divBdr>
            <w:top w:val="none" w:sz="0" w:space="0" w:color="auto"/>
            <w:left w:val="none" w:sz="0" w:space="0" w:color="auto"/>
            <w:bottom w:val="none" w:sz="0" w:space="0" w:color="auto"/>
            <w:right w:val="none" w:sz="0" w:space="0" w:color="auto"/>
          </w:divBdr>
        </w:div>
      </w:divsChild>
    </w:div>
    <w:div w:id="378407715">
      <w:bodyDiv w:val="1"/>
      <w:marLeft w:val="0"/>
      <w:marRight w:val="0"/>
      <w:marTop w:val="0"/>
      <w:marBottom w:val="0"/>
      <w:divBdr>
        <w:top w:val="none" w:sz="0" w:space="0" w:color="auto"/>
        <w:left w:val="none" w:sz="0" w:space="0" w:color="auto"/>
        <w:bottom w:val="none" w:sz="0" w:space="0" w:color="auto"/>
        <w:right w:val="none" w:sz="0" w:space="0" w:color="auto"/>
      </w:divBdr>
    </w:div>
    <w:div w:id="409810468">
      <w:bodyDiv w:val="1"/>
      <w:marLeft w:val="0"/>
      <w:marRight w:val="0"/>
      <w:marTop w:val="0"/>
      <w:marBottom w:val="0"/>
      <w:divBdr>
        <w:top w:val="none" w:sz="0" w:space="0" w:color="auto"/>
        <w:left w:val="none" w:sz="0" w:space="0" w:color="auto"/>
        <w:bottom w:val="none" w:sz="0" w:space="0" w:color="auto"/>
        <w:right w:val="none" w:sz="0" w:space="0" w:color="auto"/>
      </w:divBdr>
      <w:divsChild>
        <w:div w:id="984313217">
          <w:marLeft w:val="0"/>
          <w:marRight w:val="0"/>
          <w:marTop w:val="0"/>
          <w:marBottom w:val="0"/>
          <w:divBdr>
            <w:top w:val="none" w:sz="0" w:space="0" w:color="auto"/>
            <w:left w:val="none" w:sz="0" w:space="0" w:color="auto"/>
            <w:bottom w:val="none" w:sz="0" w:space="0" w:color="auto"/>
            <w:right w:val="none" w:sz="0" w:space="0" w:color="auto"/>
          </w:divBdr>
          <w:divsChild>
            <w:div w:id="13851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324">
      <w:bodyDiv w:val="1"/>
      <w:marLeft w:val="0"/>
      <w:marRight w:val="0"/>
      <w:marTop w:val="0"/>
      <w:marBottom w:val="0"/>
      <w:divBdr>
        <w:top w:val="none" w:sz="0" w:space="0" w:color="auto"/>
        <w:left w:val="none" w:sz="0" w:space="0" w:color="auto"/>
        <w:bottom w:val="none" w:sz="0" w:space="0" w:color="auto"/>
        <w:right w:val="none" w:sz="0" w:space="0" w:color="auto"/>
      </w:divBdr>
    </w:div>
    <w:div w:id="446657147">
      <w:bodyDiv w:val="1"/>
      <w:marLeft w:val="0"/>
      <w:marRight w:val="0"/>
      <w:marTop w:val="0"/>
      <w:marBottom w:val="0"/>
      <w:divBdr>
        <w:top w:val="none" w:sz="0" w:space="0" w:color="auto"/>
        <w:left w:val="none" w:sz="0" w:space="0" w:color="auto"/>
        <w:bottom w:val="none" w:sz="0" w:space="0" w:color="auto"/>
        <w:right w:val="none" w:sz="0" w:space="0" w:color="auto"/>
      </w:divBdr>
    </w:div>
    <w:div w:id="459223058">
      <w:bodyDiv w:val="1"/>
      <w:marLeft w:val="0"/>
      <w:marRight w:val="0"/>
      <w:marTop w:val="0"/>
      <w:marBottom w:val="0"/>
      <w:divBdr>
        <w:top w:val="none" w:sz="0" w:space="0" w:color="auto"/>
        <w:left w:val="none" w:sz="0" w:space="0" w:color="auto"/>
        <w:bottom w:val="none" w:sz="0" w:space="0" w:color="auto"/>
        <w:right w:val="none" w:sz="0" w:space="0" w:color="auto"/>
      </w:divBdr>
    </w:div>
    <w:div w:id="484972540">
      <w:bodyDiv w:val="1"/>
      <w:marLeft w:val="0"/>
      <w:marRight w:val="0"/>
      <w:marTop w:val="0"/>
      <w:marBottom w:val="0"/>
      <w:divBdr>
        <w:top w:val="none" w:sz="0" w:space="0" w:color="auto"/>
        <w:left w:val="none" w:sz="0" w:space="0" w:color="auto"/>
        <w:bottom w:val="none" w:sz="0" w:space="0" w:color="auto"/>
        <w:right w:val="none" w:sz="0" w:space="0" w:color="auto"/>
      </w:divBdr>
    </w:div>
    <w:div w:id="516846580">
      <w:bodyDiv w:val="1"/>
      <w:marLeft w:val="0"/>
      <w:marRight w:val="0"/>
      <w:marTop w:val="0"/>
      <w:marBottom w:val="0"/>
      <w:divBdr>
        <w:top w:val="none" w:sz="0" w:space="0" w:color="auto"/>
        <w:left w:val="none" w:sz="0" w:space="0" w:color="auto"/>
        <w:bottom w:val="none" w:sz="0" w:space="0" w:color="auto"/>
        <w:right w:val="none" w:sz="0" w:space="0" w:color="auto"/>
      </w:divBdr>
    </w:div>
    <w:div w:id="541988724">
      <w:bodyDiv w:val="1"/>
      <w:marLeft w:val="0"/>
      <w:marRight w:val="0"/>
      <w:marTop w:val="0"/>
      <w:marBottom w:val="0"/>
      <w:divBdr>
        <w:top w:val="none" w:sz="0" w:space="0" w:color="auto"/>
        <w:left w:val="none" w:sz="0" w:space="0" w:color="auto"/>
        <w:bottom w:val="none" w:sz="0" w:space="0" w:color="auto"/>
        <w:right w:val="none" w:sz="0" w:space="0" w:color="auto"/>
      </w:divBdr>
    </w:div>
    <w:div w:id="585186039">
      <w:bodyDiv w:val="1"/>
      <w:marLeft w:val="0"/>
      <w:marRight w:val="0"/>
      <w:marTop w:val="0"/>
      <w:marBottom w:val="0"/>
      <w:divBdr>
        <w:top w:val="none" w:sz="0" w:space="0" w:color="auto"/>
        <w:left w:val="none" w:sz="0" w:space="0" w:color="auto"/>
        <w:bottom w:val="none" w:sz="0" w:space="0" w:color="auto"/>
        <w:right w:val="none" w:sz="0" w:space="0" w:color="auto"/>
      </w:divBdr>
      <w:divsChild>
        <w:div w:id="574555644">
          <w:marLeft w:val="0"/>
          <w:marRight w:val="0"/>
          <w:marTop w:val="0"/>
          <w:marBottom w:val="0"/>
          <w:divBdr>
            <w:top w:val="none" w:sz="0" w:space="0" w:color="auto"/>
            <w:left w:val="none" w:sz="0" w:space="0" w:color="auto"/>
            <w:bottom w:val="none" w:sz="0" w:space="0" w:color="auto"/>
            <w:right w:val="none" w:sz="0" w:space="0" w:color="auto"/>
          </w:divBdr>
          <w:divsChild>
            <w:div w:id="6709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592">
      <w:bodyDiv w:val="1"/>
      <w:marLeft w:val="0"/>
      <w:marRight w:val="0"/>
      <w:marTop w:val="0"/>
      <w:marBottom w:val="0"/>
      <w:divBdr>
        <w:top w:val="none" w:sz="0" w:space="0" w:color="auto"/>
        <w:left w:val="none" w:sz="0" w:space="0" w:color="auto"/>
        <w:bottom w:val="none" w:sz="0" w:space="0" w:color="auto"/>
        <w:right w:val="none" w:sz="0" w:space="0" w:color="auto"/>
      </w:divBdr>
    </w:div>
    <w:div w:id="609319849">
      <w:bodyDiv w:val="1"/>
      <w:marLeft w:val="0"/>
      <w:marRight w:val="0"/>
      <w:marTop w:val="0"/>
      <w:marBottom w:val="0"/>
      <w:divBdr>
        <w:top w:val="none" w:sz="0" w:space="0" w:color="auto"/>
        <w:left w:val="none" w:sz="0" w:space="0" w:color="auto"/>
        <w:bottom w:val="none" w:sz="0" w:space="0" w:color="auto"/>
        <w:right w:val="none" w:sz="0" w:space="0" w:color="auto"/>
      </w:divBdr>
      <w:divsChild>
        <w:div w:id="1300766529">
          <w:marLeft w:val="0"/>
          <w:marRight w:val="0"/>
          <w:marTop w:val="0"/>
          <w:marBottom w:val="0"/>
          <w:divBdr>
            <w:top w:val="none" w:sz="0" w:space="0" w:color="auto"/>
            <w:left w:val="none" w:sz="0" w:space="0" w:color="auto"/>
            <w:bottom w:val="none" w:sz="0" w:space="0" w:color="auto"/>
            <w:right w:val="none" w:sz="0" w:space="0" w:color="auto"/>
          </w:divBdr>
          <w:divsChild>
            <w:div w:id="11758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4676">
      <w:bodyDiv w:val="1"/>
      <w:marLeft w:val="0"/>
      <w:marRight w:val="0"/>
      <w:marTop w:val="0"/>
      <w:marBottom w:val="0"/>
      <w:divBdr>
        <w:top w:val="single" w:sz="2" w:space="0" w:color="CC3640"/>
        <w:left w:val="none" w:sz="0" w:space="0" w:color="auto"/>
        <w:bottom w:val="none" w:sz="0" w:space="0" w:color="auto"/>
        <w:right w:val="none" w:sz="0" w:space="0" w:color="auto"/>
      </w:divBdr>
      <w:divsChild>
        <w:div w:id="1812400520">
          <w:marLeft w:val="0"/>
          <w:marRight w:val="0"/>
          <w:marTop w:val="0"/>
          <w:marBottom w:val="0"/>
          <w:divBdr>
            <w:top w:val="single" w:sz="2" w:space="0" w:color="FF0000"/>
            <w:left w:val="single" w:sz="2" w:space="0" w:color="FF0000"/>
            <w:bottom w:val="single" w:sz="2" w:space="0" w:color="FF0000"/>
            <w:right w:val="single" w:sz="2" w:space="0" w:color="FF0000"/>
          </w:divBdr>
          <w:divsChild>
            <w:div w:id="52966630">
              <w:marLeft w:val="0"/>
              <w:marRight w:val="0"/>
              <w:marTop w:val="0"/>
              <w:marBottom w:val="0"/>
              <w:divBdr>
                <w:top w:val="none" w:sz="0" w:space="0" w:color="auto"/>
                <w:left w:val="single" w:sz="6" w:space="0" w:color="DDDDDD"/>
                <w:bottom w:val="none" w:sz="0" w:space="0" w:color="auto"/>
                <w:right w:val="none" w:sz="0" w:space="0" w:color="auto"/>
              </w:divBdr>
              <w:divsChild>
                <w:div w:id="1631474257">
                  <w:marLeft w:val="0"/>
                  <w:marRight w:val="0"/>
                  <w:marTop w:val="0"/>
                  <w:marBottom w:val="0"/>
                  <w:divBdr>
                    <w:top w:val="single" w:sz="2" w:space="0" w:color="008000"/>
                    <w:left w:val="single" w:sz="2" w:space="0" w:color="008000"/>
                    <w:bottom w:val="single" w:sz="2" w:space="0" w:color="008000"/>
                    <w:right w:val="single" w:sz="2" w:space="0" w:color="008000"/>
                  </w:divBdr>
                  <w:divsChild>
                    <w:div w:id="1330257070">
                      <w:marLeft w:val="0"/>
                      <w:marRight w:val="0"/>
                      <w:marTop w:val="0"/>
                      <w:marBottom w:val="0"/>
                      <w:divBdr>
                        <w:top w:val="none" w:sz="0" w:space="0" w:color="auto"/>
                        <w:left w:val="none" w:sz="0" w:space="0" w:color="auto"/>
                        <w:bottom w:val="none" w:sz="0" w:space="0" w:color="auto"/>
                        <w:right w:val="none" w:sz="0" w:space="0" w:color="auto"/>
                      </w:divBdr>
                      <w:divsChild>
                        <w:div w:id="687028363">
                          <w:marLeft w:val="0"/>
                          <w:marRight w:val="0"/>
                          <w:marTop w:val="0"/>
                          <w:marBottom w:val="0"/>
                          <w:divBdr>
                            <w:top w:val="none" w:sz="0" w:space="0" w:color="auto"/>
                            <w:left w:val="none" w:sz="0" w:space="0" w:color="auto"/>
                            <w:bottom w:val="none" w:sz="0" w:space="0" w:color="auto"/>
                            <w:right w:val="none" w:sz="0" w:space="0" w:color="auto"/>
                          </w:divBdr>
                          <w:divsChild>
                            <w:div w:id="108483832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14021195">
      <w:bodyDiv w:val="1"/>
      <w:marLeft w:val="0"/>
      <w:marRight w:val="0"/>
      <w:marTop w:val="0"/>
      <w:marBottom w:val="0"/>
      <w:divBdr>
        <w:top w:val="none" w:sz="0" w:space="0" w:color="auto"/>
        <w:left w:val="none" w:sz="0" w:space="0" w:color="auto"/>
        <w:bottom w:val="none" w:sz="0" w:space="0" w:color="auto"/>
        <w:right w:val="none" w:sz="0" w:space="0" w:color="auto"/>
      </w:divBdr>
      <w:divsChild>
        <w:div w:id="1872573299">
          <w:marLeft w:val="0"/>
          <w:marRight w:val="0"/>
          <w:marTop w:val="120"/>
          <w:marBottom w:val="120"/>
          <w:divBdr>
            <w:top w:val="none" w:sz="0" w:space="0" w:color="auto"/>
            <w:left w:val="none" w:sz="0" w:space="0" w:color="auto"/>
            <w:bottom w:val="none" w:sz="0" w:space="0" w:color="auto"/>
            <w:right w:val="none" w:sz="0" w:space="0" w:color="auto"/>
          </w:divBdr>
        </w:div>
      </w:divsChild>
    </w:div>
    <w:div w:id="616445134">
      <w:bodyDiv w:val="1"/>
      <w:marLeft w:val="0"/>
      <w:marRight w:val="0"/>
      <w:marTop w:val="0"/>
      <w:marBottom w:val="0"/>
      <w:divBdr>
        <w:top w:val="none" w:sz="0" w:space="0" w:color="auto"/>
        <w:left w:val="none" w:sz="0" w:space="0" w:color="auto"/>
        <w:bottom w:val="none" w:sz="0" w:space="0" w:color="auto"/>
        <w:right w:val="none" w:sz="0" w:space="0" w:color="auto"/>
      </w:divBdr>
      <w:divsChild>
        <w:div w:id="995181367">
          <w:marLeft w:val="0"/>
          <w:marRight w:val="0"/>
          <w:marTop w:val="0"/>
          <w:marBottom w:val="0"/>
          <w:divBdr>
            <w:top w:val="none" w:sz="0" w:space="0" w:color="auto"/>
            <w:left w:val="none" w:sz="0" w:space="0" w:color="auto"/>
            <w:bottom w:val="none" w:sz="0" w:space="0" w:color="auto"/>
            <w:right w:val="none" w:sz="0" w:space="0" w:color="auto"/>
          </w:divBdr>
          <w:divsChild>
            <w:div w:id="18025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9795">
      <w:bodyDiv w:val="1"/>
      <w:marLeft w:val="0"/>
      <w:marRight w:val="0"/>
      <w:marTop w:val="0"/>
      <w:marBottom w:val="0"/>
      <w:divBdr>
        <w:top w:val="none" w:sz="0" w:space="0" w:color="auto"/>
        <w:left w:val="none" w:sz="0" w:space="0" w:color="auto"/>
        <w:bottom w:val="none" w:sz="0" w:space="0" w:color="auto"/>
        <w:right w:val="none" w:sz="0" w:space="0" w:color="auto"/>
      </w:divBdr>
    </w:div>
    <w:div w:id="674647728">
      <w:bodyDiv w:val="1"/>
      <w:marLeft w:val="0"/>
      <w:marRight w:val="0"/>
      <w:marTop w:val="0"/>
      <w:marBottom w:val="0"/>
      <w:divBdr>
        <w:top w:val="single" w:sz="2" w:space="0" w:color="CC3640"/>
        <w:left w:val="none" w:sz="0" w:space="0" w:color="auto"/>
        <w:bottom w:val="none" w:sz="0" w:space="0" w:color="auto"/>
        <w:right w:val="none" w:sz="0" w:space="0" w:color="auto"/>
      </w:divBdr>
      <w:divsChild>
        <w:div w:id="1809323934">
          <w:marLeft w:val="0"/>
          <w:marRight w:val="0"/>
          <w:marTop w:val="0"/>
          <w:marBottom w:val="0"/>
          <w:divBdr>
            <w:top w:val="single" w:sz="2" w:space="0" w:color="FF0000"/>
            <w:left w:val="single" w:sz="2" w:space="0" w:color="FF0000"/>
            <w:bottom w:val="single" w:sz="2" w:space="0" w:color="FF0000"/>
            <w:right w:val="single" w:sz="2" w:space="0" w:color="FF0000"/>
          </w:divBdr>
          <w:divsChild>
            <w:div w:id="1845971078">
              <w:marLeft w:val="0"/>
              <w:marRight w:val="0"/>
              <w:marTop w:val="0"/>
              <w:marBottom w:val="0"/>
              <w:divBdr>
                <w:top w:val="none" w:sz="0" w:space="0" w:color="auto"/>
                <w:left w:val="single" w:sz="6" w:space="0" w:color="DDDDDD"/>
                <w:bottom w:val="none" w:sz="0" w:space="0" w:color="auto"/>
                <w:right w:val="none" w:sz="0" w:space="0" w:color="auto"/>
              </w:divBdr>
              <w:divsChild>
                <w:div w:id="1909728915">
                  <w:marLeft w:val="0"/>
                  <w:marRight w:val="0"/>
                  <w:marTop w:val="0"/>
                  <w:marBottom w:val="0"/>
                  <w:divBdr>
                    <w:top w:val="single" w:sz="2" w:space="0" w:color="008000"/>
                    <w:left w:val="single" w:sz="2" w:space="0" w:color="008000"/>
                    <w:bottom w:val="single" w:sz="2" w:space="0" w:color="008000"/>
                    <w:right w:val="single" w:sz="2" w:space="0" w:color="008000"/>
                  </w:divBdr>
                  <w:divsChild>
                    <w:div w:id="2058579632">
                      <w:marLeft w:val="0"/>
                      <w:marRight w:val="0"/>
                      <w:marTop w:val="0"/>
                      <w:marBottom w:val="0"/>
                      <w:divBdr>
                        <w:top w:val="none" w:sz="0" w:space="0" w:color="auto"/>
                        <w:left w:val="none" w:sz="0" w:space="0" w:color="auto"/>
                        <w:bottom w:val="none" w:sz="0" w:space="0" w:color="auto"/>
                        <w:right w:val="none" w:sz="0" w:space="0" w:color="auto"/>
                      </w:divBdr>
                      <w:divsChild>
                        <w:div w:id="403141109">
                          <w:marLeft w:val="0"/>
                          <w:marRight w:val="0"/>
                          <w:marTop w:val="0"/>
                          <w:marBottom w:val="0"/>
                          <w:divBdr>
                            <w:top w:val="none" w:sz="0" w:space="0" w:color="auto"/>
                            <w:left w:val="none" w:sz="0" w:space="0" w:color="auto"/>
                            <w:bottom w:val="none" w:sz="0" w:space="0" w:color="auto"/>
                            <w:right w:val="none" w:sz="0" w:space="0" w:color="auto"/>
                          </w:divBdr>
                          <w:divsChild>
                            <w:div w:id="103469372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99861901">
      <w:bodyDiv w:val="1"/>
      <w:marLeft w:val="0"/>
      <w:marRight w:val="0"/>
      <w:marTop w:val="0"/>
      <w:marBottom w:val="0"/>
      <w:divBdr>
        <w:top w:val="none" w:sz="0" w:space="0" w:color="auto"/>
        <w:left w:val="none" w:sz="0" w:space="0" w:color="auto"/>
        <w:bottom w:val="none" w:sz="0" w:space="0" w:color="auto"/>
        <w:right w:val="none" w:sz="0" w:space="0" w:color="auto"/>
      </w:divBdr>
    </w:div>
    <w:div w:id="709961596">
      <w:bodyDiv w:val="1"/>
      <w:marLeft w:val="0"/>
      <w:marRight w:val="0"/>
      <w:marTop w:val="0"/>
      <w:marBottom w:val="0"/>
      <w:divBdr>
        <w:top w:val="single" w:sz="2" w:space="0" w:color="CC3640"/>
        <w:left w:val="none" w:sz="0" w:space="0" w:color="auto"/>
        <w:bottom w:val="none" w:sz="0" w:space="0" w:color="auto"/>
        <w:right w:val="none" w:sz="0" w:space="0" w:color="auto"/>
      </w:divBdr>
      <w:divsChild>
        <w:div w:id="160968975">
          <w:marLeft w:val="0"/>
          <w:marRight w:val="0"/>
          <w:marTop w:val="0"/>
          <w:marBottom w:val="0"/>
          <w:divBdr>
            <w:top w:val="single" w:sz="2" w:space="0" w:color="FF0000"/>
            <w:left w:val="single" w:sz="2" w:space="0" w:color="FF0000"/>
            <w:bottom w:val="single" w:sz="2" w:space="0" w:color="FF0000"/>
            <w:right w:val="single" w:sz="2" w:space="0" w:color="FF0000"/>
          </w:divBdr>
          <w:divsChild>
            <w:div w:id="441261935">
              <w:marLeft w:val="0"/>
              <w:marRight w:val="0"/>
              <w:marTop w:val="0"/>
              <w:marBottom w:val="0"/>
              <w:divBdr>
                <w:top w:val="none" w:sz="0" w:space="0" w:color="auto"/>
                <w:left w:val="single" w:sz="6" w:space="0" w:color="DDDDDD"/>
                <w:bottom w:val="none" w:sz="0" w:space="0" w:color="auto"/>
                <w:right w:val="none" w:sz="0" w:space="0" w:color="auto"/>
              </w:divBdr>
              <w:divsChild>
                <w:div w:id="2016103703">
                  <w:marLeft w:val="0"/>
                  <w:marRight w:val="0"/>
                  <w:marTop w:val="0"/>
                  <w:marBottom w:val="0"/>
                  <w:divBdr>
                    <w:top w:val="single" w:sz="2" w:space="0" w:color="008000"/>
                    <w:left w:val="single" w:sz="2" w:space="0" w:color="008000"/>
                    <w:bottom w:val="single" w:sz="2" w:space="0" w:color="008000"/>
                    <w:right w:val="single" w:sz="2" w:space="0" w:color="008000"/>
                  </w:divBdr>
                  <w:divsChild>
                    <w:div w:id="232088106">
                      <w:marLeft w:val="0"/>
                      <w:marRight w:val="0"/>
                      <w:marTop w:val="0"/>
                      <w:marBottom w:val="0"/>
                      <w:divBdr>
                        <w:top w:val="none" w:sz="0" w:space="0" w:color="auto"/>
                        <w:left w:val="none" w:sz="0" w:space="0" w:color="auto"/>
                        <w:bottom w:val="none" w:sz="0" w:space="0" w:color="auto"/>
                        <w:right w:val="none" w:sz="0" w:space="0" w:color="auto"/>
                      </w:divBdr>
                      <w:divsChild>
                        <w:div w:id="1954556885">
                          <w:marLeft w:val="0"/>
                          <w:marRight w:val="0"/>
                          <w:marTop w:val="0"/>
                          <w:marBottom w:val="0"/>
                          <w:divBdr>
                            <w:top w:val="none" w:sz="0" w:space="0" w:color="auto"/>
                            <w:left w:val="none" w:sz="0" w:space="0" w:color="auto"/>
                            <w:bottom w:val="none" w:sz="0" w:space="0" w:color="auto"/>
                            <w:right w:val="none" w:sz="0" w:space="0" w:color="auto"/>
                          </w:divBdr>
                          <w:divsChild>
                            <w:div w:id="148045995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33164806">
      <w:bodyDiv w:val="1"/>
      <w:marLeft w:val="0"/>
      <w:marRight w:val="0"/>
      <w:marTop w:val="0"/>
      <w:marBottom w:val="0"/>
      <w:divBdr>
        <w:top w:val="none" w:sz="0" w:space="0" w:color="auto"/>
        <w:left w:val="none" w:sz="0" w:space="0" w:color="auto"/>
        <w:bottom w:val="none" w:sz="0" w:space="0" w:color="auto"/>
        <w:right w:val="none" w:sz="0" w:space="0" w:color="auto"/>
      </w:divBdr>
      <w:divsChild>
        <w:div w:id="1181971477">
          <w:marLeft w:val="0"/>
          <w:marRight w:val="0"/>
          <w:marTop w:val="120"/>
          <w:marBottom w:val="120"/>
          <w:divBdr>
            <w:top w:val="none" w:sz="0" w:space="0" w:color="auto"/>
            <w:left w:val="none" w:sz="0" w:space="0" w:color="auto"/>
            <w:bottom w:val="none" w:sz="0" w:space="0" w:color="auto"/>
            <w:right w:val="none" w:sz="0" w:space="0" w:color="auto"/>
          </w:divBdr>
        </w:div>
        <w:div w:id="1444224274">
          <w:marLeft w:val="0"/>
          <w:marRight w:val="0"/>
          <w:marTop w:val="120"/>
          <w:marBottom w:val="120"/>
          <w:divBdr>
            <w:top w:val="none" w:sz="0" w:space="0" w:color="auto"/>
            <w:left w:val="none" w:sz="0" w:space="0" w:color="auto"/>
            <w:bottom w:val="none" w:sz="0" w:space="0" w:color="auto"/>
            <w:right w:val="none" w:sz="0" w:space="0" w:color="auto"/>
          </w:divBdr>
        </w:div>
      </w:divsChild>
    </w:div>
    <w:div w:id="736702961">
      <w:bodyDiv w:val="1"/>
      <w:marLeft w:val="0"/>
      <w:marRight w:val="0"/>
      <w:marTop w:val="0"/>
      <w:marBottom w:val="0"/>
      <w:divBdr>
        <w:top w:val="none" w:sz="0" w:space="0" w:color="auto"/>
        <w:left w:val="none" w:sz="0" w:space="0" w:color="auto"/>
        <w:bottom w:val="none" w:sz="0" w:space="0" w:color="auto"/>
        <w:right w:val="none" w:sz="0" w:space="0" w:color="auto"/>
      </w:divBdr>
      <w:divsChild>
        <w:div w:id="1452629023">
          <w:marLeft w:val="0"/>
          <w:marRight w:val="0"/>
          <w:marTop w:val="0"/>
          <w:marBottom w:val="0"/>
          <w:divBdr>
            <w:top w:val="none" w:sz="0" w:space="0" w:color="auto"/>
            <w:left w:val="none" w:sz="0" w:space="0" w:color="auto"/>
            <w:bottom w:val="none" w:sz="0" w:space="0" w:color="auto"/>
            <w:right w:val="none" w:sz="0" w:space="0" w:color="auto"/>
          </w:divBdr>
          <w:divsChild>
            <w:div w:id="1210413446">
              <w:marLeft w:val="0"/>
              <w:marRight w:val="0"/>
              <w:marTop w:val="0"/>
              <w:marBottom w:val="0"/>
              <w:divBdr>
                <w:top w:val="none" w:sz="0" w:space="0" w:color="auto"/>
                <w:left w:val="none" w:sz="0" w:space="0" w:color="auto"/>
                <w:bottom w:val="none" w:sz="0" w:space="0" w:color="auto"/>
                <w:right w:val="none" w:sz="0" w:space="0" w:color="auto"/>
              </w:divBdr>
              <w:divsChild>
                <w:div w:id="155462250">
                  <w:marLeft w:val="0"/>
                  <w:marRight w:val="0"/>
                  <w:marTop w:val="0"/>
                  <w:marBottom w:val="0"/>
                  <w:divBdr>
                    <w:top w:val="none" w:sz="0" w:space="0" w:color="auto"/>
                    <w:left w:val="none" w:sz="0" w:space="0" w:color="auto"/>
                    <w:bottom w:val="none" w:sz="0" w:space="0" w:color="auto"/>
                    <w:right w:val="none" w:sz="0" w:space="0" w:color="auto"/>
                  </w:divBdr>
                </w:div>
                <w:div w:id="1404185760">
                  <w:marLeft w:val="3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1711">
      <w:bodyDiv w:val="1"/>
      <w:marLeft w:val="0"/>
      <w:marRight w:val="0"/>
      <w:marTop w:val="0"/>
      <w:marBottom w:val="0"/>
      <w:divBdr>
        <w:top w:val="none" w:sz="0" w:space="0" w:color="auto"/>
        <w:left w:val="none" w:sz="0" w:space="0" w:color="auto"/>
        <w:bottom w:val="none" w:sz="0" w:space="0" w:color="auto"/>
        <w:right w:val="none" w:sz="0" w:space="0" w:color="auto"/>
      </w:divBdr>
      <w:divsChild>
        <w:div w:id="1918199766">
          <w:marLeft w:val="0"/>
          <w:marRight w:val="0"/>
          <w:marTop w:val="0"/>
          <w:marBottom w:val="0"/>
          <w:divBdr>
            <w:top w:val="none" w:sz="0" w:space="0" w:color="auto"/>
            <w:left w:val="none" w:sz="0" w:space="0" w:color="auto"/>
            <w:bottom w:val="none" w:sz="0" w:space="0" w:color="auto"/>
            <w:right w:val="none" w:sz="0" w:space="0" w:color="auto"/>
          </w:divBdr>
          <w:divsChild>
            <w:div w:id="14783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9136">
      <w:bodyDiv w:val="1"/>
      <w:marLeft w:val="0"/>
      <w:marRight w:val="0"/>
      <w:marTop w:val="0"/>
      <w:marBottom w:val="0"/>
      <w:divBdr>
        <w:top w:val="none" w:sz="0" w:space="0" w:color="auto"/>
        <w:left w:val="none" w:sz="0" w:space="0" w:color="auto"/>
        <w:bottom w:val="none" w:sz="0" w:space="0" w:color="auto"/>
        <w:right w:val="none" w:sz="0" w:space="0" w:color="auto"/>
      </w:divBdr>
      <w:divsChild>
        <w:div w:id="100299982">
          <w:marLeft w:val="0"/>
          <w:marRight w:val="0"/>
          <w:marTop w:val="0"/>
          <w:marBottom w:val="0"/>
          <w:divBdr>
            <w:top w:val="none" w:sz="0" w:space="0" w:color="auto"/>
            <w:left w:val="none" w:sz="0" w:space="0" w:color="auto"/>
            <w:bottom w:val="none" w:sz="0" w:space="0" w:color="auto"/>
            <w:right w:val="none" w:sz="0" w:space="0" w:color="auto"/>
          </w:divBdr>
          <w:divsChild>
            <w:div w:id="17850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7883">
      <w:bodyDiv w:val="1"/>
      <w:marLeft w:val="0"/>
      <w:marRight w:val="0"/>
      <w:marTop w:val="0"/>
      <w:marBottom w:val="0"/>
      <w:divBdr>
        <w:top w:val="none" w:sz="0" w:space="0" w:color="auto"/>
        <w:left w:val="none" w:sz="0" w:space="0" w:color="auto"/>
        <w:bottom w:val="none" w:sz="0" w:space="0" w:color="auto"/>
        <w:right w:val="none" w:sz="0" w:space="0" w:color="auto"/>
      </w:divBdr>
    </w:div>
    <w:div w:id="816071053">
      <w:bodyDiv w:val="1"/>
      <w:marLeft w:val="0"/>
      <w:marRight w:val="0"/>
      <w:marTop w:val="0"/>
      <w:marBottom w:val="0"/>
      <w:divBdr>
        <w:top w:val="none" w:sz="0" w:space="0" w:color="auto"/>
        <w:left w:val="none" w:sz="0" w:space="0" w:color="auto"/>
        <w:bottom w:val="none" w:sz="0" w:space="0" w:color="auto"/>
        <w:right w:val="none" w:sz="0" w:space="0" w:color="auto"/>
      </w:divBdr>
    </w:div>
    <w:div w:id="824511946">
      <w:bodyDiv w:val="1"/>
      <w:marLeft w:val="0"/>
      <w:marRight w:val="0"/>
      <w:marTop w:val="0"/>
      <w:marBottom w:val="0"/>
      <w:divBdr>
        <w:top w:val="single" w:sz="2" w:space="0" w:color="CC3640"/>
        <w:left w:val="none" w:sz="0" w:space="0" w:color="auto"/>
        <w:bottom w:val="none" w:sz="0" w:space="0" w:color="auto"/>
        <w:right w:val="none" w:sz="0" w:space="0" w:color="auto"/>
      </w:divBdr>
      <w:divsChild>
        <w:div w:id="515313323">
          <w:marLeft w:val="0"/>
          <w:marRight w:val="0"/>
          <w:marTop w:val="0"/>
          <w:marBottom w:val="0"/>
          <w:divBdr>
            <w:top w:val="single" w:sz="2" w:space="0" w:color="FF0000"/>
            <w:left w:val="single" w:sz="2" w:space="0" w:color="FF0000"/>
            <w:bottom w:val="single" w:sz="2" w:space="0" w:color="FF0000"/>
            <w:right w:val="single" w:sz="2" w:space="0" w:color="FF0000"/>
          </w:divBdr>
          <w:divsChild>
            <w:div w:id="1109201051">
              <w:marLeft w:val="0"/>
              <w:marRight w:val="0"/>
              <w:marTop w:val="0"/>
              <w:marBottom w:val="0"/>
              <w:divBdr>
                <w:top w:val="none" w:sz="0" w:space="0" w:color="auto"/>
                <w:left w:val="single" w:sz="6" w:space="0" w:color="DDDDDD"/>
                <w:bottom w:val="none" w:sz="0" w:space="0" w:color="auto"/>
                <w:right w:val="none" w:sz="0" w:space="0" w:color="auto"/>
              </w:divBdr>
              <w:divsChild>
                <w:div w:id="404032344">
                  <w:marLeft w:val="0"/>
                  <w:marRight w:val="0"/>
                  <w:marTop w:val="0"/>
                  <w:marBottom w:val="0"/>
                  <w:divBdr>
                    <w:top w:val="single" w:sz="2" w:space="0" w:color="008000"/>
                    <w:left w:val="single" w:sz="2" w:space="0" w:color="008000"/>
                    <w:bottom w:val="single" w:sz="2" w:space="0" w:color="008000"/>
                    <w:right w:val="single" w:sz="2" w:space="0" w:color="008000"/>
                  </w:divBdr>
                  <w:divsChild>
                    <w:div w:id="55669852">
                      <w:marLeft w:val="0"/>
                      <w:marRight w:val="0"/>
                      <w:marTop w:val="0"/>
                      <w:marBottom w:val="0"/>
                      <w:divBdr>
                        <w:top w:val="none" w:sz="0" w:space="0" w:color="auto"/>
                        <w:left w:val="none" w:sz="0" w:space="0" w:color="auto"/>
                        <w:bottom w:val="none" w:sz="0" w:space="0" w:color="auto"/>
                        <w:right w:val="none" w:sz="0" w:space="0" w:color="auto"/>
                      </w:divBdr>
                      <w:divsChild>
                        <w:div w:id="409272570">
                          <w:marLeft w:val="0"/>
                          <w:marRight w:val="0"/>
                          <w:marTop w:val="0"/>
                          <w:marBottom w:val="0"/>
                          <w:divBdr>
                            <w:top w:val="none" w:sz="0" w:space="0" w:color="auto"/>
                            <w:left w:val="none" w:sz="0" w:space="0" w:color="auto"/>
                            <w:bottom w:val="none" w:sz="0" w:space="0" w:color="auto"/>
                            <w:right w:val="none" w:sz="0" w:space="0" w:color="auto"/>
                          </w:divBdr>
                          <w:divsChild>
                            <w:div w:id="5190071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34683715">
      <w:bodyDiv w:val="1"/>
      <w:marLeft w:val="0"/>
      <w:marRight w:val="0"/>
      <w:marTop w:val="0"/>
      <w:marBottom w:val="0"/>
      <w:divBdr>
        <w:top w:val="none" w:sz="0" w:space="0" w:color="auto"/>
        <w:left w:val="none" w:sz="0" w:space="0" w:color="auto"/>
        <w:bottom w:val="none" w:sz="0" w:space="0" w:color="auto"/>
        <w:right w:val="none" w:sz="0" w:space="0" w:color="auto"/>
      </w:divBdr>
    </w:div>
    <w:div w:id="846135492">
      <w:bodyDiv w:val="1"/>
      <w:marLeft w:val="0"/>
      <w:marRight w:val="0"/>
      <w:marTop w:val="0"/>
      <w:marBottom w:val="0"/>
      <w:divBdr>
        <w:top w:val="single" w:sz="2" w:space="0" w:color="CC3640"/>
        <w:left w:val="none" w:sz="0" w:space="0" w:color="auto"/>
        <w:bottom w:val="none" w:sz="0" w:space="0" w:color="auto"/>
        <w:right w:val="none" w:sz="0" w:space="0" w:color="auto"/>
      </w:divBdr>
      <w:divsChild>
        <w:div w:id="139810800">
          <w:marLeft w:val="0"/>
          <w:marRight w:val="0"/>
          <w:marTop w:val="0"/>
          <w:marBottom w:val="0"/>
          <w:divBdr>
            <w:top w:val="single" w:sz="2" w:space="0" w:color="FF0000"/>
            <w:left w:val="single" w:sz="2" w:space="0" w:color="FF0000"/>
            <w:bottom w:val="single" w:sz="2" w:space="0" w:color="FF0000"/>
            <w:right w:val="single" w:sz="2" w:space="0" w:color="FF0000"/>
          </w:divBdr>
          <w:divsChild>
            <w:div w:id="1122336196">
              <w:marLeft w:val="0"/>
              <w:marRight w:val="0"/>
              <w:marTop w:val="0"/>
              <w:marBottom w:val="0"/>
              <w:divBdr>
                <w:top w:val="none" w:sz="0" w:space="0" w:color="auto"/>
                <w:left w:val="single" w:sz="6" w:space="0" w:color="DDDDDD"/>
                <w:bottom w:val="none" w:sz="0" w:space="0" w:color="auto"/>
                <w:right w:val="none" w:sz="0" w:space="0" w:color="auto"/>
              </w:divBdr>
              <w:divsChild>
                <w:div w:id="1113936863">
                  <w:marLeft w:val="0"/>
                  <w:marRight w:val="0"/>
                  <w:marTop w:val="0"/>
                  <w:marBottom w:val="0"/>
                  <w:divBdr>
                    <w:top w:val="single" w:sz="2" w:space="0" w:color="008000"/>
                    <w:left w:val="single" w:sz="2" w:space="0" w:color="008000"/>
                    <w:bottom w:val="single" w:sz="2" w:space="0" w:color="008000"/>
                    <w:right w:val="single" w:sz="2" w:space="0" w:color="008000"/>
                  </w:divBdr>
                  <w:divsChild>
                    <w:div w:id="1181048523">
                      <w:marLeft w:val="0"/>
                      <w:marRight w:val="0"/>
                      <w:marTop w:val="0"/>
                      <w:marBottom w:val="0"/>
                      <w:divBdr>
                        <w:top w:val="none" w:sz="0" w:space="0" w:color="auto"/>
                        <w:left w:val="none" w:sz="0" w:space="0" w:color="auto"/>
                        <w:bottom w:val="none" w:sz="0" w:space="0" w:color="auto"/>
                        <w:right w:val="none" w:sz="0" w:space="0" w:color="auto"/>
                      </w:divBdr>
                      <w:divsChild>
                        <w:div w:id="1403871614">
                          <w:marLeft w:val="0"/>
                          <w:marRight w:val="0"/>
                          <w:marTop w:val="0"/>
                          <w:marBottom w:val="0"/>
                          <w:divBdr>
                            <w:top w:val="none" w:sz="0" w:space="0" w:color="auto"/>
                            <w:left w:val="none" w:sz="0" w:space="0" w:color="auto"/>
                            <w:bottom w:val="none" w:sz="0" w:space="0" w:color="auto"/>
                            <w:right w:val="none" w:sz="0" w:space="0" w:color="auto"/>
                          </w:divBdr>
                          <w:divsChild>
                            <w:div w:id="146743370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56961210">
      <w:bodyDiv w:val="1"/>
      <w:marLeft w:val="0"/>
      <w:marRight w:val="0"/>
      <w:marTop w:val="0"/>
      <w:marBottom w:val="0"/>
      <w:divBdr>
        <w:top w:val="none" w:sz="0" w:space="0" w:color="auto"/>
        <w:left w:val="none" w:sz="0" w:space="0" w:color="auto"/>
        <w:bottom w:val="none" w:sz="0" w:space="0" w:color="auto"/>
        <w:right w:val="none" w:sz="0" w:space="0" w:color="auto"/>
      </w:divBdr>
      <w:divsChild>
        <w:div w:id="1472096184">
          <w:marLeft w:val="0"/>
          <w:marRight w:val="0"/>
          <w:marTop w:val="0"/>
          <w:marBottom w:val="0"/>
          <w:divBdr>
            <w:top w:val="none" w:sz="0" w:space="0" w:color="auto"/>
            <w:left w:val="none" w:sz="0" w:space="0" w:color="auto"/>
            <w:bottom w:val="none" w:sz="0" w:space="0" w:color="auto"/>
            <w:right w:val="none" w:sz="0" w:space="0" w:color="auto"/>
          </w:divBdr>
          <w:divsChild>
            <w:div w:id="18586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01541">
      <w:bodyDiv w:val="1"/>
      <w:marLeft w:val="0"/>
      <w:marRight w:val="0"/>
      <w:marTop w:val="0"/>
      <w:marBottom w:val="0"/>
      <w:divBdr>
        <w:top w:val="single" w:sz="2" w:space="0" w:color="CC3640"/>
        <w:left w:val="none" w:sz="0" w:space="0" w:color="auto"/>
        <w:bottom w:val="none" w:sz="0" w:space="0" w:color="auto"/>
        <w:right w:val="none" w:sz="0" w:space="0" w:color="auto"/>
      </w:divBdr>
      <w:divsChild>
        <w:div w:id="1559314621">
          <w:marLeft w:val="0"/>
          <w:marRight w:val="0"/>
          <w:marTop w:val="0"/>
          <w:marBottom w:val="0"/>
          <w:divBdr>
            <w:top w:val="single" w:sz="2" w:space="0" w:color="FF0000"/>
            <w:left w:val="single" w:sz="2" w:space="0" w:color="FF0000"/>
            <w:bottom w:val="single" w:sz="2" w:space="0" w:color="FF0000"/>
            <w:right w:val="single" w:sz="2" w:space="0" w:color="FF0000"/>
          </w:divBdr>
          <w:divsChild>
            <w:div w:id="1259292896">
              <w:marLeft w:val="0"/>
              <w:marRight w:val="0"/>
              <w:marTop w:val="0"/>
              <w:marBottom w:val="0"/>
              <w:divBdr>
                <w:top w:val="none" w:sz="0" w:space="0" w:color="auto"/>
                <w:left w:val="single" w:sz="6" w:space="0" w:color="DDDDDD"/>
                <w:bottom w:val="none" w:sz="0" w:space="0" w:color="auto"/>
                <w:right w:val="none" w:sz="0" w:space="0" w:color="auto"/>
              </w:divBdr>
              <w:divsChild>
                <w:div w:id="49691844">
                  <w:marLeft w:val="0"/>
                  <w:marRight w:val="0"/>
                  <w:marTop w:val="0"/>
                  <w:marBottom w:val="0"/>
                  <w:divBdr>
                    <w:top w:val="single" w:sz="2" w:space="0" w:color="008000"/>
                    <w:left w:val="single" w:sz="2" w:space="0" w:color="008000"/>
                    <w:bottom w:val="single" w:sz="2" w:space="0" w:color="008000"/>
                    <w:right w:val="single" w:sz="2" w:space="0" w:color="008000"/>
                  </w:divBdr>
                  <w:divsChild>
                    <w:div w:id="1602256788">
                      <w:marLeft w:val="0"/>
                      <w:marRight w:val="0"/>
                      <w:marTop w:val="0"/>
                      <w:marBottom w:val="0"/>
                      <w:divBdr>
                        <w:top w:val="none" w:sz="0" w:space="0" w:color="auto"/>
                        <w:left w:val="none" w:sz="0" w:space="0" w:color="auto"/>
                        <w:bottom w:val="none" w:sz="0" w:space="0" w:color="auto"/>
                        <w:right w:val="none" w:sz="0" w:space="0" w:color="auto"/>
                      </w:divBdr>
                      <w:divsChild>
                        <w:div w:id="924799328">
                          <w:marLeft w:val="0"/>
                          <w:marRight w:val="0"/>
                          <w:marTop w:val="0"/>
                          <w:marBottom w:val="0"/>
                          <w:divBdr>
                            <w:top w:val="none" w:sz="0" w:space="0" w:color="auto"/>
                            <w:left w:val="none" w:sz="0" w:space="0" w:color="auto"/>
                            <w:bottom w:val="none" w:sz="0" w:space="0" w:color="auto"/>
                            <w:right w:val="none" w:sz="0" w:space="0" w:color="auto"/>
                          </w:divBdr>
                          <w:divsChild>
                            <w:div w:id="1904586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88952870">
      <w:bodyDiv w:val="1"/>
      <w:marLeft w:val="0"/>
      <w:marRight w:val="0"/>
      <w:marTop w:val="0"/>
      <w:marBottom w:val="0"/>
      <w:divBdr>
        <w:top w:val="single" w:sz="2" w:space="0" w:color="CC3640"/>
        <w:left w:val="none" w:sz="0" w:space="0" w:color="auto"/>
        <w:bottom w:val="none" w:sz="0" w:space="0" w:color="auto"/>
        <w:right w:val="none" w:sz="0" w:space="0" w:color="auto"/>
      </w:divBdr>
      <w:divsChild>
        <w:div w:id="73629019">
          <w:marLeft w:val="0"/>
          <w:marRight w:val="0"/>
          <w:marTop w:val="0"/>
          <w:marBottom w:val="0"/>
          <w:divBdr>
            <w:top w:val="single" w:sz="2" w:space="0" w:color="FF0000"/>
            <w:left w:val="single" w:sz="2" w:space="0" w:color="FF0000"/>
            <w:bottom w:val="single" w:sz="2" w:space="0" w:color="FF0000"/>
            <w:right w:val="single" w:sz="2" w:space="0" w:color="FF0000"/>
          </w:divBdr>
          <w:divsChild>
            <w:div w:id="542865049">
              <w:marLeft w:val="0"/>
              <w:marRight w:val="0"/>
              <w:marTop w:val="0"/>
              <w:marBottom w:val="0"/>
              <w:divBdr>
                <w:top w:val="none" w:sz="0" w:space="0" w:color="auto"/>
                <w:left w:val="single" w:sz="6" w:space="0" w:color="DDDDDD"/>
                <w:bottom w:val="none" w:sz="0" w:space="0" w:color="auto"/>
                <w:right w:val="none" w:sz="0" w:space="0" w:color="auto"/>
              </w:divBdr>
              <w:divsChild>
                <w:div w:id="657005394">
                  <w:marLeft w:val="0"/>
                  <w:marRight w:val="0"/>
                  <w:marTop w:val="0"/>
                  <w:marBottom w:val="0"/>
                  <w:divBdr>
                    <w:top w:val="single" w:sz="2" w:space="0" w:color="008000"/>
                    <w:left w:val="single" w:sz="2" w:space="0" w:color="008000"/>
                    <w:bottom w:val="single" w:sz="2" w:space="0" w:color="008000"/>
                    <w:right w:val="single" w:sz="2" w:space="0" w:color="008000"/>
                  </w:divBdr>
                  <w:divsChild>
                    <w:div w:id="285162121">
                      <w:marLeft w:val="0"/>
                      <w:marRight w:val="0"/>
                      <w:marTop w:val="0"/>
                      <w:marBottom w:val="0"/>
                      <w:divBdr>
                        <w:top w:val="none" w:sz="0" w:space="0" w:color="auto"/>
                        <w:left w:val="none" w:sz="0" w:space="0" w:color="auto"/>
                        <w:bottom w:val="none" w:sz="0" w:space="0" w:color="auto"/>
                        <w:right w:val="none" w:sz="0" w:space="0" w:color="auto"/>
                      </w:divBdr>
                      <w:divsChild>
                        <w:div w:id="1743258344">
                          <w:marLeft w:val="0"/>
                          <w:marRight w:val="0"/>
                          <w:marTop w:val="0"/>
                          <w:marBottom w:val="0"/>
                          <w:divBdr>
                            <w:top w:val="none" w:sz="0" w:space="0" w:color="auto"/>
                            <w:left w:val="none" w:sz="0" w:space="0" w:color="auto"/>
                            <w:bottom w:val="none" w:sz="0" w:space="0" w:color="auto"/>
                            <w:right w:val="none" w:sz="0" w:space="0" w:color="auto"/>
                          </w:divBdr>
                          <w:divsChild>
                            <w:div w:id="81221077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12932095">
      <w:bodyDiv w:val="1"/>
      <w:marLeft w:val="0"/>
      <w:marRight w:val="0"/>
      <w:marTop w:val="0"/>
      <w:marBottom w:val="0"/>
      <w:divBdr>
        <w:top w:val="none" w:sz="0" w:space="0" w:color="auto"/>
        <w:left w:val="none" w:sz="0" w:space="0" w:color="auto"/>
        <w:bottom w:val="none" w:sz="0" w:space="0" w:color="auto"/>
        <w:right w:val="none" w:sz="0" w:space="0" w:color="auto"/>
      </w:divBdr>
      <w:divsChild>
        <w:div w:id="1719937894">
          <w:marLeft w:val="0"/>
          <w:marRight w:val="0"/>
          <w:marTop w:val="0"/>
          <w:marBottom w:val="0"/>
          <w:divBdr>
            <w:top w:val="none" w:sz="0" w:space="0" w:color="auto"/>
            <w:left w:val="none" w:sz="0" w:space="0" w:color="auto"/>
            <w:bottom w:val="none" w:sz="0" w:space="0" w:color="auto"/>
            <w:right w:val="none" w:sz="0" w:space="0" w:color="auto"/>
          </w:divBdr>
        </w:div>
        <w:div w:id="1973827676">
          <w:marLeft w:val="0"/>
          <w:marRight w:val="0"/>
          <w:marTop w:val="0"/>
          <w:marBottom w:val="0"/>
          <w:divBdr>
            <w:top w:val="none" w:sz="0" w:space="0" w:color="auto"/>
            <w:left w:val="none" w:sz="0" w:space="0" w:color="auto"/>
            <w:bottom w:val="none" w:sz="0" w:space="0" w:color="auto"/>
            <w:right w:val="none" w:sz="0" w:space="0" w:color="auto"/>
          </w:divBdr>
        </w:div>
      </w:divsChild>
    </w:div>
    <w:div w:id="930429858">
      <w:bodyDiv w:val="1"/>
      <w:marLeft w:val="0"/>
      <w:marRight w:val="0"/>
      <w:marTop w:val="0"/>
      <w:marBottom w:val="0"/>
      <w:divBdr>
        <w:top w:val="none" w:sz="0" w:space="0" w:color="auto"/>
        <w:left w:val="none" w:sz="0" w:space="0" w:color="auto"/>
        <w:bottom w:val="none" w:sz="0" w:space="0" w:color="auto"/>
        <w:right w:val="none" w:sz="0" w:space="0" w:color="auto"/>
      </w:divBdr>
    </w:div>
    <w:div w:id="946885239">
      <w:bodyDiv w:val="1"/>
      <w:marLeft w:val="0"/>
      <w:marRight w:val="0"/>
      <w:marTop w:val="0"/>
      <w:marBottom w:val="0"/>
      <w:divBdr>
        <w:top w:val="none" w:sz="0" w:space="0" w:color="auto"/>
        <w:left w:val="none" w:sz="0" w:space="0" w:color="auto"/>
        <w:bottom w:val="none" w:sz="0" w:space="0" w:color="auto"/>
        <w:right w:val="none" w:sz="0" w:space="0" w:color="auto"/>
      </w:divBdr>
      <w:divsChild>
        <w:div w:id="1079323452">
          <w:marLeft w:val="0"/>
          <w:marRight w:val="0"/>
          <w:marTop w:val="0"/>
          <w:marBottom w:val="0"/>
          <w:divBdr>
            <w:top w:val="none" w:sz="0" w:space="0" w:color="auto"/>
            <w:left w:val="none" w:sz="0" w:space="0" w:color="auto"/>
            <w:bottom w:val="none" w:sz="0" w:space="0" w:color="auto"/>
            <w:right w:val="none" w:sz="0" w:space="0" w:color="auto"/>
          </w:divBdr>
          <w:divsChild>
            <w:div w:id="9947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5130">
      <w:bodyDiv w:val="1"/>
      <w:marLeft w:val="0"/>
      <w:marRight w:val="0"/>
      <w:marTop w:val="0"/>
      <w:marBottom w:val="0"/>
      <w:divBdr>
        <w:top w:val="none" w:sz="0" w:space="0" w:color="auto"/>
        <w:left w:val="none" w:sz="0" w:space="0" w:color="auto"/>
        <w:bottom w:val="none" w:sz="0" w:space="0" w:color="auto"/>
        <w:right w:val="none" w:sz="0" w:space="0" w:color="auto"/>
      </w:divBdr>
      <w:divsChild>
        <w:div w:id="2080052480">
          <w:marLeft w:val="0"/>
          <w:marRight w:val="0"/>
          <w:marTop w:val="0"/>
          <w:marBottom w:val="0"/>
          <w:divBdr>
            <w:top w:val="none" w:sz="0" w:space="0" w:color="auto"/>
            <w:left w:val="none" w:sz="0" w:space="0" w:color="auto"/>
            <w:bottom w:val="none" w:sz="0" w:space="0" w:color="auto"/>
            <w:right w:val="none" w:sz="0" w:space="0" w:color="auto"/>
          </w:divBdr>
          <w:divsChild>
            <w:div w:id="3180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5516">
      <w:bodyDiv w:val="1"/>
      <w:marLeft w:val="0"/>
      <w:marRight w:val="0"/>
      <w:marTop w:val="0"/>
      <w:marBottom w:val="0"/>
      <w:divBdr>
        <w:top w:val="none" w:sz="0" w:space="0" w:color="auto"/>
        <w:left w:val="none" w:sz="0" w:space="0" w:color="auto"/>
        <w:bottom w:val="none" w:sz="0" w:space="0" w:color="auto"/>
        <w:right w:val="none" w:sz="0" w:space="0" w:color="auto"/>
      </w:divBdr>
    </w:div>
    <w:div w:id="1038092199">
      <w:bodyDiv w:val="1"/>
      <w:marLeft w:val="0"/>
      <w:marRight w:val="0"/>
      <w:marTop w:val="0"/>
      <w:marBottom w:val="0"/>
      <w:divBdr>
        <w:top w:val="none" w:sz="0" w:space="0" w:color="auto"/>
        <w:left w:val="none" w:sz="0" w:space="0" w:color="auto"/>
        <w:bottom w:val="none" w:sz="0" w:space="0" w:color="auto"/>
        <w:right w:val="none" w:sz="0" w:space="0" w:color="auto"/>
      </w:divBdr>
      <w:divsChild>
        <w:div w:id="182286367">
          <w:marLeft w:val="0"/>
          <w:marRight w:val="0"/>
          <w:marTop w:val="120"/>
          <w:marBottom w:val="120"/>
          <w:divBdr>
            <w:top w:val="none" w:sz="0" w:space="0" w:color="auto"/>
            <w:left w:val="none" w:sz="0" w:space="0" w:color="auto"/>
            <w:bottom w:val="none" w:sz="0" w:space="0" w:color="auto"/>
            <w:right w:val="none" w:sz="0" w:space="0" w:color="auto"/>
          </w:divBdr>
        </w:div>
      </w:divsChild>
    </w:div>
    <w:div w:id="1050346328">
      <w:bodyDiv w:val="1"/>
      <w:marLeft w:val="0"/>
      <w:marRight w:val="0"/>
      <w:marTop w:val="0"/>
      <w:marBottom w:val="0"/>
      <w:divBdr>
        <w:top w:val="none" w:sz="0" w:space="0" w:color="auto"/>
        <w:left w:val="none" w:sz="0" w:space="0" w:color="auto"/>
        <w:bottom w:val="none" w:sz="0" w:space="0" w:color="auto"/>
        <w:right w:val="none" w:sz="0" w:space="0" w:color="auto"/>
      </w:divBdr>
    </w:div>
    <w:div w:id="1053121428">
      <w:bodyDiv w:val="1"/>
      <w:marLeft w:val="0"/>
      <w:marRight w:val="0"/>
      <w:marTop w:val="0"/>
      <w:marBottom w:val="0"/>
      <w:divBdr>
        <w:top w:val="none" w:sz="0" w:space="0" w:color="auto"/>
        <w:left w:val="none" w:sz="0" w:space="0" w:color="auto"/>
        <w:bottom w:val="none" w:sz="0" w:space="0" w:color="auto"/>
        <w:right w:val="none" w:sz="0" w:space="0" w:color="auto"/>
      </w:divBdr>
    </w:div>
    <w:div w:id="1092122383">
      <w:bodyDiv w:val="1"/>
      <w:marLeft w:val="0"/>
      <w:marRight w:val="0"/>
      <w:marTop w:val="0"/>
      <w:marBottom w:val="0"/>
      <w:divBdr>
        <w:top w:val="none" w:sz="0" w:space="0" w:color="auto"/>
        <w:left w:val="none" w:sz="0" w:space="0" w:color="auto"/>
        <w:bottom w:val="none" w:sz="0" w:space="0" w:color="auto"/>
        <w:right w:val="none" w:sz="0" w:space="0" w:color="auto"/>
      </w:divBdr>
    </w:div>
    <w:div w:id="1133904294">
      <w:bodyDiv w:val="1"/>
      <w:marLeft w:val="0"/>
      <w:marRight w:val="0"/>
      <w:marTop w:val="0"/>
      <w:marBottom w:val="0"/>
      <w:divBdr>
        <w:top w:val="none" w:sz="0" w:space="0" w:color="auto"/>
        <w:left w:val="none" w:sz="0" w:space="0" w:color="auto"/>
        <w:bottom w:val="none" w:sz="0" w:space="0" w:color="auto"/>
        <w:right w:val="none" w:sz="0" w:space="0" w:color="auto"/>
      </w:divBdr>
      <w:divsChild>
        <w:div w:id="1975714845">
          <w:marLeft w:val="0"/>
          <w:marRight w:val="0"/>
          <w:marTop w:val="0"/>
          <w:marBottom w:val="0"/>
          <w:divBdr>
            <w:top w:val="none" w:sz="0" w:space="0" w:color="auto"/>
            <w:left w:val="none" w:sz="0" w:space="0" w:color="auto"/>
            <w:bottom w:val="none" w:sz="0" w:space="0" w:color="auto"/>
            <w:right w:val="none" w:sz="0" w:space="0" w:color="auto"/>
          </w:divBdr>
          <w:divsChild>
            <w:div w:id="13889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234">
      <w:bodyDiv w:val="1"/>
      <w:marLeft w:val="0"/>
      <w:marRight w:val="0"/>
      <w:marTop w:val="0"/>
      <w:marBottom w:val="0"/>
      <w:divBdr>
        <w:top w:val="none" w:sz="0" w:space="0" w:color="auto"/>
        <w:left w:val="none" w:sz="0" w:space="0" w:color="auto"/>
        <w:bottom w:val="none" w:sz="0" w:space="0" w:color="auto"/>
        <w:right w:val="none" w:sz="0" w:space="0" w:color="auto"/>
      </w:divBdr>
      <w:divsChild>
        <w:div w:id="1151099449">
          <w:marLeft w:val="0"/>
          <w:marRight w:val="0"/>
          <w:marTop w:val="0"/>
          <w:marBottom w:val="0"/>
          <w:divBdr>
            <w:top w:val="none" w:sz="0" w:space="0" w:color="auto"/>
            <w:left w:val="none" w:sz="0" w:space="0" w:color="auto"/>
            <w:bottom w:val="none" w:sz="0" w:space="0" w:color="auto"/>
            <w:right w:val="none" w:sz="0" w:space="0" w:color="auto"/>
          </w:divBdr>
          <w:divsChild>
            <w:div w:id="3765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3273">
      <w:bodyDiv w:val="1"/>
      <w:marLeft w:val="0"/>
      <w:marRight w:val="0"/>
      <w:marTop w:val="0"/>
      <w:marBottom w:val="0"/>
      <w:divBdr>
        <w:top w:val="none" w:sz="0" w:space="0" w:color="auto"/>
        <w:left w:val="none" w:sz="0" w:space="0" w:color="auto"/>
        <w:bottom w:val="none" w:sz="0" w:space="0" w:color="auto"/>
        <w:right w:val="none" w:sz="0" w:space="0" w:color="auto"/>
      </w:divBdr>
      <w:divsChild>
        <w:div w:id="592520240">
          <w:marLeft w:val="0"/>
          <w:marRight w:val="0"/>
          <w:marTop w:val="0"/>
          <w:marBottom w:val="0"/>
          <w:divBdr>
            <w:top w:val="none" w:sz="0" w:space="0" w:color="auto"/>
            <w:left w:val="none" w:sz="0" w:space="0" w:color="auto"/>
            <w:bottom w:val="none" w:sz="0" w:space="0" w:color="auto"/>
            <w:right w:val="none" w:sz="0" w:space="0" w:color="auto"/>
          </w:divBdr>
          <w:divsChild>
            <w:div w:id="20613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0927">
      <w:bodyDiv w:val="1"/>
      <w:marLeft w:val="0"/>
      <w:marRight w:val="0"/>
      <w:marTop w:val="0"/>
      <w:marBottom w:val="0"/>
      <w:divBdr>
        <w:top w:val="single" w:sz="2" w:space="0" w:color="CC3640"/>
        <w:left w:val="none" w:sz="0" w:space="0" w:color="auto"/>
        <w:bottom w:val="none" w:sz="0" w:space="0" w:color="auto"/>
        <w:right w:val="none" w:sz="0" w:space="0" w:color="auto"/>
      </w:divBdr>
      <w:divsChild>
        <w:div w:id="1245920329">
          <w:marLeft w:val="0"/>
          <w:marRight w:val="0"/>
          <w:marTop w:val="0"/>
          <w:marBottom w:val="0"/>
          <w:divBdr>
            <w:top w:val="single" w:sz="2" w:space="0" w:color="FF0000"/>
            <w:left w:val="single" w:sz="2" w:space="0" w:color="FF0000"/>
            <w:bottom w:val="single" w:sz="2" w:space="0" w:color="FF0000"/>
            <w:right w:val="single" w:sz="2" w:space="0" w:color="FF0000"/>
          </w:divBdr>
          <w:divsChild>
            <w:div w:id="1082944154">
              <w:marLeft w:val="0"/>
              <w:marRight w:val="0"/>
              <w:marTop w:val="0"/>
              <w:marBottom w:val="0"/>
              <w:divBdr>
                <w:top w:val="none" w:sz="0" w:space="0" w:color="auto"/>
                <w:left w:val="single" w:sz="6" w:space="0" w:color="DDDDDD"/>
                <w:bottom w:val="none" w:sz="0" w:space="0" w:color="auto"/>
                <w:right w:val="none" w:sz="0" w:space="0" w:color="auto"/>
              </w:divBdr>
              <w:divsChild>
                <w:div w:id="445932352">
                  <w:marLeft w:val="0"/>
                  <w:marRight w:val="0"/>
                  <w:marTop w:val="0"/>
                  <w:marBottom w:val="0"/>
                  <w:divBdr>
                    <w:top w:val="single" w:sz="2" w:space="0" w:color="008000"/>
                    <w:left w:val="single" w:sz="2" w:space="0" w:color="008000"/>
                    <w:bottom w:val="single" w:sz="2" w:space="0" w:color="008000"/>
                    <w:right w:val="single" w:sz="2" w:space="0" w:color="008000"/>
                  </w:divBdr>
                  <w:divsChild>
                    <w:div w:id="203566227">
                      <w:marLeft w:val="0"/>
                      <w:marRight w:val="0"/>
                      <w:marTop w:val="0"/>
                      <w:marBottom w:val="0"/>
                      <w:divBdr>
                        <w:top w:val="none" w:sz="0" w:space="0" w:color="auto"/>
                        <w:left w:val="none" w:sz="0" w:space="0" w:color="auto"/>
                        <w:bottom w:val="none" w:sz="0" w:space="0" w:color="auto"/>
                        <w:right w:val="none" w:sz="0" w:space="0" w:color="auto"/>
                      </w:divBdr>
                      <w:divsChild>
                        <w:div w:id="337538733">
                          <w:marLeft w:val="0"/>
                          <w:marRight w:val="0"/>
                          <w:marTop w:val="0"/>
                          <w:marBottom w:val="0"/>
                          <w:divBdr>
                            <w:top w:val="none" w:sz="0" w:space="0" w:color="auto"/>
                            <w:left w:val="none" w:sz="0" w:space="0" w:color="auto"/>
                            <w:bottom w:val="none" w:sz="0" w:space="0" w:color="auto"/>
                            <w:right w:val="none" w:sz="0" w:space="0" w:color="auto"/>
                          </w:divBdr>
                          <w:divsChild>
                            <w:div w:id="155373266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7954389">
      <w:bodyDiv w:val="1"/>
      <w:marLeft w:val="0"/>
      <w:marRight w:val="0"/>
      <w:marTop w:val="0"/>
      <w:marBottom w:val="0"/>
      <w:divBdr>
        <w:top w:val="single" w:sz="2" w:space="0" w:color="CC3640"/>
        <w:left w:val="none" w:sz="0" w:space="0" w:color="auto"/>
        <w:bottom w:val="none" w:sz="0" w:space="0" w:color="auto"/>
        <w:right w:val="none" w:sz="0" w:space="0" w:color="auto"/>
      </w:divBdr>
      <w:divsChild>
        <w:div w:id="236789233">
          <w:marLeft w:val="0"/>
          <w:marRight w:val="0"/>
          <w:marTop w:val="0"/>
          <w:marBottom w:val="0"/>
          <w:divBdr>
            <w:top w:val="single" w:sz="2" w:space="0" w:color="FF0000"/>
            <w:left w:val="single" w:sz="2" w:space="0" w:color="FF0000"/>
            <w:bottom w:val="single" w:sz="2" w:space="0" w:color="FF0000"/>
            <w:right w:val="single" w:sz="2" w:space="0" w:color="FF0000"/>
          </w:divBdr>
          <w:divsChild>
            <w:div w:id="1157382539">
              <w:marLeft w:val="0"/>
              <w:marRight w:val="0"/>
              <w:marTop w:val="0"/>
              <w:marBottom w:val="0"/>
              <w:divBdr>
                <w:top w:val="none" w:sz="0" w:space="0" w:color="auto"/>
                <w:left w:val="single" w:sz="6" w:space="0" w:color="DDDDDD"/>
                <w:bottom w:val="none" w:sz="0" w:space="0" w:color="auto"/>
                <w:right w:val="none" w:sz="0" w:space="0" w:color="auto"/>
              </w:divBdr>
              <w:divsChild>
                <w:div w:id="1349791722">
                  <w:marLeft w:val="0"/>
                  <w:marRight w:val="0"/>
                  <w:marTop w:val="0"/>
                  <w:marBottom w:val="0"/>
                  <w:divBdr>
                    <w:top w:val="single" w:sz="2" w:space="0" w:color="008000"/>
                    <w:left w:val="single" w:sz="2" w:space="0" w:color="008000"/>
                    <w:bottom w:val="single" w:sz="2" w:space="0" w:color="008000"/>
                    <w:right w:val="single" w:sz="2" w:space="0" w:color="008000"/>
                  </w:divBdr>
                  <w:divsChild>
                    <w:div w:id="102195199">
                      <w:marLeft w:val="0"/>
                      <w:marRight w:val="0"/>
                      <w:marTop w:val="0"/>
                      <w:marBottom w:val="0"/>
                      <w:divBdr>
                        <w:top w:val="none" w:sz="0" w:space="0" w:color="auto"/>
                        <w:left w:val="none" w:sz="0" w:space="0" w:color="auto"/>
                        <w:bottom w:val="none" w:sz="0" w:space="0" w:color="auto"/>
                        <w:right w:val="none" w:sz="0" w:space="0" w:color="auto"/>
                      </w:divBdr>
                      <w:divsChild>
                        <w:div w:id="1171944059">
                          <w:marLeft w:val="0"/>
                          <w:marRight w:val="0"/>
                          <w:marTop w:val="0"/>
                          <w:marBottom w:val="0"/>
                          <w:divBdr>
                            <w:top w:val="none" w:sz="0" w:space="0" w:color="auto"/>
                            <w:left w:val="none" w:sz="0" w:space="0" w:color="auto"/>
                            <w:bottom w:val="none" w:sz="0" w:space="0" w:color="auto"/>
                            <w:right w:val="none" w:sz="0" w:space="0" w:color="auto"/>
                          </w:divBdr>
                          <w:divsChild>
                            <w:div w:id="57324344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34895558">
      <w:bodyDiv w:val="1"/>
      <w:marLeft w:val="0"/>
      <w:marRight w:val="0"/>
      <w:marTop w:val="0"/>
      <w:marBottom w:val="0"/>
      <w:divBdr>
        <w:top w:val="none" w:sz="0" w:space="0" w:color="auto"/>
        <w:left w:val="none" w:sz="0" w:space="0" w:color="auto"/>
        <w:bottom w:val="none" w:sz="0" w:space="0" w:color="auto"/>
        <w:right w:val="none" w:sz="0" w:space="0" w:color="auto"/>
      </w:divBdr>
    </w:div>
    <w:div w:id="1236284398">
      <w:bodyDiv w:val="1"/>
      <w:marLeft w:val="0"/>
      <w:marRight w:val="0"/>
      <w:marTop w:val="0"/>
      <w:marBottom w:val="0"/>
      <w:divBdr>
        <w:top w:val="none" w:sz="0" w:space="0" w:color="auto"/>
        <w:left w:val="none" w:sz="0" w:space="0" w:color="auto"/>
        <w:bottom w:val="none" w:sz="0" w:space="0" w:color="auto"/>
        <w:right w:val="none" w:sz="0" w:space="0" w:color="auto"/>
      </w:divBdr>
    </w:div>
    <w:div w:id="1263956944">
      <w:bodyDiv w:val="1"/>
      <w:marLeft w:val="0"/>
      <w:marRight w:val="0"/>
      <w:marTop w:val="0"/>
      <w:marBottom w:val="0"/>
      <w:divBdr>
        <w:top w:val="none" w:sz="0" w:space="0" w:color="auto"/>
        <w:left w:val="none" w:sz="0" w:space="0" w:color="auto"/>
        <w:bottom w:val="none" w:sz="0" w:space="0" w:color="auto"/>
        <w:right w:val="none" w:sz="0" w:space="0" w:color="auto"/>
      </w:divBdr>
      <w:divsChild>
        <w:div w:id="1853375121">
          <w:marLeft w:val="0"/>
          <w:marRight w:val="0"/>
          <w:marTop w:val="0"/>
          <w:marBottom w:val="0"/>
          <w:divBdr>
            <w:top w:val="none" w:sz="0" w:space="0" w:color="auto"/>
            <w:left w:val="none" w:sz="0" w:space="0" w:color="auto"/>
            <w:bottom w:val="none" w:sz="0" w:space="0" w:color="auto"/>
            <w:right w:val="none" w:sz="0" w:space="0" w:color="auto"/>
          </w:divBdr>
          <w:divsChild>
            <w:div w:id="2991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4292">
      <w:bodyDiv w:val="1"/>
      <w:marLeft w:val="0"/>
      <w:marRight w:val="0"/>
      <w:marTop w:val="0"/>
      <w:marBottom w:val="0"/>
      <w:divBdr>
        <w:top w:val="none" w:sz="0" w:space="0" w:color="auto"/>
        <w:left w:val="none" w:sz="0" w:space="0" w:color="auto"/>
        <w:bottom w:val="none" w:sz="0" w:space="0" w:color="auto"/>
        <w:right w:val="none" w:sz="0" w:space="0" w:color="auto"/>
      </w:divBdr>
    </w:div>
    <w:div w:id="1336346422">
      <w:bodyDiv w:val="1"/>
      <w:marLeft w:val="0"/>
      <w:marRight w:val="0"/>
      <w:marTop w:val="0"/>
      <w:marBottom w:val="0"/>
      <w:divBdr>
        <w:top w:val="none" w:sz="0" w:space="0" w:color="auto"/>
        <w:left w:val="none" w:sz="0" w:space="0" w:color="auto"/>
        <w:bottom w:val="none" w:sz="0" w:space="0" w:color="auto"/>
        <w:right w:val="none" w:sz="0" w:space="0" w:color="auto"/>
      </w:divBdr>
      <w:divsChild>
        <w:div w:id="20672712">
          <w:marLeft w:val="0"/>
          <w:marRight w:val="0"/>
          <w:marTop w:val="0"/>
          <w:marBottom w:val="0"/>
          <w:divBdr>
            <w:top w:val="none" w:sz="0" w:space="0" w:color="auto"/>
            <w:left w:val="none" w:sz="0" w:space="0" w:color="auto"/>
            <w:bottom w:val="none" w:sz="0" w:space="0" w:color="auto"/>
            <w:right w:val="none" w:sz="0" w:space="0" w:color="auto"/>
          </w:divBdr>
          <w:divsChild>
            <w:div w:id="2007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1478">
      <w:bodyDiv w:val="1"/>
      <w:marLeft w:val="0"/>
      <w:marRight w:val="0"/>
      <w:marTop w:val="0"/>
      <w:marBottom w:val="0"/>
      <w:divBdr>
        <w:top w:val="none" w:sz="0" w:space="0" w:color="auto"/>
        <w:left w:val="none" w:sz="0" w:space="0" w:color="auto"/>
        <w:bottom w:val="none" w:sz="0" w:space="0" w:color="auto"/>
        <w:right w:val="none" w:sz="0" w:space="0" w:color="auto"/>
      </w:divBdr>
    </w:div>
    <w:div w:id="1377848511">
      <w:bodyDiv w:val="1"/>
      <w:marLeft w:val="0"/>
      <w:marRight w:val="0"/>
      <w:marTop w:val="0"/>
      <w:marBottom w:val="0"/>
      <w:divBdr>
        <w:top w:val="none" w:sz="0" w:space="0" w:color="auto"/>
        <w:left w:val="none" w:sz="0" w:space="0" w:color="auto"/>
        <w:bottom w:val="none" w:sz="0" w:space="0" w:color="auto"/>
        <w:right w:val="none" w:sz="0" w:space="0" w:color="auto"/>
      </w:divBdr>
      <w:divsChild>
        <w:div w:id="1747922425">
          <w:marLeft w:val="0"/>
          <w:marRight w:val="0"/>
          <w:marTop w:val="0"/>
          <w:marBottom w:val="0"/>
          <w:divBdr>
            <w:top w:val="none" w:sz="0" w:space="0" w:color="auto"/>
            <w:left w:val="none" w:sz="0" w:space="0" w:color="auto"/>
            <w:bottom w:val="none" w:sz="0" w:space="0" w:color="auto"/>
            <w:right w:val="none" w:sz="0" w:space="0" w:color="auto"/>
          </w:divBdr>
          <w:divsChild>
            <w:div w:id="4487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3651">
      <w:bodyDiv w:val="1"/>
      <w:marLeft w:val="0"/>
      <w:marRight w:val="0"/>
      <w:marTop w:val="0"/>
      <w:marBottom w:val="0"/>
      <w:divBdr>
        <w:top w:val="single" w:sz="2" w:space="0" w:color="CC3640"/>
        <w:left w:val="none" w:sz="0" w:space="0" w:color="auto"/>
        <w:bottom w:val="none" w:sz="0" w:space="0" w:color="auto"/>
        <w:right w:val="none" w:sz="0" w:space="0" w:color="auto"/>
      </w:divBdr>
      <w:divsChild>
        <w:div w:id="1936742421">
          <w:marLeft w:val="0"/>
          <w:marRight w:val="0"/>
          <w:marTop w:val="0"/>
          <w:marBottom w:val="0"/>
          <w:divBdr>
            <w:top w:val="single" w:sz="2" w:space="0" w:color="FF0000"/>
            <w:left w:val="single" w:sz="2" w:space="0" w:color="FF0000"/>
            <w:bottom w:val="single" w:sz="2" w:space="0" w:color="FF0000"/>
            <w:right w:val="single" w:sz="2" w:space="0" w:color="FF0000"/>
          </w:divBdr>
          <w:divsChild>
            <w:div w:id="127864606">
              <w:marLeft w:val="0"/>
              <w:marRight w:val="0"/>
              <w:marTop w:val="0"/>
              <w:marBottom w:val="0"/>
              <w:divBdr>
                <w:top w:val="none" w:sz="0" w:space="0" w:color="auto"/>
                <w:left w:val="single" w:sz="6" w:space="0" w:color="DDDDDD"/>
                <w:bottom w:val="none" w:sz="0" w:space="0" w:color="auto"/>
                <w:right w:val="none" w:sz="0" w:space="0" w:color="auto"/>
              </w:divBdr>
              <w:divsChild>
                <w:div w:id="459567372">
                  <w:marLeft w:val="0"/>
                  <w:marRight w:val="0"/>
                  <w:marTop w:val="0"/>
                  <w:marBottom w:val="0"/>
                  <w:divBdr>
                    <w:top w:val="single" w:sz="2" w:space="0" w:color="008000"/>
                    <w:left w:val="single" w:sz="2" w:space="0" w:color="008000"/>
                    <w:bottom w:val="single" w:sz="2" w:space="0" w:color="008000"/>
                    <w:right w:val="single" w:sz="2" w:space="0" w:color="008000"/>
                  </w:divBdr>
                  <w:divsChild>
                    <w:div w:id="1393574841">
                      <w:marLeft w:val="0"/>
                      <w:marRight w:val="0"/>
                      <w:marTop w:val="0"/>
                      <w:marBottom w:val="0"/>
                      <w:divBdr>
                        <w:top w:val="none" w:sz="0" w:space="0" w:color="auto"/>
                        <w:left w:val="none" w:sz="0" w:space="0" w:color="auto"/>
                        <w:bottom w:val="none" w:sz="0" w:space="0" w:color="auto"/>
                        <w:right w:val="none" w:sz="0" w:space="0" w:color="auto"/>
                      </w:divBdr>
                      <w:divsChild>
                        <w:div w:id="1058213781">
                          <w:marLeft w:val="0"/>
                          <w:marRight w:val="0"/>
                          <w:marTop w:val="0"/>
                          <w:marBottom w:val="0"/>
                          <w:divBdr>
                            <w:top w:val="none" w:sz="0" w:space="0" w:color="auto"/>
                            <w:left w:val="none" w:sz="0" w:space="0" w:color="auto"/>
                            <w:bottom w:val="none" w:sz="0" w:space="0" w:color="auto"/>
                            <w:right w:val="none" w:sz="0" w:space="0" w:color="auto"/>
                          </w:divBdr>
                          <w:divsChild>
                            <w:div w:id="83592104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64074918">
      <w:bodyDiv w:val="1"/>
      <w:marLeft w:val="0"/>
      <w:marRight w:val="0"/>
      <w:marTop w:val="0"/>
      <w:marBottom w:val="0"/>
      <w:divBdr>
        <w:top w:val="none" w:sz="0" w:space="0" w:color="auto"/>
        <w:left w:val="none" w:sz="0" w:space="0" w:color="auto"/>
        <w:bottom w:val="none" w:sz="0" w:space="0" w:color="auto"/>
        <w:right w:val="none" w:sz="0" w:space="0" w:color="auto"/>
      </w:divBdr>
    </w:div>
    <w:div w:id="1465656476">
      <w:bodyDiv w:val="1"/>
      <w:marLeft w:val="0"/>
      <w:marRight w:val="0"/>
      <w:marTop w:val="0"/>
      <w:marBottom w:val="0"/>
      <w:divBdr>
        <w:top w:val="none" w:sz="0" w:space="0" w:color="auto"/>
        <w:left w:val="none" w:sz="0" w:space="0" w:color="auto"/>
        <w:bottom w:val="none" w:sz="0" w:space="0" w:color="auto"/>
        <w:right w:val="none" w:sz="0" w:space="0" w:color="auto"/>
      </w:divBdr>
      <w:divsChild>
        <w:div w:id="222571589">
          <w:marLeft w:val="0"/>
          <w:marRight w:val="0"/>
          <w:marTop w:val="0"/>
          <w:marBottom w:val="0"/>
          <w:divBdr>
            <w:top w:val="none" w:sz="0" w:space="0" w:color="auto"/>
            <w:left w:val="none" w:sz="0" w:space="0" w:color="auto"/>
            <w:bottom w:val="none" w:sz="0" w:space="0" w:color="auto"/>
            <w:right w:val="none" w:sz="0" w:space="0" w:color="auto"/>
          </w:divBdr>
          <w:divsChild>
            <w:div w:id="3041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506">
      <w:bodyDiv w:val="1"/>
      <w:marLeft w:val="0"/>
      <w:marRight w:val="0"/>
      <w:marTop w:val="0"/>
      <w:marBottom w:val="0"/>
      <w:divBdr>
        <w:top w:val="none" w:sz="0" w:space="0" w:color="auto"/>
        <w:left w:val="none" w:sz="0" w:space="0" w:color="auto"/>
        <w:bottom w:val="none" w:sz="0" w:space="0" w:color="auto"/>
        <w:right w:val="none" w:sz="0" w:space="0" w:color="auto"/>
      </w:divBdr>
    </w:div>
    <w:div w:id="1521309541">
      <w:bodyDiv w:val="1"/>
      <w:marLeft w:val="0"/>
      <w:marRight w:val="0"/>
      <w:marTop w:val="0"/>
      <w:marBottom w:val="0"/>
      <w:divBdr>
        <w:top w:val="none" w:sz="0" w:space="0" w:color="auto"/>
        <w:left w:val="none" w:sz="0" w:space="0" w:color="auto"/>
        <w:bottom w:val="none" w:sz="0" w:space="0" w:color="auto"/>
        <w:right w:val="none" w:sz="0" w:space="0" w:color="auto"/>
      </w:divBdr>
      <w:divsChild>
        <w:div w:id="416169971">
          <w:marLeft w:val="287"/>
          <w:marRight w:val="0"/>
          <w:marTop w:val="0"/>
          <w:marBottom w:val="0"/>
          <w:divBdr>
            <w:top w:val="none" w:sz="0" w:space="0" w:color="auto"/>
            <w:left w:val="none" w:sz="0" w:space="0" w:color="auto"/>
            <w:bottom w:val="none" w:sz="0" w:space="0" w:color="auto"/>
            <w:right w:val="none" w:sz="0" w:space="0" w:color="auto"/>
          </w:divBdr>
          <w:divsChild>
            <w:div w:id="55587224">
              <w:marLeft w:val="0"/>
              <w:marRight w:val="0"/>
              <w:marTop w:val="0"/>
              <w:marBottom w:val="0"/>
              <w:divBdr>
                <w:top w:val="none" w:sz="0" w:space="0" w:color="auto"/>
                <w:left w:val="none" w:sz="0" w:space="0" w:color="auto"/>
                <w:bottom w:val="none" w:sz="0" w:space="0" w:color="auto"/>
                <w:right w:val="none" w:sz="0" w:space="0" w:color="auto"/>
              </w:divBdr>
              <w:divsChild>
                <w:div w:id="470056502">
                  <w:marLeft w:val="0"/>
                  <w:marRight w:val="0"/>
                  <w:marTop w:val="0"/>
                  <w:marBottom w:val="0"/>
                  <w:divBdr>
                    <w:top w:val="none" w:sz="0" w:space="0" w:color="auto"/>
                    <w:left w:val="none" w:sz="0" w:space="0" w:color="auto"/>
                    <w:bottom w:val="none" w:sz="0" w:space="0" w:color="auto"/>
                    <w:right w:val="none" w:sz="0" w:space="0" w:color="auto"/>
                  </w:divBdr>
                  <w:divsChild>
                    <w:div w:id="1155606762">
                      <w:marLeft w:val="0"/>
                      <w:marRight w:val="0"/>
                      <w:marTop w:val="0"/>
                      <w:marBottom w:val="0"/>
                      <w:divBdr>
                        <w:top w:val="none" w:sz="0" w:space="0" w:color="auto"/>
                        <w:left w:val="none" w:sz="0" w:space="0" w:color="auto"/>
                        <w:bottom w:val="none" w:sz="0" w:space="0" w:color="auto"/>
                        <w:right w:val="none" w:sz="0" w:space="0" w:color="auto"/>
                      </w:divBdr>
                    </w:div>
                    <w:div w:id="13754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235">
      <w:bodyDiv w:val="1"/>
      <w:marLeft w:val="0"/>
      <w:marRight w:val="0"/>
      <w:marTop w:val="0"/>
      <w:marBottom w:val="0"/>
      <w:divBdr>
        <w:top w:val="none" w:sz="0" w:space="0" w:color="auto"/>
        <w:left w:val="none" w:sz="0" w:space="0" w:color="auto"/>
        <w:bottom w:val="none" w:sz="0" w:space="0" w:color="auto"/>
        <w:right w:val="none" w:sz="0" w:space="0" w:color="auto"/>
      </w:divBdr>
    </w:div>
    <w:div w:id="1526014772">
      <w:bodyDiv w:val="1"/>
      <w:marLeft w:val="0"/>
      <w:marRight w:val="0"/>
      <w:marTop w:val="0"/>
      <w:marBottom w:val="0"/>
      <w:divBdr>
        <w:top w:val="none" w:sz="0" w:space="0" w:color="auto"/>
        <w:left w:val="none" w:sz="0" w:space="0" w:color="auto"/>
        <w:bottom w:val="none" w:sz="0" w:space="0" w:color="auto"/>
        <w:right w:val="none" w:sz="0" w:space="0" w:color="auto"/>
      </w:divBdr>
      <w:divsChild>
        <w:div w:id="268899535">
          <w:marLeft w:val="0"/>
          <w:marRight w:val="0"/>
          <w:marTop w:val="0"/>
          <w:marBottom w:val="0"/>
          <w:divBdr>
            <w:top w:val="none" w:sz="0" w:space="0" w:color="auto"/>
            <w:left w:val="none" w:sz="0" w:space="0" w:color="auto"/>
            <w:bottom w:val="none" w:sz="0" w:space="0" w:color="auto"/>
            <w:right w:val="none" w:sz="0" w:space="0" w:color="auto"/>
          </w:divBdr>
          <w:divsChild>
            <w:div w:id="8637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20111">
      <w:bodyDiv w:val="1"/>
      <w:marLeft w:val="0"/>
      <w:marRight w:val="0"/>
      <w:marTop w:val="0"/>
      <w:marBottom w:val="0"/>
      <w:divBdr>
        <w:top w:val="none" w:sz="0" w:space="0" w:color="auto"/>
        <w:left w:val="none" w:sz="0" w:space="0" w:color="auto"/>
        <w:bottom w:val="none" w:sz="0" w:space="0" w:color="auto"/>
        <w:right w:val="none" w:sz="0" w:space="0" w:color="auto"/>
      </w:divBdr>
      <w:divsChild>
        <w:div w:id="1447698043">
          <w:marLeft w:val="0"/>
          <w:marRight w:val="0"/>
          <w:marTop w:val="0"/>
          <w:marBottom w:val="0"/>
          <w:divBdr>
            <w:top w:val="none" w:sz="0" w:space="0" w:color="auto"/>
            <w:left w:val="none" w:sz="0" w:space="0" w:color="auto"/>
            <w:bottom w:val="none" w:sz="0" w:space="0" w:color="auto"/>
            <w:right w:val="none" w:sz="0" w:space="0" w:color="auto"/>
          </w:divBdr>
          <w:divsChild>
            <w:div w:id="19796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3219">
      <w:bodyDiv w:val="1"/>
      <w:marLeft w:val="0"/>
      <w:marRight w:val="0"/>
      <w:marTop w:val="0"/>
      <w:marBottom w:val="0"/>
      <w:divBdr>
        <w:top w:val="none" w:sz="0" w:space="0" w:color="auto"/>
        <w:left w:val="none" w:sz="0" w:space="0" w:color="auto"/>
        <w:bottom w:val="none" w:sz="0" w:space="0" w:color="auto"/>
        <w:right w:val="none" w:sz="0" w:space="0" w:color="auto"/>
      </w:divBdr>
    </w:div>
    <w:div w:id="1601983510">
      <w:bodyDiv w:val="1"/>
      <w:marLeft w:val="0"/>
      <w:marRight w:val="0"/>
      <w:marTop w:val="0"/>
      <w:marBottom w:val="0"/>
      <w:divBdr>
        <w:top w:val="single" w:sz="2" w:space="0" w:color="CC3640"/>
        <w:left w:val="none" w:sz="0" w:space="0" w:color="auto"/>
        <w:bottom w:val="none" w:sz="0" w:space="0" w:color="auto"/>
        <w:right w:val="none" w:sz="0" w:space="0" w:color="auto"/>
      </w:divBdr>
      <w:divsChild>
        <w:div w:id="1869485013">
          <w:marLeft w:val="0"/>
          <w:marRight w:val="0"/>
          <w:marTop w:val="0"/>
          <w:marBottom w:val="0"/>
          <w:divBdr>
            <w:top w:val="single" w:sz="2" w:space="0" w:color="FF0000"/>
            <w:left w:val="single" w:sz="2" w:space="0" w:color="FF0000"/>
            <w:bottom w:val="single" w:sz="2" w:space="0" w:color="FF0000"/>
            <w:right w:val="single" w:sz="2" w:space="0" w:color="FF0000"/>
          </w:divBdr>
          <w:divsChild>
            <w:div w:id="1103106819">
              <w:marLeft w:val="0"/>
              <w:marRight w:val="0"/>
              <w:marTop w:val="0"/>
              <w:marBottom w:val="0"/>
              <w:divBdr>
                <w:top w:val="none" w:sz="0" w:space="0" w:color="auto"/>
                <w:left w:val="single" w:sz="6" w:space="0" w:color="DDDDDD"/>
                <w:bottom w:val="none" w:sz="0" w:space="0" w:color="auto"/>
                <w:right w:val="none" w:sz="0" w:space="0" w:color="auto"/>
              </w:divBdr>
              <w:divsChild>
                <w:div w:id="1211259865">
                  <w:marLeft w:val="0"/>
                  <w:marRight w:val="0"/>
                  <w:marTop w:val="0"/>
                  <w:marBottom w:val="0"/>
                  <w:divBdr>
                    <w:top w:val="single" w:sz="2" w:space="0" w:color="008000"/>
                    <w:left w:val="single" w:sz="2" w:space="0" w:color="008000"/>
                    <w:bottom w:val="single" w:sz="2" w:space="0" w:color="008000"/>
                    <w:right w:val="single" w:sz="2" w:space="0" w:color="008000"/>
                  </w:divBdr>
                  <w:divsChild>
                    <w:div w:id="2127578949">
                      <w:marLeft w:val="0"/>
                      <w:marRight w:val="0"/>
                      <w:marTop w:val="0"/>
                      <w:marBottom w:val="0"/>
                      <w:divBdr>
                        <w:top w:val="none" w:sz="0" w:space="0" w:color="auto"/>
                        <w:left w:val="none" w:sz="0" w:space="0" w:color="auto"/>
                        <w:bottom w:val="none" w:sz="0" w:space="0" w:color="auto"/>
                        <w:right w:val="none" w:sz="0" w:space="0" w:color="auto"/>
                      </w:divBdr>
                      <w:divsChild>
                        <w:div w:id="547643312">
                          <w:marLeft w:val="0"/>
                          <w:marRight w:val="0"/>
                          <w:marTop w:val="0"/>
                          <w:marBottom w:val="0"/>
                          <w:divBdr>
                            <w:top w:val="none" w:sz="0" w:space="0" w:color="auto"/>
                            <w:left w:val="none" w:sz="0" w:space="0" w:color="auto"/>
                            <w:bottom w:val="none" w:sz="0" w:space="0" w:color="auto"/>
                            <w:right w:val="none" w:sz="0" w:space="0" w:color="auto"/>
                          </w:divBdr>
                          <w:divsChild>
                            <w:div w:id="103797366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94922059">
      <w:bodyDiv w:val="1"/>
      <w:marLeft w:val="0"/>
      <w:marRight w:val="0"/>
      <w:marTop w:val="0"/>
      <w:marBottom w:val="0"/>
      <w:divBdr>
        <w:top w:val="none" w:sz="0" w:space="0" w:color="auto"/>
        <w:left w:val="none" w:sz="0" w:space="0" w:color="auto"/>
        <w:bottom w:val="none" w:sz="0" w:space="0" w:color="auto"/>
        <w:right w:val="none" w:sz="0" w:space="0" w:color="auto"/>
      </w:divBdr>
    </w:div>
    <w:div w:id="1697731145">
      <w:bodyDiv w:val="1"/>
      <w:marLeft w:val="0"/>
      <w:marRight w:val="0"/>
      <w:marTop w:val="0"/>
      <w:marBottom w:val="0"/>
      <w:divBdr>
        <w:top w:val="none" w:sz="0" w:space="0" w:color="auto"/>
        <w:left w:val="none" w:sz="0" w:space="0" w:color="auto"/>
        <w:bottom w:val="none" w:sz="0" w:space="0" w:color="auto"/>
        <w:right w:val="none" w:sz="0" w:space="0" w:color="auto"/>
      </w:divBdr>
    </w:div>
    <w:div w:id="1704089312">
      <w:bodyDiv w:val="1"/>
      <w:marLeft w:val="0"/>
      <w:marRight w:val="0"/>
      <w:marTop w:val="0"/>
      <w:marBottom w:val="0"/>
      <w:divBdr>
        <w:top w:val="none" w:sz="0" w:space="0" w:color="auto"/>
        <w:left w:val="none" w:sz="0" w:space="0" w:color="auto"/>
        <w:bottom w:val="none" w:sz="0" w:space="0" w:color="auto"/>
        <w:right w:val="none" w:sz="0" w:space="0" w:color="auto"/>
      </w:divBdr>
    </w:div>
    <w:div w:id="1711346053">
      <w:bodyDiv w:val="1"/>
      <w:marLeft w:val="0"/>
      <w:marRight w:val="0"/>
      <w:marTop w:val="0"/>
      <w:marBottom w:val="0"/>
      <w:divBdr>
        <w:top w:val="none" w:sz="0" w:space="0" w:color="auto"/>
        <w:left w:val="none" w:sz="0" w:space="0" w:color="auto"/>
        <w:bottom w:val="none" w:sz="0" w:space="0" w:color="auto"/>
        <w:right w:val="none" w:sz="0" w:space="0" w:color="auto"/>
      </w:divBdr>
      <w:divsChild>
        <w:div w:id="1702392392">
          <w:marLeft w:val="0"/>
          <w:marRight w:val="0"/>
          <w:marTop w:val="0"/>
          <w:marBottom w:val="0"/>
          <w:divBdr>
            <w:top w:val="none" w:sz="0" w:space="0" w:color="auto"/>
            <w:left w:val="none" w:sz="0" w:space="0" w:color="auto"/>
            <w:bottom w:val="none" w:sz="0" w:space="0" w:color="auto"/>
            <w:right w:val="none" w:sz="0" w:space="0" w:color="auto"/>
          </w:divBdr>
          <w:divsChild>
            <w:div w:id="520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9709">
      <w:bodyDiv w:val="1"/>
      <w:marLeft w:val="0"/>
      <w:marRight w:val="0"/>
      <w:marTop w:val="0"/>
      <w:marBottom w:val="0"/>
      <w:divBdr>
        <w:top w:val="none" w:sz="0" w:space="0" w:color="auto"/>
        <w:left w:val="none" w:sz="0" w:space="0" w:color="auto"/>
        <w:bottom w:val="none" w:sz="0" w:space="0" w:color="auto"/>
        <w:right w:val="none" w:sz="0" w:space="0" w:color="auto"/>
      </w:divBdr>
      <w:divsChild>
        <w:div w:id="1851989030">
          <w:marLeft w:val="287"/>
          <w:marRight w:val="0"/>
          <w:marTop w:val="0"/>
          <w:marBottom w:val="0"/>
          <w:divBdr>
            <w:top w:val="none" w:sz="0" w:space="0" w:color="auto"/>
            <w:left w:val="none" w:sz="0" w:space="0" w:color="auto"/>
            <w:bottom w:val="none" w:sz="0" w:space="0" w:color="auto"/>
            <w:right w:val="none" w:sz="0" w:space="0" w:color="auto"/>
          </w:divBdr>
          <w:divsChild>
            <w:div w:id="1763136787">
              <w:marLeft w:val="0"/>
              <w:marRight w:val="0"/>
              <w:marTop w:val="0"/>
              <w:marBottom w:val="0"/>
              <w:divBdr>
                <w:top w:val="none" w:sz="0" w:space="0" w:color="auto"/>
                <w:left w:val="none" w:sz="0" w:space="0" w:color="auto"/>
                <w:bottom w:val="none" w:sz="0" w:space="0" w:color="auto"/>
                <w:right w:val="none" w:sz="0" w:space="0" w:color="auto"/>
              </w:divBdr>
              <w:divsChild>
                <w:div w:id="2041781793">
                  <w:marLeft w:val="0"/>
                  <w:marRight w:val="0"/>
                  <w:marTop w:val="0"/>
                  <w:marBottom w:val="0"/>
                  <w:divBdr>
                    <w:top w:val="none" w:sz="0" w:space="0" w:color="auto"/>
                    <w:left w:val="none" w:sz="0" w:space="0" w:color="auto"/>
                    <w:bottom w:val="none" w:sz="0" w:space="0" w:color="auto"/>
                    <w:right w:val="none" w:sz="0" w:space="0" w:color="auto"/>
                  </w:divBdr>
                  <w:divsChild>
                    <w:div w:id="841744881">
                      <w:marLeft w:val="0"/>
                      <w:marRight w:val="0"/>
                      <w:marTop w:val="0"/>
                      <w:marBottom w:val="0"/>
                      <w:divBdr>
                        <w:top w:val="none" w:sz="0" w:space="0" w:color="auto"/>
                        <w:left w:val="none" w:sz="0" w:space="0" w:color="auto"/>
                        <w:bottom w:val="none" w:sz="0" w:space="0" w:color="auto"/>
                        <w:right w:val="none" w:sz="0" w:space="0" w:color="auto"/>
                      </w:divBdr>
                    </w:div>
                    <w:div w:id="10624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802">
      <w:bodyDiv w:val="1"/>
      <w:marLeft w:val="0"/>
      <w:marRight w:val="0"/>
      <w:marTop w:val="0"/>
      <w:marBottom w:val="0"/>
      <w:divBdr>
        <w:top w:val="single" w:sz="2" w:space="0" w:color="CC3640"/>
        <w:left w:val="none" w:sz="0" w:space="0" w:color="auto"/>
        <w:bottom w:val="none" w:sz="0" w:space="0" w:color="auto"/>
        <w:right w:val="none" w:sz="0" w:space="0" w:color="auto"/>
      </w:divBdr>
      <w:divsChild>
        <w:div w:id="714888364">
          <w:marLeft w:val="0"/>
          <w:marRight w:val="0"/>
          <w:marTop w:val="0"/>
          <w:marBottom w:val="0"/>
          <w:divBdr>
            <w:top w:val="single" w:sz="2" w:space="0" w:color="FF0000"/>
            <w:left w:val="single" w:sz="2" w:space="0" w:color="FF0000"/>
            <w:bottom w:val="single" w:sz="2" w:space="0" w:color="FF0000"/>
            <w:right w:val="single" w:sz="2" w:space="0" w:color="FF0000"/>
          </w:divBdr>
          <w:divsChild>
            <w:div w:id="1777017726">
              <w:marLeft w:val="0"/>
              <w:marRight w:val="0"/>
              <w:marTop w:val="0"/>
              <w:marBottom w:val="0"/>
              <w:divBdr>
                <w:top w:val="none" w:sz="0" w:space="0" w:color="auto"/>
                <w:left w:val="single" w:sz="6" w:space="0" w:color="DDDDDD"/>
                <w:bottom w:val="none" w:sz="0" w:space="0" w:color="auto"/>
                <w:right w:val="none" w:sz="0" w:space="0" w:color="auto"/>
              </w:divBdr>
              <w:divsChild>
                <w:div w:id="1581598708">
                  <w:marLeft w:val="0"/>
                  <w:marRight w:val="0"/>
                  <w:marTop w:val="0"/>
                  <w:marBottom w:val="0"/>
                  <w:divBdr>
                    <w:top w:val="single" w:sz="2" w:space="0" w:color="008000"/>
                    <w:left w:val="single" w:sz="2" w:space="0" w:color="008000"/>
                    <w:bottom w:val="single" w:sz="2" w:space="0" w:color="008000"/>
                    <w:right w:val="single" w:sz="2" w:space="0" w:color="008000"/>
                  </w:divBdr>
                  <w:divsChild>
                    <w:div w:id="284123572">
                      <w:marLeft w:val="0"/>
                      <w:marRight w:val="0"/>
                      <w:marTop w:val="0"/>
                      <w:marBottom w:val="0"/>
                      <w:divBdr>
                        <w:top w:val="none" w:sz="0" w:space="0" w:color="auto"/>
                        <w:left w:val="none" w:sz="0" w:space="0" w:color="auto"/>
                        <w:bottom w:val="none" w:sz="0" w:space="0" w:color="auto"/>
                        <w:right w:val="none" w:sz="0" w:space="0" w:color="auto"/>
                      </w:divBdr>
                      <w:divsChild>
                        <w:div w:id="1716614126">
                          <w:marLeft w:val="0"/>
                          <w:marRight w:val="0"/>
                          <w:marTop w:val="0"/>
                          <w:marBottom w:val="0"/>
                          <w:divBdr>
                            <w:top w:val="none" w:sz="0" w:space="0" w:color="auto"/>
                            <w:left w:val="none" w:sz="0" w:space="0" w:color="auto"/>
                            <w:bottom w:val="none" w:sz="0" w:space="0" w:color="auto"/>
                            <w:right w:val="none" w:sz="0" w:space="0" w:color="auto"/>
                          </w:divBdr>
                          <w:divsChild>
                            <w:div w:id="134855383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53896154">
      <w:bodyDiv w:val="1"/>
      <w:marLeft w:val="0"/>
      <w:marRight w:val="0"/>
      <w:marTop w:val="0"/>
      <w:marBottom w:val="0"/>
      <w:divBdr>
        <w:top w:val="single" w:sz="2" w:space="0" w:color="CC3640"/>
        <w:left w:val="none" w:sz="0" w:space="0" w:color="auto"/>
        <w:bottom w:val="none" w:sz="0" w:space="0" w:color="auto"/>
        <w:right w:val="none" w:sz="0" w:space="0" w:color="auto"/>
      </w:divBdr>
      <w:divsChild>
        <w:div w:id="1585996910">
          <w:marLeft w:val="0"/>
          <w:marRight w:val="0"/>
          <w:marTop w:val="0"/>
          <w:marBottom w:val="0"/>
          <w:divBdr>
            <w:top w:val="single" w:sz="2" w:space="0" w:color="FF0000"/>
            <w:left w:val="single" w:sz="2" w:space="0" w:color="FF0000"/>
            <w:bottom w:val="single" w:sz="2" w:space="0" w:color="FF0000"/>
            <w:right w:val="single" w:sz="2" w:space="0" w:color="FF0000"/>
          </w:divBdr>
          <w:divsChild>
            <w:div w:id="24065997">
              <w:marLeft w:val="0"/>
              <w:marRight w:val="0"/>
              <w:marTop w:val="0"/>
              <w:marBottom w:val="0"/>
              <w:divBdr>
                <w:top w:val="none" w:sz="0" w:space="0" w:color="auto"/>
                <w:left w:val="single" w:sz="6" w:space="0" w:color="DDDDDD"/>
                <w:bottom w:val="none" w:sz="0" w:space="0" w:color="auto"/>
                <w:right w:val="none" w:sz="0" w:space="0" w:color="auto"/>
              </w:divBdr>
              <w:divsChild>
                <w:div w:id="746074272">
                  <w:marLeft w:val="0"/>
                  <w:marRight w:val="0"/>
                  <w:marTop w:val="0"/>
                  <w:marBottom w:val="0"/>
                  <w:divBdr>
                    <w:top w:val="single" w:sz="2" w:space="0" w:color="008000"/>
                    <w:left w:val="single" w:sz="2" w:space="0" w:color="008000"/>
                    <w:bottom w:val="single" w:sz="2" w:space="0" w:color="008000"/>
                    <w:right w:val="single" w:sz="2" w:space="0" w:color="008000"/>
                  </w:divBdr>
                  <w:divsChild>
                    <w:div w:id="366375021">
                      <w:marLeft w:val="0"/>
                      <w:marRight w:val="0"/>
                      <w:marTop w:val="0"/>
                      <w:marBottom w:val="0"/>
                      <w:divBdr>
                        <w:top w:val="none" w:sz="0" w:space="0" w:color="auto"/>
                        <w:left w:val="none" w:sz="0" w:space="0" w:color="auto"/>
                        <w:bottom w:val="none" w:sz="0" w:space="0" w:color="auto"/>
                        <w:right w:val="none" w:sz="0" w:space="0" w:color="auto"/>
                      </w:divBdr>
                      <w:divsChild>
                        <w:div w:id="1053888897">
                          <w:marLeft w:val="0"/>
                          <w:marRight w:val="0"/>
                          <w:marTop w:val="0"/>
                          <w:marBottom w:val="0"/>
                          <w:divBdr>
                            <w:top w:val="none" w:sz="0" w:space="0" w:color="auto"/>
                            <w:left w:val="none" w:sz="0" w:space="0" w:color="auto"/>
                            <w:bottom w:val="none" w:sz="0" w:space="0" w:color="auto"/>
                            <w:right w:val="none" w:sz="0" w:space="0" w:color="auto"/>
                          </w:divBdr>
                          <w:divsChild>
                            <w:div w:id="189531063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54006408">
      <w:bodyDiv w:val="1"/>
      <w:marLeft w:val="0"/>
      <w:marRight w:val="0"/>
      <w:marTop w:val="0"/>
      <w:marBottom w:val="0"/>
      <w:divBdr>
        <w:top w:val="none" w:sz="0" w:space="0" w:color="auto"/>
        <w:left w:val="none" w:sz="0" w:space="0" w:color="auto"/>
        <w:bottom w:val="none" w:sz="0" w:space="0" w:color="auto"/>
        <w:right w:val="none" w:sz="0" w:space="0" w:color="auto"/>
      </w:divBdr>
    </w:div>
    <w:div w:id="1759017771">
      <w:bodyDiv w:val="1"/>
      <w:marLeft w:val="0"/>
      <w:marRight w:val="0"/>
      <w:marTop w:val="0"/>
      <w:marBottom w:val="0"/>
      <w:divBdr>
        <w:top w:val="single" w:sz="2" w:space="0" w:color="CC3640"/>
        <w:left w:val="none" w:sz="0" w:space="0" w:color="auto"/>
        <w:bottom w:val="none" w:sz="0" w:space="0" w:color="auto"/>
        <w:right w:val="none" w:sz="0" w:space="0" w:color="auto"/>
      </w:divBdr>
      <w:divsChild>
        <w:div w:id="1609973123">
          <w:marLeft w:val="0"/>
          <w:marRight w:val="0"/>
          <w:marTop w:val="0"/>
          <w:marBottom w:val="0"/>
          <w:divBdr>
            <w:top w:val="single" w:sz="2" w:space="0" w:color="FF0000"/>
            <w:left w:val="single" w:sz="2" w:space="0" w:color="FF0000"/>
            <w:bottom w:val="single" w:sz="2" w:space="0" w:color="FF0000"/>
            <w:right w:val="single" w:sz="2" w:space="0" w:color="FF0000"/>
          </w:divBdr>
          <w:divsChild>
            <w:div w:id="843007797">
              <w:marLeft w:val="0"/>
              <w:marRight w:val="0"/>
              <w:marTop w:val="0"/>
              <w:marBottom w:val="0"/>
              <w:divBdr>
                <w:top w:val="none" w:sz="0" w:space="0" w:color="auto"/>
                <w:left w:val="single" w:sz="6" w:space="0" w:color="DDDDDD"/>
                <w:bottom w:val="none" w:sz="0" w:space="0" w:color="auto"/>
                <w:right w:val="none" w:sz="0" w:space="0" w:color="auto"/>
              </w:divBdr>
              <w:divsChild>
                <w:div w:id="1871340485">
                  <w:marLeft w:val="0"/>
                  <w:marRight w:val="0"/>
                  <w:marTop w:val="0"/>
                  <w:marBottom w:val="0"/>
                  <w:divBdr>
                    <w:top w:val="single" w:sz="2" w:space="0" w:color="008000"/>
                    <w:left w:val="single" w:sz="2" w:space="0" w:color="008000"/>
                    <w:bottom w:val="single" w:sz="2" w:space="0" w:color="008000"/>
                    <w:right w:val="single" w:sz="2" w:space="0" w:color="008000"/>
                  </w:divBdr>
                  <w:divsChild>
                    <w:div w:id="2076512470">
                      <w:marLeft w:val="0"/>
                      <w:marRight w:val="0"/>
                      <w:marTop w:val="0"/>
                      <w:marBottom w:val="0"/>
                      <w:divBdr>
                        <w:top w:val="none" w:sz="0" w:space="0" w:color="auto"/>
                        <w:left w:val="none" w:sz="0" w:space="0" w:color="auto"/>
                        <w:bottom w:val="none" w:sz="0" w:space="0" w:color="auto"/>
                        <w:right w:val="none" w:sz="0" w:space="0" w:color="auto"/>
                      </w:divBdr>
                      <w:divsChild>
                        <w:div w:id="1647583000">
                          <w:marLeft w:val="0"/>
                          <w:marRight w:val="0"/>
                          <w:marTop w:val="0"/>
                          <w:marBottom w:val="0"/>
                          <w:divBdr>
                            <w:top w:val="none" w:sz="0" w:space="0" w:color="auto"/>
                            <w:left w:val="none" w:sz="0" w:space="0" w:color="auto"/>
                            <w:bottom w:val="none" w:sz="0" w:space="0" w:color="auto"/>
                            <w:right w:val="none" w:sz="0" w:space="0" w:color="auto"/>
                          </w:divBdr>
                          <w:divsChild>
                            <w:div w:id="205450400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52256694">
      <w:bodyDiv w:val="1"/>
      <w:marLeft w:val="0"/>
      <w:marRight w:val="0"/>
      <w:marTop w:val="0"/>
      <w:marBottom w:val="0"/>
      <w:divBdr>
        <w:top w:val="none" w:sz="0" w:space="0" w:color="auto"/>
        <w:left w:val="none" w:sz="0" w:space="0" w:color="auto"/>
        <w:bottom w:val="none" w:sz="0" w:space="0" w:color="auto"/>
        <w:right w:val="none" w:sz="0" w:space="0" w:color="auto"/>
      </w:divBdr>
    </w:div>
    <w:div w:id="1860927122">
      <w:bodyDiv w:val="1"/>
      <w:marLeft w:val="0"/>
      <w:marRight w:val="0"/>
      <w:marTop w:val="0"/>
      <w:marBottom w:val="0"/>
      <w:divBdr>
        <w:top w:val="none" w:sz="0" w:space="0" w:color="auto"/>
        <w:left w:val="none" w:sz="0" w:space="0" w:color="auto"/>
        <w:bottom w:val="none" w:sz="0" w:space="0" w:color="auto"/>
        <w:right w:val="none" w:sz="0" w:space="0" w:color="auto"/>
      </w:divBdr>
    </w:div>
    <w:div w:id="1863930177">
      <w:bodyDiv w:val="1"/>
      <w:marLeft w:val="0"/>
      <w:marRight w:val="0"/>
      <w:marTop w:val="0"/>
      <w:marBottom w:val="0"/>
      <w:divBdr>
        <w:top w:val="none" w:sz="0" w:space="0" w:color="auto"/>
        <w:left w:val="none" w:sz="0" w:space="0" w:color="auto"/>
        <w:bottom w:val="none" w:sz="0" w:space="0" w:color="auto"/>
        <w:right w:val="none" w:sz="0" w:space="0" w:color="auto"/>
      </w:divBdr>
      <w:divsChild>
        <w:div w:id="1849102236">
          <w:marLeft w:val="0"/>
          <w:marRight w:val="0"/>
          <w:marTop w:val="0"/>
          <w:marBottom w:val="0"/>
          <w:divBdr>
            <w:top w:val="none" w:sz="0" w:space="0" w:color="auto"/>
            <w:left w:val="none" w:sz="0" w:space="0" w:color="auto"/>
            <w:bottom w:val="none" w:sz="0" w:space="0" w:color="auto"/>
            <w:right w:val="none" w:sz="0" w:space="0" w:color="auto"/>
          </w:divBdr>
          <w:divsChild>
            <w:div w:id="8205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08581">
      <w:bodyDiv w:val="1"/>
      <w:marLeft w:val="0"/>
      <w:marRight w:val="0"/>
      <w:marTop w:val="0"/>
      <w:marBottom w:val="0"/>
      <w:divBdr>
        <w:top w:val="none" w:sz="0" w:space="0" w:color="auto"/>
        <w:left w:val="none" w:sz="0" w:space="0" w:color="auto"/>
        <w:bottom w:val="none" w:sz="0" w:space="0" w:color="auto"/>
        <w:right w:val="none" w:sz="0" w:space="0" w:color="auto"/>
      </w:divBdr>
      <w:divsChild>
        <w:div w:id="536478166">
          <w:marLeft w:val="0"/>
          <w:marRight w:val="0"/>
          <w:marTop w:val="0"/>
          <w:marBottom w:val="0"/>
          <w:divBdr>
            <w:top w:val="none" w:sz="0" w:space="0" w:color="auto"/>
            <w:left w:val="none" w:sz="0" w:space="0" w:color="auto"/>
            <w:bottom w:val="none" w:sz="0" w:space="0" w:color="auto"/>
            <w:right w:val="none" w:sz="0" w:space="0" w:color="auto"/>
          </w:divBdr>
          <w:divsChild>
            <w:div w:id="14245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04628">
      <w:bodyDiv w:val="1"/>
      <w:marLeft w:val="0"/>
      <w:marRight w:val="0"/>
      <w:marTop w:val="0"/>
      <w:marBottom w:val="0"/>
      <w:divBdr>
        <w:top w:val="none" w:sz="0" w:space="0" w:color="auto"/>
        <w:left w:val="none" w:sz="0" w:space="0" w:color="auto"/>
        <w:bottom w:val="none" w:sz="0" w:space="0" w:color="auto"/>
        <w:right w:val="none" w:sz="0" w:space="0" w:color="auto"/>
      </w:divBdr>
      <w:divsChild>
        <w:div w:id="307788715">
          <w:marLeft w:val="0"/>
          <w:marRight w:val="0"/>
          <w:marTop w:val="0"/>
          <w:marBottom w:val="0"/>
          <w:divBdr>
            <w:top w:val="none" w:sz="0" w:space="0" w:color="auto"/>
            <w:left w:val="none" w:sz="0" w:space="0" w:color="auto"/>
            <w:bottom w:val="none" w:sz="0" w:space="0" w:color="auto"/>
            <w:right w:val="none" w:sz="0" w:space="0" w:color="auto"/>
          </w:divBdr>
          <w:divsChild>
            <w:div w:id="6964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329">
      <w:bodyDiv w:val="1"/>
      <w:marLeft w:val="0"/>
      <w:marRight w:val="0"/>
      <w:marTop w:val="0"/>
      <w:marBottom w:val="0"/>
      <w:divBdr>
        <w:top w:val="none" w:sz="0" w:space="0" w:color="auto"/>
        <w:left w:val="none" w:sz="0" w:space="0" w:color="auto"/>
        <w:bottom w:val="none" w:sz="0" w:space="0" w:color="auto"/>
        <w:right w:val="none" w:sz="0" w:space="0" w:color="auto"/>
      </w:divBdr>
    </w:div>
    <w:div w:id="2027751759">
      <w:bodyDiv w:val="1"/>
      <w:marLeft w:val="0"/>
      <w:marRight w:val="0"/>
      <w:marTop w:val="0"/>
      <w:marBottom w:val="0"/>
      <w:divBdr>
        <w:top w:val="none" w:sz="0" w:space="0" w:color="auto"/>
        <w:left w:val="none" w:sz="0" w:space="0" w:color="auto"/>
        <w:bottom w:val="none" w:sz="0" w:space="0" w:color="auto"/>
        <w:right w:val="none" w:sz="0" w:space="0" w:color="auto"/>
      </w:divBdr>
    </w:div>
    <w:div w:id="2073849390">
      <w:bodyDiv w:val="1"/>
      <w:marLeft w:val="0"/>
      <w:marRight w:val="0"/>
      <w:marTop w:val="0"/>
      <w:marBottom w:val="0"/>
      <w:divBdr>
        <w:top w:val="none" w:sz="0" w:space="0" w:color="auto"/>
        <w:left w:val="none" w:sz="0" w:space="0" w:color="auto"/>
        <w:bottom w:val="none" w:sz="0" w:space="0" w:color="auto"/>
        <w:right w:val="none" w:sz="0" w:space="0" w:color="auto"/>
      </w:divBdr>
      <w:divsChild>
        <w:div w:id="678894967">
          <w:marLeft w:val="0"/>
          <w:marRight w:val="0"/>
          <w:marTop w:val="0"/>
          <w:marBottom w:val="0"/>
          <w:divBdr>
            <w:top w:val="none" w:sz="0" w:space="0" w:color="auto"/>
            <w:left w:val="none" w:sz="0" w:space="0" w:color="auto"/>
            <w:bottom w:val="none" w:sz="0" w:space="0" w:color="auto"/>
            <w:right w:val="none" w:sz="0" w:space="0" w:color="auto"/>
          </w:divBdr>
          <w:divsChild>
            <w:div w:id="189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3805">
      <w:bodyDiv w:val="1"/>
      <w:marLeft w:val="0"/>
      <w:marRight w:val="0"/>
      <w:marTop w:val="0"/>
      <w:marBottom w:val="0"/>
      <w:divBdr>
        <w:top w:val="none" w:sz="0" w:space="0" w:color="auto"/>
        <w:left w:val="none" w:sz="0" w:space="0" w:color="auto"/>
        <w:bottom w:val="none" w:sz="0" w:space="0" w:color="auto"/>
        <w:right w:val="none" w:sz="0" w:space="0" w:color="auto"/>
      </w:divBdr>
      <w:divsChild>
        <w:div w:id="1981030198">
          <w:marLeft w:val="0"/>
          <w:marRight w:val="0"/>
          <w:marTop w:val="0"/>
          <w:marBottom w:val="0"/>
          <w:divBdr>
            <w:top w:val="none" w:sz="0" w:space="0" w:color="auto"/>
            <w:left w:val="none" w:sz="0" w:space="0" w:color="auto"/>
            <w:bottom w:val="none" w:sz="0" w:space="0" w:color="auto"/>
            <w:right w:val="none" w:sz="0" w:space="0" w:color="auto"/>
          </w:divBdr>
          <w:divsChild>
            <w:div w:id="10512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113">
      <w:bodyDiv w:val="1"/>
      <w:marLeft w:val="0"/>
      <w:marRight w:val="0"/>
      <w:marTop w:val="0"/>
      <w:marBottom w:val="0"/>
      <w:divBdr>
        <w:top w:val="none" w:sz="0" w:space="0" w:color="auto"/>
        <w:left w:val="none" w:sz="0" w:space="0" w:color="auto"/>
        <w:bottom w:val="none" w:sz="0" w:space="0" w:color="auto"/>
        <w:right w:val="none" w:sz="0" w:space="0" w:color="auto"/>
      </w:divBdr>
    </w:div>
    <w:div w:id="2094466568">
      <w:bodyDiv w:val="1"/>
      <w:marLeft w:val="0"/>
      <w:marRight w:val="0"/>
      <w:marTop w:val="0"/>
      <w:marBottom w:val="0"/>
      <w:divBdr>
        <w:top w:val="none" w:sz="0" w:space="0" w:color="auto"/>
        <w:left w:val="none" w:sz="0" w:space="0" w:color="auto"/>
        <w:bottom w:val="none" w:sz="0" w:space="0" w:color="auto"/>
        <w:right w:val="none" w:sz="0" w:space="0" w:color="auto"/>
      </w:divBdr>
    </w:div>
    <w:div w:id="2097508410">
      <w:bodyDiv w:val="1"/>
      <w:marLeft w:val="0"/>
      <w:marRight w:val="0"/>
      <w:marTop w:val="0"/>
      <w:marBottom w:val="0"/>
      <w:divBdr>
        <w:top w:val="none" w:sz="0" w:space="0" w:color="auto"/>
        <w:left w:val="none" w:sz="0" w:space="0" w:color="auto"/>
        <w:bottom w:val="none" w:sz="0" w:space="0" w:color="auto"/>
        <w:right w:val="none" w:sz="0" w:space="0" w:color="auto"/>
      </w:divBdr>
    </w:div>
    <w:div w:id="2098595182">
      <w:bodyDiv w:val="1"/>
      <w:marLeft w:val="0"/>
      <w:marRight w:val="0"/>
      <w:marTop w:val="0"/>
      <w:marBottom w:val="0"/>
      <w:divBdr>
        <w:top w:val="single" w:sz="2" w:space="0" w:color="CC3640"/>
        <w:left w:val="none" w:sz="0" w:space="0" w:color="auto"/>
        <w:bottom w:val="none" w:sz="0" w:space="0" w:color="auto"/>
        <w:right w:val="none" w:sz="0" w:space="0" w:color="auto"/>
      </w:divBdr>
      <w:divsChild>
        <w:div w:id="784924799">
          <w:marLeft w:val="0"/>
          <w:marRight w:val="0"/>
          <w:marTop w:val="0"/>
          <w:marBottom w:val="0"/>
          <w:divBdr>
            <w:top w:val="single" w:sz="2" w:space="0" w:color="FF0000"/>
            <w:left w:val="single" w:sz="2" w:space="0" w:color="FF0000"/>
            <w:bottom w:val="single" w:sz="2" w:space="0" w:color="FF0000"/>
            <w:right w:val="single" w:sz="2" w:space="0" w:color="FF0000"/>
          </w:divBdr>
          <w:divsChild>
            <w:div w:id="295722469">
              <w:marLeft w:val="0"/>
              <w:marRight w:val="0"/>
              <w:marTop w:val="0"/>
              <w:marBottom w:val="0"/>
              <w:divBdr>
                <w:top w:val="none" w:sz="0" w:space="0" w:color="auto"/>
                <w:left w:val="single" w:sz="6" w:space="0" w:color="DDDDDD"/>
                <w:bottom w:val="none" w:sz="0" w:space="0" w:color="auto"/>
                <w:right w:val="none" w:sz="0" w:space="0" w:color="auto"/>
              </w:divBdr>
              <w:divsChild>
                <w:div w:id="618337071">
                  <w:marLeft w:val="0"/>
                  <w:marRight w:val="0"/>
                  <w:marTop w:val="0"/>
                  <w:marBottom w:val="0"/>
                  <w:divBdr>
                    <w:top w:val="single" w:sz="2" w:space="0" w:color="008000"/>
                    <w:left w:val="single" w:sz="2" w:space="0" w:color="008000"/>
                    <w:bottom w:val="single" w:sz="2" w:space="0" w:color="008000"/>
                    <w:right w:val="single" w:sz="2" w:space="0" w:color="008000"/>
                  </w:divBdr>
                  <w:divsChild>
                    <w:div w:id="649330956">
                      <w:marLeft w:val="0"/>
                      <w:marRight w:val="0"/>
                      <w:marTop w:val="0"/>
                      <w:marBottom w:val="0"/>
                      <w:divBdr>
                        <w:top w:val="none" w:sz="0" w:space="0" w:color="auto"/>
                        <w:left w:val="none" w:sz="0" w:space="0" w:color="auto"/>
                        <w:bottom w:val="none" w:sz="0" w:space="0" w:color="auto"/>
                        <w:right w:val="none" w:sz="0" w:space="0" w:color="auto"/>
                      </w:divBdr>
                      <w:divsChild>
                        <w:div w:id="795874887">
                          <w:marLeft w:val="0"/>
                          <w:marRight w:val="0"/>
                          <w:marTop w:val="0"/>
                          <w:marBottom w:val="0"/>
                          <w:divBdr>
                            <w:top w:val="none" w:sz="0" w:space="0" w:color="auto"/>
                            <w:left w:val="none" w:sz="0" w:space="0" w:color="auto"/>
                            <w:bottom w:val="none" w:sz="0" w:space="0" w:color="auto"/>
                            <w:right w:val="none" w:sz="0" w:space="0" w:color="auto"/>
                          </w:divBdr>
                          <w:divsChild>
                            <w:div w:id="51885413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39252374">
      <w:bodyDiv w:val="1"/>
      <w:marLeft w:val="0"/>
      <w:marRight w:val="0"/>
      <w:marTop w:val="0"/>
      <w:marBottom w:val="0"/>
      <w:divBdr>
        <w:top w:val="single" w:sz="2" w:space="0" w:color="CC3640"/>
        <w:left w:val="none" w:sz="0" w:space="0" w:color="auto"/>
        <w:bottom w:val="none" w:sz="0" w:space="0" w:color="auto"/>
        <w:right w:val="none" w:sz="0" w:space="0" w:color="auto"/>
      </w:divBdr>
      <w:divsChild>
        <w:div w:id="1541629302">
          <w:marLeft w:val="0"/>
          <w:marRight w:val="0"/>
          <w:marTop w:val="0"/>
          <w:marBottom w:val="0"/>
          <w:divBdr>
            <w:top w:val="single" w:sz="2" w:space="0" w:color="FF0000"/>
            <w:left w:val="single" w:sz="2" w:space="0" w:color="FF0000"/>
            <w:bottom w:val="single" w:sz="2" w:space="0" w:color="FF0000"/>
            <w:right w:val="single" w:sz="2" w:space="0" w:color="FF0000"/>
          </w:divBdr>
          <w:divsChild>
            <w:div w:id="597566522">
              <w:marLeft w:val="0"/>
              <w:marRight w:val="0"/>
              <w:marTop w:val="0"/>
              <w:marBottom w:val="0"/>
              <w:divBdr>
                <w:top w:val="none" w:sz="0" w:space="0" w:color="auto"/>
                <w:left w:val="single" w:sz="6" w:space="0" w:color="DDDDDD"/>
                <w:bottom w:val="none" w:sz="0" w:space="0" w:color="auto"/>
                <w:right w:val="none" w:sz="0" w:space="0" w:color="auto"/>
              </w:divBdr>
              <w:divsChild>
                <w:div w:id="1691495101">
                  <w:marLeft w:val="0"/>
                  <w:marRight w:val="0"/>
                  <w:marTop w:val="0"/>
                  <w:marBottom w:val="0"/>
                  <w:divBdr>
                    <w:top w:val="single" w:sz="2" w:space="0" w:color="008000"/>
                    <w:left w:val="single" w:sz="2" w:space="0" w:color="008000"/>
                    <w:bottom w:val="single" w:sz="2" w:space="0" w:color="008000"/>
                    <w:right w:val="single" w:sz="2" w:space="0" w:color="008000"/>
                  </w:divBdr>
                  <w:divsChild>
                    <w:div w:id="1931041077">
                      <w:marLeft w:val="0"/>
                      <w:marRight w:val="0"/>
                      <w:marTop w:val="0"/>
                      <w:marBottom w:val="0"/>
                      <w:divBdr>
                        <w:top w:val="none" w:sz="0" w:space="0" w:color="auto"/>
                        <w:left w:val="none" w:sz="0" w:space="0" w:color="auto"/>
                        <w:bottom w:val="none" w:sz="0" w:space="0" w:color="auto"/>
                        <w:right w:val="none" w:sz="0" w:space="0" w:color="auto"/>
                      </w:divBdr>
                      <w:divsChild>
                        <w:div w:id="930546474">
                          <w:marLeft w:val="0"/>
                          <w:marRight w:val="0"/>
                          <w:marTop w:val="0"/>
                          <w:marBottom w:val="0"/>
                          <w:divBdr>
                            <w:top w:val="none" w:sz="0" w:space="0" w:color="auto"/>
                            <w:left w:val="none" w:sz="0" w:space="0" w:color="auto"/>
                            <w:bottom w:val="none" w:sz="0" w:space="0" w:color="auto"/>
                            <w:right w:val="none" w:sz="0" w:space="0" w:color="auto"/>
                          </w:divBdr>
                          <w:divsChild>
                            <w:div w:id="175269906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47352890">
      <w:bodyDiv w:val="1"/>
      <w:marLeft w:val="0"/>
      <w:marRight w:val="0"/>
      <w:marTop w:val="0"/>
      <w:marBottom w:val="0"/>
      <w:divBdr>
        <w:top w:val="none" w:sz="0" w:space="0" w:color="auto"/>
        <w:left w:val="none" w:sz="0" w:space="0" w:color="auto"/>
        <w:bottom w:val="none" w:sz="0" w:space="0" w:color="auto"/>
        <w:right w:val="none" w:sz="0" w:space="0" w:color="auto"/>
      </w:divBdr>
      <w:divsChild>
        <w:div w:id="1442411304">
          <w:marLeft w:val="0"/>
          <w:marRight w:val="0"/>
          <w:marTop w:val="0"/>
          <w:marBottom w:val="0"/>
          <w:divBdr>
            <w:top w:val="none" w:sz="0" w:space="0" w:color="auto"/>
            <w:left w:val="none" w:sz="0" w:space="0" w:color="auto"/>
            <w:bottom w:val="none" w:sz="0" w:space="0" w:color="auto"/>
            <w:right w:val="none" w:sz="0" w:space="0" w:color="auto"/>
          </w:divBdr>
          <w:divsChild>
            <w:div w:id="9736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C433-AA17-4617-82D8-2E9A887E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3988</Words>
  <Characters>23292</Characters>
  <Application>Microsoft Office Word</Application>
  <DocSecurity>0</DocSecurity>
  <Lines>597</Lines>
  <Paragraphs>373</Paragraphs>
  <ScaleCrop>false</ScaleCrop>
  <HeadingPairs>
    <vt:vector size="2" baseType="variant">
      <vt:variant>
        <vt:lpstr>Título</vt:lpstr>
      </vt:variant>
      <vt:variant>
        <vt:i4>1</vt:i4>
      </vt:variant>
    </vt:vector>
  </HeadingPairs>
  <TitlesOfParts>
    <vt:vector size="1" baseType="lpstr">
      <vt:lpstr>RÉGIMEN SIMPLIFICADO DE LA CONTABILIDAD</vt:lpstr>
    </vt:vector>
  </TitlesOfParts>
  <Company>Diplover S.L.</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RÉGIMEN SIMPLIFICADO DE LA CONTABILIDAD</dc:title>
  <dc:creator>Juan Lorente</dc:creator>
  <cp:lastModifiedBy>Jose Luis Chico Bersabe</cp:lastModifiedBy>
  <cp:revision>14</cp:revision>
  <cp:lastPrinted>2012-03-28T07:53:00Z</cp:lastPrinted>
  <dcterms:created xsi:type="dcterms:W3CDTF">2026-03-28T16:40:00Z</dcterms:created>
  <dcterms:modified xsi:type="dcterms:W3CDTF">2026-03-29T17:47:00Z</dcterms:modified>
</cp:coreProperties>
</file>